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EAA8F" w14:textId="77777777" w:rsidR="00A50007" w:rsidRPr="00FA6665" w:rsidRDefault="00A50007" w:rsidP="00A50007">
      <w:pPr>
        <w:spacing w:before="100" w:beforeAutospacing="1" w:after="100" w:afterAutospacing="1"/>
        <w:jc w:val="both"/>
        <w:outlineLvl w:val="0"/>
        <w:rPr>
          <w:rFonts w:ascii="Times" w:eastAsia="Times New Roman" w:hAnsi="Times" w:cs="Times New Roman"/>
          <w:b/>
          <w:bCs/>
          <w:i/>
          <w:iCs/>
          <w:kern w:val="36"/>
          <w:lang w:val="en-IN"/>
        </w:rPr>
      </w:pPr>
      <w:r w:rsidRPr="00FA6665">
        <w:rPr>
          <w:rFonts w:ascii="Times" w:eastAsia="Times New Roman" w:hAnsi="Times" w:cs="Times New Roman"/>
          <w:b/>
          <w:bCs/>
          <w:kern w:val="36"/>
          <w:lang w:val="en-IN"/>
        </w:rPr>
        <w:t xml:space="preserve">In Silico Homology Modeling, Quality Validation, and Molecular Docking Analysis of Hemocyanins from </w:t>
      </w:r>
      <w:r w:rsidRPr="00FA6665">
        <w:rPr>
          <w:rFonts w:ascii="Times" w:eastAsia="Times New Roman" w:hAnsi="Times" w:cs="Times New Roman"/>
          <w:b/>
          <w:bCs/>
          <w:i/>
          <w:iCs/>
          <w:kern w:val="36"/>
          <w:lang w:val="en-IN"/>
        </w:rPr>
        <w:t>Scylla olivacea</w:t>
      </w:r>
      <w:r w:rsidRPr="00FA6665">
        <w:rPr>
          <w:rFonts w:ascii="Times" w:eastAsia="Times New Roman" w:hAnsi="Times" w:cs="Times New Roman"/>
          <w:b/>
          <w:bCs/>
          <w:kern w:val="36"/>
          <w:lang w:val="en-IN"/>
        </w:rPr>
        <w:t xml:space="preserve"> and </w:t>
      </w:r>
      <w:r w:rsidRPr="00FA6665">
        <w:rPr>
          <w:rFonts w:ascii="Times" w:eastAsia="Times New Roman" w:hAnsi="Times" w:cs="Times New Roman"/>
          <w:b/>
          <w:bCs/>
          <w:i/>
          <w:iCs/>
          <w:kern w:val="36"/>
          <w:lang w:val="en-IN"/>
        </w:rPr>
        <w:t>Scylla serrata</w:t>
      </w:r>
    </w:p>
    <w:p w14:paraId="10361C37" w14:textId="26D440A0" w:rsidR="00CF556B" w:rsidRPr="00FA6665" w:rsidRDefault="00E54392" w:rsidP="00775706">
      <w:pPr>
        <w:jc w:val="center"/>
        <w:rPr>
          <w:rFonts w:ascii="Times" w:eastAsia="Times New Roman" w:hAnsi="Times" w:cs="Times New Roman"/>
          <w:sz w:val="16"/>
          <w:szCs w:val="16"/>
          <w:lang w:val="en-IN"/>
        </w:rPr>
      </w:pPr>
      <w:r w:rsidRPr="00FA6665">
        <w:rPr>
          <w:rFonts w:ascii="Times" w:eastAsia="Times New Roman" w:hAnsi="Times" w:cs="Times New Roman"/>
          <w:b/>
          <w:sz w:val="36"/>
          <w:szCs w:val="36"/>
          <w:lang w:val="en-IN"/>
        </w:rPr>
        <w:t xml:space="preserve"> </w:t>
      </w:r>
    </w:p>
    <w:p w14:paraId="06E52E3E" w14:textId="77777777" w:rsidR="00CF556B" w:rsidRPr="00FA6665" w:rsidRDefault="00CF556B" w:rsidP="00A36248">
      <w:pPr>
        <w:jc w:val="center"/>
        <w:rPr>
          <w:sz w:val="20"/>
          <w:szCs w:val="20"/>
        </w:rPr>
      </w:pPr>
    </w:p>
    <w:p w14:paraId="212BC635" w14:textId="77777777" w:rsidR="008B46D7" w:rsidRPr="00FA6665" w:rsidRDefault="008B46D7" w:rsidP="008B46D7">
      <w:pPr>
        <w:rPr>
          <w:sz w:val="20"/>
          <w:szCs w:val="20"/>
        </w:rPr>
      </w:pPr>
    </w:p>
    <w:p w14:paraId="275FB63F"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Abstract</w:t>
      </w:r>
    </w:p>
    <w:p w14:paraId="1DDF644F"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Hemocyanins play a crucial role in oxygen transport and innate immune defense in decapod crustaceans. Due to the lack of experimentally resolved three-dimensional structures for hemocyanins from </w:t>
      </w:r>
      <w:r w:rsidRPr="00FA6665">
        <w:rPr>
          <w:rFonts w:ascii="Times" w:eastAsia="Times New Roman" w:hAnsi="Times" w:cs="Times New Roman"/>
          <w:i/>
          <w:iCs/>
          <w:lang w:val="en-IN"/>
        </w:rPr>
        <w:t>Scylla olivacea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xml:space="preserve">, this study employed homology modelling and molecular docking approaches to construct, validate, and evaluate their molecular interactions. Sequence data obtained via tandem mass spectrometry (MS/MS) were aligned using BLASTp and ClustalW. Theoretical 3D models were built using MODELLER based on template structures from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 xml:space="preserve"> (PDB ID: 1HC1) and </w:t>
      </w:r>
      <w:r w:rsidRPr="00FA6665">
        <w:rPr>
          <w:rFonts w:ascii="Times" w:eastAsia="Times New Roman" w:hAnsi="Times" w:cs="Times New Roman"/>
          <w:i/>
          <w:iCs/>
          <w:lang w:val="en-IN"/>
        </w:rPr>
        <w:t>Panulirus japonicus</w:t>
      </w:r>
      <w:r w:rsidRPr="00FA6665">
        <w:rPr>
          <w:rFonts w:ascii="Times" w:eastAsia="Times New Roman" w:hAnsi="Times" w:cs="Times New Roman"/>
          <w:lang w:val="en-IN"/>
        </w:rPr>
        <w:t xml:space="preserve"> (PDB ID: 6L8S). Model evaluation via PROCHECK demonstrated high stereochemical quality, with 87.8% and 86.9% of residues occupying the most favored regions of the Ramachandran plot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hemocyanin protein (SOHP) and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hemocyanin protein (SSHP), respectively. Structural superimposition yielded root-mean-square deviations (RMSD) of 0.271 Å (SOHP vs. 1HC1) and 0.593 Å (SSHP vs. 6L8S). Molecular docking with AutoDock Vina revealed robust binding affinities toward reactive oxygen species (H2​O2​), sodium dodecyl sulfate (SDS), bacterial peptidoglycan constituents (N-acetylglucosamine [NAG] and N-acetylmuramic acid [NAM]), and fungal cell wall component (β-glucan). SSHP exhibited superior binding energy toward NAG (−8.1 kcal/mol), NAM (−6.5 kcal/mol), and β-glucan (−7.8 kcal/mol) compared to SOHP. Active site interaction analysis identified key catalytic residues involved in hydrogen bonding and hydrophobic contacts. These structural insights clarify the pathogen-recognition and physiological capabilities of mud crab hemocyanins.</w:t>
      </w:r>
    </w:p>
    <w:p w14:paraId="1E17E0E0"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Keywords:</w:t>
      </w:r>
      <w:r w:rsidRPr="00FA6665">
        <w:rPr>
          <w:rFonts w:ascii="Times" w:eastAsia="Times New Roman" w:hAnsi="Times" w:cs="Times New Roman"/>
          <w:lang w:val="en-IN"/>
        </w:rPr>
        <w:t xml:space="preserve"> </w:t>
      </w:r>
      <w:r w:rsidRPr="00FA6665">
        <w:rPr>
          <w:rFonts w:ascii="Times" w:eastAsia="Times New Roman" w:hAnsi="Times" w:cs="Times New Roman"/>
          <w:i/>
          <w:iCs/>
          <w:lang w:val="en-IN"/>
        </w:rPr>
        <w:t>Scylla olivacea</w:t>
      </w:r>
      <w:r w:rsidRPr="00FA6665">
        <w:rPr>
          <w:rFonts w:ascii="Times" w:eastAsia="Times New Roman" w:hAnsi="Times" w:cs="Times New Roman"/>
          <w:lang w:val="en-IN"/>
        </w:rPr>
        <w:t xml:space="preserve">,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xml:space="preserve">, Homology Modelling, Hemocyanin, Molecular Docking, MODELLER, </w:t>
      </w:r>
      <w:proofErr w:type="spellStart"/>
      <w:r w:rsidRPr="00FA6665">
        <w:rPr>
          <w:rFonts w:ascii="Times" w:eastAsia="Times New Roman" w:hAnsi="Times" w:cs="Times New Roman"/>
          <w:lang w:val="en-IN"/>
        </w:rPr>
        <w:t>AutoDock</w:t>
      </w:r>
      <w:proofErr w:type="spellEnd"/>
      <w:r w:rsidRPr="00FA6665">
        <w:rPr>
          <w:rFonts w:ascii="Times" w:eastAsia="Times New Roman" w:hAnsi="Times" w:cs="Times New Roman"/>
          <w:lang w:val="en-IN"/>
        </w:rPr>
        <w:t xml:space="preserve"> Vina, Antimicrobial Immunity.</w:t>
      </w:r>
    </w:p>
    <w:p w14:paraId="151AB15E" w14:textId="77777777" w:rsidR="00A36248" w:rsidRPr="00FA6665" w:rsidRDefault="00A36248" w:rsidP="00A50007">
      <w:pPr>
        <w:spacing w:before="100" w:beforeAutospacing="1" w:after="100" w:afterAutospacing="1"/>
        <w:jc w:val="both"/>
        <w:rPr>
          <w:rFonts w:ascii="Times" w:eastAsia="Times New Roman" w:hAnsi="Times" w:cs="Times New Roman"/>
          <w:lang w:val="en-IN"/>
        </w:rPr>
      </w:pPr>
    </w:p>
    <w:p w14:paraId="3C131B45" w14:textId="77777777" w:rsidR="00A36248" w:rsidRPr="00FA6665" w:rsidRDefault="00A36248" w:rsidP="00A50007">
      <w:pPr>
        <w:spacing w:before="100" w:beforeAutospacing="1" w:after="100" w:afterAutospacing="1"/>
        <w:jc w:val="both"/>
        <w:rPr>
          <w:rFonts w:ascii="Times" w:eastAsia="Times New Roman" w:hAnsi="Times" w:cs="Times New Roman"/>
          <w:lang w:val="en-IN"/>
        </w:rPr>
      </w:pPr>
    </w:p>
    <w:p w14:paraId="440A01C7" w14:textId="77777777" w:rsidR="00A36248" w:rsidRPr="00FA6665" w:rsidRDefault="00A36248" w:rsidP="00A50007">
      <w:pPr>
        <w:spacing w:before="100" w:beforeAutospacing="1" w:after="100" w:afterAutospacing="1"/>
        <w:jc w:val="both"/>
        <w:rPr>
          <w:rFonts w:ascii="Times" w:eastAsia="Times New Roman" w:hAnsi="Times" w:cs="Times New Roman"/>
          <w:lang w:val="en-IN"/>
        </w:rPr>
      </w:pPr>
    </w:p>
    <w:p w14:paraId="4EF315B8"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1. Introduction</w:t>
      </w:r>
    </w:p>
    <w:p w14:paraId="5E95194C"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Mud crabs belonging to the genus </w:t>
      </w:r>
      <w:r w:rsidRPr="00FA6665">
        <w:rPr>
          <w:rFonts w:ascii="Times" w:eastAsia="Times New Roman" w:hAnsi="Times" w:cs="Times New Roman"/>
          <w:i/>
          <w:iCs/>
          <w:lang w:val="en-IN"/>
        </w:rPr>
        <w:t>Scylla</w:t>
      </w:r>
      <w:r w:rsidRPr="00FA6665">
        <w:rPr>
          <w:rFonts w:ascii="Times" w:eastAsia="Times New Roman" w:hAnsi="Times" w:cs="Times New Roman"/>
          <w:lang w:val="en-IN"/>
        </w:rPr>
        <w:t xml:space="preserve">, predominantly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Scylla olivacea</w:t>
      </w:r>
      <w:r w:rsidRPr="00FA6665">
        <w:rPr>
          <w:rFonts w:ascii="Times" w:eastAsia="Times New Roman" w:hAnsi="Times" w:cs="Times New Roman"/>
          <w:lang w:val="en-IN"/>
        </w:rPr>
        <w:t>, represent ecologically and economically vital marine invertebrates. Invertebrates lack adaptive immune systems and rely strictly on innate immune mechanisms to neutralize invading pathogens and environmental stress. Hemocyanin, a copper-containing respiratory protein circulating in the haemolymph, functions as an oxygen carrier and exhibits multifunctional immunological properties, including phenoloxidase-like activity, antiviral defense, and direct microbicidal activity.</w:t>
      </w:r>
    </w:p>
    <w:p w14:paraId="18F85034"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Experimental work in </w:t>
      </w:r>
      <w:r w:rsidRPr="00FA6665">
        <w:rPr>
          <w:rFonts w:ascii="Times" w:hAnsi="Times"/>
          <w:i/>
        </w:rPr>
        <w:t>S. serrata</w:t>
      </w:r>
      <w:r w:rsidRPr="00FA6665">
        <w:rPr>
          <w:rFonts w:ascii="Times" w:hAnsi="Times"/>
        </w:rPr>
        <w:t xml:space="preserve"> has shown that hemocyanin can agglutinate bacteria and contribute to humoral antibacterial responses, supporting a role beyond oxygen transport in </w:t>
      </w:r>
      <w:r w:rsidRPr="00FA6665">
        <w:rPr>
          <w:rFonts w:ascii="Times" w:hAnsi="Times"/>
        </w:rPr>
        <w:lastRenderedPageBreak/>
        <w:t>mud-crab innate immunity (Yan et al., 2011; Velayutham &amp; Munusamy, 2016). More broadly, crustacean immunity depends on soluble and cell-associated pattern-recognition systems that detect conserved microbial motifs and trigger downstream humoral defenses (Patnaik et al., 2024).</w:t>
      </w:r>
    </w:p>
    <w:p w14:paraId="09299B55"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Despite the functional significance of hemocyanin in mud crab survival, three-dimensional (3D) structural details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hemocyanins remain uncharacterized in public structural repositories such as the Protein Data Bank (PDB). Structural elucidation is prerequisite to understanding their catalytic mechanisms, substrate specificity, and molecular interactions with pathogen-associated molecular patterns (PAMPs) and reactive oxygen species (ROS).</w:t>
      </w:r>
    </w:p>
    <w:p w14:paraId="1C38C773"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At the structural level, arthropod hemocyanins are type-3 copper proteins whose active-site architecture is closely related to phenoloxidases, and experimentally resolved lobster hemocyanin structures provide suitable structural comparators for comparative analyses (Volbeda &amp; Hol, 1989; Masuda et al., 2020).</w:t>
      </w:r>
    </w:p>
    <w:p w14:paraId="494849C3"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In this study, theoretical 3D structural models of hemocyanin from both male and female specimens of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(SOHP) and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(SSHP) were generated using homology modelling techniques. Structural models were refined and validated through stereochemical evaluation servers. Furthermore, molecular docking experiments were performed with various ligands—including H2​O2​, SDS, bacterial peptidoglycan components (NAG and NAM), and fungal β-glucan—to characterize active site interactions and evaluate the biochemical basis of their host defense capabilities.</w:t>
      </w:r>
    </w:p>
    <w:p w14:paraId="7542A683"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2. Materials and Methods</w:t>
      </w:r>
    </w:p>
    <w:p w14:paraId="18FAE647"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2.1 Target Sequence Procurement and Template Selection</w:t>
      </w:r>
    </w:p>
    <w:p w14:paraId="6C6100D7"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The amino acid sequences of hemocyanin proteins from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were obtained through tandem mass spectrometry (MS/MS) sequencing. To identify appropriate structural templates for homology modelling, basic local alignment search tool for proteins (BLASTp) (Altschul et al., 1990) searches were executed against the Protein Data Bank (PDB) (Berman et al., 2000) using default parameters. High-scoring crystal structures with maximum sequence identity and low E-values were chosen as templates. Sequence alignments between target sequences and selected templates were performed using ClustalW (Thompson et al., 1994).</w:t>
      </w:r>
    </w:p>
    <w:p w14:paraId="606A2A25"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2.2 3D Model Generation</w:t>
      </w:r>
    </w:p>
    <w:p w14:paraId="63DFB8F6"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Three-dimensional models were constructed using the academic version of MODELLER 9v1 (Sali and Blundell, 1993). MODELLER generates models by optimizing molecular spatial restraints using probability density functions (PDFs) (Sali et al., 1993; Sali and Overington, 1994). Input sequence alignment files (</w:t>
      </w:r>
      <w:r w:rsidRPr="00FA6665">
        <w:rPr>
          <w:rFonts w:ascii="Times" w:eastAsia="Times New Roman" w:hAnsi="Times" w:cs="Courier New"/>
          <w:lang w:val="en-IN"/>
        </w:rPr>
        <w:t>qseq1-tseq1.ali</w:t>
      </w:r>
      <w:r w:rsidRPr="00FA6665">
        <w:rPr>
          <w:rFonts w:ascii="Times" w:eastAsia="Times New Roman" w:hAnsi="Times" w:cs="Times New Roman"/>
          <w:lang w:val="en-IN"/>
        </w:rPr>
        <w:t xml:space="preserve">) were prepared in PIR format. Five candidate models were generated per target protein using the </w:t>
      </w:r>
      <w:r w:rsidRPr="00FA6665">
        <w:rPr>
          <w:rFonts w:ascii="Times" w:eastAsia="Times New Roman" w:hAnsi="Times" w:cs="Courier New"/>
          <w:lang w:val="en-IN"/>
        </w:rPr>
        <w:t>automodel</w:t>
      </w:r>
      <w:r w:rsidRPr="00FA6665">
        <w:rPr>
          <w:rFonts w:ascii="Times" w:eastAsia="Times New Roman" w:hAnsi="Times" w:cs="Times New Roman"/>
          <w:lang w:val="en-IN"/>
        </w:rPr>
        <w:t xml:space="preserve"> class. Candidate structures were evaluated using Discrete Optimized Protein Energy (DOPE) profiles to select the lowest energy model representing the most stable conformation.</w:t>
      </w:r>
    </w:p>
    <w:p w14:paraId="18C7A84F"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2.3 Model Quality Assessment and Validation</w:t>
      </w:r>
    </w:p>
    <w:p w14:paraId="3E90AA9A"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lastRenderedPageBreak/>
        <w:t>Stereochemical qualities and residue environment profiles of the primary candidate models (SOHP and SSHP) were assessed using PROCHECK (Laskowski et al., 1993) for Ramachandran plot analysis (Φ/Ψ dihedral angle distribution), Verify3D (Eisenberg et al., 1997), and ERRAT servers. Structural superimposition and Root Mean Square Deviation (RMSD) calculations relative to template coordinates were performed using PyMOL.</w:t>
      </w:r>
    </w:p>
    <w:p w14:paraId="4EEDAFDC"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2.4 Molecular Ligand Docking and Interaction Analysis</w:t>
      </w:r>
    </w:p>
    <w:p w14:paraId="0F806391"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Ligand structures—hydrogen peroxide (H2​O2​), sodium dodecyl sulfate (SDS), N-acetylglucosamine (NAG), N-acetylmuramic acid (NAM), and β-glucan—were downloaded in 2D SDF format from PubChem and converted to 3D coordinates.</w:t>
      </w:r>
    </w:p>
    <w:p w14:paraId="4B786095"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Protein receptors and ligands were prepared using AutoDock Tools (Morris et al., 2009). Molecular docking studies were executed with AutoDock Vina using standard default parameters and genetic search algorithms. Grid boxes encompassing active site regions were established around target coordinates. Post-docking interaction geometries, hydrogen bonding patterns, and hydrophobic contacts were evaluated and visualized using PyMOL, LigPlot+ (Wallace et al., 1995), and BIOVIA Discovery Studio Visualizer.</w:t>
      </w:r>
    </w:p>
    <w:p w14:paraId="641E02BA"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3. Results</w:t>
      </w:r>
    </w:p>
    <w:p w14:paraId="6E5B8829"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3.1 Identification of Homology Templates</w:t>
      </w:r>
    </w:p>
    <w:p w14:paraId="488390FE"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BLASTp searches identified suitable crystallographic templates for both target proteins.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hemocyanin (SOHP sequence), the hemocyanin crystal structure from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 xml:space="preserve"> (PDB code: 1HC1, Chain A) yielded the highest sequence identity at 61.16%. For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hemocyanin (SSHP sequence), the crystal structure of hemocyanin from </w:t>
      </w:r>
      <w:r w:rsidRPr="00FA6665">
        <w:rPr>
          <w:rFonts w:ascii="Times" w:eastAsia="Times New Roman" w:hAnsi="Times" w:cs="Times New Roman"/>
          <w:i/>
          <w:iCs/>
          <w:lang w:val="en-IN"/>
        </w:rPr>
        <w:t>Panulirus japonicus</w:t>
      </w:r>
      <w:r w:rsidRPr="00FA6665">
        <w:rPr>
          <w:rFonts w:ascii="Times" w:eastAsia="Times New Roman" w:hAnsi="Times" w:cs="Times New Roman"/>
          <w:lang w:val="en-IN"/>
        </w:rPr>
        <w:t xml:space="preserve"> (PDB code: 6L8S, Chain B) provided the highest sequence identity at 53.55%.</w:t>
      </w:r>
    </w:p>
    <w:p w14:paraId="7A5E431A"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The selection of 1HC1 and 6L8S is structurally plausible because both are experimentally resolved crustacean hemocyanins: the </w:t>
      </w:r>
      <w:r w:rsidRPr="00FA6665">
        <w:rPr>
          <w:rFonts w:ascii="Times" w:hAnsi="Times"/>
          <w:i/>
        </w:rPr>
        <w:t>Panulirus interruptus</w:t>
      </w:r>
      <w:r w:rsidRPr="00FA6665">
        <w:rPr>
          <w:rFonts w:ascii="Times" w:hAnsi="Times"/>
        </w:rPr>
        <w:t xml:space="preserve"> hexamer was refined at 3.2 Å resolution, whereas the </w:t>
      </w:r>
      <w:r w:rsidRPr="00FA6665">
        <w:rPr>
          <w:rFonts w:ascii="Times" w:hAnsi="Times"/>
          <w:i/>
        </w:rPr>
        <w:t>Panulirus japonicus</w:t>
      </w:r>
      <w:r w:rsidRPr="00FA6665">
        <w:rPr>
          <w:rFonts w:ascii="Times" w:hAnsi="Times"/>
        </w:rPr>
        <w:t xml:space="preserve"> hemocyanin structure was determined at 1.58 Å resolution (Volbeda &amp; Hol, 1989; Masuda et al., 2020). The use of homologous experimental structures as templates is consistent with comparative-modeling practice, in which model accuracy is strongly influenced by target-template similarity and alignment quality (Sali et al., 1995; Wallner &amp; Elofsson, 2003).</w:t>
      </w:r>
    </w:p>
    <w:p w14:paraId="0D412CB1"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Table 1.</w:t>
      </w:r>
      <w:r w:rsidRPr="00FA6665">
        <w:rPr>
          <w:rFonts w:ascii="Times" w:eastAsia="Times New Roman" w:hAnsi="Times" w:cs="Times New Roman"/>
          <w:lang w:val="en-IN"/>
        </w:rPr>
        <w:t xml:space="preserve"> Homology search results for </w:t>
      </w:r>
      <w:r w:rsidRPr="00FA6665">
        <w:rPr>
          <w:rFonts w:ascii="Times" w:eastAsia="Times New Roman" w:hAnsi="Times" w:cs="Times New Roman"/>
          <w:i/>
          <w:iCs/>
          <w:lang w:val="en-IN"/>
        </w:rPr>
        <w:t>Scylla olivacea</w:t>
      </w:r>
      <w:r w:rsidRPr="00FA6665">
        <w:rPr>
          <w:rFonts w:ascii="Times" w:eastAsia="Times New Roman" w:hAnsi="Times" w:cs="Times New Roman"/>
          <w:lang w:val="en-IN"/>
        </w:rPr>
        <w:t xml:space="preserve"> hemocyanin (SOHP sequence) against PDB.</w:t>
      </w:r>
    </w:p>
    <w:tbl>
      <w:tblPr>
        <w:tblW w:w="9807" w:type="dxa"/>
        <w:tblCellSpacing w:w="15" w:type="dxa"/>
        <w:tblCellMar>
          <w:top w:w="15" w:type="dxa"/>
          <w:left w:w="15" w:type="dxa"/>
          <w:bottom w:w="15" w:type="dxa"/>
          <w:right w:w="15" w:type="dxa"/>
        </w:tblCellMar>
        <w:tblLook w:val="04A0" w:firstRow="1" w:lastRow="0" w:firstColumn="1" w:lastColumn="0" w:noHBand="0" w:noVBand="1"/>
      </w:tblPr>
      <w:tblGrid>
        <w:gridCol w:w="666"/>
        <w:gridCol w:w="1034"/>
        <w:gridCol w:w="5680"/>
        <w:gridCol w:w="818"/>
        <w:gridCol w:w="1609"/>
      </w:tblGrid>
      <w:tr w:rsidR="00A50007" w:rsidRPr="00FA6665" w14:paraId="6B3F795E" w14:textId="77777777" w:rsidTr="00A50007">
        <w:trPr>
          <w:trHeight w:val="289"/>
          <w:tblHeader/>
          <w:tblCellSpacing w:w="15" w:type="dxa"/>
        </w:trPr>
        <w:tc>
          <w:tcPr>
            <w:tcW w:w="0" w:type="auto"/>
            <w:vAlign w:val="center"/>
            <w:hideMark/>
          </w:tcPr>
          <w:p w14:paraId="185C39AD" w14:textId="77777777" w:rsidR="00A50007" w:rsidRPr="00FA6665" w:rsidRDefault="00A50007" w:rsidP="00A50007">
            <w:pPr>
              <w:jc w:val="both"/>
              <w:rPr>
                <w:rFonts w:ascii="Times" w:eastAsia="Times New Roman" w:hAnsi="Times" w:cs="Times New Roman"/>
                <w:b/>
                <w:bCs/>
                <w:lang w:val="en-IN"/>
              </w:rPr>
            </w:pPr>
            <w:proofErr w:type="gramStart"/>
            <w:r w:rsidRPr="00FA6665">
              <w:rPr>
                <w:rFonts w:ascii="Times" w:eastAsia="Times New Roman" w:hAnsi="Times" w:cs="Times New Roman"/>
                <w:b/>
                <w:bCs/>
                <w:lang w:val="en-IN"/>
              </w:rPr>
              <w:t>S.No</w:t>
            </w:r>
            <w:proofErr w:type="gramEnd"/>
          </w:p>
        </w:tc>
        <w:tc>
          <w:tcPr>
            <w:tcW w:w="0" w:type="auto"/>
            <w:vAlign w:val="center"/>
            <w:hideMark/>
          </w:tcPr>
          <w:p w14:paraId="251D5E3E"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PDB ID</w:t>
            </w:r>
          </w:p>
        </w:tc>
        <w:tc>
          <w:tcPr>
            <w:tcW w:w="0" w:type="auto"/>
            <w:vAlign w:val="center"/>
            <w:hideMark/>
          </w:tcPr>
          <w:p w14:paraId="72B5336E"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Protein Name</w:t>
            </w:r>
          </w:p>
        </w:tc>
        <w:tc>
          <w:tcPr>
            <w:tcW w:w="0" w:type="auto"/>
            <w:vAlign w:val="center"/>
            <w:hideMark/>
          </w:tcPr>
          <w:p w14:paraId="2C830B08"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Chain</w:t>
            </w:r>
          </w:p>
        </w:tc>
        <w:tc>
          <w:tcPr>
            <w:tcW w:w="0" w:type="auto"/>
            <w:vAlign w:val="center"/>
            <w:hideMark/>
          </w:tcPr>
          <w:p w14:paraId="3A4B065A"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Identity (%)</w:t>
            </w:r>
          </w:p>
        </w:tc>
      </w:tr>
      <w:tr w:rsidR="00A50007" w:rsidRPr="00FA6665" w14:paraId="2EBC9A42" w14:textId="77777777" w:rsidTr="00A50007">
        <w:trPr>
          <w:trHeight w:val="248"/>
          <w:tblCellSpacing w:w="15" w:type="dxa"/>
        </w:trPr>
        <w:tc>
          <w:tcPr>
            <w:tcW w:w="0" w:type="auto"/>
            <w:vAlign w:val="center"/>
            <w:hideMark/>
          </w:tcPr>
          <w:p w14:paraId="7D2000B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w:t>
            </w:r>
          </w:p>
        </w:tc>
        <w:tc>
          <w:tcPr>
            <w:tcW w:w="0" w:type="auto"/>
            <w:vAlign w:val="center"/>
            <w:hideMark/>
          </w:tcPr>
          <w:p w14:paraId="4FC81FC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1HC1</w:t>
            </w:r>
          </w:p>
        </w:tc>
        <w:tc>
          <w:tcPr>
            <w:tcW w:w="0" w:type="auto"/>
            <w:vAlign w:val="center"/>
            <w:hideMark/>
          </w:tcPr>
          <w:p w14:paraId="4B790C0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Haemocyanin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w:t>
            </w:r>
          </w:p>
        </w:tc>
        <w:tc>
          <w:tcPr>
            <w:tcW w:w="0" w:type="auto"/>
            <w:vAlign w:val="center"/>
            <w:hideMark/>
          </w:tcPr>
          <w:p w14:paraId="7DCE915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78AA0CD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61.16</w:t>
            </w:r>
          </w:p>
        </w:tc>
      </w:tr>
      <w:tr w:rsidR="00A50007" w:rsidRPr="00FA6665" w14:paraId="417612D9" w14:textId="77777777" w:rsidTr="00A50007">
        <w:trPr>
          <w:trHeight w:val="269"/>
          <w:tblCellSpacing w:w="15" w:type="dxa"/>
        </w:trPr>
        <w:tc>
          <w:tcPr>
            <w:tcW w:w="0" w:type="auto"/>
            <w:vAlign w:val="center"/>
            <w:hideMark/>
          </w:tcPr>
          <w:p w14:paraId="1476A85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2</w:t>
            </w:r>
          </w:p>
        </w:tc>
        <w:tc>
          <w:tcPr>
            <w:tcW w:w="0" w:type="auto"/>
            <w:vAlign w:val="center"/>
            <w:hideMark/>
          </w:tcPr>
          <w:p w14:paraId="2724438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6L8S</w:t>
            </w:r>
          </w:p>
        </w:tc>
        <w:tc>
          <w:tcPr>
            <w:tcW w:w="0" w:type="auto"/>
            <w:vAlign w:val="center"/>
            <w:hideMark/>
          </w:tcPr>
          <w:p w14:paraId="353F87E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w:t>
            </w:r>
            <w:r w:rsidRPr="00FA6665">
              <w:rPr>
                <w:rFonts w:ascii="Times" w:eastAsia="Times New Roman" w:hAnsi="Times" w:cs="Times New Roman"/>
                <w:i/>
                <w:iCs/>
                <w:lang w:val="en-IN"/>
              </w:rPr>
              <w:t>Panulirus japonicus</w:t>
            </w:r>
            <w:r w:rsidRPr="00FA6665">
              <w:rPr>
                <w:rFonts w:ascii="Times" w:eastAsia="Times New Roman" w:hAnsi="Times" w:cs="Times New Roman"/>
                <w:lang w:val="en-IN"/>
              </w:rPr>
              <w:t>]</w:t>
            </w:r>
          </w:p>
        </w:tc>
        <w:tc>
          <w:tcPr>
            <w:tcW w:w="0" w:type="auto"/>
            <w:vAlign w:val="center"/>
            <w:hideMark/>
          </w:tcPr>
          <w:p w14:paraId="614D9E6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C</w:t>
            </w:r>
          </w:p>
        </w:tc>
        <w:tc>
          <w:tcPr>
            <w:tcW w:w="0" w:type="auto"/>
            <w:vAlign w:val="center"/>
            <w:hideMark/>
          </w:tcPr>
          <w:p w14:paraId="79C2CE6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60.83</w:t>
            </w:r>
          </w:p>
        </w:tc>
      </w:tr>
      <w:tr w:rsidR="00A50007" w:rsidRPr="00FA6665" w14:paraId="284371A5" w14:textId="77777777" w:rsidTr="00A50007">
        <w:trPr>
          <w:trHeight w:val="269"/>
          <w:tblCellSpacing w:w="15" w:type="dxa"/>
        </w:trPr>
        <w:tc>
          <w:tcPr>
            <w:tcW w:w="0" w:type="auto"/>
            <w:vAlign w:val="center"/>
            <w:hideMark/>
          </w:tcPr>
          <w:p w14:paraId="69BDF45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w:t>
            </w:r>
          </w:p>
        </w:tc>
        <w:tc>
          <w:tcPr>
            <w:tcW w:w="0" w:type="auto"/>
            <w:vAlign w:val="center"/>
            <w:hideMark/>
          </w:tcPr>
          <w:p w14:paraId="37544BF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3IXV</w:t>
            </w:r>
          </w:p>
        </w:tc>
        <w:tc>
          <w:tcPr>
            <w:tcW w:w="0" w:type="auto"/>
            <w:vAlign w:val="center"/>
            <w:hideMark/>
          </w:tcPr>
          <w:p w14:paraId="37F3BED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AA6 chain [</w:t>
            </w:r>
            <w:r w:rsidRPr="00FA6665">
              <w:rPr>
                <w:rFonts w:ascii="Times" w:eastAsia="Times New Roman" w:hAnsi="Times" w:cs="Times New Roman"/>
                <w:i/>
                <w:iCs/>
                <w:lang w:val="en-IN"/>
              </w:rPr>
              <w:t>Androctonus australis</w:t>
            </w:r>
            <w:r w:rsidRPr="00FA6665">
              <w:rPr>
                <w:rFonts w:ascii="Times" w:eastAsia="Times New Roman" w:hAnsi="Times" w:cs="Times New Roman"/>
                <w:lang w:val="en-IN"/>
              </w:rPr>
              <w:t>]</w:t>
            </w:r>
          </w:p>
        </w:tc>
        <w:tc>
          <w:tcPr>
            <w:tcW w:w="0" w:type="auto"/>
            <w:vAlign w:val="center"/>
            <w:hideMark/>
          </w:tcPr>
          <w:p w14:paraId="1CEE069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727FB4A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35.50</w:t>
            </w:r>
          </w:p>
        </w:tc>
      </w:tr>
      <w:tr w:rsidR="00A50007" w:rsidRPr="00FA6665" w14:paraId="79108B83" w14:textId="77777777" w:rsidTr="00A50007">
        <w:trPr>
          <w:trHeight w:val="289"/>
          <w:tblCellSpacing w:w="15" w:type="dxa"/>
        </w:trPr>
        <w:tc>
          <w:tcPr>
            <w:tcW w:w="0" w:type="auto"/>
            <w:vAlign w:val="center"/>
            <w:hideMark/>
          </w:tcPr>
          <w:p w14:paraId="3E6B994A"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4</w:t>
            </w:r>
          </w:p>
        </w:tc>
        <w:tc>
          <w:tcPr>
            <w:tcW w:w="0" w:type="auto"/>
            <w:vAlign w:val="center"/>
            <w:hideMark/>
          </w:tcPr>
          <w:p w14:paraId="40E4774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1LL1</w:t>
            </w:r>
          </w:p>
        </w:tc>
        <w:tc>
          <w:tcPr>
            <w:tcW w:w="0" w:type="auto"/>
            <w:vAlign w:val="center"/>
            <w:hideMark/>
          </w:tcPr>
          <w:p w14:paraId="17C014D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Metcyanin II [</w:t>
            </w:r>
            <w:r w:rsidRPr="00FA6665">
              <w:rPr>
                <w:rFonts w:ascii="Times" w:eastAsia="Times New Roman" w:hAnsi="Times" w:cs="Times New Roman"/>
                <w:i/>
                <w:iCs/>
                <w:lang w:val="en-IN"/>
              </w:rPr>
              <w:t>Limulus polyphemus</w:t>
            </w:r>
            <w:r w:rsidRPr="00FA6665">
              <w:rPr>
                <w:rFonts w:ascii="Times" w:eastAsia="Times New Roman" w:hAnsi="Times" w:cs="Times New Roman"/>
                <w:lang w:val="en-IN"/>
              </w:rPr>
              <w:t>]</w:t>
            </w:r>
          </w:p>
        </w:tc>
        <w:tc>
          <w:tcPr>
            <w:tcW w:w="0" w:type="auto"/>
            <w:vAlign w:val="center"/>
            <w:hideMark/>
          </w:tcPr>
          <w:p w14:paraId="3EEC4B3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0A0EE91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34.60</w:t>
            </w:r>
          </w:p>
        </w:tc>
      </w:tr>
    </w:tbl>
    <w:p w14:paraId="0AC52C56"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Table 2.</w:t>
      </w:r>
      <w:r w:rsidRPr="00FA6665">
        <w:rPr>
          <w:rFonts w:ascii="Times" w:eastAsia="Times New Roman" w:hAnsi="Times" w:cs="Times New Roman"/>
          <w:lang w:val="en-IN"/>
        </w:rPr>
        <w:t xml:space="preserve"> Homology search results for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xml:space="preserve"> hemocyanin (SSHP sequence) against PDB.</w:t>
      </w:r>
    </w:p>
    <w:tbl>
      <w:tblPr>
        <w:tblW w:w="10195" w:type="dxa"/>
        <w:tblCellSpacing w:w="15" w:type="dxa"/>
        <w:tblCellMar>
          <w:top w:w="15" w:type="dxa"/>
          <w:left w:w="15" w:type="dxa"/>
          <w:bottom w:w="15" w:type="dxa"/>
          <w:right w:w="15" w:type="dxa"/>
        </w:tblCellMar>
        <w:tblLook w:val="04A0" w:firstRow="1" w:lastRow="0" w:firstColumn="1" w:lastColumn="0" w:noHBand="0" w:noVBand="1"/>
      </w:tblPr>
      <w:tblGrid>
        <w:gridCol w:w="788"/>
        <w:gridCol w:w="1232"/>
        <w:gridCol w:w="5283"/>
        <w:gridCol w:w="974"/>
        <w:gridCol w:w="1918"/>
      </w:tblGrid>
      <w:tr w:rsidR="00A50007" w:rsidRPr="00FA6665" w14:paraId="04111DC5" w14:textId="77777777" w:rsidTr="00A50007">
        <w:trPr>
          <w:trHeight w:val="309"/>
          <w:tblHeader/>
          <w:tblCellSpacing w:w="15" w:type="dxa"/>
        </w:trPr>
        <w:tc>
          <w:tcPr>
            <w:tcW w:w="0" w:type="auto"/>
            <w:vAlign w:val="center"/>
            <w:hideMark/>
          </w:tcPr>
          <w:p w14:paraId="49428994" w14:textId="77777777" w:rsidR="00A50007" w:rsidRPr="00FA6665" w:rsidRDefault="00A50007" w:rsidP="00A50007">
            <w:pPr>
              <w:jc w:val="both"/>
              <w:rPr>
                <w:rFonts w:ascii="Times" w:eastAsia="Times New Roman" w:hAnsi="Times" w:cs="Times New Roman"/>
                <w:b/>
                <w:bCs/>
                <w:lang w:val="en-IN"/>
              </w:rPr>
            </w:pPr>
            <w:proofErr w:type="gramStart"/>
            <w:r w:rsidRPr="00FA6665">
              <w:rPr>
                <w:rFonts w:ascii="Times" w:eastAsia="Times New Roman" w:hAnsi="Times" w:cs="Times New Roman"/>
                <w:b/>
                <w:bCs/>
                <w:lang w:val="en-IN"/>
              </w:rPr>
              <w:lastRenderedPageBreak/>
              <w:t>S.No</w:t>
            </w:r>
            <w:proofErr w:type="gramEnd"/>
          </w:p>
        </w:tc>
        <w:tc>
          <w:tcPr>
            <w:tcW w:w="0" w:type="auto"/>
            <w:vAlign w:val="center"/>
            <w:hideMark/>
          </w:tcPr>
          <w:p w14:paraId="18A4BE4C"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PDB ID</w:t>
            </w:r>
          </w:p>
        </w:tc>
        <w:tc>
          <w:tcPr>
            <w:tcW w:w="0" w:type="auto"/>
            <w:vAlign w:val="center"/>
            <w:hideMark/>
          </w:tcPr>
          <w:p w14:paraId="032520B0"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Protein Name</w:t>
            </w:r>
          </w:p>
        </w:tc>
        <w:tc>
          <w:tcPr>
            <w:tcW w:w="0" w:type="auto"/>
            <w:vAlign w:val="center"/>
            <w:hideMark/>
          </w:tcPr>
          <w:p w14:paraId="4263A075"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Chain</w:t>
            </w:r>
          </w:p>
        </w:tc>
        <w:tc>
          <w:tcPr>
            <w:tcW w:w="0" w:type="auto"/>
            <w:vAlign w:val="center"/>
            <w:hideMark/>
          </w:tcPr>
          <w:p w14:paraId="030F7BE8"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Identity (%)</w:t>
            </w:r>
          </w:p>
        </w:tc>
      </w:tr>
      <w:tr w:rsidR="00A50007" w:rsidRPr="00FA6665" w14:paraId="6C8683FA" w14:textId="77777777" w:rsidTr="00A50007">
        <w:trPr>
          <w:trHeight w:val="265"/>
          <w:tblCellSpacing w:w="15" w:type="dxa"/>
        </w:trPr>
        <w:tc>
          <w:tcPr>
            <w:tcW w:w="0" w:type="auto"/>
            <w:vAlign w:val="center"/>
            <w:hideMark/>
          </w:tcPr>
          <w:p w14:paraId="1FAFC1A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w:t>
            </w:r>
          </w:p>
        </w:tc>
        <w:tc>
          <w:tcPr>
            <w:tcW w:w="0" w:type="auto"/>
            <w:vAlign w:val="center"/>
            <w:hideMark/>
          </w:tcPr>
          <w:p w14:paraId="34A5A94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6L8S</w:t>
            </w:r>
          </w:p>
        </w:tc>
        <w:tc>
          <w:tcPr>
            <w:tcW w:w="0" w:type="auto"/>
            <w:vAlign w:val="center"/>
            <w:hideMark/>
          </w:tcPr>
          <w:p w14:paraId="525D116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w:t>
            </w:r>
            <w:r w:rsidRPr="00FA6665">
              <w:rPr>
                <w:rFonts w:ascii="Times" w:eastAsia="Times New Roman" w:hAnsi="Times" w:cs="Times New Roman"/>
                <w:i/>
                <w:iCs/>
                <w:lang w:val="en-IN"/>
              </w:rPr>
              <w:t>Panulirus japonicus</w:t>
            </w:r>
            <w:r w:rsidRPr="00FA6665">
              <w:rPr>
                <w:rFonts w:ascii="Times" w:eastAsia="Times New Roman" w:hAnsi="Times" w:cs="Times New Roman"/>
                <w:lang w:val="en-IN"/>
              </w:rPr>
              <w:t>]</w:t>
            </w:r>
          </w:p>
        </w:tc>
        <w:tc>
          <w:tcPr>
            <w:tcW w:w="0" w:type="auto"/>
            <w:vAlign w:val="center"/>
            <w:hideMark/>
          </w:tcPr>
          <w:p w14:paraId="577097F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B</w:t>
            </w:r>
          </w:p>
        </w:tc>
        <w:tc>
          <w:tcPr>
            <w:tcW w:w="0" w:type="auto"/>
            <w:vAlign w:val="center"/>
            <w:hideMark/>
          </w:tcPr>
          <w:p w14:paraId="1583635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53.55</w:t>
            </w:r>
          </w:p>
        </w:tc>
      </w:tr>
      <w:tr w:rsidR="00A50007" w:rsidRPr="00FA6665" w14:paraId="5B771B56" w14:textId="77777777" w:rsidTr="00A50007">
        <w:trPr>
          <w:trHeight w:val="287"/>
          <w:tblCellSpacing w:w="15" w:type="dxa"/>
        </w:trPr>
        <w:tc>
          <w:tcPr>
            <w:tcW w:w="0" w:type="auto"/>
            <w:vAlign w:val="center"/>
            <w:hideMark/>
          </w:tcPr>
          <w:p w14:paraId="7F81EE5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2</w:t>
            </w:r>
          </w:p>
        </w:tc>
        <w:tc>
          <w:tcPr>
            <w:tcW w:w="0" w:type="auto"/>
            <w:vAlign w:val="center"/>
            <w:hideMark/>
          </w:tcPr>
          <w:p w14:paraId="36A0E48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1HC1</w:t>
            </w:r>
          </w:p>
        </w:tc>
        <w:tc>
          <w:tcPr>
            <w:tcW w:w="0" w:type="auto"/>
            <w:vAlign w:val="center"/>
            <w:hideMark/>
          </w:tcPr>
          <w:p w14:paraId="556D05E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Haemocyanin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w:t>
            </w:r>
          </w:p>
        </w:tc>
        <w:tc>
          <w:tcPr>
            <w:tcW w:w="0" w:type="auto"/>
            <w:vAlign w:val="center"/>
            <w:hideMark/>
          </w:tcPr>
          <w:p w14:paraId="52888BD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5B68B86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52.20</w:t>
            </w:r>
          </w:p>
        </w:tc>
      </w:tr>
      <w:tr w:rsidR="00A50007" w:rsidRPr="00FA6665" w14:paraId="495D9B7D" w14:textId="77777777" w:rsidTr="00A50007">
        <w:trPr>
          <w:trHeight w:val="287"/>
          <w:tblCellSpacing w:w="15" w:type="dxa"/>
        </w:trPr>
        <w:tc>
          <w:tcPr>
            <w:tcW w:w="0" w:type="auto"/>
            <w:vAlign w:val="center"/>
            <w:hideMark/>
          </w:tcPr>
          <w:p w14:paraId="03609CD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w:t>
            </w:r>
          </w:p>
        </w:tc>
        <w:tc>
          <w:tcPr>
            <w:tcW w:w="0" w:type="auto"/>
            <w:vAlign w:val="center"/>
            <w:hideMark/>
          </w:tcPr>
          <w:p w14:paraId="2C6EB65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1LL1</w:t>
            </w:r>
          </w:p>
        </w:tc>
        <w:tc>
          <w:tcPr>
            <w:tcW w:w="0" w:type="auto"/>
            <w:vAlign w:val="center"/>
            <w:hideMark/>
          </w:tcPr>
          <w:p w14:paraId="2E55B1D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Metcyanin II [</w:t>
            </w:r>
            <w:r w:rsidRPr="00FA6665">
              <w:rPr>
                <w:rFonts w:ascii="Times" w:eastAsia="Times New Roman" w:hAnsi="Times" w:cs="Times New Roman"/>
                <w:i/>
                <w:iCs/>
                <w:lang w:val="en-IN"/>
              </w:rPr>
              <w:t>Limulus polyphemus</w:t>
            </w:r>
            <w:r w:rsidRPr="00FA6665">
              <w:rPr>
                <w:rFonts w:ascii="Times" w:eastAsia="Times New Roman" w:hAnsi="Times" w:cs="Times New Roman"/>
                <w:lang w:val="en-IN"/>
              </w:rPr>
              <w:t>]</w:t>
            </w:r>
          </w:p>
        </w:tc>
        <w:tc>
          <w:tcPr>
            <w:tcW w:w="0" w:type="auto"/>
            <w:vAlign w:val="center"/>
            <w:hideMark/>
          </w:tcPr>
          <w:p w14:paraId="28958D6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0C5F918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32.08</w:t>
            </w:r>
          </w:p>
        </w:tc>
      </w:tr>
      <w:tr w:rsidR="00A50007" w:rsidRPr="00FA6665" w14:paraId="2645B4A4" w14:textId="77777777" w:rsidTr="00A50007">
        <w:trPr>
          <w:trHeight w:val="309"/>
          <w:tblCellSpacing w:w="15" w:type="dxa"/>
        </w:trPr>
        <w:tc>
          <w:tcPr>
            <w:tcW w:w="0" w:type="auto"/>
            <w:vAlign w:val="center"/>
            <w:hideMark/>
          </w:tcPr>
          <w:p w14:paraId="2722E8E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4</w:t>
            </w:r>
          </w:p>
        </w:tc>
        <w:tc>
          <w:tcPr>
            <w:tcW w:w="0" w:type="auto"/>
            <w:vAlign w:val="center"/>
            <w:hideMark/>
          </w:tcPr>
          <w:p w14:paraId="014D74E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1OXY</w:t>
            </w:r>
          </w:p>
        </w:tc>
        <w:tc>
          <w:tcPr>
            <w:tcW w:w="0" w:type="auto"/>
            <w:vAlign w:val="center"/>
            <w:hideMark/>
          </w:tcPr>
          <w:p w14:paraId="138AA859"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w:t>
            </w:r>
            <w:r w:rsidRPr="00FA6665">
              <w:rPr>
                <w:rFonts w:ascii="Times" w:eastAsia="Times New Roman" w:hAnsi="Times" w:cs="Times New Roman"/>
                <w:i/>
                <w:iCs/>
                <w:lang w:val="en-IN"/>
              </w:rPr>
              <w:t>Limulus polyphemus</w:t>
            </w:r>
            <w:r w:rsidRPr="00FA6665">
              <w:rPr>
                <w:rFonts w:ascii="Times" w:eastAsia="Times New Roman" w:hAnsi="Times" w:cs="Times New Roman"/>
                <w:lang w:val="en-IN"/>
              </w:rPr>
              <w:t>]</w:t>
            </w:r>
          </w:p>
        </w:tc>
        <w:tc>
          <w:tcPr>
            <w:tcW w:w="0" w:type="auto"/>
            <w:vAlign w:val="center"/>
            <w:hideMark/>
          </w:tcPr>
          <w:p w14:paraId="49691D6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609A9B5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32.08</w:t>
            </w:r>
          </w:p>
        </w:tc>
      </w:tr>
    </w:tbl>
    <w:p w14:paraId="5B2FCA39"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3.2 3D Structure Generation and Model Validation</w:t>
      </w:r>
    </w:p>
    <w:p w14:paraId="536DD3F5"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Among the generated candidate models, Model 1 (SOHP) and Model 2 (SSHP) exhibited the lowest DOPE scores (−72155.39 and −69653.12, respectively) and were selected for full structural evaluation.</w:t>
      </w:r>
    </w:p>
    <w:p w14:paraId="37694362"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SOHP (</w:t>
      </w:r>
      <w:r w:rsidRPr="00FA6665">
        <w:rPr>
          <w:rFonts w:ascii="Times" w:eastAsia="Times New Roman" w:hAnsi="Times" w:cs="Times New Roman"/>
          <w:b/>
          <w:bCs/>
          <w:i/>
          <w:iCs/>
          <w:lang w:val="en-IN"/>
        </w:rPr>
        <w:t>S. olivacea</w:t>
      </w:r>
      <w:r w:rsidRPr="00FA6665">
        <w:rPr>
          <w:rFonts w:ascii="Times" w:eastAsia="Times New Roman" w:hAnsi="Times" w:cs="Times New Roman"/>
          <w:b/>
          <w:bCs/>
          <w:lang w:val="en-IN"/>
        </w:rPr>
        <w:t>):</w:t>
      </w:r>
      <w:r w:rsidRPr="00FA6665">
        <w:rPr>
          <w:rFonts w:ascii="Times" w:eastAsia="Times New Roman" w:hAnsi="Times" w:cs="Times New Roman"/>
          <w:lang w:val="en-IN"/>
        </w:rPr>
        <w:t xml:space="preserve"> PROCHECK Ramachandran plot analysis revealed 87.8% (506 residues) in the most favored regions, 9.7% (56 residues) in additional allowed regions, 2.1% (12 residues) in generously allowed regions, and 0.3% (2 residues) in disallowed regions out of 650 non-glycine/non-proline residues.</w:t>
      </w:r>
    </w:p>
    <w:p w14:paraId="5C4AD739"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SSHP (</w:t>
      </w:r>
      <w:r w:rsidRPr="00FA6665">
        <w:rPr>
          <w:rFonts w:ascii="Times" w:eastAsia="Times New Roman" w:hAnsi="Times" w:cs="Times New Roman"/>
          <w:b/>
          <w:bCs/>
          <w:i/>
          <w:iCs/>
          <w:lang w:val="en-IN"/>
        </w:rPr>
        <w:t>S. serrata</w:t>
      </w:r>
      <w:r w:rsidRPr="00FA6665">
        <w:rPr>
          <w:rFonts w:ascii="Times" w:eastAsia="Times New Roman" w:hAnsi="Times" w:cs="Times New Roman"/>
          <w:b/>
          <w:bCs/>
          <w:lang w:val="en-IN"/>
        </w:rPr>
        <w:t>):</w:t>
      </w:r>
      <w:r w:rsidRPr="00FA6665">
        <w:rPr>
          <w:rFonts w:ascii="Times" w:eastAsia="Times New Roman" w:hAnsi="Times" w:cs="Times New Roman"/>
          <w:lang w:val="en-IN"/>
        </w:rPr>
        <w:t xml:space="preserve"> PROCHECK Ramachandran plot analysis revealed 86.9% (512 residues) in the most favored regions, 10.5% (62 residues) in additional allowed regions, 1.5% (9 residues) in generously allowed regions, and 1.0% (6 residues) in disallowed regions out of 661 non-glycine/non-proline residues.</w:t>
      </w:r>
    </w:p>
    <w:p w14:paraId="3E2F90A1"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Structural alignment of SOHP with template 1HC1 demonstrated an RMSD value of 0.271 Å. Alignment of SSHP with template 6L8S yielded an RMSD value of 0.593 Å, demonstrating high structural fidelity to experimental frameworks.</w:t>
      </w:r>
    </w:p>
    <w:p w14:paraId="41CC520C"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The low template-alignment RMSD values are consistent with close global similarity to the selected templates; however, model reliability should be interpreted jointly with stereochemical and environment-based quality metrics rather than from a single score (Sali et al., 1995; Wallner &amp; Elofsson, 2003; Benkert et al., 2008).</w:t>
      </w:r>
    </w:p>
    <w:p w14:paraId="56745CDE"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p>
    <w:p w14:paraId="491B8791"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3.3 Molecular Docking and Active Site Interactions</w:t>
      </w:r>
    </w:p>
    <w:p w14:paraId="402C9420"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Molecular docking via AutoDock Vina established strong binding affinities between modelled hemocyanin structures and target compound ligands. Binding energies for all complexes are presented in Table 3.</w:t>
      </w:r>
    </w:p>
    <w:p w14:paraId="093B7049"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AutoDock Vina is designed for efficient pose prediction and scoring, but docking scores are approximate and should be interpreted primarily as comparative computational estimates rather than direct experimental binding free energies (Trott &amp; Olson, 2010; Nguyen et al., 2020).</w:t>
      </w:r>
    </w:p>
    <w:p w14:paraId="484F6022"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Table 3.</w:t>
      </w:r>
      <w:r w:rsidRPr="00FA6665">
        <w:rPr>
          <w:rFonts w:ascii="Times" w:eastAsia="Times New Roman" w:hAnsi="Times" w:cs="Times New Roman"/>
          <w:lang w:val="en-IN"/>
        </w:rPr>
        <w:t xml:space="preserve"> Calculated docking binding energies of target ligands with modelled hemocyanin proteins.</w:t>
      </w:r>
    </w:p>
    <w:tbl>
      <w:tblPr>
        <w:tblW w:w="10221" w:type="dxa"/>
        <w:tblCellSpacing w:w="15" w:type="dxa"/>
        <w:tblCellMar>
          <w:top w:w="15" w:type="dxa"/>
          <w:left w:w="15" w:type="dxa"/>
          <w:bottom w:w="15" w:type="dxa"/>
          <w:right w:w="15" w:type="dxa"/>
        </w:tblCellMar>
        <w:tblLook w:val="04A0" w:firstRow="1" w:lastRow="0" w:firstColumn="1" w:lastColumn="0" w:noHBand="0" w:noVBand="1"/>
      </w:tblPr>
      <w:tblGrid>
        <w:gridCol w:w="684"/>
        <w:gridCol w:w="2186"/>
        <w:gridCol w:w="1370"/>
        <w:gridCol w:w="2533"/>
        <w:gridCol w:w="3448"/>
      </w:tblGrid>
      <w:tr w:rsidR="00A50007" w:rsidRPr="00FA6665" w14:paraId="6A70E50A" w14:textId="77777777" w:rsidTr="00A50007">
        <w:trPr>
          <w:trHeight w:val="290"/>
          <w:tblHeader/>
          <w:tblCellSpacing w:w="15" w:type="dxa"/>
        </w:trPr>
        <w:tc>
          <w:tcPr>
            <w:tcW w:w="0" w:type="auto"/>
            <w:vAlign w:val="center"/>
            <w:hideMark/>
          </w:tcPr>
          <w:p w14:paraId="2827DA5C" w14:textId="77777777" w:rsidR="00A50007" w:rsidRPr="00FA6665" w:rsidRDefault="00A50007" w:rsidP="00A50007">
            <w:pPr>
              <w:jc w:val="both"/>
              <w:rPr>
                <w:rFonts w:ascii="Times" w:eastAsia="Times New Roman" w:hAnsi="Times" w:cs="Times New Roman"/>
                <w:b/>
                <w:bCs/>
                <w:lang w:val="en-IN"/>
              </w:rPr>
            </w:pPr>
            <w:proofErr w:type="gramStart"/>
            <w:r w:rsidRPr="00FA6665">
              <w:rPr>
                <w:rFonts w:ascii="Times" w:eastAsia="Times New Roman" w:hAnsi="Times" w:cs="Times New Roman"/>
                <w:b/>
                <w:bCs/>
                <w:lang w:val="en-IN"/>
              </w:rPr>
              <w:t>S.No</w:t>
            </w:r>
            <w:proofErr w:type="gramEnd"/>
          </w:p>
        </w:tc>
        <w:tc>
          <w:tcPr>
            <w:tcW w:w="0" w:type="auto"/>
            <w:vAlign w:val="center"/>
            <w:hideMark/>
          </w:tcPr>
          <w:p w14:paraId="1BF0C561" w14:textId="77777777" w:rsidR="00A50007" w:rsidRPr="00FA6665" w:rsidRDefault="00A50007" w:rsidP="00A50007">
            <w:pPr>
              <w:jc w:val="both"/>
              <w:rPr>
                <w:rFonts w:ascii="Times" w:eastAsia="Times New Roman" w:hAnsi="Times" w:cs="Times New Roman"/>
                <w:b/>
                <w:bCs/>
                <w:lang w:val="en-IN"/>
              </w:rPr>
            </w:pPr>
            <w:proofErr w:type="spellStart"/>
            <w:r w:rsidRPr="00FA6665">
              <w:rPr>
                <w:rFonts w:ascii="Times" w:eastAsia="Times New Roman" w:hAnsi="Times" w:cs="Times New Roman"/>
                <w:b/>
                <w:bCs/>
                <w:lang w:val="en-IN"/>
              </w:rPr>
              <w:t>Modeled</w:t>
            </w:r>
            <w:proofErr w:type="spellEnd"/>
            <w:r w:rsidRPr="00FA6665">
              <w:rPr>
                <w:rFonts w:ascii="Times" w:eastAsia="Times New Roman" w:hAnsi="Times" w:cs="Times New Roman"/>
                <w:b/>
                <w:bCs/>
                <w:lang w:val="en-IN"/>
              </w:rPr>
              <w:t xml:space="preserve"> Protein</w:t>
            </w:r>
          </w:p>
        </w:tc>
        <w:tc>
          <w:tcPr>
            <w:tcW w:w="0" w:type="auto"/>
            <w:vAlign w:val="center"/>
            <w:hideMark/>
          </w:tcPr>
          <w:p w14:paraId="7ED0D86D"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Species</w:t>
            </w:r>
          </w:p>
        </w:tc>
        <w:tc>
          <w:tcPr>
            <w:tcW w:w="0" w:type="auto"/>
            <w:vAlign w:val="center"/>
            <w:hideMark/>
          </w:tcPr>
          <w:p w14:paraId="2D0BC4A9"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Ligand Component</w:t>
            </w:r>
          </w:p>
        </w:tc>
        <w:tc>
          <w:tcPr>
            <w:tcW w:w="0" w:type="auto"/>
            <w:vAlign w:val="center"/>
            <w:hideMark/>
          </w:tcPr>
          <w:p w14:paraId="378452FF"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Binding Energy (kcal/mol)</w:t>
            </w:r>
          </w:p>
        </w:tc>
      </w:tr>
      <w:tr w:rsidR="00A50007" w:rsidRPr="00FA6665" w14:paraId="462B53F0" w14:textId="77777777" w:rsidTr="00A50007">
        <w:trPr>
          <w:trHeight w:val="249"/>
          <w:tblCellSpacing w:w="15" w:type="dxa"/>
        </w:trPr>
        <w:tc>
          <w:tcPr>
            <w:tcW w:w="0" w:type="auto"/>
            <w:vAlign w:val="center"/>
            <w:hideMark/>
          </w:tcPr>
          <w:p w14:paraId="080F99C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w:t>
            </w:r>
          </w:p>
        </w:tc>
        <w:tc>
          <w:tcPr>
            <w:tcW w:w="0" w:type="auto"/>
            <w:vAlign w:val="center"/>
            <w:hideMark/>
          </w:tcPr>
          <w:p w14:paraId="598A7B3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30A6FC9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1134615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H2​O2​</w:t>
            </w:r>
          </w:p>
        </w:tc>
        <w:tc>
          <w:tcPr>
            <w:tcW w:w="0" w:type="auto"/>
            <w:vAlign w:val="center"/>
            <w:hideMark/>
          </w:tcPr>
          <w:p w14:paraId="2186A9C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−3.4</w:t>
            </w:r>
          </w:p>
        </w:tc>
      </w:tr>
      <w:tr w:rsidR="00A50007" w:rsidRPr="00FA6665" w14:paraId="570B0E90" w14:textId="77777777" w:rsidTr="00A50007">
        <w:trPr>
          <w:trHeight w:val="269"/>
          <w:tblCellSpacing w:w="15" w:type="dxa"/>
        </w:trPr>
        <w:tc>
          <w:tcPr>
            <w:tcW w:w="0" w:type="auto"/>
            <w:vAlign w:val="center"/>
            <w:hideMark/>
          </w:tcPr>
          <w:p w14:paraId="073FFD9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lastRenderedPageBreak/>
              <w:t>2</w:t>
            </w:r>
          </w:p>
        </w:tc>
        <w:tc>
          <w:tcPr>
            <w:tcW w:w="0" w:type="auto"/>
            <w:vAlign w:val="center"/>
            <w:hideMark/>
          </w:tcPr>
          <w:p w14:paraId="3CEFACA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51BF114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2A06BAB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H2​O2​</w:t>
            </w:r>
          </w:p>
        </w:tc>
        <w:tc>
          <w:tcPr>
            <w:tcW w:w="0" w:type="auto"/>
            <w:vAlign w:val="center"/>
            <w:hideMark/>
          </w:tcPr>
          <w:p w14:paraId="5F36DEB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−3.3</w:t>
            </w:r>
          </w:p>
        </w:tc>
      </w:tr>
      <w:tr w:rsidR="00A50007" w:rsidRPr="00FA6665" w14:paraId="628BC2D7" w14:textId="77777777" w:rsidTr="00A50007">
        <w:trPr>
          <w:trHeight w:val="269"/>
          <w:tblCellSpacing w:w="15" w:type="dxa"/>
        </w:trPr>
        <w:tc>
          <w:tcPr>
            <w:tcW w:w="0" w:type="auto"/>
            <w:vAlign w:val="center"/>
            <w:hideMark/>
          </w:tcPr>
          <w:p w14:paraId="5E3A7C5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w:t>
            </w:r>
          </w:p>
        </w:tc>
        <w:tc>
          <w:tcPr>
            <w:tcW w:w="0" w:type="auto"/>
            <w:vAlign w:val="center"/>
            <w:hideMark/>
          </w:tcPr>
          <w:p w14:paraId="04C1AB4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14D515D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4DB4B34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SDS</w:t>
            </w:r>
          </w:p>
        </w:tc>
        <w:tc>
          <w:tcPr>
            <w:tcW w:w="0" w:type="auto"/>
            <w:vAlign w:val="center"/>
            <w:hideMark/>
          </w:tcPr>
          <w:p w14:paraId="284E652A"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−5.9</w:t>
            </w:r>
          </w:p>
        </w:tc>
      </w:tr>
      <w:tr w:rsidR="00A50007" w:rsidRPr="00FA6665" w14:paraId="6EDDC2E1" w14:textId="77777777" w:rsidTr="00A50007">
        <w:trPr>
          <w:trHeight w:val="269"/>
          <w:tblCellSpacing w:w="15" w:type="dxa"/>
        </w:trPr>
        <w:tc>
          <w:tcPr>
            <w:tcW w:w="0" w:type="auto"/>
            <w:vAlign w:val="center"/>
            <w:hideMark/>
          </w:tcPr>
          <w:p w14:paraId="26BE8FF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4</w:t>
            </w:r>
          </w:p>
        </w:tc>
        <w:tc>
          <w:tcPr>
            <w:tcW w:w="0" w:type="auto"/>
            <w:vAlign w:val="center"/>
            <w:hideMark/>
          </w:tcPr>
          <w:p w14:paraId="77A6CD99"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552A6DFA"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57C9F25A"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SDS</w:t>
            </w:r>
          </w:p>
        </w:tc>
        <w:tc>
          <w:tcPr>
            <w:tcW w:w="0" w:type="auto"/>
            <w:vAlign w:val="center"/>
            <w:hideMark/>
          </w:tcPr>
          <w:p w14:paraId="79633B1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−7.2</w:t>
            </w:r>
          </w:p>
        </w:tc>
      </w:tr>
      <w:tr w:rsidR="00A50007" w:rsidRPr="00FA6665" w14:paraId="0D0D8A89" w14:textId="77777777" w:rsidTr="00A50007">
        <w:trPr>
          <w:trHeight w:val="269"/>
          <w:tblCellSpacing w:w="15" w:type="dxa"/>
        </w:trPr>
        <w:tc>
          <w:tcPr>
            <w:tcW w:w="0" w:type="auto"/>
            <w:vAlign w:val="center"/>
            <w:hideMark/>
          </w:tcPr>
          <w:p w14:paraId="4C8A2B7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5</w:t>
            </w:r>
          </w:p>
        </w:tc>
        <w:tc>
          <w:tcPr>
            <w:tcW w:w="0" w:type="auto"/>
            <w:vAlign w:val="center"/>
            <w:hideMark/>
          </w:tcPr>
          <w:p w14:paraId="6BB3876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615EFD5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142AF5C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NAM</w:t>
            </w:r>
          </w:p>
        </w:tc>
        <w:tc>
          <w:tcPr>
            <w:tcW w:w="0" w:type="auto"/>
            <w:vAlign w:val="center"/>
            <w:hideMark/>
          </w:tcPr>
          <w:p w14:paraId="4F2301E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−6.7</w:t>
            </w:r>
          </w:p>
        </w:tc>
      </w:tr>
      <w:tr w:rsidR="00A50007" w:rsidRPr="00FA6665" w14:paraId="626065E7" w14:textId="77777777" w:rsidTr="00A50007">
        <w:trPr>
          <w:trHeight w:val="269"/>
          <w:tblCellSpacing w:w="15" w:type="dxa"/>
        </w:trPr>
        <w:tc>
          <w:tcPr>
            <w:tcW w:w="0" w:type="auto"/>
            <w:vAlign w:val="center"/>
            <w:hideMark/>
          </w:tcPr>
          <w:p w14:paraId="5B886E6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w:t>
            </w:r>
          </w:p>
        </w:tc>
        <w:tc>
          <w:tcPr>
            <w:tcW w:w="0" w:type="auto"/>
            <w:vAlign w:val="center"/>
            <w:hideMark/>
          </w:tcPr>
          <w:p w14:paraId="1C004DF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52BAFF4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6AE1044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NAM</w:t>
            </w:r>
          </w:p>
        </w:tc>
        <w:tc>
          <w:tcPr>
            <w:tcW w:w="0" w:type="auto"/>
            <w:vAlign w:val="center"/>
            <w:hideMark/>
          </w:tcPr>
          <w:p w14:paraId="556D6FA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−6.5</w:t>
            </w:r>
          </w:p>
        </w:tc>
      </w:tr>
      <w:tr w:rsidR="00A50007" w:rsidRPr="00FA6665" w14:paraId="5549081C" w14:textId="77777777" w:rsidTr="00A50007">
        <w:trPr>
          <w:trHeight w:val="269"/>
          <w:tblCellSpacing w:w="15" w:type="dxa"/>
        </w:trPr>
        <w:tc>
          <w:tcPr>
            <w:tcW w:w="0" w:type="auto"/>
            <w:vAlign w:val="center"/>
            <w:hideMark/>
          </w:tcPr>
          <w:p w14:paraId="273236C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w:t>
            </w:r>
          </w:p>
        </w:tc>
        <w:tc>
          <w:tcPr>
            <w:tcW w:w="0" w:type="auto"/>
            <w:vAlign w:val="center"/>
            <w:hideMark/>
          </w:tcPr>
          <w:p w14:paraId="4C6BF3F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647B20B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62A42D4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NAG</w:t>
            </w:r>
          </w:p>
        </w:tc>
        <w:tc>
          <w:tcPr>
            <w:tcW w:w="0" w:type="auto"/>
            <w:vAlign w:val="center"/>
            <w:hideMark/>
          </w:tcPr>
          <w:p w14:paraId="4F6AF51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−7.5</w:t>
            </w:r>
          </w:p>
        </w:tc>
      </w:tr>
      <w:tr w:rsidR="00A50007" w:rsidRPr="00FA6665" w14:paraId="3C3E73EC" w14:textId="77777777" w:rsidTr="00A50007">
        <w:trPr>
          <w:trHeight w:val="249"/>
          <w:tblCellSpacing w:w="15" w:type="dxa"/>
        </w:trPr>
        <w:tc>
          <w:tcPr>
            <w:tcW w:w="0" w:type="auto"/>
            <w:vAlign w:val="center"/>
            <w:hideMark/>
          </w:tcPr>
          <w:p w14:paraId="6DC9001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8</w:t>
            </w:r>
          </w:p>
        </w:tc>
        <w:tc>
          <w:tcPr>
            <w:tcW w:w="0" w:type="auto"/>
            <w:vAlign w:val="center"/>
            <w:hideMark/>
          </w:tcPr>
          <w:p w14:paraId="5314B3F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5C47F2B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4F36A82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NAG</w:t>
            </w:r>
          </w:p>
        </w:tc>
        <w:tc>
          <w:tcPr>
            <w:tcW w:w="0" w:type="auto"/>
            <w:vAlign w:val="center"/>
            <w:hideMark/>
          </w:tcPr>
          <w:p w14:paraId="7EDE967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−8.1</w:t>
            </w:r>
          </w:p>
        </w:tc>
      </w:tr>
      <w:tr w:rsidR="00A50007" w:rsidRPr="00FA6665" w14:paraId="1FAC5158" w14:textId="77777777" w:rsidTr="00A50007">
        <w:trPr>
          <w:trHeight w:val="269"/>
          <w:tblCellSpacing w:w="15" w:type="dxa"/>
        </w:trPr>
        <w:tc>
          <w:tcPr>
            <w:tcW w:w="0" w:type="auto"/>
            <w:vAlign w:val="center"/>
            <w:hideMark/>
          </w:tcPr>
          <w:p w14:paraId="42F1FCC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9</w:t>
            </w:r>
          </w:p>
        </w:tc>
        <w:tc>
          <w:tcPr>
            <w:tcW w:w="0" w:type="auto"/>
            <w:vAlign w:val="center"/>
            <w:hideMark/>
          </w:tcPr>
          <w:p w14:paraId="587B222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06DB07E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1BCB879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β-Glucan</w:t>
            </w:r>
          </w:p>
        </w:tc>
        <w:tc>
          <w:tcPr>
            <w:tcW w:w="0" w:type="auto"/>
            <w:vAlign w:val="center"/>
            <w:hideMark/>
          </w:tcPr>
          <w:p w14:paraId="6A1E18DA"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−7.2</w:t>
            </w:r>
          </w:p>
        </w:tc>
      </w:tr>
      <w:tr w:rsidR="00A50007" w:rsidRPr="00FA6665" w14:paraId="61E0B7FB" w14:textId="77777777" w:rsidTr="00A50007">
        <w:trPr>
          <w:trHeight w:val="290"/>
          <w:tblCellSpacing w:w="15" w:type="dxa"/>
        </w:trPr>
        <w:tc>
          <w:tcPr>
            <w:tcW w:w="0" w:type="auto"/>
            <w:vAlign w:val="center"/>
            <w:hideMark/>
          </w:tcPr>
          <w:p w14:paraId="30B950E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10</w:t>
            </w:r>
          </w:p>
        </w:tc>
        <w:tc>
          <w:tcPr>
            <w:tcW w:w="0" w:type="auto"/>
            <w:vAlign w:val="center"/>
            <w:hideMark/>
          </w:tcPr>
          <w:p w14:paraId="5061364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3C6D5BBA"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4A64BF0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β-Glucan</w:t>
            </w:r>
          </w:p>
        </w:tc>
        <w:tc>
          <w:tcPr>
            <w:tcW w:w="0" w:type="auto"/>
            <w:vAlign w:val="center"/>
            <w:hideMark/>
          </w:tcPr>
          <w:p w14:paraId="1601E5F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−7.8</w:t>
            </w:r>
          </w:p>
        </w:tc>
      </w:tr>
    </w:tbl>
    <w:p w14:paraId="04FF044F" w14:textId="77777777" w:rsidR="00A50007" w:rsidRPr="00FA6665" w:rsidRDefault="00A50007" w:rsidP="00A50007">
      <w:pPr>
        <w:spacing w:before="100" w:beforeAutospacing="1" w:after="100" w:afterAutospacing="1"/>
        <w:jc w:val="both"/>
        <w:outlineLvl w:val="3"/>
        <w:rPr>
          <w:rFonts w:ascii="Times" w:eastAsia="Times New Roman" w:hAnsi="Times" w:cs="Times New Roman"/>
          <w:b/>
          <w:bCs/>
          <w:lang w:val="en-IN"/>
        </w:rPr>
      </w:pPr>
      <w:r w:rsidRPr="00FA6665">
        <w:rPr>
          <w:rFonts w:ascii="Times" w:eastAsia="Times New Roman" w:hAnsi="Times" w:cs="Times New Roman"/>
          <w:b/>
          <w:bCs/>
          <w:lang w:val="en-IN"/>
        </w:rPr>
        <w:t>3.3.1 Interactions with H2​O2​ and SDS</w:t>
      </w:r>
    </w:p>
    <w:p w14:paraId="4655024C"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H2​O2​ Interactions:</w:t>
      </w:r>
      <w:r w:rsidRPr="00FA6665">
        <w:rPr>
          <w:rFonts w:ascii="Times" w:eastAsia="Times New Roman" w:hAnsi="Times" w:cs="Times New Roman"/>
          <w:lang w:val="en-IN"/>
        </w:rPr>
        <w:t xml:space="preserve"> Hydrogen peroxide bound to SOHP with a binding energy of −3.4 kcal/mol, establishing key interactions at Thr381. In SSHP, H2​O2​ bound with −3.3 kcal/mol, forming hydrogen contacts at Asn190.</w:t>
      </w:r>
    </w:p>
    <w:p w14:paraId="4645EEE8"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SDS Interactions:</w:t>
      </w:r>
      <w:r w:rsidRPr="00FA6665">
        <w:rPr>
          <w:rFonts w:ascii="Times" w:eastAsia="Times New Roman" w:hAnsi="Times" w:cs="Times New Roman"/>
          <w:lang w:val="en-IN"/>
        </w:rPr>
        <w:t xml:space="preserve"> SDS exhibited binding energies of −5.9 kcal/mol (SOHP) and −7.2 kcal/mol (SSHP). SOHP interacted via Tyr619 and His625 active residues. SSHP formed hydrogen and hydrophobic networks with Thr195, Arg533, Val561, and Phe558.</w:t>
      </w:r>
    </w:p>
    <w:p w14:paraId="03EB1732"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Experimental studies in crustaceans have shown that SDS can activate latent hemocyanin-associated phenoloxidase activity, and crab hemocyanins can acquire phenoloxidase-like functions under appropriate activating conditions (García-Carreño et al., 2008; Fan et al., 2009; Masuda et al., 2020). Accordingly, the present H2O2 and SDS docking results are best regarded as hypotheses about possible contact sites that require biochemical validation.</w:t>
      </w:r>
    </w:p>
    <w:p w14:paraId="6CE595A1" w14:textId="77777777" w:rsidR="00A50007" w:rsidRPr="00FA6665" w:rsidRDefault="00A50007" w:rsidP="00A50007">
      <w:pPr>
        <w:spacing w:before="100" w:beforeAutospacing="1" w:after="100" w:afterAutospacing="1"/>
        <w:jc w:val="both"/>
        <w:outlineLvl w:val="3"/>
        <w:rPr>
          <w:rFonts w:ascii="Times" w:eastAsia="Times New Roman" w:hAnsi="Times" w:cs="Times New Roman"/>
          <w:b/>
          <w:bCs/>
          <w:lang w:val="en-IN"/>
        </w:rPr>
      </w:pPr>
      <w:r w:rsidRPr="00FA6665">
        <w:rPr>
          <w:rFonts w:ascii="Times" w:eastAsia="Times New Roman" w:hAnsi="Times" w:cs="Times New Roman"/>
          <w:b/>
          <w:bCs/>
          <w:lang w:val="en-IN"/>
        </w:rPr>
        <w:t>3.3.2 Interactions with Bacterial Cell Wall Components (NAG and NAM)</w:t>
      </w:r>
    </w:p>
    <w:p w14:paraId="3EAA31BB"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NAG:</w:t>
      </w:r>
      <w:r w:rsidRPr="00FA6665">
        <w:rPr>
          <w:rFonts w:ascii="Times" w:eastAsia="Times New Roman" w:hAnsi="Times" w:cs="Times New Roman"/>
          <w:lang w:val="en-IN"/>
        </w:rPr>
        <w:t xml:space="preserve"> Formed strong complexes with SOHP (−7.5 kcal/mol) and SSHP (−8.1 kcal/mol). SOHP bound NAG through residues Ser533, Thr535, Asp563, Gly569, Glu606, and Arg513. SSHP anchored NAG via Asp525, Thr527, Thr529, Thr562, and Gly563.</w:t>
      </w:r>
    </w:p>
    <w:p w14:paraId="2242B0AC"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r w:rsidRPr="00FA6665">
        <w:rPr>
          <w:rFonts w:ascii="Bookman Old Style" w:eastAsia="Bookman Old Style" w:hAnsi="Bookman Old Style" w:cs="Bookman Old Style"/>
          <w:noProof/>
        </w:rPr>
        <w:lastRenderedPageBreak/>
        <w:drawing>
          <wp:anchor distT="0" distB="0" distL="114300" distR="114300" simplePos="0" relativeHeight="251659264" behindDoc="0" locked="0" layoutInCell="1" allowOverlap="1" wp14:anchorId="7B3BCA04" wp14:editId="3FC1FA9B">
            <wp:simplePos x="0" y="0"/>
            <wp:positionH relativeFrom="column">
              <wp:posOffset>0</wp:posOffset>
            </wp:positionH>
            <wp:positionV relativeFrom="paragraph">
              <wp:posOffset>824230</wp:posOffset>
            </wp:positionV>
            <wp:extent cx="5445760" cy="2930525"/>
            <wp:effectExtent l="12700" t="12700" r="15240" b="15875"/>
            <wp:wrapSquare wrapText="bothSides" distT="0" distB="0" distL="114300" distR="114300"/>
            <wp:docPr id="7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
                    <a:srcRect/>
                    <a:stretch>
                      <a:fillRect/>
                    </a:stretch>
                  </pic:blipFill>
                  <pic:spPr>
                    <a:xfrm>
                      <a:off x="0" y="0"/>
                      <a:ext cx="5445760" cy="2930525"/>
                    </a:xfrm>
                    <a:prstGeom prst="rect">
                      <a:avLst/>
                    </a:prstGeom>
                    <a:ln w="6350">
                      <a:solidFill>
                        <a:srgbClr val="000000"/>
                      </a:solidFill>
                      <a:prstDash val="solid"/>
                    </a:ln>
                  </pic:spPr>
                </pic:pic>
              </a:graphicData>
            </a:graphic>
            <wp14:sizeRelH relativeFrom="margin">
              <wp14:pctWidth>0</wp14:pctWidth>
            </wp14:sizeRelH>
            <wp14:sizeRelV relativeFrom="margin">
              <wp14:pctHeight>0</wp14:pctHeight>
            </wp14:sizeRelV>
          </wp:anchor>
        </w:drawing>
      </w:r>
      <w:r w:rsidR="00A50007" w:rsidRPr="00FA6665">
        <w:rPr>
          <w:rFonts w:ascii="Times" w:eastAsia="Times New Roman" w:hAnsi="Times" w:cs="Times New Roman"/>
          <w:b/>
          <w:bCs/>
          <w:lang w:val="en-IN"/>
        </w:rPr>
        <w:t>NAM:</w:t>
      </w:r>
      <w:r w:rsidR="00A50007" w:rsidRPr="00FA6665">
        <w:rPr>
          <w:rFonts w:ascii="Times" w:eastAsia="Times New Roman" w:hAnsi="Times" w:cs="Times New Roman"/>
          <w:lang w:val="en-IN"/>
        </w:rPr>
        <w:t xml:space="preserve"> Displayed binding energies of −6.7 kcal/mol (SOHP) and −6.5 kcal/mol (SSHP). SOHP formed hydrogen contacts with His76, Phe78, Thr147, and His376. SSHP interacted primarily through Arg521, Asp525, Thr527, Ser526, Thr562, and Ser601</w:t>
      </w:r>
    </w:p>
    <w:p w14:paraId="09A6540A" w14:textId="4AE11FFD" w:rsidR="008343B7" w:rsidRPr="00FA6665" w:rsidRDefault="008343B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Fig 1: </w:t>
      </w:r>
      <w:r w:rsidR="00FA6665" w:rsidRPr="00FA6665">
        <w:rPr>
          <w:rFonts w:ascii="Times" w:eastAsia="Times New Roman" w:hAnsi="Times" w:cs="Times New Roman"/>
        </w:rPr>
        <w:t xml:space="preserve">Molecular interaction of hydrogen peroxide (H₂O₂) with the modelled </w:t>
      </w:r>
      <w:r w:rsidR="00FA6665" w:rsidRPr="00FA6665">
        <w:rPr>
          <w:rFonts w:ascii="Times" w:eastAsia="Times New Roman" w:hAnsi="Times" w:cs="Times New Roman"/>
          <w:i/>
          <w:iCs/>
        </w:rPr>
        <w:t>Scylla olivacea</w:t>
      </w:r>
      <w:r w:rsidR="00FA6665" w:rsidRPr="00FA6665">
        <w:rPr>
          <w:rFonts w:ascii="Times" w:eastAsia="Times New Roman" w:hAnsi="Times" w:cs="Times New Roman"/>
        </w:rPr>
        <w:t xml:space="preserve"> hemocyanin protein (SOHP), showing interacting active-site residues.</w:t>
      </w:r>
    </w:p>
    <w:p w14:paraId="738072E0"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The predicted NAG/NAM contacts are compatible with the broader carbohydrate-recognition role of crustacean humoral immunity; in </w:t>
      </w:r>
      <w:r w:rsidRPr="00FA6665">
        <w:rPr>
          <w:rFonts w:ascii="Times" w:hAnsi="Times"/>
          <w:i/>
        </w:rPr>
        <w:t>S. serrata</w:t>
      </w:r>
      <w:r w:rsidRPr="00FA6665">
        <w:rPr>
          <w:rFonts w:ascii="Times" w:hAnsi="Times"/>
        </w:rPr>
        <w:t>, hemocyanin has experimentally demonstrated bacterial agglutination and antibacterial functions, while crustacean pattern-recognition receptors commonly recognize microbial surface glycans (Yan et al., 2011; Velayutham &amp; Munusamy, 2016; Patnaik et al., 2024). Direct binding of isolated SOHP or SSHP to NAG or NAM nevertheless remains to be established experimentally.</w:t>
      </w:r>
    </w:p>
    <w:p w14:paraId="21C3E4A7"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73279615" w14:textId="77777777" w:rsidR="00A50007" w:rsidRPr="00FA6665" w:rsidRDefault="00A50007" w:rsidP="00A50007">
      <w:pPr>
        <w:spacing w:before="100" w:beforeAutospacing="1" w:after="100" w:afterAutospacing="1"/>
        <w:jc w:val="both"/>
        <w:outlineLvl w:val="3"/>
        <w:rPr>
          <w:rFonts w:ascii="Times" w:eastAsia="Times New Roman" w:hAnsi="Times" w:cs="Times New Roman"/>
          <w:b/>
          <w:bCs/>
          <w:lang w:val="en-IN"/>
        </w:rPr>
      </w:pPr>
      <w:r w:rsidRPr="00FA6665">
        <w:rPr>
          <w:rFonts w:ascii="Times" w:eastAsia="Times New Roman" w:hAnsi="Times" w:cs="Times New Roman"/>
          <w:b/>
          <w:bCs/>
          <w:lang w:val="en-IN"/>
        </w:rPr>
        <w:t>3.3.3 Interactions with Fungal Cell Wall Component (β-Glucan)</w:t>
      </w:r>
    </w:p>
    <w:p w14:paraId="50B5A567"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Docking with β-glucan yielded binding energies of −7.2 kcal/mol for SOHP and −7.8 kcal/mol for SSHP. SOHP engaged β-glucan using active site residues Arg513, Arg527, Glu531, Ser533, Asp563, Ser566, Glu606, and His605. SSHP stabilized β-glucan through Tyr23, His69, Phe71, Asn110, Thr140, and His370.</w:t>
      </w:r>
    </w:p>
    <w:p w14:paraId="63975155"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Recognition of β-1,3-glucan is a well-established component of crustacean innate immunity, and hemocyanin-derived peptides have also been linked to antifungal defense in penaeid shrimp (Destoumieux-Garzón et al., 2001; Petit et al., 2016; Chai et al., 2018). Thus, the β-glucan docking poses provide a mechanistic hypothesis rather than proof of direct fungal recognition by the modeled </w:t>
      </w:r>
      <w:r w:rsidRPr="00FA6665">
        <w:rPr>
          <w:rFonts w:ascii="Times" w:hAnsi="Times"/>
          <w:i/>
        </w:rPr>
        <w:t>Scylla</w:t>
      </w:r>
      <w:r w:rsidRPr="00FA6665">
        <w:rPr>
          <w:rFonts w:ascii="Times" w:hAnsi="Times"/>
        </w:rPr>
        <w:t xml:space="preserve"> hemocyanins.</w:t>
      </w:r>
    </w:p>
    <w:p w14:paraId="3F181FD1"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1B896B05"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01DB6D58"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r w:rsidRPr="00FA6665">
        <w:rPr>
          <w:rFonts w:ascii="Bookman Old Style" w:eastAsia="Bookman Old Style" w:hAnsi="Bookman Old Style" w:cs="Bookman Old Style"/>
          <w:b/>
          <w:noProof/>
        </w:rPr>
        <w:lastRenderedPageBreak/>
        <w:drawing>
          <wp:anchor distT="0" distB="0" distL="114300" distR="114300" simplePos="0" relativeHeight="251661312" behindDoc="1" locked="0" layoutInCell="1" allowOverlap="1" wp14:anchorId="65D3C62F" wp14:editId="0866F263">
            <wp:simplePos x="0" y="0"/>
            <wp:positionH relativeFrom="column">
              <wp:posOffset>-635</wp:posOffset>
            </wp:positionH>
            <wp:positionV relativeFrom="paragraph">
              <wp:posOffset>368935</wp:posOffset>
            </wp:positionV>
            <wp:extent cx="5598160" cy="5394960"/>
            <wp:effectExtent l="12700" t="12700" r="15240" b="15240"/>
            <wp:wrapTight wrapText="bothSides">
              <wp:wrapPolygon edited="0">
                <wp:start x="-49" y="-51"/>
                <wp:lineTo x="-49" y="21610"/>
                <wp:lineTo x="21610" y="21610"/>
                <wp:lineTo x="21610" y="-51"/>
                <wp:lineTo x="-49" y="-51"/>
              </wp:wrapPolygon>
            </wp:wrapTight>
            <wp:docPr id="86"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
                    <a:srcRect/>
                    <a:stretch>
                      <a:fillRect/>
                    </a:stretch>
                  </pic:blipFill>
                  <pic:spPr bwMode="auto">
                    <a:xfrm>
                      <a:off x="0" y="0"/>
                      <a:ext cx="5598160" cy="5394960"/>
                    </a:xfrm>
                    <a:prstGeom prst="rect">
                      <a:avLst/>
                    </a:prstGeom>
                    <a:noFill/>
                    <a:ln w="9525">
                      <a:solidFill>
                        <a:schemeClr val="tx1"/>
                      </a:solidFill>
                      <a:miter lim="800000"/>
                      <a:headEnd/>
                      <a:tailEnd/>
                    </a:ln>
                    <a:effectLst/>
                  </pic:spPr>
                </pic:pic>
              </a:graphicData>
            </a:graphic>
            <wp14:sizeRelH relativeFrom="margin">
              <wp14:pctWidth>0</wp14:pctWidth>
            </wp14:sizeRelH>
          </wp:anchor>
        </w:drawing>
      </w:r>
    </w:p>
    <w:p w14:paraId="59FE8A3B" w14:textId="06BDF652" w:rsidR="00EE3939" w:rsidRPr="00FA6665" w:rsidRDefault="008343B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Fig 2: </w:t>
      </w:r>
      <w:r w:rsidR="00FA6665" w:rsidRPr="00FA6665">
        <w:rPr>
          <w:rFonts w:ascii="Times" w:eastAsia="Times New Roman" w:hAnsi="Times" w:cs="Times New Roman"/>
        </w:rPr>
        <w:t xml:space="preserve">Molecular interaction of β-glucan with the modelled </w:t>
      </w:r>
      <w:r w:rsidR="00FA6665" w:rsidRPr="00FA6665">
        <w:rPr>
          <w:rFonts w:ascii="Times" w:eastAsia="Times New Roman" w:hAnsi="Times" w:cs="Times New Roman"/>
          <w:i/>
          <w:iCs/>
        </w:rPr>
        <w:t>Scylla olivacea</w:t>
      </w:r>
      <w:r w:rsidR="00FA6665" w:rsidRPr="00FA6665">
        <w:rPr>
          <w:rFonts w:ascii="Times" w:eastAsia="Times New Roman" w:hAnsi="Times" w:cs="Times New Roman"/>
        </w:rPr>
        <w:t xml:space="preserve"> hemocyanin protein (SOHP), showing the key amino acid residues involved in ligand binding.</w:t>
      </w:r>
    </w:p>
    <w:p w14:paraId="1509DB4C"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362E9F44"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4. Discussion</w:t>
      </w:r>
    </w:p>
    <w:p w14:paraId="35A0D76F"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Decapod hemocyanins are complex oligomeric proteins responsible for respiratory functions and immune surveillance. Due to the lack of crystallized structures for mud crab hemocyanins, computational modelling provides valuable structural details.</w:t>
      </w:r>
    </w:p>
    <w:p w14:paraId="76758E18"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Studies on </w:t>
      </w:r>
      <w:r w:rsidRPr="00FA6665">
        <w:rPr>
          <w:rFonts w:ascii="Times" w:hAnsi="Times"/>
          <w:i/>
        </w:rPr>
        <w:t>S. serrata</w:t>
      </w:r>
      <w:r w:rsidRPr="00FA6665">
        <w:rPr>
          <w:rFonts w:ascii="Times" w:hAnsi="Times"/>
        </w:rPr>
        <w:t xml:space="preserve"> support this multifunctionality: hemocyanin can mediate bacterial agglutination, bacteriolytic or bacteriostatic activity, and phenoloxidase-like activity, linking the respiratory protein with humoral defense (Yan et al., 2011; Velayutham &amp; Munusamy, 2016).</w:t>
      </w:r>
    </w:p>
    <w:p w14:paraId="16D92795"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lastRenderedPageBreak/>
        <w:t xml:space="preserve">In this investigation, homology models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(SOHP) and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(SSHP) hemocyanins were constructed using templates 1HC1 and 6L8S, both of which share over 50% sequence identity with the target sequences. Validation metrics confirmed the structural reliability of both models. Ramachandran plot analysis placed &gt;86% of non-glycine and non-proline residues within the most favored regions, meeting established criteria for reliable molecular models. Low RMSD values (&lt;0.6 Å) upon structural superimposition further confirmed structural conservation within the decapod hemocyanin family.</w:t>
      </w:r>
    </w:p>
    <w:p w14:paraId="23D03228"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The use of experimentally resolved </w:t>
      </w:r>
      <w:r w:rsidRPr="00FA6665">
        <w:rPr>
          <w:rFonts w:ascii="Times" w:hAnsi="Times"/>
          <w:i/>
        </w:rPr>
        <w:t>Panulirus</w:t>
      </w:r>
      <w:r w:rsidRPr="00FA6665">
        <w:rPr>
          <w:rFonts w:ascii="Times" w:hAnsi="Times"/>
        </w:rPr>
        <w:t xml:space="preserve"> hemocyanins as templates is supported by their conserved type-3 copper-protein fold; nevertheless, even models with favorable global geometry can contain locally uncertain regions, making multi-metric validation particularly important when putative ligand-binding residues are interpreted (Volbeda &amp; Hol, 1989; Masuda et al., 2020; Wallner &amp; Elofsson, 2003).</w:t>
      </w:r>
    </w:p>
    <w:p w14:paraId="0520F6C3"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Molecular docking experiments provided insights into the multi-functional defense capabilities of mud crab hemocyanins. The interaction of SOHP and SSHP with H2​O2​ highlights potential antioxidant mechanisms involved in regulating reactive oxygen species during oxidative stress responses. Robust binding interactions observed with SDS support the susceptibility of these structures to conformational changes induced by amphiphilic detergents, which may simulate lipid membrane dynamics.</w:t>
      </w:r>
    </w:p>
    <w:p w14:paraId="5CA73C3A"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Because Vina scores are empirical approximations, differences of a few kcal/mol should not be equated directly with measured affinity or biological efficacy without additional conformational sampling and experimental binding assays (Trott &amp; Olson, 2010; Nguyen et al., 2020).</w:t>
      </w:r>
    </w:p>
    <w:p w14:paraId="16BE6F6A"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Hemocyanins have been reported to function as pattern recognition proteins (PRPs) that recognize microbial surface components. High binding affinities observed for bacterial cell wall units (NAG and NAM) and fungal wall polymers (β-glucan) demonstrate that mud crab hemocyanins possess functional binding pockets tailored for pathogen recognition. SSHP demonstrated higher binding energy toward NAG (−8.1 kcal/mol) and β-glucan (−7.8 kcal/mol) than SOHP, pointing to potential species-specific differences in pathogen binding efficacy. Active site residues such as His69, His370, Arg513, and Asp525 were consistently involved in stabilizing these carbohydrate complexes.</w:t>
      </w:r>
    </w:p>
    <w:p w14:paraId="22C4F007"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The carbohydrate-related docking results are biologically plausible in the context of crustacean pattern recognition and hemocyanin-associated antimicrobial functions, but the present in silico analysis does not by itself establish that SOHP or SSHP act as dedicated pattern-recognition proteins for NAG, NAM, or β-glucan (Yan et al., 2011; Patnaik et al., 2024; Chai et al., 2018). Hemocyanin-derived antifungal peptides in shrimp further illustrate that immune activity may arise from hemocyanin processing rather than from the intact respiratory protein alone (Destoumieux-Garzón et al., 2001; Petit et al., 2016).</w:t>
      </w:r>
    </w:p>
    <w:p w14:paraId="7839110F"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5. Conclusion</w:t>
      </w:r>
    </w:p>
    <w:p w14:paraId="7950F1F3" w14:textId="77777777" w:rsidR="00F50546" w:rsidRDefault="00F50546" w:rsidP="00F50546">
      <w:pPr>
        <w:spacing w:before="100" w:beforeAutospacing="1" w:after="100" w:afterAutospacing="1"/>
        <w:rPr>
          <w:rFonts w:ascii="Times New Roman" w:eastAsia="Times New Roman" w:hAnsi="Times New Roman" w:cs="Times New Roman"/>
          <w:lang w:eastAsia="en-GB"/>
        </w:rPr>
      </w:pPr>
      <w:r w:rsidRPr="00A673F2">
        <w:rPr>
          <w:rFonts w:ascii="Times New Roman" w:eastAsia="Times New Roman" w:hAnsi="Times New Roman" w:cs="Times New Roman"/>
          <w:lang w:eastAsia="en-GB"/>
        </w:rPr>
        <w:t xml:space="preserve">Homology modelling generated theoretical three-dimensional structures of </w:t>
      </w:r>
      <w:proofErr w:type="spellStart"/>
      <w:r w:rsidRPr="00A673F2">
        <w:rPr>
          <w:rFonts w:ascii="Times New Roman" w:eastAsia="Times New Roman" w:hAnsi="Times New Roman" w:cs="Times New Roman"/>
          <w:lang w:eastAsia="en-GB"/>
        </w:rPr>
        <w:t>hemocyanins</w:t>
      </w:r>
      <w:proofErr w:type="spellEnd"/>
      <w:r w:rsidRPr="00A673F2">
        <w:rPr>
          <w:rFonts w:ascii="Times New Roman" w:eastAsia="Times New Roman" w:hAnsi="Times New Roman" w:cs="Times New Roman"/>
          <w:lang w:eastAsia="en-GB"/>
        </w:rPr>
        <w:t xml:space="preserve"> from </w:t>
      </w:r>
      <w:r w:rsidRPr="00A673F2">
        <w:rPr>
          <w:rFonts w:ascii="Times New Roman" w:eastAsia="Times New Roman" w:hAnsi="Times New Roman" w:cs="Times New Roman"/>
          <w:i/>
          <w:iCs/>
          <w:lang w:eastAsia="en-GB"/>
        </w:rPr>
        <w:t>Scylla olivacea</w:t>
      </w:r>
      <w:r w:rsidRPr="00A673F2">
        <w:rPr>
          <w:rFonts w:ascii="Times New Roman" w:eastAsia="Times New Roman" w:hAnsi="Times New Roman" w:cs="Times New Roman"/>
          <w:lang w:eastAsia="en-GB"/>
        </w:rPr>
        <w:t xml:space="preserve"> and </w:t>
      </w:r>
      <w:r w:rsidRPr="00A673F2">
        <w:rPr>
          <w:rFonts w:ascii="Times New Roman" w:eastAsia="Times New Roman" w:hAnsi="Times New Roman" w:cs="Times New Roman"/>
          <w:i/>
          <w:iCs/>
          <w:lang w:eastAsia="en-GB"/>
        </w:rPr>
        <w:t>Scylla serrata</w:t>
      </w:r>
      <w:r w:rsidRPr="00A673F2">
        <w:rPr>
          <w:rFonts w:ascii="Times New Roman" w:eastAsia="Times New Roman" w:hAnsi="Times New Roman" w:cs="Times New Roman"/>
          <w:lang w:eastAsia="en-GB"/>
        </w:rPr>
        <w:t xml:space="preserve"> with close structural similarity to the selected crystallographic templates. Molecular docking predicted interactions of both models with hydrogen peroxide, sodium dodecyl </w:t>
      </w:r>
      <w:proofErr w:type="spellStart"/>
      <w:r w:rsidRPr="00A673F2">
        <w:rPr>
          <w:rFonts w:ascii="Times New Roman" w:eastAsia="Times New Roman" w:hAnsi="Times New Roman" w:cs="Times New Roman"/>
          <w:lang w:eastAsia="en-GB"/>
        </w:rPr>
        <w:t>sulfate</w:t>
      </w:r>
      <w:proofErr w:type="spellEnd"/>
      <w:r w:rsidRPr="00A673F2">
        <w:rPr>
          <w:rFonts w:ascii="Times New Roman" w:eastAsia="Times New Roman" w:hAnsi="Times New Roman" w:cs="Times New Roman"/>
          <w:lang w:eastAsia="en-GB"/>
        </w:rPr>
        <w:t xml:space="preserve">, N-acetylglucosamine, N-acetylmuramic acid and β-glucan. Among the investigated ligands, the </w:t>
      </w:r>
      <w:r w:rsidRPr="00A673F2">
        <w:rPr>
          <w:rFonts w:ascii="Times New Roman" w:eastAsia="Times New Roman" w:hAnsi="Times New Roman" w:cs="Times New Roman"/>
          <w:i/>
          <w:iCs/>
          <w:lang w:eastAsia="en-GB"/>
        </w:rPr>
        <w:t>S. serrata</w:t>
      </w:r>
      <w:r w:rsidRPr="00A673F2">
        <w:rPr>
          <w:rFonts w:ascii="Times New Roman" w:eastAsia="Times New Roman" w:hAnsi="Times New Roman" w:cs="Times New Roman"/>
          <w:lang w:eastAsia="en-GB"/>
        </w:rPr>
        <w:t xml:space="preserve"> model showed comparatively </w:t>
      </w:r>
      <w:r w:rsidRPr="00A673F2">
        <w:rPr>
          <w:rFonts w:ascii="Times New Roman" w:eastAsia="Times New Roman" w:hAnsi="Times New Roman" w:cs="Times New Roman"/>
          <w:lang w:eastAsia="en-GB"/>
        </w:rPr>
        <w:lastRenderedPageBreak/>
        <w:t>favourable docking energies with N-acetylglucosamine and β-glucan. The interaction analyses also identified several amino acid residues that may contribute to ligand recognition. These findings provide a computational basis for further examination of hemocyanin structure and molecular interactions in mud crabs. Experimental structural and biochemical studies are required to determine whether the predicted interactions correspond to physiological functions.</w:t>
      </w:r>
    </w:p>
    <w:p w14:paraId="47074972" w14:textId="77777777" w:rsidR="0091071E" w:rsidRDefault="0091071E" w:rsidP="00F50546">
      <w:pPr>
        <w:spacing w:before="100" w:beforeAutospacing="1" w:after="100" w:afterAutospacing="1"/>
        <w:rPr>
          <w:rFonts w:ascii="Times New Roman" w:eastAsia="Times New Roman" w:hAnsi="Times New Roman" w:cs="Times New Roman"/>
          <w:lang w:eastAsia="en-GB"/>
        </w:rPr>
      </w:pPr>
    </w:p>
    <w:p w14:paraId="4510815F" w14:textId="77777777" w:rsidR="0091071E" w:rsidRPr="000839CE" w:rsidRDefault="0091071E" w:rsidP="0091071E">
      <w:pPr>
        <w:rPr>
          <w:rFonts w:ascii="Times New Roman" w:hAnsi="Times New Roman" w:cs="Times New Roman"/>
          <w:b/>
        </w:rPr>
      </w:pPr>
      <w:r w:rsidRPr="000839CE">
        <w:rPr>
          <w:rFonts w:ascii="Times New Roman" w:hAnsi="Times New Roman" w:cs="Times New Roman"/>
          <w:b/>
        </w:rPr>
        <w:t>Declaration of AI Use</w:t>
      </w:r>
    </w:p>
    <w:p w14:paraId="253FE86A" w14:textId="77777777" w:rsidR="0091071E" w:rsidRPr="00082816" w:rsidRDefault="0091071E" w:rsidP="0091071E">
      <w:pPr>
        <w:rPr>
          <w:rFonts w:ascii="Times New Roman" w:hAnsi="Times New Roman" w:cs="Times New Roman"/>
          <w:lang w:val="en-US"/>
        </w:rPr>
      </w:pPr>
    </w:p>
    <w:p w14:paraId="1FC3E840" w14:textId="77777777" w:rsidR="0091071E" w:rsidRPr="00082816" w:rsidRDefault="0091071E" w:rsidP="0091071E">
      <w:pPr>
        <w:rPr>
          <w:rFonts w:ascii="Times New Roman" w:hAnsi="Times New Roman" w:cs="Times New Roman"/>
          <w:lang w:val="en-US"/>
        </w:rPr>
      </w:pPr>
      <w:r w:rsidRPr="00082816">
        <w:rPr>
          <w:rFonts w:ascii="Times New Roman" w:hAnsi="Times New Roman" w:cs="Times New Roman"/>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227BDA3" w14:textId="77777777" w:rsidR="0091071E" w:rsidRPr="00A673F2" w:rsidRDefault="0091071E" w:rsidP="00F50546">
      <w:pPr>
        <w:spacing w:before="100" w:beforeAutospacing="1" w:after="100" w:afterAutospacing="1"/>
        <w:rPr>
          <w:rFonts w:ascii="Times New Roman" w:eastAsia="Times New Roman" w:hAnsi="Times New Roman" w:cs="Times New Roman"/>
          <w:lang w:eastAsia="en-GB"/>
        </w:rPr>
      </w:pPr>
    </w:p>
    <w:p w14:paraId="67C41BA8"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References</w:t>
      </w:r>
    </w:p>
    <w:p w14:paraId="6965DCFC"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Altschul, S. F., Gish, W., Miller, W., Myers, E. W., &amp; Lipman, D. J. (1990). Basic local alignment search tool. </w:t>
      </w:r>
      <w:r w:rsidRPr="00FA6665">
        <w:rPr>
          <w:rFonts w:ascii="Times" w:eastAsia="Times New Roman" w:hAnsi="Times" w:cs="Times New Roman"/>
          <w:i/>
          <w:iCs/>
          <w:lang w:val="en-IN"/>
        </w:rPr>
        <w:t>Journal of Molecular Biology</w:t>
      </w:r>
      <w:r w:rsidRPr="00FA6665">
        <w:rPr>
          <w:rFonts w:ascii="Times" w:eastAsia="Times New Roman" w:hAnsi="Times" w:cs="Times New Roman"/>
          <w:lang w:val="en-IN"/>
        </w:rPr>
        <w:t>, 215(3), 403-410.</w:t>
      </w:r>
      <w:r w:rsidRPr="00FA6665">
        <w:rPr>
          <w:rFonts w:ascii="Times" w:hAnsi="Times"/>
        </w:rPr>
        <w:t xml:space="preserve"> https://doi.org/10.1016/S0022-2836(05)80360-2</w:t>
      </w:r>
    </w:p>
    <w:p w14:paraId="03DBB167"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Benkert, P., Tosatto, S. C. E., &amp; Schomburg, D. (2008). QMEAN: A comprehensive scoring function for model quality assessment. </w:t>
      </w:r>
      <w:r w:rsidRPr="00FA6665">
        <w:rPr>
          <w:rFonts w:ascii="Times" w:hAnsi="Times"/>
          <w:i/>
        </w:rPr>
        <w:t>Proteins: Structure, Function, and Bioinformatics, 71</w:t>
      </w:r>
      <w:r w:rsidRPr="00FA6665">
        <w:rPr>
          <w:rFonts w:ascii="Times" w:hAnsi="Times"/>
        </w:rPr>
        <w:t>(1), 261–277. https://doi.org/10.1002/prot.21715</w:t>
      </w:r>
    </w:p>
    <w:p w14:paraId="1E316794"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Berman, H. M., Westbrook, J., Feng, Z., Gilliland, G., Bhat, T. N., Weissig, H., Shindyalov, I. N., &amp; Bourne, P. E. (2000). The Protein Data Bank. </w:t>
      </w:r>
      <w:r w:rsidRPr="00FA6665">
        <w:rPr>
          <w:rFonts w:ascii="Times" w:eastAsia="Times New Roman" w:hAnsi="Times" w:cs="Times New Roman"/>
          <w:i/>
          <w:iCs/>
          <w:lang w:val="en-IN"/>
        </w:rPr>
        <w:t>Nucleic Acids Research</w:t>
      </w:r>
      <w:r w:rsidRPr="00FA6665">
        <w:rPr>
          <w:rFonts w:ascii="Times" w:eastAsia="Times New Roman" w:hAnsi="Times" w:cs="Times New Roman"/>
          <w:lang w:val="en-IN"/>
        </w:rPr>
        <w:t>, 28(1), 235-242.</w:t>
      </w:r>
      <w:r w:rsidRPr="00FA6665">
        <w:rPr>
          <w:rFonts w:ascii="Times" w:hAnsi="Times"/>
        </w:rPr>
        <w:t xml:space="preserve"> https://doi.org/10.1093/nar/28.1.235</w:t>
      </w:r>
    </w:p>
    <w:p w14:paraId="685F6437"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Chai, L.-Q., Meng, J.-H., Gao, J., Xu, Y.-H., &amp; Wang, X.-W. (2018). Identification of a crustacean β-1,3-glucanase related protein as a pattern recognition protein in antibacterial response. </w:t>
      </w:r>
      <w:r w:rsidRPr="00FA6665">
        <w:rPr>
          <w:rFonts w:ascii="Times" w:hAnsi="Times"/>
          <w:i/>
        </w:rPr>
        <w:t>Fish &amp; Shellfish Immunology, 80</w:t>
      </w:r>
      <w:r w:rsidRPr="00FA6665">
        <w:rPr>
          <w:rFonts w:ascii="Times" w:hAnsi="Times"/>
        </w:rPr>
        <w:t>, 155–164. https://doi.org/10.1016/j.fsi.2018.06.004</w:t>
      </w:r>
    </w:p>
    <w:p w14:paraId="2E948ED0"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Destoumieux-Garzón, D., Saulnier, D., Garnier, J., Jouffrey, C., Bulet, P., &amp; Bachère, E. (2001). Crustacean immunity: Antifungal peptides are generated from the C terminus of shrimp hemocyanin in response to microbial challenge. </w:t>
      </w:r>
      <w:r w:rsidRPr="00FA6665">
        <w:rPr>
          <w:rFonts w:ascii="Times" w:hAnsi="Times"/>
          <w:i/>
        </w:rPr>
        <w:t>Journal of Biological Chemistry, 276</w:t>
      </w:r>
      <w:r w:rsidRPr="00FA6665">
        <w:rPr>
          <w:rFonts w:ascii="Times" w:hAnsi="Times"/>
        </w:rPr>
        <w:t>(50), 47070–47077. https://doi.org/10.1074/jbc.M103817200</w:t>
      </w:r>
    </w:p>
    <w:p w14:paraId="14378C92"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Eisenberg, D., </w:t>
      </w:r>
      <w:proofErr w:type="spellStart"/>
      <w:r w:rsidRPr="00FA6665">
        <w:rPr>
          <w:rFonts w:ascii="Times" w:eastAsia="Times New Roman" w:hAnsi="Times" w:cs="Times New Roman"/>
          <w:lang w:val="en-IN"/>
        </w:rPr>
        <w:t>Lüthy</w:t>
      </w:r>
      <w:proofErr w:type="spellEnd"/>
      <w:r w:rsidRPr="00FA6665">
        <w:rPr>
          <w:rFonts w:ascii="Times" w:eastAsia="Times New Roman" w:hAnsi="Times" w:cs="Times New Roman"/>
          <w:lang w:val="en-IN"/>
        </w:rPr>
        <w:t xml:space="preserve">, R., &amp; Bowie, J. U. (1997). VERIFY3D: Assessment of protein models with three-dimensional profiles. </w:t>
      </w:r>
      <w:r w:rsidRPr="00FA6665">
        <w:rPr>
          <w:rFonts w:ascii="Times" w:eastAsia="Times New Roman" w:hAnsi="Times" w:cs="Times New Roman"/>
          <w:i/>
          <w:iCs/>
          <w:lang w:val="en-IN"/>
        </w:rPr>
        <w:t>Methods in Enzymology</w:t>
      </w:r>
      <w:r w:rsidRPr="00FA6665">
        <w:rPr>
          <w:rFonts w:ascii="Times" w:eastAsia="Times New Roman" w:hAnsi="Times" w:cs="Times New Roman"/>
          <w:lang w:val="en-IN"/>
        </w:rPr>
        <w:t>, 277, 396-404.</w:t>
      </w:r>
      <w:r w:rsidRPr="00FA6665">
        <w:rPr>
          <w:rFonts w:ascii="Times" w:hAnsi="Times"/>
        </w:rPr>
        <w:t xml:space="preserve"> https://doi.org/10.1016/S0076-6879(97)77022-8</w:t>
      </w:r>
    </w:p>
    <w:p w14:paraId="321869B3"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Fan, T., Zhang, Y., Yang, L., Yang, X., Jiang, G., Yu, M., &amp; Cong, R. (2009). Identification and characterization of a hemocyanin-derived phenoloxidase from the crab Charybdis japonica. </w:t>
      </w:r>
      <w:r w:rsidRPr="00FA6665">
        <w:rPr>
          <w:rFonts w:ascii="Times" w:hAnsi="Times"/>
          <w:i/>
        </w:rPr>
        <w:t>Comparative Biochemistry and Physiology Part B: Biochemistry and Molecular Biology, 152</w:t>
      </w:r>
      <w:r w:rsidRPr="00FA6665">
        <w:rPr>
          <w:rFonts w:ascii="Times" w:hAnsi="Times"/>
        </w:rPr>
        <w:t>(2), 144–149. https://doi.org/10.1016/j.cbpb.2008.10.010</w:t>
      </w:r>
    </w:p>
    <w:p w14:paraId="6D9BB564"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lastRenderedPageBreak/>
        <w:t xml:space="preserve">García-Carreño, F. L., Cota, K., &amp; Navarrete del Toro, M. A. (2008). Phenoloxidase activity of hemocyanin in whiteleg shrimp Penaeus vannamei: Conversion, characterization of catalytic properties, and role in postmortem melanosis. </w:t>
      </w:r>
      <w:r w:rsidRPr="00FA6665">
        <w:rPr>
          <w:rFonts w:ascii="Times" w:hAnsi="Times"/>
          <w:i/>
        </w:rPr>
        <w:t>Journal of Agricultural and Food Chemistry, 56</w:t>
      </w:r>
      <w:r w:rsidRPr="00FA6665">
        <w:rPr>
          <w:rFonts w:ascii="Times" w:hAnsi="Times"/>
        </w:rPr>
        <w:t>(15), 6454–6459. https://doi.org/10.1021/jf800839x</w:t>
      </w:r>
    </w:p>
    <w:p w14:paraId="098AB478"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Guzman, C., &amp; Shoemake, C. (2017). Molecular docking and dynamic simulations in drug design. </w:t>
      </w:r>
      <w:r w:rsidRPr="00FA6665">
        <w:rPr>
          <w:rFonts w:ascii="Times" w:eastAsia="Times New Roman" w:hAnsi="Times" w:cs="Times New Roman"/>
          <w:i/>
          <w:iCs/>
          <w:lang w:val="en-IN"/>
        </w:rPr>
        <w:t>Computational Biology and Chemistry</w:t>
      </w:r>
      <w:r w:rsidRPr="00FA6665">
        <w:rPr>
          <w:rFonts w:ascii="Times" w:eastAsia="Times New Roman" w:hAnsi="Times" w:cs="Times New Roman"/>
          <w:lang w:val="en-IN"/>
        </w:rPr>
        <w:t>, 68, 112-122.</w:t>
      </w:r>
    </w:p>
    <w:p w14:paraId="293A0BE1"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Laskowski, R. A., MacArthur, M. W., Moss, D. S., &amp; Thornton, J. M. (1993). PROCHECK: a program to check the stereochemical quality of protein structures. </w:t>
      </w:r>
      <w:r w:rsidRPr="00FA6665">
        <w:rPr>
          <w:rFonts w:ascii="Times" w:eastAsia="Times New Roman" w:hAnsi="Times" w:cs="Times New Roman"/>
          <w:i/>
          <w:iCs/>
          <w:lang w:val="en-IN"/>
        </w:rPr>
        <w:t>Journal of Applied Crystallography</w:t>
      </w:r>
      <w:r w:rsidRPr="00FA6665">
        <w:rPr>
          <w:rFonts w:ascii="Times" w:eastAsia="Times New Roman" w:hAnsi="Times" w:cs="Times New Roman"/>
          <w:lang w:val="en-IN"/>
        </w:rPr>
        <w:t>, 26(2), 283-291.</w:t>
      </w:r>
      <w:r w:rsidRPr="00FA6665">
        <w:rPr>
          <w:rFonts w:ascii="Times" w:hAnsi="Times"/>
        </w:rPr>
        <w:t xml:space="preserve"> https://doi.org/10.1107/S0021889892009944</w:t>
      </w:r>
    </w:p>
    <w:p w14:paraId="32E677A1"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Masuda, T., Baba, S., Matsuo, K., Ito, S., &amp; Mikami, B. (2020). The high-resolution crystal structure of lobster hemocyanin shows its enzymatic capability as a phenoloxidase. </w:t>
      </w:r>
      <w:r w:rsidRPr="00FA6665">
        <w:rPr>
          <w:rFonts w:ascii="Times" w:hAnsi="Times"/>
          <w:i/>
        </w:rPr>
        <w:t>Archives of Biochemistry and Biophysics, 688</w:t>
      </w:r>
      <w:r w:rsidRPr="00FA6665">
        <w:rPr>
          <w:rFonts w:ascii="Times" w:hAnsi="Times"/>
        </w:rPr>
        <w:t>, 108370. https://doi.org/10.1016/j.abb.2020.108370</w:t>
      </w:r>
    </w:p>
    <w:p w14:paraId="4E881A81"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Morris, G. M., Huey, R., Lindstrom, W., Sanner, M. F., Belew, R. K., Goodsell, D. S., &amp; Olson, A. J. (2009). AutoDock4 and AutoDockTools4: Automated docking with selective receptor flexibility. </w:t>
      </w:r>
      <w:r w:rsidRPr="00FA6665">
        <w:rPr>
          <w:rFonts w:ascii="Times" w:eastAsia="Times New Roman" w:hAnsi="Times" w:cs="Times New Roman"/>
          <w:i/>
          <w:iCs/>
          <w:lang w:val="en-IN"/>
        </w:rPr>
        <w:t>Journal of Computational Chemistry</w:t>
      </w:r>
      <w:r w:rsidRPr="00FA6665">
        <w:rPr>
          <w:rFonts w:ascii="Times" w:eastAsia="Times New Roman" w:hAnsi="Times" w:cs="Times New Roman"/>
          <w:lang w:val="en-IN"/>
        </w:rPr>
        <w:t>, 30(16), 2785-2791.</w:t>
      </w:r>
      <w:r w:rsidRPr="00FA6665">
        <w:rPr>
          <w:rFonts w:ascii="Times" w:hAnsi="Times"/>
        </w:rPr>
        <w:t xml:space="preserve"> https://doi.org/10.1002/jcc.21256</w:t>
      </w:r>
    </w:p>
    <w:p w14:paraId="566D977C"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Nguyen, N. T., Nguyen, T. H., Pham, T. N. H., Huy, N. T., Bay, M. V., Pham, M. Q., Nam, P. C., Vu, V. V., &amp; Ngo, S. T. (2020). AutoDock Vina adopts more accurate binding poses but AutoDock4 forms better binding affinity. </w:t>
      </w:r>
      <w:r w:rsidRPr="00FA6665">
        <w:rPr>
          <w:rFonts w:ascii="Times" w:hAnsi="Times"/>
          <w:i/>
        </w:rPr>
        <w:t>Journal of Chemical Information and Modeling, 60</w:t>
      </w:r>
      <w:r w:rsidRPr="00FA6665">
        <w:rPr>
          <w:rFonts w:ascii="Times" w:hAnsi="Times"/>
        </w:rPr>
        <w:t>(1), 204–211. https://doi.org/10.1021/acs.jcim.9b00778</w:t>
      </w:r>
    </w:p>
    <w:p w14:paraId="45595AF8"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Patnaik, B. B., Baliarsingh, S., Sarkar, A., Hameed, A. S. S., Lee, Y. S., Jo, Y. H., Han, Y. S., &amp; Mohanty, J. (2024). The role of pattern recognition receptors in crustacean innate immunity. </w:t>
      </w:r>
      <w:r w:rsidRPr="00FA6665">
        <w:rPr>
          <w:rFonts w:ascii="Times" w:hAnsi="Times"/>
          <w:i/>
        </w:rPr>
        <w:t>Reviews in Aquaculture, 16</w:t>
      </w:r>
      <w:r w:rsidRPr="00FA6665">
        <w:rPr>
          <w:rFonts w:ascii="Times" w:hAnsi="Times"/>
        </w:rPr>
        <w:t>(1), 190–233. https://doi.org/10.1111/raq.12829</w:t>
      </w:r>
    </w:p>
    <w:p w14:paraId="1003BDA7"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Petit, V. W., Rolland, J.-L., Blond, A., Cazevieille, C., Djediat, C., Peduzzi, J., Goulard, C., Bachère, E., Dupont, J., Destoumieux-Garzón, D., &amp; Rebuffat, S. (2016). A hemocyanin-derived antimicrobial peptide from the penaeid shrimp adopts an alpha-helical structure that specifically permeabilizes fungal membranes. </w:t>
      </w:r>
      <w:r w:rsidRPr="00FA6665">
        <w:rPr>
          <w:rFonts w:ascii="Times" w:hAnsi="Times"/>
          <w:i/>
        </w:rPr>
        <w:t>Biochimica et Biophysica Acta (BBA) - General Subjects, 1860</w:t>
      </w:r>
      <w:r w:rsidRPr="00FA6665">
        <w:rPr>
          <w:rFonts w:ascii="Times" w:hAnsi="Times"/>
        </w:rPr>
        <w:t>(3), 557–568. https://doi.org/10.1016/j.bbagen.2015.12.010</w:t>
      </w:r>
    </w:p>
    <w:p w14:paraId="7A8F762C"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Sali, A., &amp; Blundell, T. L. (1993). Comparative protein modelling by satisfaction of spatial restraints. </w:t>
      </w:r>
      <w:r w:rsidRPr="00FA6665">
        <w:rPr>
          <w:rFonts w:ascii="Times" w:eastAsia="Times New Roman" w:hAnsi="Times" w:cs="Times New Roman"/>
          <w:i/>
          <w:iCs/>
          <w:lang w:val="en-IN"/>
        </w:rPr>
        <w:t>Journal of Molecular Biology</w:t>
      </w:r>
      <w:r w:rsidRPr="00FA6665">
        <w:rPr>
          <w:rFonts w:ascii="Times" w:eastAsia="Times New Roman" w:hAnsi="Times" w:cs="Times New Roman"/>
          <w:lang w:val="en-IN"/>
        </w:rPr>
        <w:t>, 234(3), 779-815.</w:t>
      </w:r>
      <w:r w:rsidRPr="00FA6665">
        <w:rPr>
          <w:rFonts w:ascii="Times" w:hAnsi="Times"/>
        </w:rPr>
        <w:t xml:space="preserve"> https://doi.org/10.1006/jmbi.1993.1626</w:t>
      </w:r>
    </w:p>
    <w:p w14:paraId="6CB57343"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Sali, A., &amp; Overington, J. P. (1994). Derivation of rules for comparative protein </w:t>
      </w:r>
      <w:proofErr w:type="spellStart"/>
      <w:r w:rsidRPr="00FA6665">
        <w:rPr>
          <w:rFonts w:ascii="Times" w:eastAsia="Times New Roman" w:hAnsi="Times" w:cs="Times New Roman"/>
          <w:lang w:val="en-IN"/>
        </w:rPr>
        <w:t>modeling</w:t>
      </w:r>
      <w:proofErr w:type="spellEnd"/>
      <w:r w:rsidRPr="00FA6665">
        <w:rPr>
          <w:rFonts w:ascii="Times" w:eastAsia="Times New Roman" w:hAnsi="Times" w:cs="Times New Roman"/>
          <w:lang w:val="en-IN"/>
        </w:rPr>
        <w:t xml:space="preserve"> from probability density functions. </w:t>
      </w:r>
      <w:r w:rsidRPr="00FA6665">
        <w:rPr>
          <w:rFonts w:ascii="Times" w:eastAsia="Times New Roman" w:hAnsi="Times" w:cs="Times New Roman"/>
          <w:i/>
          <w:iCs/>
          <w:lang w:val="en-IN"/>
        </w:rPr>
        <w:t>Protein Science</w:t>
      </w:r>
      <w:r w:rsidRPr="00FA6665">
        <w:rPr>
          <w:rFonts w:ascii="Times" w:eastAsia="Times New Roman" w:hAnsi="Times" w:cs="Times New Roman"/>
          <w:lang w:val="en-IN"/>
        </w:rPr>
        <w:t>, 3(9), 1582-1596.</w:t>
      </w:r>
      <w:r w:rsidRPr="00FA6665">
        <w:rPr>
          <w:rFonts w:ascii="Times" w:hAnsi="Times"/>
        </w:rPr>
        <w:t xml:space="preserve"> https://doi.org/10.1002/pro.5560030923</w:t>
      </w:r>
    </w:p>
    <w:p w14:paraId="0813C628"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Sali, A., Potterton, L., Yuan, F., van Vlijmen, H., &amp; Karplus, M. (1995). Evaluation of comparative protein modeling by MODELLER. </w:t>
      </w:r>
      <w:r w:rsidRPr="00FA6665">
        <w:rPr>
          <w:rFonts w:ascii="Times" w:hAnsi="Times"/>
          <w:i/>
        </w:rPr>
        <w:t>Proteins: Structure, Function, and Genetics, 23</w:t>
      </w:r>
      <w:r w:rsidRPr="00FA6665">
        <w:rPr>
          <w:rFonts w:ascii="Times" w:hAnsi="Times"/>
        </w:rPr>
        <w:t>(3), 318–326. https://doi.org/10.1002/prot.340230306</w:t>
      </w:r>
    </w:p>
    <w:p w14:paraId="79A5A6E6"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Thompson, J. D., Higgins, D. G., &amp; Gibson, T. J. (1994). CLUSTAL W: improving the sensitivity of progressive multiple sequence alignment through sequence weighting, position-</w:t>
      </w:r>
      <w:r w:rsidRPr="00FA6665">
        <w:rPr>
          <w:rFonts w:ascii="Times" w:eastAsia="Times New Roman" w:hAnsi="Times" w:cs="Times New Roman"/>
          <w:lang w:val="en-IN"/>
        </w:rPr>
        <w:lastRenderedPageBreak/>
        <w:t xml:space="preserve">specific gap penalties and weight matrix choice. </w:t>
      </w:r>
      <w:r w:rsidRPr="00FA6665">
        <w:rPr>
          <w:rFonts w:ascii="Times" w:eastAsia="Times New Roman" w:hAnsi="Times" w:cs="Times New Roman"/>
          <w:i/>
          <w:iCs/>
          <w:lang w:val="en-IN"/>
        </w:rPr>
        <w:t>Nucleic Acids Research</w:t>
      </w:r>
      <w:r w:rsidRPr="00FA6665">
        <w:rPr>
          <w:rFonts w:ascii="Times" w:eastAsia="Times New Roman" w:hAnsi="Times" w:cs="Times New Roman"/>
          <w:lang w:val="en-IN"/>
        </w:rPr>
        <w:t>, 22(22), 4673-4680.</w:t>
      </w:r>
      <w:r w:rsidRPr="00FA6665">
        <w:rPr>
          <w:rFonts w:ascii="Times" w:hAnsi="Times"/>
        </w:rPr>
        <w:t xml:space="preserve"> https://doi.org/10.1093/nar/22.22.4673</w:t>
      </w:r>
    </w:p>
    <w:p w14:paraId="6300B280"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Trott, O., &amp; Olson, A. J. (2010). AutoDock Vina: Improving the speed and accuracy of docking with a new scoring function, efficient optimization, and multithreading. </w:t>
      </w:r>
      <w:r w:rsidRPr="00FA6665">
        <w:rPr>
          <w:rFonts w:ascii="Times" w:hAnsi="Times"/>
          <w:i/>
        </w:rPr>
        <w:t>Journal of Computational Chemistry, 31</w:t>
      </w:r>
      <w:r w:rsidRPr="00FA6665">
        <w:rPr>
          <w:rFonts w:ascii="Times" w:hAnsi="Times"/>
        </w:rPr>
        <w:t>(2), 455–461. https://doi.org/10.1002/jcc.21334</w:t>
      </w:r>
    </w:p>
    <w:p w14:paraId="2CCCB689"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Velayutham, M., &amp; Munusamy, A. (2016). Humoral immune responses of antibacterial hemocyanin (Ab-Hcy) in mud crab, Scylla serrata. </w:t>
      </w:r>
      <w:r w:rsidRPr="00FA6665">
        <w:rPr>
          <w:rFonts w:ascii="Times" w:hAnsi="Times"/>
          <w:i/>
        </w:rPr>
        <w:t>Aquaculture, 464</w:t>
      </w:r>
      <w:r w:rsidRPr="00FA6665">
        <w:rPr>
          <w:rFonts w:ascii="Times" w:hAnsi="Times"/>
        </w:rPr>
        <w:t>, 428–433. https://doi.org/10.1016/j.aquaculture.2016.07.023</w:t>
      </w:r>
    </w:p>
    <w:p w14:paraId="44837E09"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Volbeda, A., &amp; Hol, W. G. J. (1989). Crystal structure of hexameric haemocyanin from Panulirus interruptus refined at 3.2 Å resolution. </w:t>
      </w:r>
      <w:r w:rsidRPr="00FA6665">
        <w:rPr>
          <w:rFonts w:ascii="Times" w:hAnsi="Times"/>
          <w:i/>
        </w:rPr>
        <w:t>Journal of Molecular Biology, 209</w:t>
      </w:r>
      <w:r w:rsidRPr="00FA6665">
        <w:rPr>
          <w:rFonts w:ascii="Times" w:hAnsi="Times"/>
        </w:rPr>
        <w:t>(2), 249–279. https://doi.org/10.1016/0022-2836(89)90276-3</w:t>
      </w:r>
    </w:p>
    <w:p w14:paraId="0386F810"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Wallace, A. C., Laskowski, R. A., &amp; Thornton, J. M. (1995). LIGPLOT: a program to generate schematic diagrams of protein-ligand interactions. </w:t>
      </w:r>
      <w:r w:rsidRPr="00FA6665">
        <w:rPr>
          <w:rFonts w:ascii="Times" w:eastAsia="Times New Roman" w:hAnsi="Times" w:cs="Times New Roman"/>
          <w:i/>
          <w:iCs/>
          <w:lang w:val="en-IN"/>
        </w:rPr>
        <w:t>Protein Engineering, Design and Selection</w:t>
      </w:r>
      <w:r w:rsidRPr="00FA6665">
        <w:rPr>
          <w:rFonts w:ascii="Times" w:eastAsia="Times New Roman" w:hAnsi="Times" w:cs="Times New Roman"/>
          <w:lang w:val="en-IN"/>
        </w:rPr>
        <w:t>, 8(2), 127-134.</w:t>
      </w:r>
      <w:r w:rsidRPr="00FA6665">
        <w:rPr>
          <w:rFonts w:ascii="Times" w:hAnsi="Times"/>
        </w:rPr>
        <w:t xml:space="preserve"> https://doi.org/10.1093/protein/8.2.127</w:t>
      </w:r>
    </w:p>
    <w:p w14:paraId="6BE73AA7"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Wallner, B., &amp; Elofsson, A. (2003). Can correct protein models be identified? </w:t>
      </w:r>
      <w:r w:rsidRPr="00FA6665">
        <w:rPr>
          <w:rFonts w:ascii="Times" w:hAnsi="Times"/>
          <w:i/>
        </w:rPr>
        <w:t>Protein Science, 12</w:t>
      </w:r>
      <w:r w:rsidRPr="00FA6665">
        <w:rPr>
          <w:rFonts w:ascii="Times" w:hAnsi="Times"/>
        </w:rPr>
        <w:t>(5), 1073–1086. https://doi.org/10.1110/ps.0236803</w:t>
      </w:r>
    </w:p>
    <w:p w14:paraId="20C20564"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Yan, F., Zhang, Y., Jiang, R., Zhong, M., Hu, Z., Du, H., Lun, J., Chen, J., &amp; Li, Y. (2011). Identification and agglutination properties of hemocyanin from the mud crab (Scylla serrata). </w:t>
      </w:r>
      <w:r w:rsidRPr="00FA6665">
        <w:rPr>
          <w:rFonts w:ascii="Times" w:hAnsi="Times"/>
          <w:i/>
        </w:rPr>
        <w:t>Fish &amp; Shellfish Immunology, 30</w:t>
      </w:r>
      <w:r w:rsidRPr="00FA6665">
        <w:rPr>
          <w:rFonts w:ascii="Times" w:hAnsi="Times"/>
        </w:rPr>
        <w:t>(1), 354–360. https://doi.org/10.1016/j.fsi.2010.11.004</w:t>
      </w:r>
    </w:p>
    <w:p w14:paraId="4E559662" w14:textId="77777777" w:rsidR="00A50007" w:rsidRPr="00A50007"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Yuan, S., Chan, H. S., &amp; Hu, Z. (2017). Using PyMOL and Discovery Studio for molecular interaction visualizations. </w:t>
      </w:r>
      <w:r w:rsidRPr="00FA6665">
        <w:rPr>
          <w:rFonts w:ascii="Times" w:eastAsia="Times New Roman" w:hAnsi="Times" w:cs="Times New Roman"/>
          <w:i/>
          <w:iCs/>
          <w:lang w:val="en-IN"/>
        </w:rPr>
        <w:t>Journal of Chemical Information and Modeling</w:t>
      </w:r>
      <w:r w:rsidRPr="00FA6665">
        <w:rPr>
          <w:rFonts w:ascii="Times" w:eastAsia="Times New Roman" w:hAnsi="Times" w:cs="Times New Roman"/>
          <w:lang w:val="en-IN"/>
        </w:rPr>
        <w:t>, 57(4), 625-638.</w:t>
      </w:r>
    </w:p>
    <w:p w14:paraId="44770B43" w14:textId="77777777" w:rsidR="00565482" w:rsidRPr="00A50007" w:rsidRDefault="00565482" w:rsidP="00A50007">
      <w:pPr>
        <w:jc w:val="both"/>
        <w:rPr>
          <w:rFonts w:ascii="Times" w:hAnsi="Times"/>
        </w:rPr>
      </w:pPr>
    </w:p>
    <w:sectPr w:rsidR="00565482" w:rsidRPr="00A50007" w:rsidSect="0077601E">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320D5" w14:textId="77777777" w:rsidR="001355DA" w:rsidRDefault="001355DA" w:rsidP="00775706">
      <w:r>
        <w:separator/>
      </w:r>
    </w:p>
  </w:endnote>
  <w:endnote w:type="continuationSeparator" w:id="0">
    <w:p w14:paraId="73A60513" w14:textId="77777777" w:rsidR="001355DA" w:rsidRDefault="001355DA" w:rsidP="0077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0CA3" w14:textId="77777777" w:rsidR="00775706" w:rsidRDefault="007757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5DE0" w14:textId="77777777" w:rsidR="00775706" w:rsidRDefault="007757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D0829" w14:textId="77777777" w:rsidR="00775706" w:rsidRDefault="00775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4639" w14:textId="77777777" w:rsidR="001355DA" w:rsidRDefault="001355DA" w:rsidP="00775706">
      <w:r>
        <w:separator/>
      </w:r>
    </w:p>
  </w:footnote>
  <w:footnote w:type="continuationSeparator" w:id="0">
    <w:p w14:paraId="0637BB52" w14:textId="77777777" w:rsidR="001355DA" w:rsidRDefault="001355DA" w:rsidP="00775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2F88" w14:textId="622322AB" w:rsidR="00775706" w:rsidRDefault="00775706">
    <w:pPr>
      <w:pStyle w:val="Header"/>
    </w:pPr>
    <w:r>
      <w:rPr>
        <w:noProof/>
      </w:rPr>
      <w:pict w14:anchorId="7C04E0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1907" o:spid="_x0000_s1026" type="#_x0000_t136" style="position:absolute;margin-left:0;margin-top:0;width:535.4pt;height:100.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619C" w14:textId="42D38388" w:rsidR="00775706" w:rsidRDefault="00775706">
    <w:pPr>
      <w:pStyle w:val="Header"/>
    </w:pPr>
    <w:r>
      <w:rPr>
        <w:noProof/>
      </w:rPr>
      <w:pict w14:anchorId="10AFC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1908" o:spid="_x0000_s1027" type="#_x0000_t136" style="position:absolute;margin-left:0;margin-top:0;width:535.4pt;height:100.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C0F6" w14:textId="029ED20D" w:rsidR="00775706" w:rsidRDefault="00775706">
    <w:pPr>
      <w:pStyle w:val="Header"/>
    </w:pPr>
    <w:r>
      <w:rPr>
        <w:noProof/>
      </w:rPr>
      <w:pict w14:anchorId="1392D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1906" o:spid="_x0000_s1025" type="#_x0000_t136" style="position:absolute;margin-left:0;margin-top:0;width:535.4pt;height:100.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1709"/>
    <w:multiLevelType w:val="multilevel"/>
    <w:tmpl w:val="DEE4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42A73"/>
    <w:multiLevelType w:val="multilevel"/>
    <w:tmpl w:val="50FE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14076"/>
    <w:multiLevelType w:val="multilevel"/>
    <w:tmpl w:val="4ED4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7266D2"/>
    <w:multiLevelType w:val="multilevel"/>
    <w:tmpl w:val="9BC2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81901">
    <w:abstractNumId w:val="0"/>
  </w:num>
  <w:num w:numId="2" w16cid:durableId="2055080457">
    <w:abstractNumId w:val="3"/>
  </w:num>
  <w:num w:numId="3" w16cid:durableId="1777554127">
    <w:abstractNumId w:val="1"/>
  </w:num>
  <w:num w:numId="4" w16cid:durableId="1707490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7"/>
    <w:rsid w:val="001059C9"/>
    <w:rsid w:val="001355DA"/>
    <w:rsid w:val="00546BEF"/>
    <w:rsid w:val="00555133"/>
    <w:rsid w:val="00565482"/>
    <w:rsid w:val="0071037F"/>
    <w:rsid w:val="00775706"/>
    <w:rsid w:val="0077601E"/>
    <w:rsid w:val="008343B7"/>
    <w:rsid w:val="008A1D61"/>
    <w:rsid w:val="008B46D7"/>
    <w:rsid w:val="0091071E"/>
    <w:rsid w:val="00A36248"/>
    <w:rsid w:val="00A50007"/>
    <w:rsid w:val="00B16CC8"/>
    <w:rsid w:val="00CF556B"/>
    <w:rsid w:val="00E176A6"/>
    <w:rsid w:val="00E54392"/>
    <w:rsid w:val="00EE3939"/>
    <w:rsid w:val="00F34443"/>
    <w:rsid w:val="00F50546"/>
    <w:rsid w:val="00FA6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5DA3D"/>
  <w14:defaultImageDpi w14:val="32767"/>
  <w15:chartTrackingRefBased/>
  <w15:docId w15:val="{6851B8E0-BA93-4747-8638-1FC27C83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0007"/>
    <w:pPr>
      <w:spacing w:before="100" w:beforeAutospacing="1" w:after="100" w:afterAutospacing="1"/>
      <w:outlineLvl w:val="0"/>
    </w:pPr>
    <w:rPr>
      <w:rFonts w:ascii="Times New Roman" w:eastAsia="Times New Roman" w:hAnsi="Times New Roman" w:cs="Times New Roman"/>
      <w:b/>
      <w:bCs/>
      <w:kern w:val="36"/>
      <w:sz w:val="48"/>
      <w:szCs w:val="48"/>
      <w:lang w:val="en-IN"/>
    </w:rPr>
  </w:style>
  <w:style w:type="paragraph" w:styleId="Heading2">
    <w:name w:val="heading 2"/>
    <w:basedOn w:val="Normal"/>
    <w:link w:val="Heading2Char"/>
    <w:uiPriority w:val="9"/>
    <w:qFormat/>
    <w:rsid w:val="00A50007"/>
    <w:pPr>
      <w:spacing w:before="100" w:beforeAutospacing="1" w:after="100" w:afterAutospacing="1"/>
      <w:outlineLvl w:val="1"/>
    </w:pPr>
    <w:rPr>
      <w:rFonts w:ascii="Times New Roman" w:eastAsia="Times New Roman" w:hAnsi="Times New Roman" w:cs="Times New Roman"/>
      <w:b/>
      <w:bCs/>
      <w:sz w:val="36"/>
      <w:szCs w:val="36"/>
      <w:lang w:val="en-IN"/>
    </w:rPr>
  </w:style>
  <w:style w:type="paragraph" w:styleId="Heading3">
    <w:name w:val="heading 3"/>
    <w:basedOn w:val="Normal"/>
    <w:link w:val="Heading3Char"/>
    <w:uiPriority w:val="9"/>
    <w:qFormat/>
    <w:rsid w:val="00A50007"/>
    <w:pPr>
      <w:spacing w:before="100" w:beforeAutospacing="1" w:after="100" w:afterAutospacing="1"/>
      <w:outlineLvl w:val="2"/>
    </w:pPr>
    <w:rPr>
      <w:rFonts w:ascii="Times New Roman" w:eastAsia="Times New Roman" w:hAnsi="Times New Roman" w:cs="Times New Roman"/>
      <w:b/>
      <w:bCs/>
      <w:sz w:val="27"/>
      <w:szCs w:val="27"/>
      <w:lang w:val="en-IN"/>
    </w:rPr>
  </w:style>
  <w:style w:type="paragraph" w:styleId="Heading4">
    <w:name w:val="heading 4"/>
    <w:basedOn w:val="Normal"/>
    <w:link w:val="Heading4Char"/>
    <w:uiPriority w:val="9"/>
    <w:qFormat/>
    <w:rsid w:val="00A50007"/>
    <w:pPr>
      <w:spacing w:before="100" w:beforeAutospacing="1" w:after="100" w:afterAutospacing="1"/>
      <w:outlineLvl w:val="3"/>
    </w:pPr>
    <w:rPr>
      <w:rFonts w:ascii="Times New Roman" w:eastAsia="Times New Roman" w:hAnsi="Times New Roman" w:cs="Times New Roman"/>
      <w:b/>
      <w:bCs/>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007"/>
    <w:rPr>
      <w:rFonts w:ascii="Times New Roman" w:eastAsia="Times New Roman" w:hAnsi="Times New Roman" w:cs="Times New Roman"/>
      <w:b/>
      <w:bCs/>
      <w:kern w:val="36"/>
      <w:sz w:val="48"/>
      <w:szCs w:val="48"/>
      <w:lang w:val="en-IN"/>
    </w:rPr>
  </w:style>
  <w:style w:type="character" w:customStyle="1" w:styleId="Heading2Char">
    <w:name w:val="Heading 2 Char"/>
    <w:basedOn w:val="DefaultParagraphFont"/>
    <w:link w:val="Heading2"/>
    <w:uiPriority w:val="9"/>
    <w:rsid w:val="00A50007"/>
    <w:rPr>
      <w:rFonts w:ascii="Times New Roman" w:eastAsia="Times New Roman" w:hAnsi="Times New Roman" w:cs="Times New Roman"/>
      <w:b/>
      <w:bCs/>
      <w:sz w:val="36"/>
      <w:szCs w:val="36"/>
      <w:lang w:val="en-IN"/>
    </w:rPr>
  </w:style>
  <w:style w:type="character" w:customStyle="1" w:styleId="Heading3Char">
    <w:name w:val="Heading 3 Char"/>
    <w:basedOn w:val="DefaultParagraphFont"/>
    <w:link w:val="Heading3"/>
    <w:uiPriority w:val="9"/>
    <w:rsid w:val="00A50007"/>
    <w:rPr>
      <w:rFonts w:ascii="Times New Roman" w:eastAsia="Times New Roman" w:hAnsi="Times New Roman" w:cs="Times New Roman"/>
      <w:b/>
      <w:bCs/>
      <w:sz w:val="27"/>
      <w:szCs w:val="27"/>
      <w:lang w:val="en-IN"/>
    </w:rPr>
  </w:style>
  <w:style w:type="character" w:customStyle="1" w:styleId="Heading4Char">
    <w:name w:val="Heading 4 Char"/>
    <w:basedOn w:val="DefaultParagraphFont"/>
    <w:link w:val="Heading4"/>
    <w:uiPriority w:val="9"/>
    <w:rsid w:val="00A50007"/>
    <w:rPr>
      <w:rFonts w:ascii="Times New Roman" w:eastAsia="Times New Roman" w:hAnsi="Times New Roman" w:cs="Times New Roman"/>
      <w:b/>
      <w:bCs/>
      <w:lang w:val="en-IN"/>
    </w:rPr>
  </w:style>
  <w:style w:type="paragraph" w:styleId="NormalWeb">
    <w:name w:val="Normal (Web)"/>
    <w:basedOn w:val="Normal"/>
    <w:uiPriority w:val="99"/>
    <w:semiHidden/>
    <w:unhideWhenUsed/>
    <w:rsid w:val="00A50007"/>
    <w:pPr>
      <w:spacing w:before="100" w:beforeAutospacing="1" w:after="100" w:afterAutospacing="1"/>
    </w:pPr>
    <w:rPr>
      <w:rFonts w:ascii="Times New Roman" w:eastAsia="Times New Roman" w:hAnsi="Times New Roman" w:cs="Times New Roman"/>
      <w:lang w:val="en-IN"/>
    </w:rPr>
  </w:style>
  <w:style w:type="character" w:customStyle="1" w:styleId="mord">
    <w:name w:val="mord"/>
    <w:basedOn w:val="DefaultParagraphFont"/>
    <w:rsid w:val="00A50007"/>
  </w:style>
  <w:style w:type="character" w:customStyle="1" w:styleId="vlist-s">
    <w:name w:val="vlist-s"/>
    <w:basedOn w:val="DefaultParagraphFont"/>
    <w:rsid w:val="00A50007"/>
  </w:style>
  <w:style w:type="character" w:styleId="HTMLCode">
    <w:name w:val="HTML Code"/>
    <w:basedOn w:val="DefaultParagraphFont"/>
    <w:uiPriority w:val="99"/>
    <w:semiHidden/>
    <w:unhideWhenUsed/>
    <w:rsid w:val="00A50007"/>
    <w:rPr>
      <w:rFonts w:ascii="Courier New" w:eastAsia="Times New Roman" w:hAnsi="Courier New" w:cs="Courier New"/>
      <w:sz w:val="20"/>
      <w:szCs w:val="20"/>
    </w:rPr>
  </w:style>
  <w:style w:type="character" w:customStyle="1" w:styleId="mrel">
    <w:name w:val="mrel"/>
    <w:basedOn w:val="DefaultParagraphFont"/>
    <w:rsid w:val="00A50007"/>
  </w:style>
  <w:style w:type="paragraph" w:styleId="BodyText">
    <w:name w:val="Body Text"/>
    <w:basedOn w:val="Normal"/>
    <w:link w:val="BodyTextChar"/>
    <w:uiPriority w:val="1"/>
    <w:qFormat/>
    <w:rsid w:val="00E54392"/>
    <w:pPr>
      <w:widowControl w:val="0"/>
      <w:autoSpaceDE w:val="0"/>
      <w:autoSpaceDN w:val="0"/>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E54392"/>
    <w:rPr>
      <w:rFonts w:ascii="Times New Roman" w:eastAsia="Times New Roman" w:hAnsi="Times New Roman" w:cs="Times New Roman"/>
      <w:lang w:val="en-US"/>
    </w:rPr>
  </w:style>
  <w:style w:type="paragraph" w:styleId="ListParagraph">
    <w:name w:val="List Paragraph"/>
    <w:basedOn w:val="Normal"/>
    <w:uiPriority w:val="34"/>
    <w:qFormat/>
    <w:rsid w:val="00A36248"/>
    <w:pPr>
      <w:spacing w:after="200" w:line="276" w:lineRule="auto"/>
      <w:ind w:left="720"/>
      <w:contextualSpacing/>
    </w:pPr>
    <w:rPr>
      <w:sz w:val="22"/>
      <w:szCs w:val="22"/>
      <w:lang w:val="en-US"/>
    </w:rPr>
  </w:style>
  <w:style w:type="character" w:styleId="Hyperlink">
    <w:name w:val="Hyperlink"/>
    <w:basedOn w:val="DefaultParagraphFont"/>
    <w:uiPriority w:val="99"/>
    <w:unhideWhenUsed/>
    <w:rsid w:val="00CF556B"/>
    <w:rPr>
      <w:color w:val="0563C1" w:themeColor="hyperlink"/>
      <w:u w:val="single"/>
    </w:rPr>
  </w:style>
  <w:style w:type="character" w:styleId="UnresolvedMention">
    <w:name w:val="Unresolved Mention"/>
    <w:basedOn w:val="DefaultParagraphFont"/>
    <w:uiPriority w:val="99"/>
    <w:rsid w:val="00CF556B"/>
    <w:rPr>
      <w:color w:val="605E5C"/>
      <w:shd w:val="clear" w:color="auto" w:fill="E1DFDD"/>
    </w:rPr>
  </w:style>
  <w:style w:type="paragraph" w:styleId="Header">
    <w:name w:val="header"/>
    <w:basedOn w:val="Normal"/>
    <w:link w:val="HeaderChar"/>
    <w:uiPriority w:val="99"/>
    <w:unhideWhenUsed/>
    <w:rsid w:val="00775706"/>
    <w:pPr>
      <w:tabs>
        <w:tab w:val="center" w:pos="4513"/>
        <w:tab w:val="right" w:pos="9026"/>
      </w:tabs>
    </w:pPr>
  </w:style>
  <w:style w:type="character" w:customStyle="1" w:styleId="HeaderChar">
    <w:name w:val="Header Char"/>
    <w:basedOn w:val="DefaultParagraphFont"/>
    <w:link w:val="Header"/>
    <w:uiPriority w:val="99"/>
    <w:rsid w:val="00775706"/>
  </w:style>
  <w:style w:type="paragraph" w:styleId="Footer">
    <w:name w:val="footer"/>
    <w:basedOn w:val="Normal"/>
    <w:link w:val="FooterChar"/>
    <w:uiPriority w:val="99"/>
    <w:unhideWhenUsed/>
    <w:rsid w:val="00775706"/>
    <w:pPr>
      <w:tabs>
        <w:tab w:val="center" w:pos="4513"/>
        <w:tab w:val="right" w:pos="9026"/>
      </w:tabs>
    </w:pPr>
  </w:style>
  <w:style w:type="character" w:customStyle="1" w:styleId="FooterChar">
    <w:name w:val="Footer Char"/>
    <w:basedOn w:val="DefaultParagraphFont"/>
    <w:link w:val="Footer"/>
    <w:uiPriority w:val="99"/>
    <w:rsid w:val="0077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8792">
      <w:bodyDiv w:val="1"/>
      <w:marLeft w:val="0"/>
      <w:marRight w:val="0"/>
      <w:marTop w:val="0"/>
      <w:marBottom w:val="0"/>
      <w:divBdr>
        <w:top w:val="none" w:sz="0" w:space="0" w:color="auto"/>
        <w:left w:val="none" w:sz="0" w:space="0" w:color="auto"/>
        <w:bottom w:val="none" w:sz="0" w:space="0" w:color="auto"/>
        <w:right w:val="none" w:sz="0" w:space="0" w:color="auto"/>
      </w:divBdr>
      <w:divsChild>
        <w:div w:id="1583641408">
          <w:marLeft w:val="0"/>
          <w:marRight w:val="0"/>
          <w:marTop w:val="0"/>
          <w:marBottom w:val="0"/>
          <w:divBdr>
            <w:top w:val="none" w:sz="0" w:space="0" w:color="auto"/>
            <w:left w:val="none" w:sz="0" w:space="0" w:color="auto"/>
            <w:bottom w:val="none" w:sz="0" w:space="0" w:color="auto"/>
            <w:right w:val="none" w:sz="0" w:space="0" w:color="auto"/>
          </w:divBdr>
          <w:divsChild>
            <w:div w:id="957948102">
              <w:marLeft w:val="0"/>
              <w:marRight w:val="0"/>
              <w:marTop w:val="0"/>
              <w:marBottom w:val="0"/>
              <w:divBdr>
                <w:top w:val="none" w:sz="0" w:space="0" w:color="auto"/>
                <w:left w:val="none" w:sz="0" w:space="0" w:color="auto"/>
                <w:bottom w:val="none" w:sz="0" w:space="0" w:color="auto"/>
                <w:right w:val="none" w:sz="0" w:space="0" w:color="auto"/>
              </w:divBdr>
              <w:divsChild>
                <w:div w:id="1235239721">
                  <w:marLeft w:val="0"/>
                  <w:marRight w:val="0"/>
                  <w:marTop w:val="0"/>
                  <w:marBottom w:val="0"/>
                  <w:divBdr>
                    <w:top w:val="none" w:sz="0" w:space="0" w:color="auto"/>
                    <w:left w:val="none" w:sz="0" w:space="0" w:color="auto"/>
                    <w:bottom w:val="none" w:sz="0" w:space="0" w:color="auto"/>
                    <w:right w:val="none" w:sz="0" w:space="0" w:color="auto"/>
                  </w:divBdr>
                  <w:divsChild>
                    <w:div w:id="542014164">
                      <w:marLeft w:val="0"/>
                      <w:marRight w:val="0"/>
                      <w:marTop w:val="0"/>
                      <w:marBottom w:val="0"/>
                      <w:divBdr>
                        <w:top w:val="none" w:sz="0" w:space="0" w:color="auto"/>
                        <w:left w:val="none" w:sz="0" w:space="0" w:color="auto"/>
                        <w:bottom w:val="none" w:sz="0" w:space="0" w:color="auto"/>
                        <w:right w:val="none" w:sz="0" w:space="0" w:color="auto"/>
                      </w:divBdr>
                      <w:divsChild>
                        <w:div w:id="944118600">
                          <w:marLeft w:val="0"/>
                          <w:marRight w:val="0"/>
                          <w:marTop w:val="0"/>
                          <w:marBottom w:val="0"/>
                          <w:divBdr>
                            <w:top w:val="none" w:sz="0" w:space="0" w:color="auto"/>
                            <w:left w:val="none" w:sz="0" w:space="0" w:color="auto"/>
                            <w:bottom w:val="none" w:sz="0" w:space="0" w:color="auto"/>
                            <w:right w:val="none" w:sz="0" w:space="0" w:color="auto"/>
                          </w:divBdr>
                          <w:divsChild>
                            <w:div w:id="13703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93623">
                  <w:marLeft w:val="0"/>
                  <w:marRight w:val="0"/>
                  <w:marTop w:val="0"/>
                  <w:marBottom w:val="0"/>
                  <w:divBdr>
                    <w:top w:val="none" w:sz="0" w:space="0" w:color="auto"/>
                    <w:left w:val="none" w:sz="0" w:space="0" w:color="auto"/>
                    <w:bottom w:val="none" w:sz="0" w:space="0" w:color="auto"/>
                    <w:right w:val="none" w:sz="0" w:space="0" w:color="auto"/>
                  </w:divBdr>
                  <w:divsChild>
                    <w:div w:id="1484809913">
                      <w:marLeft w:val="0"/>
                      <w:marRight w:val="0"/>
                      <w:marTop w:val="0"/>
                      <w:marBottom w:val="0"/>
                      <w:divBdr>
                        <w:top w:val="none" w:sz="0" w:space="0" w:color="auto"/>
                        <w:left w:val="none" w:sz="0" w:space="0" w:color="auto"/>
                        <w:bottom w:val="none" w:sz="0" w:space="0" w:color="auto"/>
                        <w:right w:val="none" w:sz="0" w:space="0" w:color="auto"/>
                      </w:divBdr>
                      <w:divsChild>
                        <w:div w:id="2138641291">
                          <w:marLeft w:val="0"/>
                          <w:marRight w:val="0"/>
                          <w:marTop w:val="0"/>
                          <w:marBottom w:val="0"/>
                          <w:divBdr>
                            <w:top w:val="none" w:sz="0" w:space="0" w:color="auto"/>
                            <w:left w:val="none" w:sz="0" w:space="0" w:color="auto"/>
                            <w:bottom w:val="none" w:sz="0" w:space="0" w:color="auto"/>
                            <w:right w:val="none" w:sz="0" w:space="0" w:color="auto"/>
                          </w:divBdr>
                          <w:divsChild>
                            <w:div w:id="4858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704470">
                  <w:marLeft w:val="0"/>
                  <w:marRight w:val="0"/>
                  <w:marTop w:val="0"/>
                  <w:marBottom w:val="0"/>
                  <w:divBdr>
                    <w:top w:val="none" w:sz="0" w:space="0" w:color="auto"/>
                    <w:left w:val="none" w:sz="0" w:space="0" w:color="auto"/>
                    <w:bottom w:val="none" w:sz="0" w:space="0" w:color="auto"/>
                    <w:right w:val="none" w:sz="0" w:space="0" w:color="auto"/>
                  </w:divBdr>
                  <w:divsChild>
                    <w:div w:id="886649364">
                      <w:marLeft w:val="0"/>
                      <w:marRight w:val="0"/>
                      <w:marTop w:val="0"/>
                      <w:marBottom w:val="0"/>
                      <w:divBdr>
                        <w:top w:val="none" w:sz="0" w:space="0" w:color="auto"/>
                        <w:left w:val="none" w:sz="0" w:space="0" w:color="auto"/>
                        <w:bottom w:val="none" w:sz="0" w:space="0" w:color="auto"/>
                        <w:right w:val="none" w:sz="0" w:space="0" w:color="auto"/>
                      </w:divBdr>
                      <w:divsChild>
                        <w:div w:id="1716613953">
                          <w:marLeft w:val="0"/>
                          <w:marRight w:val="0"/>
                          <w:marTop w:val="0"/>
                          <w:marBottom w:val="0"/>
                          <w:divBdr>
                            <w:top w:val="none" w:sz="0" w:space="0" w:color="auto"/>
                            <w:left w:val="none" w:sz="0" w:space="0" w:color="auto"/>
                            <w:bottom w:val="none" w:sz="0" w:space="0" w:color="auto"/>
                            <w:right w:val="none" w:sz="0" w:space="0" w:color="auto"/>
                          </w:divBdr>
                          <w:divsChild>
                            <w:div w:id="7801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895521">
      <w:bodyDiv w:val="1"/>
      <w:marLeft w:val="0"/>
      <w:marRight w:val="0"/>
      <w:marTop w:val="0"/>
      <w:marBottom w:val="0"/>
      <w:divBdr>
        <w:top w:val="none" w:sz="0" w:space="0" w:color="auto"/>
        <w:left w:val="none" w:sz="0" w:space="0" w:color="auto"/>
        <w:bottom w:val="none" w:sz="0" w:space="0" w:color="auto"/>
        <w:right w:val="none" w:sz="0" w:space="0" w:color="auto"/>
      </w:divBdr>
      <w:divsChild>
        <w:div w:id="153451284">
          <w:marLeft w:val="0"/>
          <w:marRight w:val="0"/>
          <w:marTop w:val="0"/>
          <w:marBottom w:val="0"/>
          <w:divBdr>
            <w:top w:val="none" w:sz="0" w:space="0" w:color="auto"/>
            <w:left w:val="none" w:sz="0" w:space="0" w:color="auto"/>
            <w:bottom w:val="none" w:sz="0" w:space="0" w:color="auto"/>
            <w:right w:val="none" w:sz="0" w:space="0" w:color="auto"/>
          </w:divBdr>
          <w:divsChild>
            <w:div w:id="1535844314">
              <w:marLeft w:val="0"/>
              <w:marRight w:val="0"/>
              <w:marTop w:val="0"/>
              <w:marBottom w:val="0"/>
              <w:divBdr>
                <w:top w:val="none" w:sz="0" w:space="0" w:color="auto"/>
                <w:left w:val="none" w:sz="0" w:space="0" w:color="auto"/>
                <w:bottom w:val="none" w:sz="0" w:space="0" w:color="auto"/>
                <w:right w:val="none" w:sz="0" w:space="0" w:color="auto"/>
              </w:divBdr>
              <w:divsChild>
                <w:div w:id="698168863">
                  <w:marLeft w:val="0"/>
                  <w:marRight w:val="0"/>
                  <w:marTop w:val="0"/>
                  <w:marBottom w:val="0"/>
                  <w:divBdr>
                    <w:top w:val="none" w:sz="0" w:space="0" w:color="auto"/>
                    <w:left w:val="none" w:sz="0" w:space="0" w:color="auto"/>
                    <w:bottom w:val="none" w:sz="0" w:space="0" w:color="auto"/>
                    <w:right w:val="none" w:sz="0" w:space="0" w:color="auto"/>
                  </w:divBdr>
                  <w:divsChild>
                    <w:div w:id="1467312707">
                      <w:marLeft w:val="0"/>
                      <w:marRight w:val="0"/>
                      <w:marTop w:val="0"/>
                      <w:marBottom w:val="0"/>
                      <w:divBdr>
                        <w:top w:val="none" w:sz="0" w:space="0" w:color="auto"/>
                        <w:left w:val="none" w:sz="0" w:space="0" w:color="auto"/>
                        <w:bottom w:val="none" w:sz="0" w:space="0" w:color="auto"/>
                        <w:right w:val="none" w:sz="0" w:space="0" w:color="auto"/>
                      </w:divBdr>
                      <w:divsChild>
                        <w:div w:id="1163349540">
                          <w:marLeft w:val="0"/>
                          <w:marRight w:val="0"/>
                          <w:marTop w:val="0"/>
                          <w:marBottom w:val="0"/>
                          <w:divBdr>
                            <w:top w:val="none" w:sz="0" w:space="0" w:color="auto"/>
                            <w:left w:val="none" w:sz="0" w:space="0" w:color="auto"/>
                            <w:bottom w:val="none" w:sz="0" w:space="0" w:color="auto"/>
                            <w:right w:val="none" w:sz="0" w:space="0" w:color="auto"/>
                          </w:divBdr>
                          <w:divsChild>
                            <w:div w:id="12285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616817">
                  <w:marLeft w:val="0"/>
                  <w:marRight w:val="0"/>
                  <w:marTop w:val="0"/>
                  <w:marBottom w:val="0"/>
                  <w:divBdr>
                    <w:top w:val="none" w:sz="0" w:space="0" w:color="auto"/>
                    <w:left w:val="none" w:sz="0" w:space="0" w:color="auto"/>
                    <w:bottom w:val="none" w:sz="0" w:space="0" w:color="auto"/>
                    <w:right w:val="none" w:sz="0" w:space="0" w:color="auto"/>
                  </w:divBdr>
                  <w:divsChild>
                    <w:div w:id="930509176">
                      <w:marLeft w:val="0"/>
                      <w:marRight w:val="0"/>
                      <w:marTop w:val="0"/>
                      <w:marBottom w:val="0"/>
                      <w:divBdr>
                        <w:top w:val="none" w:sz="0" w:space="0" w:color="auto"/>
                        <w:left w:val="none" w:sz="0" w:space="0" w:color="auto"/>
                        <w:bottom w:val="none" w:sz="0" w:space="0" w:color="auto"/>
                        <w:right w:val="none" w:sz="0" w:space="0" w:color="auto"/>
                      </w:divBdr>
                      <w:divsChild>
                        <w:div w:id="2037851654">
                          <w:marLeft w:val="0"/>
                          <w:marRight w:val="0"/>
                          <w:marTop w:val="0"/>
                          <w:marBottom w:val="0"/>
                          <w:divBdr>
                            <w:top w:val="none" w:sz="0" w:space="0" w:color="auto"/>
                            <w:left w:val="none" w:sz="0" w:space="0" w:color="auto"/>
                            <w:bottom w:val="none" w:sz="0" w:space="0" w:color="auto"/>
                            <w:right w:val="none" w:sz="0" w:space="0" w:color="auto"/>
                          </w:divBdr>
                          <w:divsChild>
                            <w:div w:id="19799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34503">
                  <w:marLeft w:val="0"/>
                  <w:marRight w:val="0"/>
                  <w:marTop w:val="0"/>
                  <w:marBottom w:val="0"/>
                  <w:divBdr>
                    <w:top w:val="none" w:sz="0" w:space="0" w:color="auto"/>
                    <w:left w:val="none" w:sz="0" w:space="0" w:color="auto"/>
                    <w:bottom w:val="none" w:sz="0" w:space="0" w:color="auto"/>
                    <w:right w:val="none" w:sz="0" w:space="0" w:color="auto"/>
                  </w:divBdr>
                  <w:divsChild>
                    <w:div w:id="1396703857">
                      <w:marLeft w:val="0"/>
                      <w:marRight w:val="0"/>
                      <w:marTop w:val="0"/>
                      <w:marBottom w:val="0"/>
                      <w:divBdr>
                        <w:top w:val="none" w:sz="0" w:space="0" w:color="auto"/>
                        <w:left w:val="none" w:sz="0" w:space="0" w:color="auto"/>
                        <w:bottom w:val="none" w:sz="0" w:space="0" w:color="auto"/>
                        <w:right w:val="none" w:sz="0" w:space="0" w:color="auto"/>
                      </w:divBdr>
                      <w:divsChild>
                        <w:div w:id="1919705547">
                          <w:marLeft w:val="0"/>
                          <w:marRight w:val="0"/>
                          <w:marTop w:val="0"/>
                          <w:marBottom w:val="0"/>
                          <w:divBdr>
                            <w:top w:val="none" w:sz="0" w:space="0" w:color="auto"/>
                            <w:left w:val="none" w:sz="0" w:space="0" w:color="auto"/>
                            <w:bottom w:val="none" w:sz="0" w:space="0" w:color="auto"/>
                            <w:right w:val="none" w:sz="0" w:space="0" w:color="auto"/>
                          </w:divBdr>
                          <w:divsChild>
                            <w:div w:id="108248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754695">
      <w:bodyDiv w:val="1"/>
      <w:marLeft w:val="0"/>
      <w:marRight w:val="0"/>
      <w:marTop w:val="0"/>
      <w:marBottom w:val="0"/>
      <w:divBdr>
        <w:top w:val="none" w:sz="0" w:space="0" w:color="auto"/>
        <w:left w:val="none" w:sz="0" w:space="0" w:color="auto"/>
        <w:bottom w:val="none" w:sz="0" w:space="0" w:color="auto"/>
        <w:right w:val="none" w:sz="0" w:space="0" w:color="auto"/>
      </w:divBdr>
      <w:divsChild>
        <w:div w:id="1254513139">
          <w:marLeft w:val="0"/>
          <w:marRight w:val="0"/>
          <w:marTop w:val="0"/>
          <w:marBottom w:val="0"/>
          <w:divBdr>
            <w:top w:val="none" w:sz="0" w:space="0" w:color="auto"/>
            <w:left w:val="none" w:sz="0" w:space="0" w:color="auto"/>
            <w:bottom w:val="none" w:sz="0" w:space="0" w:color="auto"/>
            <w:right w:val="none" w:sz="0" w:space="0" w:color="auto"/>
          </w:divBdr>
          <w:divsChild>
            <w:div w:id="1742024035">
              <w:marLeft w:val="0"/>
              <w:marRight w:val="0"/>
              <w:marTop w:val="0"/>
              <w:marBottom w:val="0"/>
              <w:divBdr>
                <w:top w:val="none" w:sz="0" w:space="0" w:color="auto"/>
                <w:left w:val="none" w:sz="0" w:space="0" w:color="auto"/>
                <w:bottom w:val="none" w:sz="0" w:space="0" w:color="auto"/>
                <w:right w:val="none" w:sz="0" w:space="0" w:color="auto"/>
              </w:divBdr>
              <w:divsChild>
                <w:div w:id="38930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11</Pages>
  <Words>3834</Words>
  <Characters>21859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SDI 1166</cp:lastModifiedBy>
  <cp:revision>14</cp:revision>
  <dcterms:created xsi:type="dcterms:W3CDTF">2026-09-08T08:02:00Z</dcterms:created>
  <dcterms:modified xsi:type="dcterms:W3CDTF">2026-09-12T12:56:00Z</dcterms:modified>
</cp:coreProperties>
</file>