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DE4CB" w14:textId="77777777" w:rsidR="006D2956" w:rsidRPr="006D2956" w:rsidRDefault="006D2956" w:rsidP="00B46195">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6D2956">
        <w:rPr>
          <w:rFonts w:ascii="Times New Roman" w:eastAsia="Times New Roman" w:hAnsi="Times New Roman" w:cs="Times New Roman"/>
          <w:b/>
          <w:bCs/>
          <w:sz w:val="36"/>
          <w:szCs w:val="36"/>
          <w:lang w:eastAsia="en-GB"/>
        </w:rPr>
        <w:t>Carbon Footprints of Aquaculture Systems: Advances in Life Cycle Assessment and Emission Reduction Strategies</w:t>
      </w:r>
    </w:p>
    <w:p w14:paraId="696F0F2B" w14:textId="575A8FFF"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64A5D323"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Abstract</w:t>
      </w:r>
    </w:p>
    <w:p w14:paraId="48A1E2D8"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Global aquaculture has expanded considerably over recent decades, now supplying more than half of the world's seafood for direct human consumption. Despite its recognised contribution to food security and nutrition, the sector generates greenhouse gas (GHG) emissions through diverse pathways that include feed production, energy consumption, land-use change, and direct gaseous emissions from production systems. Life cycle assessment (LCA) has become the principal methodological framework for quantifying the carbon footprints of farmed seafood, yet its application across different species, production systems, and geographic contexts remains highly heterogeneous, complicating cross-study comparisons and the formulation of targeted policy responses. This review critically examines the state of knowledge on carbon footprints in aquaculture, with particular attention to methodological advances in LCA, comparative emissions across production systems, and promising strategies for emission reduction. The evidence indicates that carbon footprints vary enormously across species and systems — from less than 1 kg CO₂-equivalent per kilogram of live-weight product for filter-feeding bivalves and certain seaweed species, to well over 20 kg CO₂-</w:t>
      </w:r>
      <w:proofErr w:type="spellStart"/>
      <w:r w:rsidRPr="006D2956">
        <w:rPr>
          <w:rFonts w:ascii="Times New Roman" w:eastAsia="Times New Roman" w:hAnsi="Times New Roman" w:cs="Times New Roman"/>
          <w:sz w:val="24"/>
          <w:szCs w:val="24"/>
          <w:lang w:eastAsia="en-GB"/>
        </w:rPr>
        <w:t>eq</w:t>
      </w:r>
      <w:proofErr w:type="spellEnd"/>
      <w:r w:rsidRPr="006D2956">
        <w:rPr>
          <w:rFonts w:ascii="Times New Roman" w:eastAsia="Times New Roman" w:hAnsi="Times New Roman" w:cs="Times New Roman"/>
          <w:sz w:val="24"/>
          <w:szCs w:val="24"/>
          <w:lang w:eastAsia="en-GB"/>
        </w:rPr>
        <w:t xml:space="preserve"> kg⁻¹ for intensively produced carnivorous species. Feed production, particularly the harvesting and processing of wild fish for fishmeal and fish oil, consistently emerges as the dominant emission hotspot in fed aquaculture. Advances in LCA methodology, including the adoption of consequential approaches, enhanced allocation procedures, and integration with biodiversity and water-use impact categories, are improving the analytical rigour and policy relevance of carbon accounting in the sector. Mitigation strategies such as alternative protein feeds, renewable energy uptake, recirculating aquaculture systems, and integrated multi-trophic aquaculture offer credible pathways toward decarbonisation, though their effective deployment requires supportive governance frameworks and sustained investment in infrastructure and monitoring capacity.</w:t>
      </w:r>
    </w:p>
    <w:p w14:paraId="05885F59"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Keywords:</w:t>
      </w:r>
      <w:r w:rsidRPr="006D2956">
        <w:rPr>
          <w:rFonts w:ascii="Times New Roman" w:eastAsia="Times New Roman" w:hAnsi="Times New Roman" w:cs="Times New Roman"/>
          <w:sz w:val="24"/>
          <w:szCs w:val="24"/>
          <w:lang w:eastAsia="en-GB"/>
        </w:rPr>
        <w:t xml:space="preserve"> aquaculture; carbon footprint; life cycle assessment; greenhouse gas emissions; emission reduction; recirculating aquaculture systems; integrated multi-trophic aquaculture; sustainable seafood</w:t>
      </w:r>
    </w:p>
    <w:p w14:paraId="5BBE9BDE" w14:textId="4853147C"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3A6E78E1"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1. Introduction</w:t>
      </w:r>
    </w:p>
    <w:p w14:paraId="3B20126D"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1.1 Global Aquaculture Growth and the Environmental Context</w:t>
      </w:r>
    </w:p>
    <w:p w14:paraId="586FAC66"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Aquaculture has undergone a profound transformation over the past four decades, evolving from a largely subsistence and small-scale activity concentrated in parts of Asia into a genuinely global industry. Global production of aquatic animals through aquaculture now exceeds 90 million tonnes annually, and the sector accounts for approximately 57% of fish and seafood consumed directly by humans worldwide (FAO, 2024). This growth has been driven by stagnating wild capture fisheries, rising per capita demand for seafood protein, and a series of technological and husbandry advances that have made intensive production </w:t>
      </w:r>
      <w:r w:rsidRPr="006D2956">
        <w:rPr>
          <w:rFonts w:ascii="Times New Roman" w:eastAsia="Times New Roman" w:hAnsi="Times New Roman" w:cs="Times New Roman"/>
          <w:sz w:val="24"/>
          <w:szCs w:val="24"/>
          <w:lang w:eastAsia="en-GB"/>
        </w:rPr>
        <w:lastRenderedPageBreak/>
        <w:t>commercially viable across a widening range of species. The sector now spans an exceptionally diverse array of organisms and production configurations — from open-water net-pen salmon farming in Norwegian fjords and intensive shrimp ponds in Southeast Asia, to freshwater tilapia cage culture in sub-Saharan Africa, bivalve longlines along temperate coastlines, and emerging offshore finfish farms in exposed marine environments. As Troell et al. (2014) observed, this diversity is one of the sector's fundamental strengths from a food security perspective, but it also makes aquaculture inherently difficult to characterise in terms of aggregate environmental performance.</w:t>
      </w:r>
    </w:p>
    <w:p w14:paraId="4F35A5DD"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continued growth of aquaculture has proceeded against a backdrop of mounting concern about its environmental externalities. Early scientific critiques focused on nutrient and chemical pollution, antibiotic resistance, disease transmission to wild stocks, and large-scale destruction of mangrove ecosystems for pond construction (Naylor et al., 1998; Primavera, 2006). More recently, attention has shifted progressively towards the sector's contribution to global climate change, and its reciprocal exposure to rising sea surface temperatures, ocean acidification, increased storm frequency, and altered precipitation regimes. Global food systems are estimated to account for between 21% and 37% of total anthropogenic GHG emissions (IPCC, 2019b), and as wild capture fisheries increasingly approach or exceed maximum sustainable yields, the dietary protein needs of a growing and more affluent global population will need to be met in substantial measure through expanded aquaculture production (FAO, 2020; Naylor et al., 2021). Ensuring that this expansion occurs without a proportionate rise in GHG emissions is therefore a central challenge for the sector and for food systems policy more broadly.</w:t>
      </w:r>
    </w:p>
    <w:p w14:paraId="5828DCD6"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relationship between aquaculture and climate change runs in both directions: the sector contributes to GHG emissions while also being threatened by changing climatic conditions. From a mitigation standpoint, there is growing scientific recognition that some forms of aquaculture — particularly shellfish and seaweed cultivation — carry comparatively low carbon footprints relative to terrestrial livestock production (Poore &amp; Nemecek, 2018), and may even provide carbon sequestration co-benefits under appropriate management. Realising these advantages, however, requires a systematic and rigorous understanding of where and how emissions arise across the sector's full diversity of production systems.</w:t>
      </w:r>
    </w:p>
    <w:p w14:paraId="32ACD782"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1.2 Life Cycle Assessment and Carbon Accounting in Aquaculture</w:t>
      </w:r>
    </w:p>
    <w:p w14:paraId="2BD460EE"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Life cycle assessment is a standardised analytical framework for quantifying the environmental burdens associated with a product or service across its entire life cycle, from raw material extraction through production, use, and end-of-life management. Its application to aquaculture has grown steadily since the early 2000s, generating a body of literature that, while increasingly sophisticated, is characterised by considerable methodological heterogeneity in system boundary definitions, functional units, allocation procedures, and background inventory datasets (</w:t>
      </w:r>
      <w:proofErr w:type="spellStart"/>
      <w:r w:rsidRPr="006D2956">
        <w:rPr>
          <w:rFonts w:ascii="Times New Roman" w:eastAsia="Times New Roman" w:hAnsi="Times New Roman" w:cs="Times New Roman"/>
          <w:sz w:val="24"/>
          <w:szCs w:val="24"/>
          <w:lang w:eastAsia="en-GB"/>
        </w:rPr>
        <w:t>Bohnes</w:t>
      </w:r>
      <w:proofErr w:type="spellEnd"/>
      <w:r w:rsidRPr="006D2956">
        <w:rPr>
          <w:rFonts w:ascii="Times New Roman" w:eastAsia="Times New Roman" w:hAnsi="Times New Roman" w:cs="Times New Roman"/>
          <w:sz w:val="24"/>
          <w:szCs w:val="24"/>
          <w:lang w:eastAsia="en-GB"/>
        </w:rPr>
        <w:t xml:space="preserve"> et al., 2019; </w:t>
      </w:r>
      <w:proofErr w:type="spellStart"/>
      <w:r w:rsidRPr="006D2956">
        <w:rPr>
          <w:rFonts w:ascii="Times New Roman" w:eastAsia="Times New Roman" w:hAnsi="Times New Roman" w:cs="Times New Roman"/>
          <w:sz w:val="24"/>
          <w:szCs w:val="24"/>
          <w:lang w:eastAsia="en-GB"/>
        </w:rPr>
        <w:t>Finnveden</w:t>
      </w:r>
      <w:proofErr w:type="spellEnd"/>
      <w:r w:rsidRPr="006D2956">
        <w:rPr>
          <w:rFonts w:ascii="Times New Roman" w:eastAsia="Times New Roman" w:hAnsi="Times New Roman" w:cs="Times New Roman"/>
          <w:sz w:val="24"/>
          <w:szCs w:val="24"/>
          <w:lang w:eastAsia="en-GB"/>
        </w:rPr>
        <w:t xml:space="preserve"> et al., 2009). These differences can produce seemingly contradictory findings about the relative environmental performance of different species and production systems, and have prompted calls for greater standardisation in reporting practice.</w:t>
      </w:r>
    </w:p>
    <w:p w14:paraId="0D9767FA"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Despite these challenges, published LCA studies have generated important insights. Pelletier et al. (2009) showed that the carbon footprints of Atlantic salmon produced by six major exporting nations varied markedly, driven primarily by feed formulation and by the energy sources underpinning feed manufacture and farm operations. At a global scale, MacLeod et </w:t>
      </w:r>
      <w:r w:rsidRPr="006D2956">
        <w:rPr>
          <w:rFonts w:ascii="Times New Roman" w:eastAsia="Times New Roman" w:hAnsi="Times New Roman" w:cs="Times New Roman"/>
          <w:sz w:val="24"/>
          <w:szCs w:val="24"/>
          <w:lang w:eastAsia="en-GB"/>
        </w:rPr>
        <w:lastRenderedPageBreak/>
        <w:t xml:space="preserve">al. (2020) estimated that aquaculture contributes approximately 0.49% of global anthropogenic GHG emissions, though this aggregate figure conceals substantial variation across subsectors and production systems. Pelletier and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(2010), comparing aquatic and terrestrial livestock systems more broadly, showed that the carbon intensity of aquatic food production is highly system-dependent and resists simple generalisation. The scientific community has since widened the set of environmental concerns addressed in aquaculture LCA to encompass eutrophication, land use, water use, and biodiversity impacts (Henriksson et al., 2015; Newton &amp; Little, 2018), although climate change impact remains the dominant metric in policy debates and commercial sustainability assessments.</w:t>
      </w:r>
    </w:p>
    <w:p w14:paraId="047C8950"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1.3 Scope and Objectives of This Review</w:t>
      </w:r>
    </w:p>
    <w:p w14:paraId="38AC6AF9"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This review critically examines the current state of knowledge on carbon footprints in aquaculture, with particular focus on life cycle assessment methodology, comparative emissions across major production systems, and strategies for emission reduction. The paper draws primarily on peer-reviewed literature published between 2000 and 2024, with emphasis on studies from the past decade that reflect methodological advances and the evolving structure of global aquaculture production. The specific objectives are: first, to review and critically evaluate LCA methodologies as applied to aquaculture carbon accounting; second, to synthesise comparative carbon footprint data across species and production systems; third, to identify the primary emission hotspots and their underlying drivers; fourth, to assess recent advances in LCA methodology applicable to the sector; and fifth, to evaluate the evidence base for proposed emission reduction strategies. By providing a structured and critical synthesis of existing knowledge, this review aims to support researchers, practitioners, and policymakers in identifying the most effective pathways toward a lower-carbon aquaculture sector.</w:t>
      </w:r>
    </w:p>
    <w:p w14:paraId="4990B30A" w14:textId="3645B3A3"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4F3165A4"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2. Methods for Literature Selection</w:t>
      </w:r>
    </w:p>
    <w:p w14:paraId="35152AB5"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2.1 Databases and Search Strategy</w:t>
      </w:r>
    </w:p>
    <w:p w14:paraId="08142B56" w14:textId="0B47EBBD"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This narrative review was conducted through </w:t>
      </w:r>
      <w:r>
        <w:rPr>
          <w:rFonts w:ascii="Times New Roman" w:eastAsia="Times New Roman" w:hAnsi="Times New Roman" w:cs="Times New Roman"/>
          <w:sz w:val="24"/>
          <w:szCs w:val="24"/>
          <w:lang w:eastAsia="en-GB"/>
        </w:rPr>
        <w:t>stratified</w:t>
      </w:r>
      <w:r w:rsidRPr="006D2956">
        <w:rPr>
          <w:rFonts w:ascii="Times New Roman" w:eastAsia="Times New Roman" w:hAnsi="Times New Roman" w:cs="Times New Roman"/>
          <w:sz w:val="24"/>
          <w:szCs w:val="24"/>
          <w:lang w:eastAsia="en-GB"/>
        </w:rPr>
        <w:t xml:space="preserve"> searching of multiple bibliographic databases spanning natural sciences, environmental engineering, food technology, and fisheries.</w:t>
      </w:r>
      <w:r>
        <w:rPr>
          <w:rFonts w:ascii="Times New Roman" w:eastAsia="Times New Roman" w:hAnsi="Times New Roman" w:cs="Times New Roman"/>
          <w:sz w:val="24"/>
          <w:szCs w:val="24"/>
          <w:lang w:eastAsia="en-GB"/>
        </w:rPr>
        <w:t xml:space="preserve"> </w:t>
      </w:r>
      <w:r w:rsidRPr="006D2956">
        <w:rPr>
          <w:rFonts w:ascii="Times New Roman" w:eastAsia="Times New Roman" w:hAnsi="Times New Roman" w:cs="Times New Roman"/>
          <w:sz w:val="24"/>
          <w:szCs w:val="24"/>
          <w:lang w:eastAsia="en-GB"/>
        </w:rPr>
        <w:t>The literature search covered publications from January 20</w:t>
      </w:r>
      <w:r>
        <w:rPr>
          <w:rFonts w:ascii="Times New Roman" w:eastAsia="Times New Roman" w:hAnsi="Times New Roman" w:cs="Times New Roman"/>
          <w:sz w:val="24"/>
          <w:szCs w:val="24"/>
          <w:lang w:eastAsia="en-GB"/>
        </w:rPr>
        <w:t>00</w:t>
      </w:r>
      <w:r w:rsidRPr="006D2956">
        <w:rPr>
          <w:rFonts w:ascii="Times New Roman" w:eastAsia="Times New Roman" w:hAnsi="Times New Roman" w:cs="Times New Roman"/>
          <w:sz w:val="24"/>
          <w:szCs w:val="24"/>
          <w:lang w:eastAsia="en-GB"/>
        </w:rPr>
        <w:t xml:space="preserve"> to 2 April 2026, with earlier foundational sources included selectively where they represented seminal methodological or conceptual contributions The primary databases searched were Web of Science, Scopus, Google Scholar, and PubMed. In addition, field-specific databases and information resources were consulted, including Aquatic Sciences and Fisheries Abstracts (ASFA), CAB Abstracts, the Food and Agriculture Organization </w:t>
      </w:r>
      <w:proofErr w:type="spellStart"/>
      <w:r w:rsidRPr="006D2956">
        <w:rPr>
          <w:rFonts w:ascii="Times New Roman" w:eastAsia="Times New Roman" w:hAnsi="Times New Roman" w:cs="Times New Roman"/>
          <w:sz w:val="24"/>
          <w:szCs w:val="24"/>
          <w:lang w:eastAsia="en-GB"/>
        </w:rPr>
        <w:t>eLibrary</w:t>
      </w:r>
      <w:proofErr w:type="spellEnd"/>
      <w:r w:rsidRPr="006D2956">
        <w:rPr>
          <w:rFonts w:ascii="Times New Roman" w:eastAsia="Times New Roman" w:hAnsi="Times New Roman" w:cs="Times New Roman"/>
          <w:sz w:val="24"/>
          <w:szCs w:val="24"/>
          <w:lang w:eastAsia="en-GB"/>
        </w:rPr>
        <w:t xml:space="preserve"> (FAO </w:t>
      </w:r>
      <w:proofErr w:type="spellStart"/>
      <w:r w:rsidRPr="006D2956">
        <w:rPr>
          <w:rFonts w:ascii="Times New Roman" w:eastAsia="Times New Roman" w:hAnsi="Times New Roman" w:cs="Times New Roman"/>
          <w:sz w:val="24"/>
          <w:szCs w:val="24"/>
          <w:lang w:eastAsia="en-GB"/>
        </w:rPr>
        <w:t>eLibrary</w:t>
      </w:r>
      <w:proofErr w:type="spellEnd"/>
      <w:r w:rsidRPr="006D2956">
        <w:rPr>
          <w:rFonts w:ascii="Times New Roman" w:eastAsia="Times New Roman" w:hAnsi="Times New Roman" w:cs="Times New Roman"/>
          <w:sz w:val="24"/>
          <w:szCs w:val="24"/>
          <w:lang w:eastAsia="en-GB"/>
        </w:rPr>
        <w:t>), the Global Aquaculture Alliance Digital Library, FAOSTAT, and the Aquaculture Compendium (CABI). The literature search covered publications from January 2000 to December 2024. While this range captures the full development of the aquaculture LCA literature, particular emphasis was placed on studies published after 2012, reflecting both methodological advances and the emergence of more recently developed production systems. Seminal studies published before 2012 were retained where they represented foundational contributions to LCA methodology or established key benchmarks in carbon footprint accounting.</w:t>
      </w:r>
    </w:p>
    <w:p w14:paraId="08CF43F5"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The following core search strings were used, adapted as necessary to the controlled vocabulary conventions of individual databases: ("aquaculture" OR "fish farming" OR "mariculture" OR "shrimp farming" OR "salmon farming") AND ("life cycle assessment" OR "LCA" OR "carbon footprint" OR "greenhouse gas" OR "GHG emissions" OR "CO2 equivalent" OR "climate change impact"); ("salmon" OR "shrimp" OR "tilapia" OR "shellfish" OR "seaweed" OR "bivalve" OR "mussel") AND ("life cycle assessment" OR "environmental impact assessment" OR "emission factor"); ("emission reduction" OR "decarbonisation" OR "mitigation" OR "low-carbon") AND ("aquaculture" OR "fish production" OR "farmed seafood"). Boolean operators were applied consistently throughout, and the reference lists of highly cited review articles were manually screened to identify studies not returned by the primary database searches.</w:t>
      </w:r>
    </w:p>
    <w:p w14:paraId="126ECCF2"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2.2 Inclusion and Exclusion Criteria</w:t>
      </w:r>
    </w:p>
    <w:p w14:paraId="3FB92992"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Studies were included if they were published in peer-reviewed academic journals, or constituted authoritative institutional reports from bodies such as the Food and Agriculture Organization of the United Nations, the Intergovernmental Panel on Climate Change, or equivalent national and intergovernmental organisations. Conference papers, trade publications, grey literature, book chapters, preprints, and patents were excluded. Included studies were required to be published in English, to address quantitative or semi-quantitative assessment of environmental burdens in aquaculture contexts, and to employ recognised methodological frameworks such as LCA, carbon footprint analysis, or equivalent environmental impact assessment approaches. Publications addressing solely economic or social sustainability dimensions without quantitative environmental indicators, and those focused on wild-capture fisheries rather than aquaculture, were excluded unless they offered directly relevant comparative data. Influential studies were selected with particular attention to citation count, methodological rigour, geographic and species coverage, and contribution to advancing either empirical understanding or methodological practice.</w:t>
      </w:r>
    </w:p>
    <w:p w14:paraId="3D7C8EB8"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2.3 Screening Workflow and Justification for Narrative Review</w:t>
      </w:r>
    </w:p>
    <w:p w14:paraId="6E7C0A06"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Titles and abstracts of all retrieved records were screened against the inclusion and exclusion criteria described above. Full texts were retrieved for all potentially eligible studies and subjected to a second round of assessment. Duplicate records identified across multiple databases were removed at the screening stage, and language restriction to English was applied throughout. A narrative rather than systematic review approach was adopted for this article. This decision reflects the inherent methodological heterogeneity of published aquaculture LCA studies in terms of system boundaries, functional units, allocation procedures, and background datasets — heterogeneity that would preclude meaningful meta-analytical aggregation of quantitative carbon footprint estimates. As Snyder (2019) argues, narrative reviews are particularly well suited to synthesising literatures characterised by methodological diversity, and to generating conceptual insights and critical evaluations that go beyond what systematic quantitative synthesis would allow. The narrative approach also makes it possible to treat methodological limitations, context-specific findings, and emerging research directions with the kind of nuance that is central to this review's purpose.</w:t>
      </w:r>
    </w:p>
    <w:p w14:paraId="27997893" w14:textId="1CBCBB03"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45B36490"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3. Life Cycle Assessment as an Environmental Accounting Tool</w:t>
      </w:r>
    </w:p>
    <w:p w14:paraId="0E25B4E5"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lastRenderedPageBreak/>
        <w:t>3.1 Principles and Methodological Framework</w:t>
      </w:r>
    </w:p>
    <w:p w14:paraId="57995ABB"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Life cycle assessment is a well-established environmental systems analysis methodology that quantifies the material and energy inputs, waste and emissions outputs, and potential environmental impacts associated with a product system throughout its complete life cycle. The methodology proceeds through four interdependent phases under the ISO 14040 and ISO 14044 standards: goal and scope definition, life cycle inventory analysis, life cycle impact assessment, and interpretation. Decisions made at each phase can materially affect the outcome of an assessment, and the transparency with which these decisions are reported largely determines how comparable and reproducible results are across studies (</w:t>
      </w:r>
      <w:proofErr w:type="spellStart"/>
      <w:r w:rsidRPr="006D2956">
        <w:rPr>
          <w:rFonts w:ascii="Times New Roman" w:eastAsia="Times New Roman" w:hAnsi="Times New Roman" w:cs="Times New Roman"/>
          <w:sz w:val="24"/>
          <w:szCs w:val="24"/>
          <w:lang w:eastAsia="en-GB"/>
        </w:rPr>
        <w:t>Finnveden</w:t>
      </w:r>
      <w:proofErr w:type="spellEnd"/>
      <w:r w:rsidRPr="006D2956">
        <w:rPr>
          <w:rFonts w:ascii="Times New Roman" w:eastAsia="Times New Roman" w:hAnsi="Times New Roman" w:cs="Times New Roman"/>
          <w:sz w:val="24"/>
          <w:szCs w:val="24"/>
          <w:lang w:eastAsia="en-GB"/>
        </w:rPr>
        <w:t xml:space="preserve"> et al., 2009).</w:t>
      </w:r>
    </w:p>
    <w:p w14:paraId="313A91D9"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 aquaculture contexts, the goal and scope definition phase involves specifying the production system under assessment, the functional unit serving as the basis for comparison, and the system boundary delineating which upstream and downstream processes are included. The life cycle inventory analysis phase compiles data on all material and energy flows throughout the system — feed ingredient cultivation, fishing operations for wild-caught ingredients, transport, feed manufacture, on-farm energy use, waste treatment, and, where relevant, product processing, packaging, and distribution. The impact assessment phase then translates these inventory flows into environmental impact category scores, of which climate change, expressed as CO₂-equivalent on a 100-year global warming potential (GWP100) basis, is the most frequently assessed in aquaculture studies.</w:t>
      </w:r>
    </w:p>
    <w:p w14:paraId="2EFA0A79"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reliability of aquaculture LCA results depends fundamentally on the quality of primary data collected at farm level, supplemented by secondary data from life cycle inventory databases. Differences in background datasets across studies represent a significant source of inter-study variability, and have prompted calls for harmonised, regularly updated inventory datasets developed specifically for aquaculture supply chains (</w:t>
      </w:r>
      <w:proofErr w:type="spellStart"/>
      <w:r w:rsidRPr="006D2956">
        <w:rPr>
          <w:rFonts w:ascii="Times New Roman" w:eastAsia="Times New Roman" w:hAnsi="Times New Roman" w:cs="Times New Roman"/>
          <w:sz w:val="24"/>
          <w:szCs w:val="24"/>
          <w:lang w:eastAsia="en-GB"/>
        </w:rPr>
        <w:t>Bohnes</w:t>
      </w:r>
      <w:proofErr w:type="spellEnd"/>
      <w:r w:rsidRPr="006D2956">
        <w:rPr>
          <w:rFonts w:ascii="Times New Roman" w:eastAsia="Times New Roman" w:hAnsi="Times New Roman" w:cs="Times New Roman"/>
          <w:sz w:val="24"/>
          <w:szCs w:val="24"/>
          <w:lang w:eastAsia="en-GB"/>
        </w:rPr>
        <w:t xml:space="preserve"> et al., 2019; Newton &amp; Little, 2018). </w:t>
      </w:r>
      <w:proofErr w:type="spellStart"/>
      <w:r w:rsidRPr="006D2956">
        <w:rPr>
          <w:rFonts w:ascii="Times New Roman" w:eastAsia="Times New Roman" w:hAnsi="Times New Roman" w:cs="Times New Roman"/>
          <w:sz w:val="24"/>
          <w:szCs w:val="24"/>
          <w:lang w:eastAsia="en-GB"/>
        </w:rPr>
        <w:t>Papatryphon</w:t>
      </w:r>
      <w:proofErr w:type="spellEnd"/>
      <w:r w:rsidRPr="006D2956">
        <w:rPr>
          <w:rFonts w:ascii="Times New Roman" w:eastAsia="Times New Roman" w:hAnsi="Times New Roman" w:cs="Times New Roman"/>
          <w:sz w:val="24"/>
          <w:szCs w:val="24"/>
          <w:lang w:eastAsia="en-GB"/>
        </w:rPr>
        <w:t xml:space="preserve"> et al. (2004), in one of the earliest comprehensive LCA studies of aquafeeds, noted that the quality and provenance of background data for feed ingredients were critical determinants of result reliability — a concern that retains its full relevance as ingredient compositions continue to evolve.</w:t>
      </w:r>
    </w:p>
    <w:p w14:paraId="4970993A"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3.2 Allocation Approaches in Aquaculture LCA</w:t>
      </w:r>
    </w:p>
    <w:p w14:paraId="7FB314AB"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One of the most consequential methodological choices in aquaculture LCA is the procedure used to allocate environmental burdens among the multiple co-products generated by an aquaculture operation, including whole fish, fillets, trimmings, and sludge. The allocation method chosen can substantially alter the apparent environmental performance of the primary product of interest. Three principal approaches appear in the literature: mass allocation, which distributes burdens in proportion to the physical mass of co-products; economic allocation, which uses relative market prices; and system expansion, which avoids allocation altogether by enlarging the system boundary to include the avoided burdens of co-products that substitute for functionally equivalent goods elsewhere in the economy.</w:t>
      </w:r>
    </w:p>
    <w:p w14:paraId="142CD2B8"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Aubin et al. (2009) and Ayer and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(2009), in early comparative studies, demonstrated that the choice of allocation method can produce marked differences in reported carbon footprints for salmonid systems, sometimes altering conclusions about the relative performance of production alternatives entirely. The ISO standards express a preference for system expansion as the primary approach, with allocation by physical </w:t>
      </w:r>
      <w:r w:rsidRPr="006D2956">
        <w:rPr>
          <w:rFonts w:ascii="Times New Roman" w:eastAsia="Times New Roman" w:hAnsi="Times New Roman" w:cs="Times New Roman"/>
          <w:sz w:val="24"/>
          <w:szCs w:val="24"/>
          <w:lang w:eastAsia="en-GB"/>
        </w:rPr>
        <w:lastRenderedPageBreak/>
        <w:t>causality as the secondary option. In practice, economic allocation is widely used in aquaculture LCA because it reflects the commercial logic underlying production decisions, even though introducing price variability adds a further layer of uncertainty to the results. The choice of allocation approach should therefore be treated as a sensitivity parameter requiring explicit justification and testing in all published studies, rather than as a routine methodological default.</w:t>
      </w:r>
    </w:p>
    <w:p w14:paraId="169C9438"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3.3 Functional Units and System Boundaries</w:t>
      </w:r>
    </w:p>
    <w:p w14:paraId="0FEEE4BD"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functional unit in aquaculture LCA determines the basis on which environmental performance is expressed and comparisons are drawn. The most common functional units in published studies are one tonne of live-weight product and one tonne of edible-weight product after accounting for processing losses. The edible-weight basis is increasingly favoured because it more accurately reflects the nutritional value delivered to the consumer and enables more meaningful cross-species comparisons (Henriksson et al., 2015). More recent studies have explored protein-based or nutrient-density-based functional units to facilitate comparisons with terrestrial protein sources — an approach particularly relevant to policy discussions centred on dietary transition and food system decarbonisation.</w:t>
      </w:r>
    </w:p>
    <w:p w14:paraId="5AC9E992"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System boundaries in aquaculture LCA typically extend from the production of feed ingredients through to the farm gate, although more comprehensive studies extend further, to retail or to the point of consumption. The inclusion or exclusion of post-harvest stages — processing, packaging, refrigerated transport, and consumer food waste — can substantially affect the relative carbon intensity attributed to different species. Ziegler et al. (2013) showed, for Norwegian seafood products, that processing and cold-chain logistics contribute meaningfully to total carbon footprint for products exported to distant markets, underlining the importance of clearly specifying and justifying system boundary choices in primary publications.</w:t>
      </w:r>
    </w:p>
    <w:p w14:paraId="0F1267C0"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1 sets out the principal methodological choices in aquaculture LCA and their likely implications for reported carbon footprint outcomes. The diversity of approaches captured in this table is one reason why reported values vary so widely across published studies, and why the development of sector-specific reporting guidelines — comparable to those that exist for some terrestrial livestock systems — represents an important priority for the aquaculture LCA research community.</w:t>
      </w:r>
    </w:p>
    <w:p w14:paraId="5022DED5" w14:textId="2B093ED8"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64CB600D"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1: Key Methodological Choices in Aquaculture LCA and Their Implications for Carbon Footprint Assessment</w:t>
      </w:r>
    </w:p>
    <w:tbl>
      <w:tblPr>
        <w:tblStyle w:val="TableGridLight"/>
        <w:tblW w:w="0" w:type="auto"/>
        <w:tblLook w:val="04A0" w:firstRow="1" w:lastRow="0" w:firstColumn="1" w:lastColumn="0" w:noHBand="0" w:noVBand="1"/>
      </w:tblPr>
      <w:tblGrid>
        <w:gridCol w:w="2070"/>
        <w:gridCol w:w="2759"/>
        <w:gridCol w:w="4413"/>
      </w:tblGrid>
      <w:tr w:rsidR="006D2956" w:rsidRPr="006D2956" w14:paraId="29ED0570" w14:textId="77777777" w:rsidTr="006D2956">
        <w:tc>
          <w:tcPr>
            <w:tcW w:w="0" w:type="auto"/>
            <w:hideMark/>
          </w:tcPr>
          <w:p w14:paraId="6930C848"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Methodological Choice</w:t>
            </w:r>
          </w:p>
        </w:tc>
        <w:tc>
          <w:tcPr>
            <w:tcW w:w="0" w:type="auto"/>
            <w:hideMark/>
          </w:tcPr>
          <w:p w14:paraId="0F807223"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Common Approaches in Literature</w:t>
            </w:r>
          </w:p>
        </w:tc>
        <w:tc>
          <w:tcPr>
            <w:tcW w:w="0" w:type="auto"/>
            <w:hideMark/>
          </w:tcPr>
          <w:p w14:paraId="4DA7657B"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Implications for Carbon Footprint Outcomes</w:t>
            </w:r>
          </w:p>
        </w:tc>
      </w:tr>
      <w:tr w:rsidR="006D2956" w:rsidRPr="006D2956" w14:paraId="54D6B2D7" w14:textId="77777777" w:rsidTr="006D2956">
        <w:tc>
          <w:tcPr>
            <w:tcW w:w="0" w:type="auto"/>
            <w:hideMark/>
          </w:tcPr>
          <w:p w14:paraId="04F666CB"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Functional unit</w:t>
            </w:r>
          </w:p>
        </w:tc>
        <w:tc>
          <w:tcPr>
            <w:tcW w:w="0" w:type="auto"/>
            <w:hideMark/>
          </w:tcPr>
          <w:p w14:paraId="7BD229B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Live weight; edible weight; protein content</w:t>
            </w:r>
          </w:p>
        </w:tc>
        <w:tc>
          <w:tcPr>
            <w:tcW w:w="0" w:type="auto"/>
            <w:hideMark/>
          </w:tcPr>
          <w:p w14:paraId="48969B7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Edible weight and protein-based units enable fairer cross-species and food group comparisons</w:t>
            </w:r>
          </w:p>
        </w:tc>
      </w:tr>
      <w:tr w:rsidR="006D2956" w:rsidRPr="006D2956" w14:paraId="608652EB" w14:textId="77777777" w:rsidTr="006D2956">
        <w:tc>
          <w:tcPr>
            <w:tcW w:w="0" w:type="auto"/>
            <w:hideMark/>
          </w:tcPr>
          <w:p w14:paraId="4B97CC0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System boundary</w:t>
            </w:r>
          </w:p>
        </w:tc>
        <w:tc>
          <w:tcPr>
            <w:tcW w:w="0" w:type="auto"/>
            <w:hideMark/>
          </w:tcPr>
          <w:p w14:paraId="197C08C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Farm gate; processor gate; consumer</w:t>
            </w:r>
          </w:p>
        </w:tc>
        <w:tc>
          <w:tcPr>
            <w:tcW w:w="0" w:type="auto"/>
            <w:hideMark/>
          </w:tcPr>
          <w:p w14:paraId="4669B66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Extension beyond farm gate adds transport and cold chain emissions; boundary choice strongly affects comparative conclusions</w:t>
            </w:r>
          </w:p>
        </w:tc>
      </w:tr>
      <w:tr w:rsidR="006D2956" w:rsidRPr="006D2956" w14:paraId="258C80BA" w14:textId="77777777" w:rsidTr="006D2956">
        <w:tc>
          <w:tcPr>
            <w:tcW w:w="0" w:type="auto"/>
            <w:hideMark/>
          </w:tcPr>
          <w:p w14:paraId="1C27FD9B"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Allocation method</w:t>
            </w:r>
          </w:p>
        </w:tc>
        <w:tc>
          <w:tcPr>
            <w:tcW w:w="0" w:type="auto"/>
            <w:hideMark/>
          </w:tcPr>
          <w:p w14:paraId="4538DCE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Mass allocation; </w:t>
            </w:r>
            <w:r w:rsidRPr="006D2956">
              <w:rPr>
                <w:rFonts w:ascii="Times New Roman" w:eastAsia="Times New Roman" w:hAnsi="Times New Roman" w:cs="Times New Roman"/>
                <w:sz w:val="24"/>
                <w:szCs w:val="24"/>
                <w:lang w:eastAsia="en-GB"/>
              </w:rPr>
              <w:lastRenderedPageBreak/>
              <w:t>economic allocation; system expansion</w:t>
            </w:r>
          </w:p>
        </w:tc>
        <w:tc>
          <w:tcPr>
            <w:tcW w:w="0" w:type="auto"/>
            <w:hideMark/>
          </w:tcPr>
          <w:p w14:paraId="3180641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Method choice can alter absolute and </w:t>
            </w:r>
            <w:r w:rsidRPr="006D2956">
              <w:rPr>
                <w:rFonts w:ascii="Times New Roman" w:eastAsia="Times New Roman" w:hAnsi="Times New Roman" w:cs="Times New Roman"/>
                <w:sz w:val="24"/>
                <w:szCs w:val="24"/>
                <w:lang w:eastAsia="en-GB"/>
              </w:rPr>
              <w:lastRenderedPageBreak/>
              <w:t>relative carbon footprints substantially; system expansion is preferred under ISO standards</w:t>
            </w:r>
          </w:p>
        </w:tc>
      </w:tr>
      <w:tr w:rsidR="006D2956" w:rsidRPr="006D2956" w14:paraId="4BF5DE8A" w14:textId="77777777" w:rsidTr="006D2956">
        <w:tc>
          <w:tcPr>
            <w:tcW w:w="0" w:type="auto"/>
            <w:hideMark/>
          </w:tcPr>
          <w:p w14:paraId="1A33262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Background datasets</w:t>
            </w:r>
          </w:p>
        </w:tc>
        <w:tc>
          <w:tcPr>
            <w:tcW w:w="0" w:type="auto"/>
            <w:hideMark/>
          </w:tcPr>
          <w:p w14:paraId="374B840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Regional and global life cycle inventory databases; primary data</w:t>
            </w:r>
          </w:p>
        </w:tc>
        <w:tc>
          <w:tcPr>
            <w:tcW w:w="0" w:type="auto"/>
            <w:hideMark/>
          </w:tcPr>
          <w:p w14:paraId="6715D76A"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Regional variation in energy mixes and agricultural practices creates large inter-study variability</w:t>
            </w:r>
          </w:p>
        </w:tc>
      </w:tr>
      <w:tr w:rsidR="006D2956" w:rsidRPr="006D2956" w14:paraId="799EB0C7" w14:textId="77777777" w:rsidTr="006D2956">
        <w:tc>
          <w:tcPr>
            <w:tcW w:w="0" w:type="auto"/>
            <w:hideMark/>
          </w:tcPr>
          <w:p w14:paraId="32673697"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Land-use change treatment</w:t>
            </w:r>
          </w:p>
        </w:tc>
        <w:tc>
          <w:tcPr>
            <w:tcW w:w="0" w:type="auto"/>
            <w:hideMark/>
          </w:tcPr>
          <w:p w14:paraId="3CA60C4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Included or excluded</w:t>
            </w:r>
          </w:p>
        </w:tc>
        <w:tc>
          <w:tcPr>
            <w:tcW w:w="0" w:type="auto"/>
            <w:hideMark/>
          </w:tcPr>
          <w:p w14:paraId="49310BC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Inclusion can dramatically increase footprints for systems linked to mangrove or forest conversion</w:t>
            </w:r>
          </w:p>
        </w:tc>
      </w:tr>
      <w:tr w:rsidR="006D2956" w:rsidRPr="006D2956" w14:paraId="45AE4BC5" w14:textId="77777777" w:rsidTr="006D2956">
        <w:tc>
          <w:tcPr>
            <w:tcW w:w="0" w:type="auto"/>
            <w:hideMark/>
          </w:tcPr>
          <w:p w14:paraId="57F0C56B"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Direct pond emissions</w:t>
            </w:r>
          </w:p>
        </w:tc>
        <w:tc>
          <w:tcPr>
            <w:tcW w:w="0" w:type="auto"/>
            <w:hideMark/>
          </w:tcPr>
          <w:p w14:paraId="4AD26EEA"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Measured empirically or estimated from default emission factors</w:t>
            </w:r>
          </w:p>
        </w:tc>
        <w:tc>
          <w:tcPr>
            <w:tcW w:w="0" w:type="auto"/>
            <w:hideMark/>
          </w:tcPr>
          <w:p w14:paraId="05F5E71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Empirical measurement is scarce; default emission factors introduce significant uncertainty</w:t>
            </w:r>
          </w:p>
        </w:tc>
      </w:tr>
    </w:tbl>
    <w:p w14:paraId="4A9DA12D"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i/>
          <w:iCs/>
          <w:sz w:val="24"/>
          <w:szCs w:val="24"/>
          <w:lang w:eastAsia="en-GB"/>
        </w:rPr>
        <w:t xml:space="preserve">Sources: Aubin et al. (2009); Ayer &amp; </w:t>
      </w:r>
      <w:proofErr w:type="spellStart"/>
      <w:r w:rsidRPr="006D2956">
        <w:rPr>
          <w:rFonts w:ascii="Times New Roman" w:eastAsia="Times New Roman" w:hAnsi="Times New Roman" w:cs="Times New Roman"/>
          <w:i/>
          <w:iCs/>
          <w:sz w:val="24"/>
          <w:szCs w:val="24"/>
          <w:lang w:eastAsia="en-GB"/>
        </w:rPr>
        <w:t>Tyedmers</w:t>
      </w:r>
      <w:proofErr w:type="spellEnd"/>
      <w:r w:rsidRPr="006D2956">
        <w:rPr>
          <w:rFonts w:ascii="Times New Roman" w:eastAsia="Times New Roman" w:hAnsi="Times New Roman" w:cs="Times New Roman"/>
          <w:i/>
          <w:iCs/>
          <w:sz w:val="24"/>
          <w:szCs w:val="24"/>
          <w:lang w:eastAsia="en-GB"/>
        </w:rPr>
        <w:t xml:space="preserve"> (2009); </w:t>
      </w:r>
      <w:proofErr w:type="spellStart"/>
      <w:r w:rsidRPr="006D2956">
        <w:rPr>
          <w:rFonts w:ascii="Times New Roman" w:eastAsia="Times New Roman" w:hAnsi="Times New Roman" w:cs="Times New Roman"/>
          <w:i/>
          <w:iCs/>
          <w:sz w:val="24"/>
          <w:szCs w:val="24"/>
          <w:lang w:eastAsia="en-GB"/>
        </w:rPr>
        <w:t>Bohnes</w:t>
      </w:r>
      <w:proofErr w:type="spellEnd"/>
      <w:r w:rsidRPr="006D2956">
        <w:rPr>
          <w:rFonts w:ascii="Times New Roman" w:eastAsia="Times New Roman" w:hAnsi="Times New Roman" w:cs="Times New Roman"/>
          <w:i/>
          <w:iCs/>
          <w:sz w:val="24"/>
          <w:szCs w:val="24"/>
          <w:lang w:eastAsia="en-GB"/>
        </w:rPr>
        <w:t xml:space="preserve"> et al. (2019); </w:t>
      </w:r>
      <w:proofErr w:type="spellStart"/>
      <w:r w:rsidRPr="006D2956">
        <w:rPr>
          <w:rFonts w:ascii="Times New Roman" w:eastAsia="Times New Roman" w:hAnsi="Times New Roman" w:cs="Times New Roman"/>
          <w:i/>
          <w:iCs/>
          <w:sz w:val="24"/>
          <w:szCs w:val="24"/>
          <w:lang w:eastAsia="en-GB"/>
        </w:rPr>
        <w:t>Finnveden</w:t>
      </w:r>
      <w:proofErr w:type="spellEnd"/>
      <w:r w:rsidRPr="006D2956">
        <w:rPr>
          <w:rFonts w:ascii="Times New Roman" w:eastAsia="Times New Roman" w:hAnsi="Times New Roman" w:cs="Times New Roman"/>
          <w:i/>
          <w:iCs/>
          <w:sz w:val="24"/>
          <w:szCs w:val="24"/>
          <w:lang w:eastAsia="en-GB"/>
        </w:rPr>
        <w:t xml:space="preserve"> et al. (2009); Henriksson et al. (2015); Newton &amp; Little (2018); Ziegler et al. (2013)</w:t>
      </w:r>
    </w:p>
    <w:p w14:paraId="1C3D28AC" w14:textId="4C332D35"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714E027B"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4. Carbon Footprints of Major Aquaculture Systems</w:t>
      </w:r>
    </w:p>
    <w:p w14:paraId="58C22B22"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4.1 Salmonid Aquaculture</w:t>
      </w:r>
    </w:p>
    <w:p w14:paraId="2BFD9A55"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Salmonid farming, principally of Atlantic salmon (</w:t>
      </w:r>
      <w:r w:rsidRPr="006D2956">
        <w:rPr>
          <w:rFonts w:ascii="Times New Roman" w:eastAsia="Times New Roman" w:hAnsi="Times New Roman" w:cs="Times New Roman"/>
          <w:i/>
          <w:iCs/>
          <w:sz w:val="24"/>
          <w:szCs w:val="24"/>
          <w:lang w:eastAsia="en-GB"/>
        </w:rPr>
        <w:t xml:space="preserve">Salmo </w:t>
      </w:r>
      <w:proofErr w:type="spellStart"/>
      <w:r w:rsidRPr="006D2956">
        <w:rPr>
          <w:rFonts w:ascii="Times New Roman" w:eastAsia="Times New Roman" w:hAnsi="Times New Roman" w:cs="Times New Roman"/>
          <w:i/>
          <w:iCs/>
          <w:sz w:val="24"/>
          <w:szCs w:val="24"/>
          <w:lang w:eastAsia="en-GB"/>
        </w:rPr>
        <w:t>salar</w:t>
      </w:r>
      <w:proofErr w:type="spellEnd"/>
      <w:r w:rsidRPr="006D2956">
        <w:rPr>
          <w:rFonts w:ascii="Times New Roman" w:eastAsia="Times New Roman" w:hAnsi="Times New Roman" w:cs="Times New Roman"/>
          <w:sz w:val="24"/>
          <w:szCs w:val="24"/>
          <w:lang w:eastAsia="en-GB"/>
        </w:rPr>
        <w:t>) and rainbow trout (</w:t>
      </w:r>
      <w:r w:rsidRPr="006D2956">
        <w:rPr>
          <w:rFonts w:ascii="Times New Roman" w:eastAsia="Times New Roman" w:hAnsi="Times New Roman" w:cs="Times New Roman"/>
          <w:i/>
          <w:iCs/>
          <w:sz w:val="24"/>
          <w:szCs w:val="24"/>
          <w:lang w:eastAsia="en-GB"/>
        </w:rPr>
        <w:t>Oncorhynchus mykiss</w:t>
      </w:r>
      <w:r w:rsidRPr="006D2956">
        <w:rPr>
          <w:rFonts w:ascii="Times New Roman" w:eastAsia="Times New Roman" w:hAnsi="Times New Roman" w:cs="Times New Roman"/>
          <w:sz w:val="24"/>
          <w:szCs w:val="24"/>
          <w:lang w:eastAsia="en-GB"/>
        </w:rPr>
        <w:t>), has attracted more LCA studies than any other aquaculture subsector, reflecting both the commercial importance of Norwegian and Chilean production and the relative accessibility of industry data for research purposes. In a landmark comparative analysis, Pelletier et al. (2009) assessed the carbon footprints of salmon produced by six major exporting nations and found significant variation across systems, with global warming potential estimates ranging from approximately 2.9 kg CO₂-</w:t>
      </w:r>
      <w:proofErr w:type="spellStart"/>
      <w:r w:rsidRPr="006D2956">
        <w:rPr>
          <w:rFonts w:ascii="Times New Roman" w:eastAsia="Times New Roman" w:hAnsi="Times New Roman" w:cs="Times New Roman"/>
          <w:sz w:val="24"/>
          <w:szCs w:val="24"/>
          <w:lang w:eastAsia="en-GB"/>
        </w:rPr>
        <w:t>eq</w:t>
      </w:r>
      <w:proofErr w:type="spellEnd"/>
      <w:r w:rsidRPr="006D2956">
        <w:rPr>
          <w:rFonts w:ascii="Times New Roman" w:eastAsia="Times New Roman" w:hAnsi="Times New Roman" w:cs="Times New Roman"/>
          <w:sz w:val="24"/>
          <w:szCs w:val="24"/>
          <w:lang w:eastAsia="en-GB"/>
        </w:rPr>
        <w:t xml:space="preserve"> kg⁻¹ live weight for Norwegian net-pen systems to substantially higher values for certain land-based and indoor facilities. The principal driver of this variability was feed formulation — specifically the proportion of marine ingredients derived from wild-caught fish — combined with the energy mix underpinning feed manufacture and farm operations.</w:t>
      </w:r>
    </w:p>
    <w:p w14:paraId="3B1686B2"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Norwegian Atlantic salmon has been the subject of particularly thorough analysis. Ziegler et al. (2013) found that the carbon footprint of Norwegian salmon at the point of export to European markets was strongly influenced by the production of marine ingredients in fishmeal and fish oil, as well as by the energy used in processing and refrigerated transport. The progressive substitution of marine ingredients with soy protein concentrates and other plant-based ingredients in Norwegian and Chilean salmon feeds has generally yielded modest reductions in the carbon intensity of feed production, though these gains have been partially offset in some analyses by land-use-related emissions associated with soy cultivation in South America (Froehlich et al., 2018).</w:t>
      </w:r>
    </w:p>
    <w:p w14:paraId="6A3A3001"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Trout farming, studied in European contexts by </w:t>
      </w:r>
      <w:proofErr w:type="spellStart"/>
      <w:r w:rsidRPr="006D2956">
        <w:rPr>
          <w:rFonts w:ascii="Times New Roman" w:eastAsia="Times New Roman" w:hAnsi="Times New Roman" w:cs="Times New Roman"/>
          <w:sz w:val="24"/>
          <w:szCs w:val="24"/>
          <w:lang w:eastAsia="en-GB"/>
        </w:rPr>
        <w:t>d'Orbcastel</w:t>
      </w:r>
      <w:proofErr w:type="spellEnd"/>
      <w:r w:rsidRPr="006D2956">
        <w:rPr>
          <w:rFonts w:ascii="Times New Roman" w:eastAsia="Times New Roman" w:hAnsi="Times New Roman" w:cs="Times New Roman"/>
          <w:sz w:val="24"/>
          <w:szCs w:val="24"/>
          <w:lang w:eastAsia="en-GB"/>
        </w:rPr>
        <w:t xml:space="preserve"> et al. (2009) and Aubin et al. (2009), typically exhibits lower carbon footprints per kilogram of product than salmon — partly because trout are more often produced in flow-through freshwater systems with lower energy demands, and partly because trout feeds generally contain a smaller proportion of marine ingredients. The shift towards recirculating aquaculture systems in premium trout production adds energy-related emissions but can reduce environmental burdens in other </w:t>
      </w:r>
      <w:r w:rsidRPr="006D2956">
        <w:rPr>
          <w:rFonts w:ascii="Times New Roman" w:eastAsia="Times New Roman" w:hAnsi="Times New Roman" w:cs="Times New Roman"/>
          <w:sz w:val="24"/>
          <w:szCs w:val="24"/>
          <w:lang w:eastAsia="en-GB"/>
        </w:rPr>
        <w:lastRenderedPageBreak/>
        <w:t xml:space="preserve">categories, particularly those linked to water use and effluent discharge (Ahmed &amp; </w:t>
      </w:r>
      <w:proofErr w:type="spellStart"/>
      <w:r w:rsidRPr="006D2956">
        <w:rPr>
          <w:rFonts w:ascii="Times New Roman" w:eastAsia="Times New Roman" w:hAnsi="Times New Roman" w:cs="Times New Roman"/>
          <w:sz w:val="24"/>
          <w:szCs w:val="24"/>
          <w:lang w:eastAsia="en-GB"/>
        </w:rPr>
        <w:t>Turchini</w:t>
      </w:r>
      <w:proofErr w:type="spellEnd"/>
      <w:r w:rsidRPr="006D2956">
        <w:rPr>
          <w:rFonts w:ascii="Times New Roman" w:eastAsia="Times New Roman" w:hAnsi="Times New Roman" w:cs="Times New Roman"/>
          <w:sz w:val="24"/>
          <w:szCs w:val="24"/>
          <w:lang w:eastAsia="en-GB"/>
        </w:rPr>
        <w:t xml:space="preserve">, 2021). Ayer and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(2009), comparing conventional and land-based salmonid systems in Canada, found that while RAS offered important advantages in waste management and site flexibility, its substantially higher energy consumption was a significant environmental liability under the Canadian grid conditions prevailing at the time of their study.</w:t>
      </w:r>
    </w:p>
    <w:p w14:paraId="5550924B"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4.2 Shrimp and Prawn Farming</w:t>
      </w:r>
    </w:p>
    <w:p w14:paraId="0F0931B9"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Shrimp aquaculture, concentrated primarily in South and Southeast Asia and Latin America, has attracted considerable environmental scrutiny owing to its historical association with mangrove deforestation, substantial feed and chemical inputs, and high energy consumption relative to product yield. Carbon footprint estimates for farmed shrimp vary very widely in the literature, ranging from approximately 4 to more than 18 kg CO₂-</w:t>
      </w:r>
      <w:proofErr w:type="spellStart"/>
      <w:r w:rsidRPr="006D2956">
        <w:rPr>
          <w:rFonts w:ascii="Times New Roman" w:eastAsia="Times New Roman" w:hAnsi="Times New Roman" w:cs="Times New Roman"/>
          <w:sz w:val="24"/>
          <w:szCs w:val="24"/>
          <w:lang w:eastAsia="en-GB"/>
        </w:rPr>
        <w:t>eq</w:t>
      </w:r>
      <w:proofErr w:type="spellEnd"/>
      <w:r w:rsidRPr="006D2956">
        <w:rPr>
          <w:rFonts w:ascii="Times New Roman" w:eastAsia="Times New Roman" w:hAnsi="Times New Roman" w:cs="Times New Roman"/>
          <w:sz w:val="24"/>
          <w:szCs w:val="24"/>
          <w:lang w:eastAsia="en-GB"/>
        </w:rPr>
        <w:t xml:space="preserve"> kg⁻¹ live weight, with the higher end of this range largely attributable to systems that account for the carbon debt accumulated through mangrove destruction (Jonell &amp; Henriksson, 2015; Primavera, 2006).</w:t>
      </w:r>
    </w:p>
    <w:p w14:paraId="6EC53DF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Henriksson et al. (2018) applied LCA to shrimp and other aquaculture systems in Bangladesh and showed that intensifying traditional extensive and semi-intensive pond systems — while improving production efficiency per unit area — does not necessarily reduce the carbon footprint per kilogram of output if it is accompanied by increased energy and feed inputs without corresponding gains in feed conversion efficiency. </w:t>
      </w:r>
      <w:proofErr w:type="spellStart"/>
      <w:r w:rsidRPr="006D2956">
        <w:rPr>
          <w:rFonts w:ascii="Times New Roman" w:eastAsia="Times New Roman" w:hAnsi="Times New Roman" w:cs="Times New Roman"/>
          <w:sz w:val="24"/>
          <w:szCs w:val="24"/>
          <w:lang w:eastAsia="en-GB"/>
        </w:rPr>
        <w:t>Mungkung</w:t>
      </w:r>
      <w:proofErr w:type="spellEnd"/>
      <w:r w:rsidRPr="006D2956">
        <w:rPr>
          <w:rFonts w:ascii="Times New Roman" w:eastAsia="Times New Roman" w:hAnsi="Times New Roman" w:cs="Times New Roman"/>
          <w:sz w:val="24"/>
          <w:szCs w:val="24"/>
          <w:lang w:eastAsia="en-GB"/>
        </w:rPr>
        <w:t xml:space="preserve"> et al. (2013) compared conventional and integrated aquaculture systems for carp and tilapia in Indonesia and highlighted the potential for integrated cultivation approaches to achieve lower environmental impacts than mono-species intensive systems. Jonell and Henriksson (2015) further showed that certified organic shrimp farming in mangrove-integrated systems in Vietnam carried markedly different carbon profiles depending on whether changes in mangrove carbon stocks were included within the system boundary — underscoring how critical land-use change accounting is for coastal aquaculture assessments.</w:t>
      </w:r>
    </w:p>
    <w:p w14:paraId="1FE698E0"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relationship between mangrove loss and carbon emissions is particularly consequential for shrimp farming. Hamilton and Casey (2016) documented the scale of global mangrove loss during the early twenty-first century and noted the exceptionally high densities of organic carbon stored in mangrove soils, the disturbance of which releases long-sequestered carbon over timescales spanning decades. When mangrove carbon stock changes are incorporated into LCA inventories, the resulting carbon footprints for shrimp produced on converted land can rise dramatically relative to estimates that use narrower system boundaries. Bush et al. (2013) argued on this basis that certification schemes must build in robust mangrove protection and carbon accounting requirements if they are to be credible as sustainability instruments.</w:t>
      </w:r>
    </w:p>
    <w:p w14:paraId="6C839E1E"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4.3 Tilapia and Freshwater Species</w:t>
      </w:r>
    </w:p>
    <w:p w14:paraId="1055CF7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Tilapia (</w:t>
      </w:r>
      <w:r w:rsidRPr="006D2956">
        <w:rPr>
          <w:rFonts w:ascii="Times New Roman" w:eastAsia="Times New Roman" w:hAnsi="Times New Roman" w:cs="Times New Roman"/>
          <w:i/>
          <w:iCs/>
          <w:sz w:val="24"/>
          <w:szCs w:val="24"/>
          <w:lang w:eastAsia="en-GB"/>
        </w:rPr>
        <w:t>Oreochromis</w:t>
      </w:r>
      <w:r w:rsidRPr="006D2956">
        <w:rPr>
          <w:rFonts w:ascii="Times New Roman" w:eastAsia="Times New Roman" w:hAnsi="Times New Roman" w:cs="Times New Roman"/>
          <w:sz w:val="24"/>
          <w:szCs w:val="24"/>
          <w:lang w:eastAsia="en-GB"/>
        </w:rPr>
        <w:t xml:space="preserve"> spp.) are among the most widely produced freshwater fish globally and are cultivated across a broad spectrum of production intensities, from subsistence pond culture to highly intensive cage and RAS systems. Published LCA studies report carbon footprints for tilapia broadly in the range of 1.5 to 7 kg CO₂-</w:t>
      </w:r>
      <w:proofErr w:type="spellStart"/>
      <w:r w:rsidRPr="006D2956">
        <w:rPr>
          <w:rFonts w:ascii="Times New Roman" w:eastAsia="Times New Roman" w:hAnsi="Times New Roman" w:cs="Times New Roman"/>
          <w:sz w:val="24"/>
          <w:szCs w:val="24"/>
          <w:lang w:eastAsia="en-GB"/>
        </w:rPr>
        <w:t>eq</w:t>
      </w:r>
      <w:proofErr w:type="spellEnd"/>
      <w:r w:rsidRPr="006D2956">
        <w:rPr>
          <w:rFonts w:ascii="Times New Roman" w:eastAsia="Times New Roman" w:hAnsi="Times New Roman" w:cs="Times New Roman"/>
          <w:sz w:val="24"/>
          <w:szCs w:val="24"/>
          <w:lang w:eastAsia="en-GB"/>
        </w:rPr>
        <w:t xml:space="preserve"> kg⁻¹ live weight — a range that reflects considerable variation in feed composition, energy source, and production intensity (Henriksson et al., 2015; MacLeod et al., 2020). In extensive and semi-intensive pond systems, where naturally occurring algae and detritus supplement formulated feeds, carbon footprints tend towards the lower end of this range, but direct pond emissions of </w:t>
      </w:r>
      <w:r w:rsidRPr="006D2956">
        <w:rPr>
          <w:rFonts w:ascii="Times New Roman" w:eastAsia="Times New Roman" w:hAnsi="Times New Roman" w:cs="Times New Roman"/>
          <w:sz w:val="24"/>
          <w:szCs w:val="24"/>
          <w:lang w:eastAsia="en-GB"/>
        </w:rPr>
        <w:lastRenderedPageBreak/>
        <w:t>methane (CH₄) and nitrous oxide (N₂O) from organic matter decomposition and nitrification–denitrification cycles can be significant contributors to the overall climate burden (Hu et al., 2012).</w:t>
      </w:r>
    </w:p>
    <w:p w14:paraId="47042DA4"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Bosma et al. (2011) examined intensive striped catfish pond farming in the Mekong Delta and highlighted the influence of feed production and local energy conditions on the environmental profile of pangasius (</w:t>
      </w:r>
      <w:proofErr w:type="spellStart"/>
      <w:r w:rsidRPr="006D2956">
        <w:rPr>
          <w:rFonts w:ascii="Times New Roman" w:eastAsia="Times New Roman" w:hAnsi="Times New Roman" w:cs="Times New Roman"/>
          <w:b/>
          <w:bCs/>
          <w:i/>
          <w:iCs/>
          <w:sz w:val="24"/>
          <w:szCs w:val="24"/>
          <w:lang w:eastAsia="en-GB"/>
        </w:rPr>
        <w:t>Pangasianodon</w:t>
      </w:r>
      <w:proofErr w:type="spellEnd"/>
      <w:r w:rsidRPr="006D2956">
        <w:rPr>
          <w:rFonts w:ascii="Times New Roman" w:eastAsia="Times New Roman" w:hAnsi="Times New Roman" w:cs="Times New Roman"/>
          <w:b/>
          <w:bCs/>
          <w:i/>
          <w:iCs/>
          <w:sz w:val="24"/>
          <w:szCs w:val="24"/>
          <w:lang w:eastAsia="en-GB"/>
        </w:rPr>
        <w:t xml:space="preserve"> </w:t>
      </w:r>
      <w:proofErr w:type="spellStart"/>
      <w:r w:rsidRPr="006D2956">
        <w:rPr>
          <w:rFonts w:ascii="Times New Roman" w:eastAsia="Times New Roman" w:hAnsi="Times New Roman" w:cs="Times New Roman"/>
          <w:b/>
          <w:bCs/>
          <w:i/>
          <w:iCs/>
          <w:sz w:val="24"/>
          <w:szCs w:val="24"/>
          <w:lang w:eastAsia="en-GB"/>
        </w:rPr>
        <w:t>hypophthalmus</w:t>
      </w:r>
      <w:proofErr w:type="spellEnd"/>
      <w:r w:rsidRPr="006D2956">
        <w:rPr>
          <w:rFonts w:ascii="Times New Roman" w:eastAsia="Times New Roman" w:hAnsi="Times New Roman" w:cs="Times New Roman"/>
          <w:b/>
          <w:bCs/>
          <w:sz w:val="24"/>
          <w:szCs w:val="24"/>
          <w:lang w:eastAsia="en-GB"/>
        </w:rPr>
        <w:t>) production</w:t>
      </w:r>
      <w:r w:rsidRPr="006D2956">
        <w:rPr>
          <w:rFonts w:ascii="Times New Roman" w:eastAsia="Times New Roman" w:hAnsi="Times New Roman" w:cs="Times New Roman"/>
          <w:sz w:val="24"/>
          <w:szCs w:val="24"/>
          <w:lang w:eastAsia="en-GB"/>
        </w:rPr>
        <w:t xml:space="preserve"> — a species that has grown rapidly in importance as an exported commodity. Their findings pointed to considerable scope for improving environmental performance through better feed quality and management practice, an argument later echoed by Henriksson et al. (2018) in relation to the potential for sustainable intensification across South and Southeast Asian aquaculture more broadly.</w:t>
      </w:r>
    </w:p>
    <w:p w14:paraId="0657D5A2"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4.4 Bivalves and Shellfish</w:t>
      </w:r>
    </w:p>
    <w:p w14:paraId="72AB4E49"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Bivalve molluscs — principally mussels, oysters, clams, and scallops — occupy a distinctive position in the environmental performance landscape of aquaculture. Because bivalves are filter feeders that extract particulate matter directly from the water column and require no formulated feeds, the emissions associated with feed ingredient production — the dominant category in fed aquaculture — are essentially absent from their carbon footprint. LCA studies consistently report climate change impacts for bivalves among the lowest of any animal protein food, typically in the range of 0.4 to 2.0 kg CO₂-</w:t>
      </w:r>
      <w:proofErr w:type="spellStart"/>
      <w:r w:rsidRPr="006D2956">
        <w:rPr>
          <w:rFonts w:ascii="Times New Roman" w:eastAsia="Times New Roman" w:hAnsi="Times New Roman" w:cs="Times New Roman"/>
          <w:sz w:val="24"/>
          <w:szCs w:val="24"/>
          <w:lang w:eastAsia="en-GB"/>
        </w:rPr>
        <w:t>eq</w:t>
      </w:r>
      <w:proofErr w:type="spellEnd"/>
      <w:r w:rsidRPr="006D2956">
        <w:rPr>
          <w:rFonts w:ascii="Times New Roman" w:eastAsia="Times New Roman" w:hAnsi="Times New Roman" w:cs="Times New Roman"/>
          <w:sz w:val="24"/>
          <w:szCs w:val="24"/>
          <w:lang w:eastAsia="en-GB"/>
        </w:rPr>
        <w:t xml:space="preserve"> kg⁻¹ live weight (MacLeod et al., 2020; Poore &amp; Nemecek, 2018). </w:t>
      </w:r>
      <w:proofErr w:type="spellStart"/>
      <w:r w:rsidRPr="006D2956">
        <w:rPr>
          <w:rFonts w:ascii="Times New Roman" w:eastAsia="Times New Roman" w:hAnsi="Times New Roman" w:cs="Times New Roman"/>
          <w:sz w:val="24"/>
          <w:szCs w:val="24"/>
          <w:lang w:eastAsia="en-GB"/>
        </w:rPr>
        <w:t>Wilfart</w:t>
      </w:r>
      <w:proofErr w:type="spellEnd"/>
      <w:r w:rsidRPr="006D2956">
        <w:rPr>
          <w:rFonts w:ascii="Times New Roman" w:eastAsia="Times New Roman" w:hAnsi="Times New Roman" w:cs="Times New Roman"/>
          <w:sz w:val="24"/>
          <w:szCs w:val="24"/>
          <w:lang w:eastAsia="en-GB"/>
        </w:rPr>
        <w:t xml:space="preserve"> et al. (2013), examining a range of aquaculture configurations including bivalve systems using both LCA and </w:t>
      </w:r>
      <w:proofErr w:type="spellStart"/>
      <w:r w:rsidRPr="006D2956">
        <w:rPr>
          <w:rFonts w:ascii="Times New Roman" w:eastAsia="Times New Roman" w:hAnsi="Times New Roman" w:cs="Times New Roman"/>
          <w:sz w:val="24"/>
          <w:szCs w:val="24"/>
          <w:lang w:eastAsia="en-GB"/>
        </w:rPr>
        <w:t>emergy</w:t>
      </w:r>
      <w:proofErr w:type="spellEnd"/>
      <w:r w:rsidRPr="006D2956">
        <w:rPr>
          <w:rFonts w:ascii="Times New Roman" w:eastAsia="Times New Roman" w:hAnsi="Times New Roman" w:cs="Times New Roman"/>
          <w:sz w:val="24"/>
          <w:szCs w:val="24"/>
          <w:lang w:eastAsia="en-GB"/>
        </w:rPr>
        <w:t xml:space="preserve"> accounting, found that the ecological intensification potential of filter-feeders aligns particularly well with the sector's sustainability objectives.</w:t>
      </w:r>
    </w:p>
    <w:p w14:paraId="30E74DB1"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The possibility that bivalves may also provide a modest carbon sequestration function — through the incorporation of dissolved inorganic carbon into calcium carbonate shells — has attracted scientific and policy interest. </w:t>
      </w:r>
      <w:proofErr w:type="spellStart"/>
      <w:r w:rsidRPr="006D2956">
        <w:rPr>
          <w:rFonts w:ascii="Times New Roman" w:eastAsia="Times New Roman" w:hAnsi="Times New Roman" w:cs="Times New Roman"/>
          <w:sz w:val="24"/>
          <w:szCs w:val="24"/>
          <w:lang w:eastAsia="en-GB"/>
        </w:rPr>
        <w:t>Filgueira</w:t>
      </w:r>
      <w:proofErr w:type="spellEnd"/>
      <w:r w:rsidRPr="006D2956">
        <w:rPr>
          <w:rFonts w:ascii="Times New Roman" w:eastAsia="Times New Roman" w:hAnsi="Times New Roman" w:cs="Times New Roman"/>
          <w:sz w:val="24"/>
          <w:szCs w:val="24"/>
          <w:lang w:eastAsia="en-GB"/>
        </w:rPr>
        <w:t xml:space="preserve"> et al. (2015) explored the potential for cultivated bivalve shells to be integrated into carbon trading frameworks and concluded that, while the carbon immobilised in shells could in principle be credited, robust accounting protocols and long-term verification of shell fate would be prerequisites for any credible crediting mechanism.</w:t>
      </w:r>
    </w:p>
    <w:p w14:paraId="349C4CDA"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4.5 Seaweed and Algae Cultivation</w:t>
      </w:r>
    </w:p>
    <w:p w14:paraId="6B3D20F5"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Seaweed aquaculture constitutes a rapidly growing segment of global production and has attracted increasing scientific and policy interest as a potential contributor to climate change mitigation through carbon sequestration, nutrient </w:t>
      </w:r>
      <w:proofErr w:type="spellStart"/>
      <w:r w:rsidRPr="006D2956">
        <w:rPr>
          <w:rFonts w:ascii="Times New Roman" w:eastAsia="Times New Roman" w:hAnsi="Times New Roman" w:cs="Times New Roman"/>
          <w:sz w:val="24"/>
          <w:szCs w:val="24"/>
          <w:lang w:eastAsia="en-GB"/>
        </w:rPr>
        <w:t>bioextraction</w:t>
      </w:r>
      <w:proofErr w:type="spellEnd"/>
      <w:r w:rsidRPr="006D2956">
        <w:rPr>
          <w:rFonts w:ascii="Times New Roman" w:eastAsia="Times New Roman" w:hAnsi="Times New Roman" w:cs="Times New Roman"/>
          <w:sz w:val="24"/>
          <w:szCs w:val="24"/>
          <w:lang w:eastAsia="en-GB"/>
        </w:rPr>
        <w:t>, and the replacement of energy-intensive terrestrial agricultural ingredients in food and feed systems. Duarte et al. (2017) provided a comprehensive assessment of the potential roles of seaweed farming in climate mitigation and adaptation, identifying both the genuine promise of kelp and other macroalgae systems and the significant uncertainties that still surround carbon flux dynamics in cultivation environments. Krause-Jensen and Duarte (2016) estimated that natural macroalgal ecosystems play a substantial role in global marine carbon cycling, providing part of the scientific basis for assessing whether cultivated seaweed could replicate or enhance this function.</w:t>
      </w:r>
    </w:p>
    <w:p w14:paraId="2326481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The carbon footprint of seaweed cultivation itself is very low — often near zero or marginally negative per kilogram of biomass once a credit is applied for the removal of dissolved inorganic nitrogen and phosphorus from the water column — although the net climate benefit depends on what the seaweed displaces elsewhere in the value chain (Chopin et al., 2001). As an ingredient in aquafeeds, seaweed-derived meal or algal oil can substitute for marine-derived or terrestrial crop-derived ingredients with potentially significant reductions in carbon intensity per tonne of feed (Becker, 2007). Integrated multi-trophic aquaculture systems that combine finfish, shellfish, and seaweed cultivation within a single production framework represent perhaps the most systematic attempt to capture the carbon and nutrient cycling benefits of macroalgae within a commercial setting (Troell et al., 2009).</w:t>
      </w:r>
    </w:p>
    <w:p w14:paraId="0EA7B821"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2 brings together carbon footprint estimates from peer-reviewed LCA studies for the major aquaculture species and production system types discussed in this section. The figures illustrate the enormous variation both between and within species groups, reinforcing the case for system-specific analysis rather than broad generalisation.</w:t>
      </w:r>
    </w:p>
    <w:p w14:paraId="534F7871" w14:textId="625A1D33"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2ACC7892"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2: Approximate Carbon Footprint Estimates (kg CO₂-</w:t>
      </w:r>
      <w:proofErr w:type="spellStart"/>
      <w:r w:rsidRPr="006D2956">
        <w:rPr>
          <w:rFonts w:ascii="Times New Roman" w:eastAsia="Times New Roman" w:hAnsi="Times New Roman" w:cs="Times New Roman"/>
          <w:b/>
          <w:bCs/>
          <w:sz w:val="24"/>
          <w:szCs w:val="24"/>
          <w:lang w:eastAsia="en-GB"/>
        </w:rPr>
        <w:t>eq</w:t>
      </w:r>
      <w:proofErr w:type="spellEnd"/>
      <w:r w:rsidRPr="006D2956">
        <w:rPr>
          <w:rFonts w:ascii="Times New Roman" w:eastAsia="Times New Roman" w:hAnsi="Times New Roman" w:cs="Times New Roman"/>
          <w:b/>
          <w:bCs/>
          <w:sz w:val="24"/>
          <w:szCs w:val="24"/>
          <w:lang w:eastAsia="en-GB"/>
        </w:rPr>
        <w:t xml:space="preserve"> per kg Live-weight Product) for Major Aquaculture Systems</w:t>
      </w:r>
    </w:p>
    <w:tbl>
      <w:tblPr>
        <w:tblStyle w:val="TableGridLight"/>
        <w:tblW w:w="0" w:type="auto"/>
        <w:tblLook w:val="04A0" w:firstRow="1" w:lastRow="0" w:firstColumn="1" w:lastColumn="0" w:noHBand="0" w:noVBand="1"/>
      </w:tblPr>
      <w:tblGrid>
        <w:gridCol w:w="1421"/>
        <w:gridCol w:w="2065"/>
        <w:gridCol w:w="2508"/>
        <w:gridCol w:w="3248"/>
      </w:tblGrid>
      <w:tr w:rsidR="006D2956" w:rsidRPr="006D2956" w14:paraId="32A4EAC8" w14:textId="77777777" w:rsidTr="006D2956">
        <w:tc>
          <w:tcPr>
            <w:tcW w:w="0" w:type="auto"/>
            <w:hideMark/>
          </w:tcPr>
          <w:p w14:paraId="013A33A3"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Species / System</w:t>
            </w:r>
          </w:p>
        </w:tc>
        <w:tc>
          <w:tcPr>
            <w:tcW w:w="0" w:type="auto"/>
            <w:hideMark/>
          </w:tcPr>
          <w:p w14:paraId="30DBA957"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Production System Type</w:t>
            </w:r>
          </w:p>
        </w:tc>
        <w:tc>
          <w:tcPr>
            <w:tcW w:w="0" w:type="auto"/>
            <w:hideMark/>
          </w:tcPr>
          <w:p w14:paraId="75FC4020"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Carbon Footprint Range (kg CO₂-</w:t>
            </w:r>
            <w:proofErr w:type="spellStart"/>
            <w:r w:rsidRPr="006D2956">
              <w:rPr>
                <w:rFonts w:ascii="Times New Roman" w:eastAsia="Times New Roman" w:hAnsi="Times New Roman" w:cs="Times New Roman"/>
                <w:b/>
                <w:bCs/>
                <w:sz w:val="24"/>
                <w:szCs w:val="24"/>
                <w:lang w:eastAsia="en-GB"/>
              </w:rPr>
              <w:t>eq</w:t>
            </w:r>
            <w:proofErr w:type="spellEnd"/>
            <w:r w:rsidRPr="006D2956">
              <w:rPr>
                <w:rFonts w:ascii="Times New Roman" w:eastAsia="Times New Roman" w:hAnsi="Times New Roman" w:cs="Times New Roman"/>
                <w:b/>
                <w:bCs/>
                <w:sz w:val="24"/>
                <w:szCs w:val="24"/>
                <w:lang w:eastAsia="en-GB"/>
              </w:rPr>
              <w:t xml:space="preserve"> kg⁻¹ LW)</w:t>
            </w:r>
          </w:p>
        </w:tc>
        <w:tc>
          <w:tcPr>
            <w:tcW w:w="0" w:type="auto"/>
            <w:hideMark/>
          </w:tcPr>
          <w:p w14:paraId="693508F1"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Key Drivers of Variation</w:t>
            </w:r>
          </w:p>
        </w:tc>
      </w:tr>
      <w:tr w:rsidR="006D2956" w:rsidRPr="006D2956" w14:paraId="7905381F" w14:textId="77777777" w:rsidTr="006D2956">
        <w:tc>
          <w:tcPr>
            <w:tcW w:w="0" w:type="auto"/>
            <w:hideMark/>
          </w:tcPr>
          <w:p w14:paraId="7BCFBD57"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Atlantic salmon</w:t>
            </w:r>
          </w:p>
        </w:tc>
        <w:tc>
          <w:tcPr>
            <w:tcW w:w="0" w:type="auto"/>
            <w:hideMark/>
          </w:tcPr>
          <w:p w14:paraId="6B9FA5C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Marine net-pen (Norway / Chile)</w:t>
            </w:r>
          </w:p>
        </w:tc>
        <w:tc>
          <w:tcPr>
            <w:tcW w:w="0" w:type="auto"/>
            <w:hideMark/>
          </w:tcPr>
          <w:p w14:paraId="66A7577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2.9 – 6.0</w:t>
            </w:r>
          </w:p>
        </w:tc>
        <w:tc>
          <w:tcPr>
            <w:tcW w:w="0" w:type="auto"/>
            <w:hideMark/>
          </w:tcPr>
          <w:p w14:paraId="3CD2AB5F"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marine ingredient content; energy mix; feed conversion ratio</w:t>
            </w:r>
          </w:p>
        </w:tc>
      </w:tr>
      <w:tr w:rsidR="006D2956" w:rsidRPr="006D2956" w14:paraId="519C6D24" w14:textId="77777777" w:rsidTr="006D2956">
        <w:tc>
          <w:tcPr>
            <w:tcW w:w="0" w:type="auto"/>
            <w:hideMark/>
          </w:tcPr>
          <w:p w14:paraId="5846EA9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Rainbow trout</w:t>
            </w:r>
          </w:p>
        </w:tc>
        <w:tc>
          <w:tcPr>
            <w:tcW w:w="0" w:type="auto"/>
            <w:hideMark/>
          </w:tcPr>
          <w:p w14:paraId="33A2309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Flow-through freshwater; RAS</w:t>
            </w:r>
          </w:p>
        </w:tc>
        <w:tc>
          <w:tcPr>
            <w:tcW w:w="0" w:type="auto"/>
            <w:hideMark/>
          </w:tcPr>
          <w:p w14:paraId="702E0DBA"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1.5 – 5.0</w:t>
            </w:r>
          </w:p>
        </w:tc>
        <w:tc>
          <w:tcPr>
            <w:tcW w:w="0" w:type="auto"/>
            <w:hideMark/>
          </w:tcPr>
          <w:p w14:paraId="31D19DB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source; feed ingredient mix; system intensity</w:t>
            </w:r>
          </w:p>
        </w:tc>
      </w:tr>
      <w:tr w:rsidR="006D2956" w:rsidRPr="006D2956" w14:paraId="6E500A92" w14:textId="77777777" w:rsidTr="006D2956">
        <w:tc>
          <w:tcPr>
            <w:tcW w:w="0" w:type="auto"/>
            <w:hideMark/>
          </w:tcPr>
          <w:p w14:paraId="7913DAFC" w14:textId="77777777" w:rsidR="006D2956" w:rsidRPr="006D2956" w:rsidRDefault="006D2956" w:rsidP="006D2956">
            <w:pPr>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Whiteleg</w:t>
            </w:r>
            <w:proofErr w:type="spellEnd"/>
            <w:r w:rsidRPr="006D2956">
              <w:rPr>
                <w:rFonts w:ascii="Times New Roman" w:eastAsia="Times New Roman" w:hAnsi="Times New Roman" w:cs="Times New Roman"/>
                <w:sz w:val="24"/>
                <w:szCs w:val="24"/>
                <w:lang w:eastAsia="en-GB"/>
              </w:rPr>
              <w:t xml:space="preserve"> shrimp</w:t>
            </w:r>
          </w:p>
        </w:tc>
        <w:tc>
          <w:tcPr>
            <w:tcW w:w="0" w:type="auto"/>
            <w:hideMark/>
          </w:tcPr>
          <w:p w14:paraId="09C4FEBF"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Semi-intensive / intensive pond</w:t>
            </w:r>
          </w:p>
        </w:tc>
        <w:tc>
          <w:tcPr>
            <w:tcW w:w="0" w:type="auto"/>
            <w:hideMark/>
          </w:tcPr>
          <w:p w14:paraId="656D88FA"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4.0 – 18.0+</w:t>
            </w:r>
          </w:p>
        </w:tc>
        <w:tc>
          <w:tcPr>
            <w:tcW w:w="0" w:type="auto"/>
            <w:hideMark/>
          </w:tcPr>
          <w:p w14:paraId="362CC36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Mangrove land-use change; feed composition; energy intensity</w:t>
            </w:r>
          </w:p>
        </w:tc>
      </w:tr>
      <w:tr w:rsidR="006D2956" w:rsidRPr="006D2956" w14:paraId="289EB6D7" w14:textId="77777777" w:rsidTr="006D2956">
        <w:tc>
          <w:tcPr>
            <w:tcW w:w="0" w:type="auto"/>
            <w:hideMark/>
          </w:tcPr>
          <w:p w14:paraId="0FB274EF"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Tilapia</w:t>
            </w:r>
          </w:p>
        </w:tc>
        <w:tc>
          <w:tcPr>
            <w:tcW w:w="0" w:type="auto"/>
            <w:hideMark/>
          </w:tcPr>
          <w:p w14:paraId="4C3CABE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Pond (extensive to intensive)</w:t>
            </w:r>
          </w:p>
        </w:tc>
        <w:tc>
          <w:tcPr>
            <w:tcW w:w="0" w:type="auto"/>
            <w:hideMark/>
          </w:tcPr>
          <w:p w14:paraId="4E9B5D7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1.5 – 7.0</w:t>
            </w:r>
          </w:p>
        </w:tc>
        <w:tc>
          <w:tcPr>
            <w:tcW w:w="0" w:type="auto"/>
            <w:hideMark/>
          </w:tcPr>
          <w:p w14:paraId="395C651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quality; direct pond emissions; energy source</w:t>
            </w:r>
          </w:p>
        </w:tc>
      </w:tr>
      <w:tr w:rsidR="006D2956" w:rsidRPr="006D2956" w14:paraId="51EE8A64" w14:textId="77777777" w:rsidTr="006D2956">
        <w:tc>
          <w:tcPr>
            <w:tcW w:w="0" w:type="auto"/>
            <w:hideMark/>
          </w:tcPr>
          <w:p w14:paraId="6BD9124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Pangasius</w:t>
            </w:r>
          </w:p>
        </w:tc>
        <w:tc>
          <w:tcPr>
            <w:tcW w:w="0" w:type="auto"/>
            <w:hideMark/>
          </w:tcPr>
          <w:p w14:paraId="019EDBC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Pond / cage (intensive)</w:t>
            </w:r>
          </w:p>
        </w:tc>
        <w:tc>
          <w:tcPr>
            <w:tcW w:w="0" w:type="auto"/>
            <w:hideMark/>
          </w:tcPr>
          <w:p w14:paraId="46630F54"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2.0 – 6.0</w:t>
            </w:r>
          </w:p>
        </w:tc>
        <w:tc>
          <w:tcPr>
            <w:tcW w:w="0" w:type="auto"/>
            <w:hideMark/>
          </w:tcPr>
          <w:p w14:paraId="614FEAC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formulation; local energy mix</w:t>
            </w:r>
          </w:p>
        </w:tc>
      </w:tr>
      <w:tr w:rsidR="006D2956" w:rsidRPr="006D2956" w14:paraId="15C857FC" w14:textId="77777777" w:rsidTr="006D2956">
        <w:tc>
          <w:tcPr>
            <w:tcW w:w="0" w:type="auto"/>
            <w:hideMark/>
          </w:tcPr>
          <w:p w14:paraId="473FFDB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Mussels / oysters</w:t>
            </w:r>
          </w:p>
        </w:tc>
        <w:tc>
          <w:tcPr>
            <w:tcW w:w="0" w:type="auto"/>
            <w:hideMark/>
          </w:tcPr>
          <w:p w14:paraId="7CF511B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Longline / raft</w:t>
            </w:r>
          </w:p>
        </w:tc>
        <w:tc>
          <w:tcPr>
            <w:tcW w:w="0" w:type="auto"/>
            <w:hideMark/>
          </w:tcPr>
          <w:p w14:paraId="60B5C18B"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0.4 – 2.0</w:t>
            </w:r>
          </w:p>
        </w:tc>
        <w:tc>
          <w:tcPr>
            <w:tcW w:w="0" w:type="auto"/>
            <w:hideMark/>
          </w:tcPr>
          <w:p w14:paraId="37CEDB8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No feed inputs; energy for harvest and processing</w:t>
            </w:r>
          </w:p>
        </w:tc>
      </w:tr>
      <w:tr w:rsidR="006D2956" w:rsidRPr="006D2956" w14:paraId="296AE502" w14:textId="77777777" w:rsidTr="006D2956">
        <w:tc>
          <w:tcPr>
            <w:tcW w:w="0" w:type="auto"/>
            <w:hideMark/>
          </w:tcPr>
          <w:p w14:paraId="41E409C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Seaweed</w:t>
            </w:r>
          </w:p>
        </w:tc>
        <w:tc>
          <w:tcPr>
            <w:tcW w:w="0" w:type="auto"/>
            <w:hideMark/>
          </w:tcPr>
          <w:p w14:paraId="64581013"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Longline cultivation</w:t>
            </w:r>
          </w:p>
        </w:tc>
        <w:tc>
          <w:tcPr>
            <w:tcW w:w="0" w:type="auto"/>
            <w:hideMark/>
          </w:tcPr>
          <w:p w14:paraId="216DA19D"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Near zero to negative</w:t>
            </w:r>
          </w:p>
        </w:tc>
        <w:tc>
          <w:tcPr>
            <w:tcW w:w="0" w:type="auto"/>
            <w:hideMark/>
          </w:tcPr>
          <w:p w14:paraId="05DDCF6B"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Nutrient </w:t>
            </w:r>
            <w:proofErr w:type="spellStart"/>
            <w:r w:rsidRPr="006D2956">
              <w:rPr>
                <w:rFonts w:ascii="Times New Roman" w:eastAsia="Times New Roman" w:hAnsi="Times New Roman" w:cs="Times New Roman"/>
                <w:sz w:val="24"/>
                <w:szCs w:val="24"/>
                <w:lang w:eastAsia="en-GB"/>
              </w:rPr>
              <w:t>bioextraction</w:t>
            </w:r>
            <w:proofErr w:type="spellEnd"/>
            <w:r w:rsidRPr="006D2956">
              <w:rPr>
                <w:rFonts w:ascii="Times New Roman" w:eastAsia="Times New Roman" w:hAnsi="Times New Roman" w:cs="Times New Roman"/>
                <w:sz w:val="24"/>
                <w:szCs w:val="24"/>
                <w:lang w:eastAsia="en-GB"/>
              </w:rPr>
              <w:t xml:space="preserve"> credit; minimal energy inputs</w:t>
            </w:r>
          </w:p>
        </w:tc>
      </w:tr>
    </w:tbl>
    <w:p w14:paraId="04E04CDB"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i/>
          <w:iCs/>
          <w:sz w:val="24"/>
          <w:szCs w:val="24"/>
          <w:lang w:eastAsia="en-GB"/>
        </w:rPr>
        <w:t xml:space="preserve">Sources: Aubin et al. (2009); Ayer &amp; </w:t>
      </w:r>
      <w:proofErr w:type="spellStart"/>
      <w:r w:rsidRPr="006D2956">
        <w:rPr>
          <w:rFonts w:ascii="Times New Roman" w:eastAsia="Times New Roman" w:hAnsi="Times New Roman" w:cs="Times New Roman"/>
          <w:i/>
          <w:iCs/>
          <w:sz w:val="24"/>
          <w:szCs w:val="24"/>
          <w:lang w:eastAsia="en-GB"/>
        </w:rPr>
        <w:t>Tyedmers</w:t>
      </w:r>
      <w:proofErr w:type="spellEnd"/>
      <w:r w:rsidRPr="006D2956">
        <w:rPr>
          <w:rFonts w:ascii="Times New Roman" w:eastAsia="Times New Roman" w:hAnsi="Times New Roman" w:cs="Times New Roman"/>
          <w:i/>
          <w:iCs/>
          <w:sz w:val="24"/>
          <w:szCs w:val="24"/>
          <w:lang w:eastAsia="en-GB"/>
        </w:rPr>
        <w:t xml:space="preserve"> (2009); </w:t>
      </w:r>
      <w:r w:rsidRPr="006D2956">
        <w:rPr>
          <w:rFonts w:ascii="Times New Roman" w:eastAsia="Times New Roman" w:hAnsi="Times New Roman" w:cs="Times New Roman"/>
          <w:b/>
          <w:bCs/>
          <w:i/>
          <w:iCs/>
          <w:sz w:val="24"/>
          <w:szCs w:val="24"/>
          <w:lang w:eastAsia="en-GB"/>
        </w:rPr>
        <w:t>Bosma et al. (2011)</w:t>
      </w:r>
      <w:r w:rsidRPr="006D2956">
        <w:rPr>
          <w:rFonts w:ascii="Times New Roman" w:eastAsia="Times New Roman" w:hAnsi="Times New Roman" w:cs="Times New Roman"/>
          <w:i/>
          <w:iCs/>
          <w:sz w:val="24"/>
          <w:szCs w:val="24"/>
          <w:lang w:eastAsia="en-GB"/>
        </w:rPr>
        <w:t xml:space="preserve">; </w:t>
      </w:r>
      <w:proofErr w:type="spellStart"/>
      <w:r w:rsidRPr="006D2956">
        <w:rPr>
          <w:rFonts w:ascii="Times New Roman" w:eastAsia="Times New Roman" w:hAnsi="Times New Roman" w:cs="Times New Roman"/>
          <w:i/>
          <w:iCs/>
          <w:sz w:val="24"/>
          <w:szCs w:val="24"/>
          <w:lang w:eastAsia="en-GB"/>
        </w:rPr>
        <w:t>d'Orbcastel</w:t>
      </w:r>
      <w:proofErr w:type="spellEnd"/>
      <w:r w:rsidRPr="006D2956">
        <w:rPr>
          <w:rFonts w:ascii="Times New Roman" w:eastAsia="Times New Roman" w:hAnsi="Times New Roman" w:cs="Times New Roman"/>
          <w:i/>
          <w:iCs/>
          <w:sz w:val="24"/>
          <w:szCs w:val="24"/>
          <w:lang w:eastAsia="en-GB"/>
        </w:rPr>
        <w:t xml:space="preserve"> et al. (2009); Duarte et al. (2017); Henriksson et al. (2015); Jonell &amp; Henriksson (2015); MacLeod et al. (2020); Pelletier et al. (2009); Poore &amp; Nemecek (2018); </w:t>
      </w:r>
      <w:proofErr w:type="spellStart"/>
      <w:r w:rsidRPr="006D2956">
        <w:rPr>
          <w:rFonts w:ascii="Times New Roman" w:eastAsia="Times New Roman" w:hAnsi="Times New Roman" w:cs="Times New Roman"/>
          <w:i/>
          <w:iCs/>
          <w:sz w:val="24"/>
          <w:szCs w:val="24"/>
          <w:lang w:eastAsia="en-GB"/>
        </w:rPr>
        <w:t>Wilfart</w:t>
      </w:r>
      <w:proofErr w:type="spellEnd"/>
      <w:r w:rsidRPr="006D2956">
        <w:rPr>
          <w:rFonts w:ascii="Times New Roman" w:eastAsia="Times New Roman" w:hAnsi="Times New Roman" w:cs="Times New Roman"/>
          <w:i/>
          <w:iCs/>
          <w:sz w:val="24"/>
          <w:szCs w:val="24"/>
          <w:lang w:eastAsia="en-GB"/>
        </w:rPr>
        <w:t xml:space="preserve"> et al. (2013)</w:t>
      </w:r>
    </w:p>
    <w:p w14:paraId="2BF119D8" w14:textId="361F0A4A"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5B79345B"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5. Primary Emission Sources in Aquaculture</w:t>
      </w:r>
    </w:p>
    <w:p w14:paraId="53DA6C70"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5.1 Feed Production and the Fishmeal Dependency</w:t>
      </w:r>
    </w:p>
    <w:p w14:paraId="7D7ED54F"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Feed production is the single most important contributor to the carbon footprint of fed aquaculture, typically accounting for 50% to more than 80% of total cradle-to-farm-gate GHG emissions in intensive systems (</w:t>
      </w:r>
      <w:proofErr w:type="spellStart"/>
      <w:r w:rsidRPr="006D2956">
        <w:rPr>
          <w:rFonts w:ascii="Times New Roman" w:eastAsia="Times New Roman" w:hAnsi="Times New Roman" w:cs="Times New Roman"/>
          <w:sz w:val="24"/>
          <w:szCs w:val="24"/>
          <w:lang w:eastAsia="en-GB"/>
        </w:rPr>
        <w:t>Papatryphon</w:t>
      </w:r>
      <w:proofErr w:type="spellEnd"/>
      <w:r w:rsidRPr="006D2956">
        <w:rPr>
          <w:rFonts w:ascii="Times New Roman" w:eastAsia="Times New Roman" w:hAnsi="Times New Roman" w:cs="Times New Roman"/>
          <w:sz w:val="24"/>
          <w:szCs w:val="24"/>
          <w:lang w:eastAsia="en-GB"/>
        </w:rPr>
        <w:t xml:space="preserve"> et al., 2004; Pelletier et al., 2009). Within the feed fraction, the production of fishmeal and fish oil from industrial reduction fisheries — primarily the harvesting of small pelagic species such as Peruvian anchovies (</w:t>
      </w:r>
      <w:proofErr w:type="spellStart"/>
      <w:r w:rsidRPr="006D2956">
        <w:rPr>
          <w:rFonts w:ascii="Times New Roman" w:eastAsia="Times New Roman" w:hAnsi="Times New Roman" w:cs="Times New Roman"/>
          <w:i/>
          <w:iCs/>
          <w:sz w:val="24"/>
          <w:szCs w:val="24"/>
          <w:lang w:eastAsia="en-GB"/>
        </w:rPr>
        <w:t>Engraulis</w:t>
      </w:r>
      <w:proofErr w:type="spellEnd"/>
      <w:r w:rsidRPr="006D2956">
        <w:rPr>
          <w:rFonts w:ascii="Times New Roman" w:eastAsia="Times New Roman" w:hAnsi="Times New Roman" w:cs="Times New Roman"/>
          <w:i/>
          <w:iCs/>
          <w:sz w:val="24"/>
          <w:szCs w:val="24"/>
          <w:lang w:eastAsia="en-GB"/>
        </w:rPr>
        <w:t xml:space="preserve"> </w:t>
      </w:r>
      <w:proofErr w:type="spellStart"/>
      <w:r w:rsidRPr="006D2956">
        <w:rPr>
          <w:rFonts w:ascii="Times New Roman" w:eastAsia="Times New Roman" w:hAnsi="Times New Roman" w:cs="Times New Roman"/>
          <w:i/>
          <w:iCs/>
          <w:sz w:val="24"/>
          <w:szCs w:val="24"/>
          <w:lang w:eastAsia="en-GB"/>
        </w:rPr>
        <w:t>ringens</w:t>
      </w:r>
      <w:proofErr w:type="spellEnd"/>
      <w:r w:rsidRPr="006D2956">
        <w:rPr>
          <w:rFonts w:ascii="Times New Roman" w:eastAsia="Times New Roman" w:hAnsi="Times New Roman" w:cs="Times New Roman"/>
          <w:sz w:val="24"/>
          <w:szCs w:val="24"/>
          <w:lang w:eastAsia="en-GB"/>
        </w:rPr>
        <w:t>), Atlantic herring, and sand eels — is consistently identified as the dominant emission hotspot. The diesel-powered fishing vessels used in these fisheries consume substantial fuel per tonne of raw material landed, and the thermal drying and pressing operations at reduction plants add a further layer of energy-related emissions. Tacon and Metian (2008) documented global trends in fishmeal and fish oil use in aquafeeds and concluded that a disproportionately large share of global fishmeal production is consumed by the aquaculture sector, particularly by salmon and shrimp producers. The fish-in, fish-out dynamics of the sector remain a subject of active analysis: Kok et al. (2020) quantified this ratio using economic allocation and found substantial variation across species and production contexts.</w:t>
      </w:r>
    </w:p>
    <w:p w14:paraId="05CA22A0"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drive to reduce marine ingredient content in aquafeeds — motivated by both sustainability concerns and rising raw material costs — has led to the progressive substitution of fishmeal with terrestrial plant proteins, principally soy protein concentrate, pea protein, rapeseed meal, and wheat gluten (Froehlich et al., 2018; Olsen &amp; Hasan, 2012). While this substitution generally reduces the direct emission burden associated with marine ingredient production, it introduces new burdens linked to the cultivation and processing of plant-based ingredients, including potentially very large indirect land-use change emissions from soy production in tropical regions. Hamilton and Casey (2016) and Naylor et al. (2021) both highlighted the significance of such indirect land-use change emissions, noting that they can substantially erode the apparent carbon benefits of marine ingredient substitution depending on the origin and certification status of the plant protein ingredients used.</w:t>
      </w:r>
    </w:p>
    <w:p w14:paraId="369F0F65"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5.2 Energy Consumption</w:t>
      </w:r>
    </w:p>
    <w:p w14:paraId="0F1E632C"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Energy consumption at the farm level — for water pumping, aeration, heating, refrigeration, lighting, and feed delivery — constitutes the second most important source of GHG emissions for most aquaculture systems, and becomes the dominant contributor in high-energy configurations such as recirculating aquaculture systems and heated indoor facilities (Badiola et al., 2018; </w:t>
      </w:r>
      <w:proofErr w:type="spellStart"/>
      <w:r w:rsidRPr="006D2956">
        <w:rPr>
          <w:rFonts w:ascii="Times New Roman" w:eastAsia="Times New Roman" w:hAnsi="Times New Roman" w:cs="Times New Roman"/>
          <w:sz w:val="24"/>
          <w:szCs w:val="24"/>
          <w:lang w:eastAsia="en-GB"/>
        </w:rPr>
        <w:t>d'Orbcastel</w:t>
      </w:r>
      <w:proofErr w:type="spellEnd"/>
      <w:r w:rsidRPr="006D2956">
        <w:rPr>
          <w:rFonts w:ascii="Times New Roman" w:eastAsia="Times New Roman" w:hAnsi="Times New Roman" w:cs="Times New Roman"/>
          <w:sz w:val="24"/>
          <w:szCs w:val="24"/>
          <w:lang w:eastAsia="en-GB"/>
        </w:rPr>
        <w:t xml:space="preserve"> et al., 2009). The carbon intensity of farm energy use depends critically on the electricity generation mix of the country or region in which the farm is located. Facilities operating in countries with a high share of hydroelectric or other renewable electricity — Norway and Iceland being obvious examples — carry a substantially lower energy-related GHG burden than equivalent operations in economies where coal or natural gas dominate power generation.</w:t>
      </w:r>
    </w:p>
    <w:p w14:paraId="1BCF3B6B"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This sensitivity to the national energy mix has important implications both for the cross-country comparability of LCA results and for identifying emission reduction opportunities. MacLeod et al. (2020) estimated that shifting aquaculture production towards regions with lower-carbon electricity, or transitioning on-farm energy supply towards renewables, could yield significant sector-wide emissions reductions independently of any change in production technology or feed formulation. Badiola et al. (2018), reviewing the specific energy consumption profile of RAS facilities, identified water treatment processes — particularly aeration, biofiltration, and UV disinfection — as the principal energy consumers, providing a clear basis for technology-focused efficiency programmes in next-generation system designs.</w:t>
      </w:r>
    </w:p>
    <w:p w14:paraId="782746B1"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lastRenderedPageBreak/>
        <w:t>5.3 Land-use Change and Ecosystem Conversion</w:t>
      </w:r>
    </w:p>
    <w:p w14:paraId="15CFF7CE"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Land-use change is a frequently underappreciated but potentially very significant emission source in aquaculture, operating through two main pathways. The first, noted already in Section 5.1, is the cultivation of terrestrial feed ingredients — particularly soy — in regions where agricultural expansion encroaches on forests, </w:t>
      </w:r>
      <w:proofErr w:type="spellStart"/>
      <w:r w:rsidRPr="006D2956">
        <w:rPr>
          <w:rFonts w:ascii="Times New Roman" w:eastAsia="Times New Roman" w:hAnsi="Times New Roman" w:cs="Times New Roman"/>
          <w:sz w:val="24"/>
          <w:szCs w:val="24"/>
          <w:lang w:eastAsia="en-GB"/>
        </w:rPr>
        <w:t>cerrado</w:t>
      </w:r>
      <w:proofErr w:type="spellEnd"/>
      <w:r w:rsidRPr="006D2956">
        <w:rPr>
          <w:rFonts w:ascii="Times New Roman" w:eastAsia="Times New Roman" w:hAnsi="Times New Roman" w:cs="Times New Roman"/>
          <w:sz w:val="24"/>
          <w:szCs w:val="24"/>
          <w:lang w:eastAsia="en-GB"/>
        </w:rPr>
        <w:t>, or other carbon-rich ecosystems. The second is the direct conversion of coastal habitats, most notably mangrove forests, for the construction of shrimp and fish ponds (Hamilton &amp; Casey, 2016; Primavera, 2006).</w:t>
      </w:r>
    </w:p>
    <w:p w14:paraId="666244EB"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Mangrove soils store exceptionally large quantities of organic carbon — so-called blue carbon — and their conversion releases this material into the atmosphere over timescales spanning decades (Krause-Jensen &amp; Duarte, 2016). As discussed in Section 4.2, Jonell and Henriksson (2015) showed that incorporating mangrove carbon stock changes into LCA inventories can increase the estimated carbon footprint of farmed shrimp by an order of magnitude relative to assessments that exclude land-use change emissions. Bush et al. (2013) noted that certification schemes for sustainable aquaculture have incorporated mangrove protection requirements with increasing rigour, although independent verification and enforcement remain challenging in many producing countries. Whether blue carbon fluxes are included or excluded from national GHG inventories and LCA studies is therefore both a scientific and a governance question, with far-reaching policy implications.</w:t>
      </w:r>
    </w:p>
    <w:p w14:paraId="62FAD638"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5.4 Direct Greenhouse Gas Emissions from Water Bodies</w:t>
      </w:r>
    </w:p>
    <w:p w14:paraId="4BF8FCEF"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Aquaculture ponds, coastal </w:t>
      </w:r>
      <w:proofErr w:type="spellStart"/>
      <w:r w:rsidRPr="006D2956">
        <w:rPr>
          <w:rFonts w:ascii="Times New Roman" w:eastAsia="Times New Roman" w:hAnsi="Times New Roman" w:cs="Times New Roman"/>
          <w:sz w:val="24"/>
          <w:szCs w:val="24"/>
          <w:lang w:eastAsia="en-GB"/>
        </w:rPr>
        <w:t>embayments</w:t>
      </w:r>
      <w:proofErr w:type="spellEnd"/>
      <w:r w:rsidRPr="006D2956">
        <w:rPr>
          <w:rFonts w:ascii="Times New Roman" w:eastAsia="Times New Roman" w:hAnsi="Times New Roman" w:cs="Times New Roman"/>
          <w:sz w:val="24"/>
          <w:szCs w:val="24"/>
          <w:lang w:eastAsia="en-GB"/>
        </w:rPr>
        <w:t>, and recirculating systems generate direct emissions of CO₂, CH₄, and N₂O through microbial processes linked to the decomposition of organic matter and the microbial nitrogen cycle. Among these direct emission pathways, N₂O is of particular concern, given its global warming potential of approximately 265 times that of CO₂ over a 100-year horizon (IPCC, 2019a). Hu et al. (2012) conducted a systematic review of N₂O emissions from aquaculture and found considerable variability in flux rates across production systems, with high-density intensive ponds showing the greatest emission intensities per unit area and, in some cases, per unit of product. Methane emissions from the anaerobic decomposition of organic sediments in semi-intensive and extensive ponds represent a further GHG flux of significance that is not consistently captured in farm-gate LCA inventories, partly because empirical flux measurements remain scarce across diverse production environments.</w:t>
      </w:r>
    </w:p>
    <w:p w14:paraId="2A0C2774"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Quantifying direct pond emissions remains one of the most significant sources of uncertainty in aquaculture carbon accounting, and developing standardised measurement protocols adapted to different production systems and climatic contexts is widely recognised as a research priority (IPCC, 2019a; MacLeod et al., 2020). The IPCC's 2019 Refinement to the 2006 Guidelines for National Greenhouse Gas Inventories (IPCC, 2019a) provides updated emission factors for aquaculture ponds that partially address earlier data gaps, although coverage remains incomplete and regional representativeness variable.</w:t>
      </w:r>
    </w:p>
    <w:p w14:paraId="2F5263AF"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3 offers an indicative synthesis of the primary GHG emission sources across the principal aquaculture system types reviewed in this section. The relative contributions shown reflect general patterns drawn from multiple LCA studies rather than universal values, which vary considerably across individual farms and geographic contexts.</w:t>
      </w:r>
    </w:p>
    <w:p w14:paraId="06C7028D" w14:textId="5FDA8DC6"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1BB983C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lastRenderedPageBreak/>
        <w:t>Table 3: Primary GHG Emission Sources by Aquaculture System Type and Indicative Relative Contribution to Total Carbon Footprint</w:t>
      </w:r>
    </w:p>
    <w:tbl>
      <w:tblPr>
        <w:tblStyle w:val="TableGridLight"/>
        <w:tblW w:w="0" w:type="auto"/>
        <w:tblLook w:val="04A0" w:firstRow="1" w:lastRow="0" w:firstColumn="1" w:lastColumn="0" w:noHBand="0" w:noVBand="1"/>
      </w:tblPr>
      <w:tblGrid>
        <w:gridCol w:w="2018"/>
        <w:gridCol w:w="2330"/>
        <w:gridCol w:w="1893"/>
        <w:gridCol w:w="3001"/>
      </w:tblGrid>
      <w:tr w:rsidR="006D2956" w:rsidRPr="006D2956" w14:paraId="73485C74" w14:textId="77777777" w:rsidTr="006D2956">
        <w:tc>
          <w:tcPr>
            <w:tcW w:w="0" w:type="auto"/>
            <w:hideMark/>
          </w:tcPr>
          <w:p w14:paraId="37008D95"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Aquaculture System Type</w:t>
            </w:r>
          </w:p>
        </w:tc>
        <w:tc>
          <w:tcPr>
            <w:tcW w:w="0" w:type="auto"/>
            <w:hideMark/>
          </w:tcPr>
          <w:p w14:paraId="2B445A62"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Dominant Emission Source</w:t>
            </w:r>
          </w:p>
        </w:tc>
        <w:tc>
          <w:tcPr>
            <w:tcW w:w="0" w:type="auto"/>
            <w:hideMark/>
          </w:tcPr>
          <w:p w14:paraId="784C1F7D"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Secondary Emission Source</w:t>
            </w:r>
          </w:p>
        </w:tc>
        <w:tc>
          <w:tcPr>
            <w:tcW w:w="0" w:type="auto"/>
            <w:hideMark/>
          </w:tcPr>
          <w:p w14:paraId="1B60FFF7"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Notable Considerations</w:t>
            </w:r>
          </w:p>
        </w:tc>
      </w:tr>
      <w:tr w:rsidR="006D2956" w:rsidRPr="006D2956" w14:paraId="7A983B43" w14:textId="77777777" w:rsidTr="006D2956">
        <w:tc>
          <w:tcPr>
            <w:tcW w:w="0" w:type="auto"/>
            <w:hideMark/>
          </w:tcPr>
          <w:p w14:paraId="3A0FB10C"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Intensive salmon / trout (net-pen)</w:t>
            </w:r>
          </w:p>
        </w:tc>
        <w:tc>
          <w:tcPr>
            <w:tcW w:w="0" w:type="auto"/>
            <w:hideMark/>
          </w:tcPr>
          <w:p w14:paraId="0707EA3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(fishmeal/fish oil; ~50–80%)</w:t>
            </w:r>
          </w:p>
        </w:tc>
        <w:tc>
          <w:tcPr>
            <w:tcW w:w="0" w:type="auto"/>
            <w:hideMark/>
          </w:tcPr>
          <w:p w14:paraId="55B0CCB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at farm level</w:t>
            </w:r>
          </w:p>
        </w:tc>
        <w:tc>
          <w:tcPr>
            <w:tcW w:w="0" w:type="auto"/>
            <w:hideMark/>
          </w:tcPr>
          <w:p w14:paraId="7AAA840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Marine ingredient share is critical; Norwegian grid is near-zero carbon</w:t>
            </w:r>
          </w:p>
        </w:tc>
      </w:tr>
      <w:tr w:rsidR="006D2956" w:rsidRPr="006D2956" w14:paraId="60B957F6" w14:textId="77777777" w:rsidTr="006D2956">
        <w:tc>
          <w:tcPr>
            <w:tcW w:w="0" w:type="auto"/>
            <w:hideMark/>
          </w:tcPr>
          <w:p w14:paraId="3D266C0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Intensive shrimp (pond)</w:t>
            </w:r>
          </w:p>
        </w:tc>
        <w:tc>
          <w:tcPr>
            <w:tcW w:w="0" w:type="auto"/>
            <w:hideMark/>
          </w:tcPr>
          <w:p w14:paraId="060C328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land-use change (if mangrove)</w:t>
            </w:r>
          </w:p>
        </w:tc>
        <w:tc>
          <w:tcPr>
            <w:tcW w:w="0" w:type="auto"/>
            <w:hideMark/>
          </w:tcPr>
          <w:p w14:paraId="1CFB059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for pumping and aeration</w:t>
            </w:r>
          </w:p>
        </w:tc>
        <w:tc>
          <w:tcPr>
            <w:tcW w:w="0" w:type="auto"/>
            <w:hideMark/>
          </w:tcPr>
          <w:p w14:paraId="651138B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LUC can dominate if mangrove conversion is included in scope</w:t>
            </w:r>
          </w:p>
        </w:tc>
      </w:tr>
      <w:tr w:rsidR="006D2956" w:rsidRPr="006D2956" w14:paraId="181C55C6" w14:textId="77777777" w:rsidTr="006D2956">
        <w:tc>
          <w:tcPr>
            <w:tcW w:w="0" w:type="auto"/>
            <w:hideMark/>
          </w:tcPr>
          <w:p w14:paraId="41705AE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Tilapia / pangasius (intensive pond)</w:t>
            </w:r>
          </w:p>
        </w:tc>
        <w:tc>
          <w:tcPr>
            <w:tcW w:w="0" w:type="auto"/>
            <w:hideMark/>
          </w:tcPr>
          <w:p w14:paraId="0E5BFDED"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(~40–60%)</w:t>
            </w:r>
          </w:p>
        </w:tc>
        <w:tc>
          <w:tcPr>
            <w:tcW w:w="0" w:type="auto"/>
            <w:hideMark/>
          </w:tcPr>
          <w:p w14:paraId="7A2934CD"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Direct pond N₂O / CH₄ emissions</w:t>
            </w:r>
          </w:p>
        </w:tc>
        <w:tc>
          <w:tcPr>
            <w:tcW w:w="0" w:type="auto"/>
            <w:hideMark/>
          </w:tcPr>
          <w:p w14:paraId="19DB962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Emission factors for pond gases are highly uncertain</w:t>
            </w:r>
          </w:p>
        </w:tc>
      </w:tr>
      <w:tr w:rsidR="006D2956" w:rsidRPr="006D2956" w14:paraId="0F6597C8" w14:textId="77777777" w:rsidTr="006D2956">
        <w:tc>
          <w:tcPr>
            <w:tcW w:w="0" w:type="auto"/>
            <w:hideMark/>
          </w:tcPr>
          <w:p w14:paraId="12134D3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Bivalves (longline)</w:t>
            </w:r>
          </w:p>
        </w:tc>
        <w:tc>
          <w:tcPr>
            <w:tcW w:w="0" w:type="auto"/>
            <w:hideMark/>
          </w:tcPr>
          <w:p w14:paraId="0986315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for harvest and transport</w:t>
            </w:r>
          </w:p>
        </w:tc>
        <w:tc>
          <w:tcPr>
            <w:tcW w:w="0" w:type="auto"/>
            <w:hideMark/>
          </w:tcPr>
          <w:p w14:paraId="7C1FA1D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Processing and refrigeration</w:t>
            </w:r>
          </w:p>
        </w:tc>
        <w:tc>
          <w:tcPr>
            <w:tcW w:w="0" w:type="auto"/>
            <w:hideMark/>
          </w:tcPr>
          <w:p w14:paraId="6490504D"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absent; consistently lowest climate impact category</w:t>
            </w:r>
          </w:p>
        </w:tc>
      </w:tr>
      <w:tr w:rsidR="006D2956" w:rsidRPr="006D2956" w14:paraId="66725FA8" w14:textId="77777777" w:rsidTr="006D2956">
        <w:tc>
          <w:tcPr>
            <w:tcW w:w="0" w:type="auto"/>
            <w:hideMark/>
          </w:tcPr>
          <w:p w14:paraId="477C862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Seaweed (longline)</w:t>
            </w:r>
          </w:p>
        </w:tc>
        <w:tc>
          <w:tcPr>
            <w:tcW w:w="0" w:type="auto"/>
            <w:hideMark/>
          </w:tcPr>
          <w:p w14:paraId="0F3396B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Vessel fuel for maintenance and harvest</w:t>
            </w:r>
          </w:p>
        </w:tc>
        <w:tc>
          <w:tcPr>
            <w:tcW w:w="0" w:type="auto"/>
            <w:hideMark/>
          </w:tcPr>
          <w:p w14:paraId="49295FF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Processing energy</w:t>
            </w:r>
          </w:p>
        </w:tc>
        <w:tc>
          <w:tcPr>
            <w:tcW w:w="0" w:type="auto"/>
            <w:hideMark/>
          </w:tcPr>
          <w:p w14:paraId="53545CA1"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Can be net carbon-negative with </w:t>
            </w:r>
            <w:proofErr w:type="spellStart"/>
            <w:r w:rsidRPr="006D2956">
              <w:rPr>
                <w:rFonts w:ascii="Times New Roman" w:eastAsia="Times New Roman" w:hAnsi="Times New Roman" w:cs="Times New Roman"/>
                <w:sz w:val="24"/>
                <w:szCs w:val="24"/>
                <w:lang w:eastAsia="en-GB"/>
              </w:rPr>
              <w:t>bioextraction</w:t>
            </w:r>
            <w:proofErr w:type="spellEnd"/>
            <w:r w:rsidRPr="006D2956">
              <w:rPr>
                <w:rFonts w:ascii="Times New Roman" w:eastAsia="Times New Roman" w:hAnsi="Times New Roman" w:cs="Times New Roman"/>
                <w:sz w:val="24"/>
                <w:szCs w:val="24"/>
                <w:lang w:eastAsia="en-GB"/>
              </w:rPr>
              <w:t xml:space="preserve"> credit</w:t>
            </w:r>
          </w:p>
        </w:tc>
      </w:tr>
      <w:tr w:rsidR="006D2956" w:rsidRPr="006D2956" w14:paraId="6DF51E18" w14:textId="77777777" w:rsidTr="006D2956">
        <w:tc>
          <w:tcPr>
            <w:tcW w:w="0" w:type="auto"/>
            <w:hideMark/>
          </w:tcPr>
          <w:p w14:paraId="4CCCA1B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RAS (land-based)</w:t>
            </w:r>
          </w:p>
        </w:tc>
        <w:tc>
          <w:tcPr>
            <w:tcW w:w="0" w:type="auto"/>
            <w:hideMark/>
          </w:tcPr>
          <w:p w14:paraId="6164188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Electricity for water treatment</w:t>
            </w:r>
          </w:p>
        </w:tc>
        <w:tc>
          <w:tcPr>
            <w:tcW w:w="0" w:type="auto"/>
            <w:hideMark/>
          </w:tcPr>
          <w:p w14:paraId="580EF93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w:t>
            </w:r>
          </w:p>
        </w:tc>
        <w:tc>
          <w:tcPr>
            <w:tcW w:w="0" w:type="auto"/>
            <w:hideMark/>
          </w:tcPr>
          <w:p w14:paraId="517AC56F"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Carbon intensity depends almost entirely on the energy grid</w:t>
            </w:r>
          </w:p>
        </w:tc>
      </w:tr>
    </w:tbl>
    <w:p w14:paraId="6F9078B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i/>
          <w:iCs/>
          <w:sz w:val="24"/>
          <w:szCs w:val="24"/>
          <w:lang w:eastAsia="en-GB"/>
        </w:rPr>
        <w:t xml:space="preserve">Sources: Aubin et al. (2009); Badiola et al. (2018); </w:t>
      </w:r>
      <w:proofErr w:type="spellStart"/>
      <w:r w:rsidRPr="006D2956">
        <w:rPr>
          <w:rFonts w:ascii="Times New Roman" w:eastAsia="Times New Roman" w:hAnsi="Times New Roman" w:cs="Times New Roman"/>
          <w:i/>
          <w:iCs/>
          <w:sz w:val="24"/>
          <w:szCs w:val="24"/>
          <w:lang w:eastAsia="en-GB"/>
        </w:rPr>
        <w:t>d'Orbcastel</w:t>
      </w:r>
      <w:proofErr w:type="spellEnd"/>
      <w:r w:rsidRPr="006D2956">
        <w:rPr>
          <w:rFonts w:ascii="Times New Roman" w:eastAsia="Times New Roman" w:hAnsi="Times New Roman" w:cs="Times New Roman"/>
          <w:i/>
          <w:iCs/>
          <w:sz w:val="24"/>
          <w:szCs w:val="24"/>
          <w:lang w:eastAsia="en-GB"/>
        </w:rPr>
        <w:t xml:space="preserve"> et al. (2009); Hamilton &amp; Casey (2016); Hu et al. (2012); IPCC (2019a); MacLeod et al. (2020); </w:t>
      </w:r>
      <w:proofErr w:type="spellStart"/>
      <w:r w:rsidRPr="006D2956">
        <w:rPr>
          <w:rFonts w:ascii="Times New Roman" w:eastAsia="Times New Roman" w:hAnsi="Times New Roman" w:cs="Times New Roman"/>
          <w:i/>
          <w:iCs/>
          <w:sz w:val="24"/>
          <w:szCs w:val="24"/>
          <w:lang w:eastAsia="en-GB"/>
        </w:rPr>
        <w:t>Papatryphon</w:t>
      </w:r>
      <w:proofErr w:type="spellEnd"/>
      <w:r w:rsidRPr="006D2956">
        <w:rPr>
          <w:rFonts w:ascii="Times New Roman" w:eastAsia="Times New Roman" w:hAnsi="Times New Roman" w:cs="Times New Roman"/>
          <w:i/>
          <w:iCs/>
          <w:sz w:val="24"/>
          <w:szCs w:val="24"/>
          <w:lang w:eastAsia="en-GB"/>
        </w:rPr>
        <w:t xml:space="preserve"> et al. (2004); Pelletier et al. (2009)</w:t>
      </w:r>
    </w:p>
    <w:p w14:paraId="14736025" w14:textId="5E7DDD6A"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293C1B53"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6. Advances in Life Cycle Assessment for Aquaculture</w:t>
      </w:r>
    </w:p>
    <w:p w14:paraId="01F0F541"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6.1 Methodological Innovations and Expanded Impact Coverage</w:t>
      </w:r>
    </w:p>
    <w:p w14:paraId="13FD77A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past decade has brought important methodological advances to aquaculture LCA, driven both by broader developments in the LCA field and by the specific challenges posed by the complexity and diversity of seafood production systems. Among the most significant developments is the progressive integration of multi-regional input-output analysis with process-based LCA, which allows global supply chain emissions to be attributed to specific production systems with greater geographic resolution than conventional process-based approaches achieve alone (Henriksson et al., 2015). This matters particularly for aquaculture, because the ingredient supply chains of major producing nations frequently span several continents, and the emission intensities of background processes — soy cultivation in Brazil or fishmeal production in Peru, for instance — vary enormously by region and production context.</w:t>
      </w:r>
    </w:p>
    <w:p w14:paraId="7DE36475"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Cashion et al. (2016) advanced the treatment of marine biotic resources in seafood LCA by developing and applying improved metrics for wild-caught marine ingredient use, better reflecting the ecological significance of removing small pelagic fish from marine food webs </w:t>
      </w:r>
      <w:r w:rsidRPr="006D2956">
        <w:rPr>
          <w:rFonts w:ascii="Times New Roman" w:eastAsia="Times New Roman" w:hAnsi="Times New Roman" w:cs="Times New Roman"/>
          <w:sz w:val="24"/>
          <w:szCs w:val="24"/>
          <w:lang w:eastAsia="en-GB"/>
        </w:rPr>
        <w:lastRenderedPageBreak/>
        <w:t>than simple mass-based accounting allows. This work highlights the multi-dimensional nature of aquaculture's environmental footprint and the limits of relying solely on climate impact metrics in sustainability assessments. Newton and Little (2018) subsequently applied LCA to Scottish Atlantic salmon production, mapping the geographic origins of environmental impacts across the full supply chain and demonstrating that a product commonly marketed as "local" generates the substantial majority of its environmental burdens — and its carbon footprint — in distant countries where feed ingredients are produced, thereby generating a more nuanced and policy-relevant picture of environmental trade-offs.</w:t>
      </w:r>
    </w:p>
    <w:p w14:paraId="1791CED9"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6.2 Consequential and Dynamic Life Cycle Assessment</w:t>
      </w:r>
    </w:p>
    <w:p w14:paraId="4FB91580"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Conventional attributional LCA, which accounts for the environmental burdens associated with the existing supply system serving a given functional unit, has been increasingly supplemented by consequential LCA approaches, which model the systemic changes expected to follow from a marginal decision to alter production scale or technology. In aquaculture contexts, consequential LCA is particularly relevant for evaluating the emissions implications of scaling up production of a given species, substituting one feed ingredient for another at market scale, or transitioning from conventional to novel production systems (</w:t>
      </w:r>
      <w:proofErr w:type="spellStart"/>
      <w:r w:rsidRPr="006D2956">
        <w:rPr>
          <w:rFonts w:ascii="Times New Roman" w:eastAsia="Times New Roman" w:hAnsi="Times New Roman" w:cs="Times New Roman"/>
          <w:sz w:val="24"/>
          <w:szCs w:val="24"/>
          <w:lang w:eastAsia="en-GB"/>
        </w:rPr>
        <w:t>Finnveden</w:t>
      </w:r>
      <w:proofErr w:type="spellEnd"/>
      <w:r w:rsidRPr="006D2956">
        <w:rPr>
          <w:rFonts w:ascii="Times New Roman" w:eastAsia="Times New Roman" w:hAnsi="Times New Roman" w:cs="Times New Roman"/>
          <w:sz w:val="24"/>
          <w:szCs w:val="24"/>
          <w:lang w:eastAsia="en-GB"/>
        </w:rPr>
        <w:t xml:space="preserve"> et al., 2009). </w:t>
      </w:r>
      <w:proofErr w:type="spellStart"/>
      <w:r w:rsidRPr="006D2956">
        <w:rPr>
          <w:rFonts w:ascii="Times New Roman" w:eastAsia="Times New Roman" w:hAnsi="Times New Roman" w:cs="Times New Roman"/>
          <w:sz w:val="24"/>
          <w:szCs w:val="24"/>
          <w:lang w:eastAsia="en-GB"/>
        </w:rPr>
        <w:t>Bohnes</w:t>
      </w:r>
      <w:proofErr w:type="spellEnd"/>
      <w:r w:rsidRPr="006D2956">
        <w:rPr>
          <w:rFonts w:ascii="Times New Roman" w:eastAsia="Times New Roman" w:hAnsi="Times New Roman" w:cs="Times New Roman"/>
          <w:sz w:val="24"/>
          <w:szCs w:val="24"/>
          <w:lang w:eastAsia="en-GB"/>
        </w:rPr>
        <w:t xml:space="preserve"> et al. (2019) applied a consequential perspective to aquaculture LCA in Denmark and demonstrated that marginal supply responses modelled under a consequential framework can yield substantially different conclusions about the environmental desirability of production changes compared with attributional analysis. Expanding production of a comparatively low-impact species, for instance, may displace production of higher-impact alternatives, generating system-level benefits that remain invisible in a static attributional assessment.</w:t>
      </w:r>
    </w:p>
    <w:p w14:paraId="0A7AB1F6"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Dynamic LCA, which incorporates time-dependent emission profiles rather than assuming steady-state production conditions, is also gaining traction in aquaculture contexts — particularly for assessing long-lived carbon pools such as mangrove soil carbon following land clearing (Hamilton &amp; Casey, 2016). Standard GWP100 metrics aggregate all emissions over a 100-year timeframe and do not distinguish between emissions occurring at the time of land clearing and those arising many decades later, potentially underweighting the significance of near-term emission pulses from the conversion of carbon-rich ecosystems.</w:t>
      </w:r>
    </w:p>
    <w:p w14:paraId="2009D168"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6.3 Integration with Other Environmental Impact Frameworks</w:t>
      </w:r>
    </w:p>
    <w:p w14:paraId="33B34E9C"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Recognising that carbon footprint is only one dimension of aquaculture's environmental burden, researchers have increasingly integrated LCA with complementary impact assessment methodologies. Work on water footprint methodologies has demonstrated their applicability to aquaculture systems, particularly for freshwater species farmed in regions experiencing water stress (Ahmed et al., 2019). </w:t>
      </w:r>
      <w:proofErr w:type="spellStart"/>
      <w:r w:rsidRPr="006D2956">
        <w:rPr>
          <w:rFonts w:ascii="Times New Roman" w:eastAsia="Times New Roman" w:hAnsi="Times New Roman" w:cs="Times New Roman"/>
          <w:sz w:val="24"/>
          <w:szCs w:val="24"/>
          <w:lang w:eastAsia="en-GB"/>
        </w:rPr>
        <w:t>Wilfart</w:t>
      </w:r>
      <w:proofErr w:type="spellEnd"/>
      <w:r w:rsidRPr="006D2956">
        <w:rPr>
          <w:rFonts w:ascii="Times New Roman" w:eastAsia="Times New Roman" w:hAnsi="Times New Roman" w:cs="Times New Roman"/>
          <w:sz w:val="24"/>
          <w:szCs w:val="24"/>
          <w:lang w:eastAsia="en-GB"/>
        </w:rPr>
        <w:t xml:space="preserve"> et al. (2013) demonstrated the complementarity of </w:t>
      </w:r>
      <w:proofErr w:type="spellStart"/>
      <w:r w:rsidRPr="006D2956">
        <w:rPr>
          <w:rFonts w:ascii="Times New Roman" w:eastAsia="Times New Roman" w:hAnsi="Times New Roman" w:cs="Times New Roman"/>
          <w:sz w:val="24"/>
          <w:szCs w:val="24"/>
          <w:lang w:eastAsia="en-GB"/>
        </w:rPr>
        <w:t>emergy</w:t>
      </w:r>
      <w:proofErr w:type="spellEnd"/>
      <w:r w:rsidRPr="006D2956">
        <w:rPr>
          <w:rFonts w:ascii="Times New Roman" w:eastAsia="Times New Roman" w:hAnsi="Times New Roman" w:cs="Times New Roman"/>
          <w:sz w:val="24"/>
          <w:szCs w:val="24"/>
          <w:lang w:eastAsia="en-GB"/>
        </w:rPr>
        <w:t xml:space="preserve"> accounting — which expresses all inputs in terms of their solar energy equivalent — with LCA for characterising the ecological intensity of aquaculture systems and identifying pathways towards ecological intensification. The integration of biodiversity impact assessment into aquaculture LCA remains at a relatively early stage of development, but is increasingly recognised as important given the documented impacts of aquaculture on benthic communities, wild fish populations, and coastal habitats. Ahmed et al. (2019) argued that climate mitigation strategies for aquaculture must be evaluated holistically, to avoid generating trade-offs with other sustainability dimensions, including </w:t>
      </w:r>
      <w:r w:rsidRPr="006D2956">
        <w:rPr>
          <w:rFonts w:ascii="Times New Roman" w:eastAsia="Times New Roman" w:hAnsi="Times New Roman" w:cs="Times New Roman"/>
          <w:sz w:val="24"/>
          <w:szCs w:val="24"/>
          <w:lang w:eastAsia="en-GB"/>
        </w:rPr>
        <w:lastRenderedPageBreak/>
        <w:t>water use, biodiversity, and social equity — a view consistent with the broader move within the LCA community towards multi-category impact characterisation.</w:t>
      </w:r>
    </w:p>
    <w:p w14:paraId="00DB899F"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4 summarises recent advances in LCA methodology as applied to the aquaculture sector, setting out the principal development, the context of application, and the key implications for carbon footprint assessment.</w:t>
      </w:r>
    </w:p>
    <w:p w14:paraId="013B4F2A" w14:textId="1DA40859"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5B58ACCA"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4: Recent Advances in LCA Methodology Applied to Aquaculture</w:t>
      </w:r>
    </w:p>
    <w:tbl>
      <w:tblPr>
        <w:tblStyle w:val="TableGridLight"/>
        <w:tblW w:w="0" w:type="auto"/>
        <w:tblLook w:val="04A0" w:firstRow="1" w:lastRow="0" w:firstColumn="1" w:lastColumn="0" w:noHBand="0" w:noVBand="1"/>
      </w:tblPr>
      <w:tblGrid>
        <w:gridCol w:w="2188"/>
        <w:gridCol w:w="2459"/>
        <w:gridCol w:w="1888"/>
        <w:gridCol w:w="2707"/>
      </w:tblGrid>
      <w:tr w:rsidR="006D2956" w:rsidRPr="006D2956" w14:paraId="36FC6D5F" w14:textId="77777777" w:rsidTr="006D2956">
        <w:tc>
          <w:tcPr>
            <w:tcW w:w="0" w:type="auto"/>
            <w:hideMark/>
          </w:tcPr>
          <w:p w14:paraId="73E99F00"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Methodological Advance</w:t>
            </w:r>
          </w:p>
        </w:tc>
        <w:tc>
          <w:tcPr>
            <w:tcW w:w="0" w:type="auto"/>
            <w:hideMark/>
          </w:tcPr>
          <w:p w14:paraId="6485BDE1"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Principal Development</w:t>
            </w:r>
          </w:p>
        </w:tc>
        <w:tc>
          <w:tcPr>
            <w:tcW w:w="0" w:type="auto"/>
            <w:hideMark/>
          </w:tcPr>
          <w:p w14:paraId="79D25CBE"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Application Context</w:t>
            </w:r>
          </w:p>
        </w:tc>
        <w:tc>
          <w:tcPr>
            <w:tcW w:w="0" w:type="auto"/>
            <w:hideMark/>
          </w:tcPr>
          <w:p w14:paraId="163CD678"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Key Implication for Carbon Assessment</w:t>
            </w:r>
          </w:p>
        </w:tc>
      </w:tr>
      <w:tr w:rsidR="006D2956" w:rsidRPr="006D2956" w14:paraId="7AFB324B" w14:textId="77777777" w:rsidTr="006D2956">
        <w:tc>
          <w:tcPr>
            <w:tcW w:w="0" w:type="auto"/>
            <w:hideMark/>
          </w:tcPr>
          <w:p w14:paraId="0CFC9CB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Multi-regional input-output integration</w:t>
            </w:r>
          </w:p>
        </w:tc>
        <w:tc>
          <w:tcPr>
            <w:tcW w:w="0" w:type="auto"/>
            <w:hideMark/>
          </w:tcPr>
          <w:p w14:paraId="5214219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Geographic attribution of supply chain emissions</w:t>
            </w:r>
          </w:p>
        </w:tc>
        <w:tc>
          <w:tcPr>
            <w:tcW w:w="0" w:type="auto"/>
            <w:hideMark/>
          </w:tcPr>
          <w:p w14:paraId="6958ADC3"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Asian aquaculture systems</w:t>
            </w:r>
          </w:p>
        </w:tc>
        <w:tc>
          <w:tcPr>
            <w:tcW w:w="0" w:type="auto"/>
            <w:hideMark/>
          </w:tcPr>
          <w:p w14:paraId="0A0EF5DF"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Captures region-specific emission intensities of globally sourced ingredients</w:t>
            </w:r>
          </w:p>
        </w:tc>
      </w:tr>
      <w:tr w:rsidR="006D2956" w:rsidRPr="006D2956" w14:paraId="467DD186" w14:textId="77777777" w:rsidTr="006D2956">
        <w:tc>
          <w:tcPr>
            <w:tcW w:w="0" w:type="auto"/>
            <w:hideMark/>
          </w:tcPr>
          <w:p w14:paraId="11C54FA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Marine biotic resource metric</w:t>
            </w:r>
          </w:p>
        </w:tc>
        <w:tc>
          <w:tcPr>
            <w:tcW w:w="0" w:type="auto"/>
            <w:hideMark/>
          </w:tcPr>
          <w:p w14:paraId="598C61A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Ecological weighting of wild marine ingredient use</w:t>
            </w:r>
          </w:p>
        </w:tc>
        <w:tc>
          <w:tcPr>
            <w:tcW w:w="0" w:type="auto"/>
            <w:hideMark/>
          </w:tcPr>
          <w:p w14:paraId="798B03C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Norwegian salmon LCA</w:t>
            </w:r>
          </w:p>
        </w:tc>
        <w:tc>
          <w:tcPr>
            <w:tcW w:w="0" w:type="auto"/>
            <w:hideMark/>
          </w:tcPr>
          <w:p w14:paraId="651DE241"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Complements GHG metric with ecosystem impact indicator</w:t>
            </w:r>
          </w:p>
        </w:tc>
      </w:tr>
      <w:tr w:rsidR="006D2956" w:rsidRPr="006D2956" w14:paraId="09DA605C" w14:textId="77777777" w:rsidTr="006D2956">
        <w:tc>
          <w:tcPr>
            <w:tcW w:w="0" w:type="auto"/>
            <w:hideMark/>
          </w:tcPr>
          <w:p w14:paraId="63DBC97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Consequential LCA</w:t>
            </w:r>
          </w:p>
        </w:tc>
        <w:tc>
          <w:tcPr>
            <w:tcW w:w="0" w:type="auto"/>
            <w:hideMark/>
          </w:tcPr>
          <w:p w14:paraId="01CC8E2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Marginal supply system modelling</w:t>
            </w:r>
          </w:p>
        </w:tc>
        <w:tc>
          <w:tcPr>
            <w:tcW w:w="0" w:type="auto"/>
            <w:hideMark/>
          </w:tcPr>
          <w:p w14:paraId="1F7669A7"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Danish aquaculture expansion scenarios</w:t>
            </w:r>
          </w:p>
        </w:tc>
        <w:tc>
          <w:tcPr>
            <w:tcW w:w="0" w:type="auto"/>
            <w:hideMark/>
          </w:tcPr>
          <w:p w14:paraId="1CBFEC5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Captures system-level displacement effects missed by attributional analysis</w:t>
            </w:r>
          </w:p>
        </w:tc>
      </w:tr>
      <w:tr w:rsidR="006D2956" w:rsidRPr="006D2956" w14:paraId="3B02FA10" w14:textId="77777777" w:rsidTr="006D2956">
        <w:tc>
          <w:tcPr>
            <w:tcW w:w="0" w:type="auto"/>
            <w:hideMark/>
          </w:tcPr>
          <w:p w14:paraId="19AF56FB"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Dynamic LCA</w:t>
            </w:r>
          </w:p>
        </w:tc>
        <w:tc>
          <w:tcPr>
            <w:tcW w:w="0" w:type="auto"/>
            <w:hideMark/>
          </w:tcPr>
          <w:p w14:paraId="76A89F71"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Time-dependent emission profiles</w:t>
            </w:r>
          </w:p>
        </w:tc>
        <w:tc>
          <w:tcPr>
            <w:tcW w:w="0" w:type="auto"/>
            <w:hideMark/>
          </w:tcPr>
          <w:p w14:paraId="3DF99E1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Mangrove conversion for shrimp</w:t>
            </w:r>
          </w:p>
        </w:tc>
        <w:tc>
          <w:tcPr>
            <w:tcW w:w="0" w:type="auto"/>
            <w:hideMark/>
          </w:tcPr>
          <w:p w14:paraId="2C32FC3A"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Accounts for near-term emission pulses from land clearing</w:t>
            </w:r>
          </w:p>
        </w:tc>
      </w:tr>
      <w:tr w:rsidR="006D2956" w:rsidRPr="006D2956" w14:paraId="1D9EA7BC" w14:textId="77777777" w:rsidTr="006D2956">
        <w:tc>
          <w:tcPr>
            <w:tcW w:w="0" w:type="auto"/>
            <w:hideMark/>
          </w:tcPr>
          <w:p w14:paraId="7C400C1A"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Supply chain impact mapping</w:t>
            </w:r>
          </w:p>
        </w:tc>
        <w:tc>
          <w:tcPr>
            <w:tcW w:w="0" w:type="auto"/>
            <w:hideMark/>
          </w:tcPr>
          <w:p w14:paraId="401D4EE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Geographic tracing of environmental burdens across value chain</w:t>
            </w:r>
          </w:p>
        </w:tc>
        <w:tc>
          <w:tcPr>
            <w:tcW w:w="0" w:type="auto"/>
            <w:hideMark/>
          </w:tcPr>
          <w:p w14:paraId="3F691816"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Scottish salmon LCA</w:t>
            </w:r>
          </w:p>
        </w:tc>
        <w:tc>
          <w:tcPr>
            <w:tcW w:w="0" w:type="auto"/>
            <w:hideMark/>
          </w:tcPr>
          <w:p w14:paraId="3DCDDCDC"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Demonstrates that locally marketed products generate most carbon impact abroad</w:t>
            </w:r>
          </w:p>
        </w:tc>
      </w:tr>
      <w:tr w:rsidR="006D2956" w:rsidRPr="006D2956" w14:paraId="34C6000A" w14:textId="77777777" w:rsidTr="006D2956">
        <w:tc>
          <w:tcPr>
            <w:tcW w:w="0" w:type="auto"/>
            <w:hideMark/>
          </w:tcPr>
          <w:p w14:paraId="6A95998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Water footprint integration</w:t>
            </w:r>
          </w:p>
        </w:tc>
        <w:tc>
          <w:tcPr>
            <w:tcW w:w="0" w:type="auto"/>
            <w:hideMark/>
          </w:tcPr>
          <w:p w14:paraId="082FE621"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Water scarcity weighting</w:t>
            </w:r>
          </w:p>
        </w:tc>
        <w:tc>
          <w:tcPr>
            <w:tcW w:w="0" w:type="auto"/>
            <w:hideMark/>
          </w:tcPr>
          <w:p w14:paraId="309C2CCC"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Freshwater aquaculture systems</w:t>
            </w:r>
          </w:p>
        </w:tc>
        <w:tc>
          <w:tcPr>
            <w:tcW w:w="0" w:type="auto"/>
            <w:hideMark/>
          </w:tcPr>
          <w:p w14:paraId="726F596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Quantifies water stress risk alongside climate impact</w:t>
            </w:r>
          </w:p>
        </w:tc>
      </w:tr>
    </w:tbl>
    <w:p w14:paraId="2AFC52E1"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i/>
          <w:iCs/>
          <w:sz w:val="24"/>
          <w:szCs w:val="24"/>
          <w:lang w:eastAsia="en-GB"/>
        </w:rPr>
        <w:t xml:space="preserve">Sources: Ahmed et al. (2019); </w:t>
      </w:r>
      <w:proofErr w:type="spellStart"/>
      <w:r w:rsidRPr="006D2956">
        <w:rPr>
          <w:rFonts w:ascii="Times New Roman" w:eastAsia="Times New Roman" w:hAnsi="Times New Roman" w:cs="Times New Roman"/>
          <w:i/>
          <w:iCs/>
          <w:sz w:val="24"/>
          <w:szCs w:val="24"/>
          <w:lang w:eastAsia="en-GB"/>
        </w:rPr>
        <w:t>Bohnes</w:t>
      </w:r>
      <w:proofErr w:type="spellEnd"/>
      <w:r w:rsidRPr="006D2956">
        <w:rPr>
          <w:rFonts w:ascii="Times New Roman" w:eastAsia="Times New Roman" w:hAnsi="Times New Roman" w:cs="Times New Roman"/>
          <w:i/>
          <w:iCs/>
          <w:sz w:val="24"/>
          <w:szCs w:val="24"/>
          <w:lang w:eastAsia="en-GB"/>
        </w:rPr>
        <w:t xml:space="preserve"> et al. (2019); Cashion et al. (2016); </w:t>
      </w:r>
      <w:proofErr w:type="spellStart"/>
      <w:r w:rsidRPr="006D2956">
        <w:rPr>
          <w:rFonts w:ascii="Times New Roman" w:eastAsia="Times New Roman" w:hAnsi="Times New Roman" w:cs="Times New Roman"/>
          <w:i/>
          <w:iCs/>
          <w:sz w:val="24"/>
          <w:szCs w:val="24"/>
          <w:lang w:eastAsia="en-GB"/>
        </w:rPr>
        <w:t>Finnveden</w:t>
      </w:r>
      <w:proofErr w:type="spellEnd"/>
      <w:r w:rsidRPr="006D2956">
        <w:rPr>
          <w:rFonts w:ascii="Times New Roman" w:eastAsia="Times New Roman" w:hAnsi="Times New Roman" w:cs="Times New Roman"/>
          <w:i/>
          <w:iCs/>
          <w:sz w:val="24"/>
          <w:szCs w:val="24"/>
          <w:lang w:eastAsia="en-GB"/>
        </w:rPr>
        <w:t xml:space="preserve"> et al. (2009); Hamilton &amp; Casey (2016); Henriksson et al. (2015); Newton &amp; Little (2018); </w:t>
      </w:r>
      <w:proofErr w:type="spellStart"/>
      <w:r w:rsidRPr="006D2956">
        <w:rPr>
          <w:rFonts w:ascii="Times New Roman" w:eastAsia="Times New Roman" w:hAnsi="Times New Roman" w:cs="Times New Roman"/>
          <w:i/>
          <w:iCs/>
          <w:sz w:val="24"/>
          <w:szCs w:val="24"/>
          <w:lang w:eastAsia="en-GB"/>
        </w:rPr>
        <w:t>Wilfart</w:t>
      </w:r>
      <w:proofErr w:type="spellEnd"/>
      <w:r w:rsidRPr="006D2956">
        <w:rPr>
          <w:rFonts w:ascii="Times New Roman" w:eastAsia="Times New Roman" w:hAnsi="Times New Roman" w:cs="Times New Roman"/>
          <w:i/>
          <w:iCs/>
          <w:sz w:val="24"/>
          <w:szCs w:val="24"/>
          <w:lang w:eastAsia="en-GB"/>
        </w:rPr>
        <w:t xml:space="preserve"> et al. (2013)</w:t>
      </w:r>
    </w:p>
    <w:p w14:paraId="2D045403" w14:textId="38E0F3D5"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1A17BB81"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7. Emission Reduction Strategies</w:t>
      </w:r>
    </w:p>
    <w:p w14:paraId="1B80F11F"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7.1 Feed Reformulation and Alternative Protein Sources</w:t>
      </w:r>
    </w:p>
    <w:p w14:paraId="3CAF010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Given that feed production represents the dominant GHG emission source in fed aquaculture, reformulating aquafeeds to reduce the carbon intensity of the ingredient mix is the highest-leverage single strategy available for decarbonising the sector. Three categories of alternative protein have attracted the most research attention and commercial investment: terrestrial plant proteins, insect meals, and single-cell and microbial proteins.</w:t>
      </w:r>
    </w:p>
    <w:p w14:paraId="20C6A642"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Plant proteins — including soy protein concentrate, canola meal, and pea protein — have been the primary substitutes for fishmeal in commercial aquafeeds over the past two decades. Replacing marine ingredients with plant proteins generally reduces the GHG burden attributable to fishing operations, but introduces land-use-related emissions from crop cultivation, which can be substantial where soy or other ingredients are sourced from regions subject to ongoing deforestation (Froehlich et al., 2018; Olsen &amp; Hasan, 2012). Tacon and Metian (2008), charting the trajectory of fishmeal substitution in global aquafeeds, emphasised that the net environmental impact of ingredient replacement depends critically on feed conversion ratios and nutritional performance: substitutes that reduce feed intake efficiency can partially or wholly offset the benefit of using a lower-carbon ingredient.</w:t>
      </w:r>
    </w:p>
    <w:p w14:paraId="7FE50777"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Insect meals, particularly those derived from black soldier fly (</w:t>
      </w:r>
      <w:proofErr w:type="spellStart"/>
      <w:r w:rsidRPr="006D2956">
        <w:rPr>
          <w:rFonts w:ascii="Times New Roman" w:eastAsia="Times New Roman" w:hAnsi="Times New Roman" w:cs="Times New Roman"/>
          <w:i/>
          <w:iCs/>
          <w:sz w:val="24"/>
          <w:szCs w:val="24"/>
          <w:lang w:eastAsia="en-GB"/>
        </w:rPr>
        <w:t>Hermetia</w:t>
      </w:r>
      <w:proofErr w:type="spellEnd"/>
      <w:r w:rsidRPr="006D2956">
        <w:rPr>
          <w:rFonts w:ascii="Times New Roman" w:eastAsia="Times New Roman" w:hAnsi="Times New Roman" w:cs="Times New Roman"/>
          <w:i/>
          <w:iCs/>
          <w:sz w:val="24"/>
          <w:szCs w:val="24"/>
          <w:lang w:eastAsia="en-GB"/>
        </w:rPr>
        <w:t xml:space="preserve"> </w:t>
      </w:r>
      <w:proofErr w:type="spellStart"/>
      <w:r w:rsidRPr="006D2956">
        <w:rPr>
          <w:rFonts w:ascii="Times New Roman" w:eastAsia="Times New Roman" w:hAnsi="Times New Roman" w:cs="Times New Roman"/>
          <w:i/>
          <w:iCs/>
          <w:sz w:val="24"/>
          <w:szCs w:val="24"/>
          <w:lang w:eastAsia="en-GB"/>
        </w:rPr>
        <w:t>illucens</w:t>
      </w:r>
      <w:proofErr w:type="spellEnd"/>
      <w:r w:rsidRPr="006D2956">
        <w:rPr>
          <w:rFonts w:ascii="Times New Roman" w:eastAsia="Times New Roman" w:hAnsi="Times New Roman" w:cs="Times New Roman"/>
          <w:sz w:val="24"/>
          <w:szCs w:val="24"/>
          <w:lang w:eastAsia="en-GB"/>
        </w:rPr>
        <w:t>) larvae, have emerged as promising partial replacements for fishmeal owing to their high-quality amino acid profiles and the possibility of rearing insects on certified organic waste streams, which could turn a waste management challenge into a low-carbon feed resource (Henry et al., 2015; Halloran et al., 2016). LCA studies comparing insect-meal-based diets with conventional aquafeeds suggest that the potential for carbon footprint reduction is substantial when insects are reared on organic by-product substrates, though the magnitude of benefit is highly sensitive to the energy mix of the rearing facility and to the carbon accounting approach adopted for the waste substrate input (Halloran et al., 2016). Henry et al. (2015) identified public acceptance and regulatory harmonisation across national markets as key barriers to the large-scale adoption of insect meal ingredients in commercial aquafeeds.</w:t>
      </w:r>
    </w:p>
    <w:p w14:paraId="105C6A1A"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Single-cell proteins derived from the fermentation of methane-oxidising bacteria, from microalgal cultivation, or from hydrogen-oxidising bacterial platforms powered by renewable electricity represent a further frontier in low-carbon aquafeed ingredient development. Becker (2007) reviewed microalgae as a protein source, highlighting both the very high protein density of algal biomass and the significant challenges of achieving cost-competitive production at commercial scale. More recently, gas-fermentation platforms producing single-cell protein from CO₂ and renewable hydrogen have attracted research interest as potentially very low-carbon alternatives to both marine and terrestrial plant-derived ingredients, although large-scale commercial deployment remains at an early stage.</w:t>
      </w:r>
    </w:p>
    <w:p w14:paraId="445F2350"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7.2 Energy Efficiency and Renewable Energy Transition</w:t>
      </w:r>
    </w:p>
    <w:p w14:paraId="10DA92ED"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Improving energy efficiency and transitioning to renewable electricity are critical decarbonisation strategies for all aquaculture systems, but they matter most for energy-intensive configurations such as RAS and heated indoor facilities. MacLeod et al. (2020) identified energy transition as one of the largest single mitigation opportunities for global aquaculture, estimating that shifting farm energy supply from fossil fuel-based to renewable electricity would yield substantial reductions in total sector GHG emissions, particularly in countries where the grid is dominated by coal or natural gas.</w:t>
      </w:r>
    </w:p>
    <w:p w14:paraId="2C433FED"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At the farm level, energy efficiency can be improved through optimisation of aeration systems, adoption of variable-speed drives for pumps and blowers, installation of heat-recovery systems on effluent streams, and deployment of energy management platforms to identify and reduce demand peaks (Badiola et al., 2018). The decarbonisation calculus for RAS is strongly context-dependent: facilities powered by renewable electricity can offer genuinely low carbon footprints across multiple impact categories, while those drawing on high-carbon grids may carry a heavier GHG burden per kilogram of product than </w:t>
      </w:r>
      <w:r w:rsidRPr="006D2956">
        <w:rPr>
          <w:rFonts w:ascii="Times New Roman" w:eastAsia="Times New Roman" w:hAnsi="Times New Roman" w:cs="Times New Roman"/>
          <w:sz w:val="24"/>
          <w:szCs w:val="24"/>
          <w:lang w:eastAsia="en-GB"/>
        </w:rPr>
        <w:lastRenderedPageBreak/>
        <w:t xml:space="preserve">conventional open-water systems (Ahmed &amp; </w:t>
      </w:r>
      <w:proofErr w:type="spellStart"/>
      <w:r w:rsidRPr="006D2956">
        <w:rPr>
          <w:rFonts w:ascii="Times New Roman" w:eastAsia="Times New Roman" w:hAnsi="Times New Roman" w:cs="Times New Roman"/>
          <w:sz w:val="24"/>
          <w:szCs w:val="24"/>
          <w:lang w:eastAsia="en-GB"/>
        </w:rPr>
        <w:t>Turchini</w:t>
      </w:r>
      <w:proofErr w:type="spellEnd"/>
      <w:r w:rsidRPr="006D2956">
        <w:rPr>
          <w:rFonts w:ascii="Times New Roman" w:eastAsia="Times New Roman" w:hAnsi="Times New Roman" w:cs="Times New Roman"/>
          <w:sz w:val="24"/>
          <w:szCs w:val="24"/>
          <w:lang w:eastAsia="en-GB"/>
        </w:rPr>
        <w:t>, 2021). This asymmetry is a powerful argument for placing energy transition at the centre of national aquaculture development strategies, particularly in regions combining high aquaculture production with high grid carbon intensity.</w:t>
      </w:r>
    </w:p>
    <w:p w14:paraId="2AF838EC"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7.3 Recirculating Aquaculture Systems</w:t>
      </w:r>
    </w:p>
    <w:p w14:paraId="0FAC76B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Recirculating aquaculture systems replace the continuous throughput of large water volumes typical of conventional flow-through and open-water production with closed-loop water treatment, enabling intensive production with minimal water consumption, precise environmental control, and elimination of untreated effluent discharge. From a carbon footprint perspective, RAS presents both genuine advantages and significant challenges relative to conventional systems. On the negative side, RAS consumes substantially more electrical energy per unit of production, which can translate into a much higher GHG burden where fossil fuel-derived electricity is used (Badiola et al., 2012; Badiola et al., 2018). On the positive side, RAS eliminates or greatly reduces the direct CH₄ and N₂O emissions associated with open-water systems, concentrates waste streams in ways amenable to biogas generation or nutrient recovery, and enables siting close to consumer markets, reducing cold-chain transport emissions (Ahmed &amp; </w:t>
      </w:r>
      <w:proofErr w:type="spellStart"/>
      <w:r w:rsidRPr="006D2956">
        <w:rPr>
          <w:rFonts w:ascii="Times New Roman" w:eastAsia="Times New Roman" w:hAnsi="Times New Roman" w:cs="Times New Roman"/>
          <w:sz w:val="24"/>
          <w:szCs w:val="24"/>
          <w:lang w:eastAsia="en-GB"/>
        </w:rPr>
        <w:t>Turchini</w:t>
      </w:r>
      <w:proofErr w:type="spellEnd"/>
      <w:r w:rsidRPr="006D2956">
        <w:rPr>
          <w:rFonts w:ascii="Times New Roman" w:eastAsia="Times New Roman" w:hAnsi="Times New Roman" w:cs="Times New Roman"/>
          <w:sz w:val="24"/>
          <w:szCs w:val="24"/>
          <w:lang w:eastAsia="en-GB"/>
        </w:rPr>
        <w:t>, 2021).</w:t>
      </w:r>
    </w:p>
    <w:p w14:paraId="66527702"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d'Orbcastel</w:t>
      </w:r>
      <w:proofErr w:type="spellEnd"/>
      <w:r w:rsidRPr="006D2956">
        <w:rPr>
          <w:rFonts w:ascii="Times New Roman" w:eastAsia="Times New Roman" w:hAnsi="Times New Roman" w:cs="Times New Roman"/>
          <w:sz w:val="24"/>
          <w:szCs w:val="24"/>
          <w:lang w:eastAsia="en-GB"/>
        </w:rPr>
        <w:t xml:space="preserve"> et al. (2009) conducted one of the earliest comparative LCA studies of flow-through and recirculating trout systems, finding that RAS offered a lower land-use footprint and greater potential for nutrient recovery, but that its energy consumption was a significant environmental concern under the French grid conditions of the time. Ayer and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(2009) reached similar conclusions for Canadian salmonid systems. The environmental case for RAS is therefore neither universally positive nor negative but deeply context-dependent, requiring site-by-site evaluation that weighs the local energy mix and regulatory environment against the specific environmental pressures that conventional production would otherwise impose on the receiving watershed or marine area.</w:t>
      </w:r>
    </w:p>
    <w:p w14:paraId="04AC7A98"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7.4 Integrated Multi-trophic Aquaculture</w:t>
      </w:r>
    </w:p>
    <w:p w14:paraId="67E7DE27"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Integrated multi-trophic aquaculture is a production concept that co-cultures organisms from different trophic levels — typically finfish, bivalve shellfish, and seaweed or other extractive species — within or adjacent to a single production system, such that the dissolved and particulate waste outputs of higher-trophic-level organisms become inputs for extractive and lower-trophic-level species. The ecological and environmental rationale is compelling: by cycling nutrients and organic matter within the system, IMTA can simultaneously reduce effluent loads, improve nutrient use efficiency, lower per-unit environmental impacts, and generate additional marketable products (Chopin et al., 2001; Troell et al., 2009).</w:t>
      </w:r>
    </w:p>
    <w:p w14:paraId="45425C34"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From a carbon footprint perspective, IMTA systems offer several potential benefits. The photosynthetic uptake of inorganic carbon by seaweed components provides a CO₂ absorption function, while the nutrient </w:t>
      </w:r>
      <w:proofErr w:type="spellStart"/>
      <w:r w:rsidRPr="006D2956">
        <w:rPr>
          <w:rFonts w:ascii="Times New Roman" w:eastAsia="Times New Roman" w:hAnsi="Times New Roman" w:cs="Times New Roman"/>
          <w:sz w:val="24"/>
          <w:szCs w:val="24"/>
          <w:lang w:eastAsia="en-GB"/>
        </w:rPr>
        <w:t>bioextraction</w:t>
      </w:r>
      <w:proofErr w:type="spellEnd"/>
      <w:r w:rsidRPr="006D2956">
        <w:rPr>
          <w:rFonts w:ascii="Times New Roman" w:eastAsia="Times New Roman" w:hAnsi="Times New Roman" w:cs="Times New Roman"/>
          <w:sz w:val="24"/>
          <w:szCs w:val="24"/>
          <w:lang w:eastAsia="en-GB"/>
        </w:rPr>
        <w:t xml:space="preserve"> capacity of both seaweeds and filter-feeding bivalves reduces the eutrophication potential and N₂O emission risk associated with dissolved nitrogen release. </w:t>
      </w:r>
      <w:proofErr w:type="spellStart"/>
      <w:r w:rsidRPr="006D2956">
        <w:rPr>
          <w:rFonts w:ascii="Times New Roman" w:eastAsia="Times New Roman" w:hAnsi="Times New Roman" w:cs="Times New Roman"/>
          <w:sz w:val="24"/>
          <w:szCs w:val="24"/>
          <w:lang w:eastAsia="en-GB"/>
        </w:rPr>
        <w:t>Wilfart</w:t>
      </w:r>
      <w:proofErr w:type="spellEnd"/>
      <w:r w:rsidRPr="006D2956">
        <w:rPr>
          <w:rFonts w:ascii="Times New Roman" w:eastAsia="Times New Roman" w:hAnsi="Times New Roman" w:cs="Times New Roman"/>
          <w:sz w:val="24"/>
          <w:szCs w:val="24"/>
          <w:lang w:eastAsia="en-GB"/>
        </w:rPr>
        <w:t xml:space="preserve"> et al. (2013) found that multi-trophic aquaculture configurations showed meaningful improvements in climate impact alongside improvements in other environmental categories, relative to mono-species intensive systems. Troell et al. (2009), reviewing the ecological engineering foundations of IMTA, concluded that the concept is scientifically well supported but that commercial upscaling requires resolving </w:t>
      </w:r>
      <w:r w:rsidRPr="006D2956">
        <w:rPr>
          <w:rFonts w:ascii="Times New Roman" w:eastAsia="Times New Roman" w:hAnsi="Times New Roman" w:cs="Times New Roman"/>
          <w:sz w:val="24"/>
          <w:szCs w:val="24"/>
          <w:lang w:eastAsia="en-GB"/>
        </w:rPr>
        <w:lastRenderedPageBreak/>
        <w:t>technical challenges around the spatial management of co-cultured species, economic viability at production scale, and regulatory frameworks that can accommodate mixed-species operations.</w:t>
      </w:r>
    </w:p>
    <w:p w14:paraId="1DD80F29"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7.5 Improved Pond Management and Integrated Farming Systems</w:t>
      </w:r>
    </w:p>
    <w:p w14:paraId="04CA4A5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For the substantial proportion of global aquaculture production conducted in ponds — particularly extensive and semi-intensive systems across South and Southeast Asia — improved management of organic loading, water quality, and production intensity offers a practical and cost-effective route to reducing direct GHG emissions. Useful strategies include optimising feed formulation and feeding rates to minimise unconsumed feed accumulating in pond sediments, periodically drying and tilling ponds between production cycles to oxidise accumulated organic matter and disrupt methanogenic conditions, and using probiotics and other biological management approaches to shift microbial communities away from methanogenesis.</w:t>
      </w:r>
    </w:p>
    <w:p w14:paraId="5F920EFE"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Hu et al. (2012) showed that N₂O and CH₄ emission rates from aquaculture ponds are sensitive to dissolved oxygen concentration, organic loading, stocking density, and feeding rate — all variables under farmer control. IPCC (2019a) refinements to default emission factors for aquaculture ponds have improved national GHG inventory estimates, although the high variability of emission rates across production systems and climatic zones means that farm-level monitoring remains important for accurate carbon accounting. Beyond ponds, integrated farming systems such as rice–fish co-cultivation also offer potential for managing emissions while improving resource use efficiency (Hu et al., 2016), and represent an important area for further investigation, particularly in Asian contexts where both rice cultivation and freshwater aquaculture are major components of rural food production. Henriksson et al. (2018) emphasised that sustainable intensification of Asian aquaculture — improving productivity per unit area through better management rather than simply expanding production area — could simultaneously improve food security outcomes and reduce total GHG emissions relative to simple area-based expansion.</w:t>
      </w:r>
    </w:p>
    <w:p w14:paraId="01561300" w14:textId="77777777" w:rsidR="006D2956" w:rsidRPr="006D2956" w:rsidRDefault="006D2956" w:rsidP="006D2956">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7.6 Policy and Governance Frameworks</w:t>
      </w:r>
    </w:p>
    <w:p w14:paraId="5E23899E"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Adopting emission reduction strategies at scale in aquaculture requires enabling policy environments and governance frameworks that create incentives for producers, supply chain actors, and investors to internalise environmental costs and commit resources to cleaner technologies and practices. Bush et al. (2013) assessed the role of voluntary certification schemes in driving environmental improvements in aquaculture and concluded that, while existing standards have had measurable effects on certain practices in some production systems, their effectiveness in reducing carbon footprints specifically is difficult to verify in the absence of explicit carbon accounting requirements within most standards. Naylor et al. (2021), in a comprehensive two-decade retrospective on global aquaculture development, argued for stronger integration of environmental accountability — including GHG emission monitoring and reduction requirements — into the governance frameworks shaping national aquaculture industries.</w:t>
      </w:r>
    </w:p>
    <w:p w14:paraId="14634918"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National and international climate policy frameworks provide important enabling conditions for sector-level decarbonisation. The Paris Agreement and its associated nationally determined contributions have been identified as frameworks within which aquaculture sector GHG reductions could increasingly be captured, particularly through the accounting of blue </w:t>
      </w:r>
      <w:r w:rsidRPr="006D2956">
        <w:rPr>
          <w:rFonts w:ascii="Times New Roman" w:eastAsia="Times New Roman" w:hAnsi="Times New Roman" w:cs="Times New Roman"/>
          <w:sz w:val="24"/>
          <w:szCs w:val="24"/>
          <w:lang w:eastAsia="en-GB"/>
        </w:rPr>
        <w:lastRenderedPageBreak/>
        <w:t>carbon sequestration associated with well-managed coastal aquaculture ecosystems (</w:t>
      </w:r>
      <w:proofErr w:type="spellStart"/>
      <w:r w:rsidRPr="006D2956">
        <w:rPr>
          <w:rFonts w:ascii="Times New Roman" w:eastAsia="Times New Roman" w:hAnsi="Times New Roman" w:cs="Times New Roman"/>
          <w:sz w:val="24"/>
          <w:szCs w:val="24"/>
          <w:lang w:eastAsia="en-GB"/>
        </w:rPr>
        <w:t>Filgueira</w:t>
      </w:r>
      <w:proofErr w:type="spellEnd"/>
      <w:r w:rsidRPr="006D2956">
        <w:rPr>
          <w:rFonts w:ascii="Times New Roman" w:eastAsia="Times New Roman" w:hAnsi="Times New Roman" w:cs="Times New Roman"/>
          <w:sz w:val="24"/>
          <w:szCs w:val="24"/>
          <w:lang w:eastAsia="en-GB"/>
        </w:rPr>
        <w:t xml:space="preserve"> et al., 2015; IPCC, 2019a). IPCC (2022) explicitly acknowledged the mitigation potential of the food and agriculture sector in the context of its sixth assessment cycle. Developing credible monitoring, reporting, and verification protocols specifically designed for aquaculture operations, however, remains an unresolved challenge — and represents a prerequisite for integrating the sector meaningfully into carbon market mechanisms.</w:t>
      </w:r>
    </w:p>
    <w:p w14:paraId="3FF7E2BA"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5 sets out the principal emission reduction strategies discussed in this section, indicating the primary emission category targeted, the evidence-supported mitigation potential, and the key barriers currently limiting wider adoption.</w:t>
      </w:r>
    </w:p>
    <w:p w14:paraId="23C1DE93" w14:textId="28F70062"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5F84818C"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5: Principal Emission Reduction Strategies for Aquaculture and Evidence of Mitigation Potential</w:t>
      </w:r>
    </w:p>
    <w:tbl>
      <w:tblPr>
        <w:tblStyle w:val="TableGridLight"/>
        <w:tblW w:w="0" w:type="auto"/>
        <w:tblLook w:val="04A0" w:firstRow="1" w:lastRow="0" w:firstColumn="1" w:lastColumn="0" w:noHBand="0" w:noVBand="1"/>
      </w:tblPr>
      <w:tblGrid>
        <w:gridCol w:w="2033"/>
        <w:gridCol w:w="2175"/>
        <w:gridCol w:w="2073"/>
        <w:gridCol w:w="2961"/>
      </w:tblGrid>
      <w:tr w:rsidR="006D2956" w:rsidRPr="006D2956" w14:paraId="386D3E68" w14:textId="77777777" w:rsidTr="006D2956">
        <w:tc>
          <w:tcPr>
            <w:tcW w:w="0" w:type="auto"/>
            <w:hideMark/>
          </w:tcPr>
          <w:p w14:paraId="796AB105"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Strategy</w:t>
            </w:r>
          </w:p>
        </w:tc>
        <w:tc>
          <w:tcPr>
            <w:tcW w:w="0" w:type="auto"/>
            <w:hideMark/>
          </w:tcPr>
          <w:p w14:paraId="0D1612DE"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Primary Emission Category Targeted</w:t>
            </w:r>
          </w:p>
        </w:tc>
        <w:tc>
          <w:tcPr>
            <w:tcW w:w="0" w:type="auto"/>
            <w:hideMark/>
          </w:tcPr>
          <w:p w14:paraId="22DE807A"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Mitigation Potential</w:t>
            </w:r>
          </w:p>
        </w:tc>
        <w:tc>
          <w:tcPr>
            <w:tcW w:w="0" w:type="auto"/>
            <w:hideMark/>
          </w:tcPr>
          <w:p w14:paraId="4CF39A24" w14:textId="77777777" w:rsidR="006D2956" w:rsidRPr="006D2956" w:rsidRDefault="006D2956" w:rsidP="006D2956">
            <w:pPr>
              <w:jc w:val="center"/>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Key Barriers to Adoption</w:t>
            </w:r>
          </w:p>
        </w:tc>
      </w:tr>
      <w:tr w:rsidR="006D2956" w:rsidRPr="006D2956" w14:paraId="1CFFDDBA" w14:textId="77777777" w:rsidTr="006D2956">
        <w:tc>
          <w:tcPr>
            <w:tcW w:w="0" w:type="auto"/>
            <w:hideMark/>
          </w:tcPr>
          <w:p w14:paraId="51FFE1C3"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Insect meal / single-cell protein in feeds</w:t>
            </w:r>
          </w:p>
        </w:tc>
        <w:tc>
          <w:tcPr>
            <w:tcW w:w="0" w:type="auto"/>
            <w:hideMark/>
          </w:tcPr>
          <w:p w14:paraId="6084E8B4"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(fishmeal substitution)</w:t>
            </w:r>
          </w:p>
        </w:tc>
        <w:tc>
          <w:tcPr>
            <w:tcW w:w="0" w:type="auto"/>
            <w:hideMark/>
          </w:tcPr>
          <w:p w14:paraId="65E02CB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High, conditional on substrate and energy mix</w:t>
            </w:r>
          </w:p>
        </w:tc>
        <w:tc>
          <w:tcPr>
            <w:tcW w:w="0" w:type="auto"/>
            <w:hideMark/>
          </w:tcPr>
          <w:p w14:paraId="641F39F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Cost competitiveness; regulatory harmonisation; production scale-up</w:t>
            </w:r>
          </w:p>
        </w:tc>
      </w:tr>
      <w:tr w:rsidR="006D2956" w:rsidRPr="006D2956" w14:paraId="3F7E0154" w14:textId="77777777" w:rsidTr="006D2956">
        <w:tc>
          <w:tcPr>
            <w:tcW w:w="0" w:type="auto"/>
            <w:hideMark/>
          </w:tcPr>
          <w:p w14:paraId="1EE9DB0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Certified plant protein substitution</w:t>
            </w:r>
          </w:p>
        </w:tc>
        <w:tc>
          <w:tcPr>
            <w:tcW w:w="0" w:type="auto"/>
            <w:hideMark/>
          </w:tcPr>
          <w:p w14:paraId="0C834BD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marine ingredient use</w:t>
            </w:r>
          </w:p>
        </w:tc>
        <w:tc>
          <w:tcPr>
            <w:tcW w:w="0" w:type="auto"/>
            <w:hideMark/>
          </w:tcPr>
          <w:p w14:paraId="240163D4"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Moderate; risk of LUC burden transfer</w:t>
            </w:r>
          </w:p>
        </w:tc>
        <w:tc>
          <w:tcPr>
            <w:tcW w:w="0" w:type="auto"/>
            <w:hideMark/>
          </w:tcPr>
          <w:p w14:paraId="645F84F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Deforestation linkage in soy supply chains; nutritional constraints</w:t>
            </w:r>
          </w:p>
        </w:tc>
      </w:tr>
      <w:tr w:rsidR="006D2956" w:rsidRPr="006D2956" w14:paraId="5474B7E1" w14:textId="77777777" w:rsidTr="006D2956">
        <w:tc>
          <w:tcPr>
            <w:tcW w:w="0" w:type="auto"/>
            <w:hideMark/>
          </w:tcPr>
          <w:p w14:paraId="6005D36C"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Renewable electricity at farm</w:t>
            </w:r>
          </w:p>
        </w:tc>
        <w:tc>
          <w:tcPr>
            <w:tcW w:w="0" w:type="auto"/>
            <w:hideMark/>
          </w:tcPr>
          <w:p w14:paraId="5A8CC341"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Energy-related emissions</w:t>
            </w:r>
          </w:p>
        </w:tc>
        <w:tc>
          <w:tcPr>
            <w:tcW w:w="0" w:type="auto"/>
            <w:hideMark/>
          </w:tcPr>
          <w:p w14:paraId="652B7977"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High for grid-connected intensive systems</w:t>
            </w:r>
          </w:p>
        </w:tc>
        <w:tc>
          <w:tcPr>
            <w:tcW w:w="0" w:type="auto"/>
            <w:hideMark/>
          </w:tcPr>
          <w:p w14:paraId="4FDFB6CD"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Capital costs; grid access in developing countries</w:t>
            </w:r>
          </w:p>
        </w:tc>
      </w:tr>
      <w:tr w:rsidR="006D2956" w:rsidRPr="006D2956" w14:paraId="7596549D" w14:textId="77777777" w:rsidTr="006D2956">
        <w:tc>
          <w:tcPr>
            <w:tcW w:w="0" w:type="auto"/>
            <w:hideMark/>
          </w:tcPr>
          <w:p w14:paraId="1CBF11AD"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RAS with low-carbon energy</w:t>
            </w:r>
          </w:p>
        </w:tc>
        <w:tc>
          <w:tcPr>
            <w:tcW w:w="0" w:type="auto"/>
            <w:hideMark/>
          </w:tcPr>
          <w:p w14:paraId="6915D2A4"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direct water body emissions</w:t>
            </w:r>
          </w:p>
        </w:tc>
        <w:tc>
          <w:tcPr>
            <w:tcW w:w="0" w:type="auto"/>
            <w:hideMark/>
          </w:tcPr>
          <w:p w14:paraId="053ED1A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High with renewable electricity</w:t>
            </w:r>
          </w:p>
        </w:tc>
        <w:tc>
          <w:tcPr>
            <w:tcW w:w="0" w:type="auto"/>
            <w:hideMark/>
          </w:tcPr>
          <w:p w14:paraId="55FD6847"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Very high energy demand and capital investment requirements</w:t>
            </w:r>
          </w:p>
        </w:tc>
      </w:tr>
      <w:tr w:rsidR="006D2956" w:rsidRPr="006D2956" w14:paraId="213649AD" w14:textId="77777777" w:rsidTr="006D2956">
        <w:tc>
          <w:tcPr>
            <w:tcW w:w="0" w:type="auto"/>
            <w:hideMark/>
          </w:tcPr>
          <w:p w14:paraId="23390FA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Integrated multi-trophic aquaculture</w:t>
            </w:r>
          </w:p>
        </w:tc>
        <w:tc>
          <w:tcPr>
            <w:tcW w:w="0" w:type="auto"/>
            <w:hideMark/>
          </w:tcPr>
          <w:p w14:paraId="5F1A8D5A"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Feed-linked and direct emissions across system</w:t>
            </w:r>
          </w:p>
        </w:tc>
        <w:tc>
          <w:tcPr>
            <w:tcW w:w="0" w:type="auto"/>
            <w:hideMark/>
          </w:tcPr>
          <w:p w14:paraId="18AD901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Moderate to high; species-specific</w:t>
            </w:r>
          </w:p>
        </w:tc>
        <w:tc>
          <w:tcPr>
            <w:tcW w:w="0" w:type="auto"/>
            <w:hideMark/>
          </w:tcPr>
          <w:p w14:paraId="557C6B89"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Technical complexity; spatial management; regulatory uncertainty</w:t>
            </w:r>
          </w:p>
        </w:tc>
      </w:tr>
      <w:tr w:rsidR="006D2956" w:rsidRPr="006D2956" w14:paraId="3265F51B" w14:textId="77777777" w:rsidTr="006D2956">
        <w:tc>
          <w:tcPr>
            <w:tcW w:w="0" w:type="auto"/>
            <w:hideMark/>
          </w:tcPr>
          <w:p w14:paraId="3AB542B2"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Mangrove protection / blue carbon</w:t>
            </w:r>
          </w:p>
        </w:tc>
        <w:tc>
          <w:tcPr>
            <w:tcW w:w="0" w:type="auto"/>
            <w:hideMark/>
          </w:tcPr>
          <w:p w14:paraId="56CC8021"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Land-use change emissions</w:t>
            </w:r>
          </w:p>
        </w:tc>
        <w:tc>
          <w:tcPr>
            <w:tcW w:w="0" w:type="auto"/>
            <w:hideMark/>
          </w:tcPr>
          <w:p w14:paraId="7E5C472E"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Very high if area-level conversion is prevented</w:t>
            </w:r>
          </w:p>
        </w:tc>
        <w:tc>
          <w:tcPr>
            <w:tcW w:w="0" w:type="auto"/>
            <w:hideMark/>
          </w:tcPr>
          <w:p w14:paraId="35239DB5"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Governance capacity; verification and permanence protocols</w:t>
            </w:r>
          </w:p>
        </w:tc>
      </w:tr>
      <w:tr w:rsidR="006D2956" w:rsidRPr="006D2956" w14:paraId="631CF0A3" w14:textId="77777777" w:rsidTr="006D2956">
        <w:tc>
          <w:tcPr>
            <w:tcW w:w="0" w:type="auto"/>
            <w:hideMark/>
          </w:tcPr>
          <w:p w14:paraId="0C78EA2C"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Improved pond management</w:t>
            </w:r>
          </w:p>
        </w:tc>
        <w:tc>
          <w:tcPr>
            <w:tcW w:w="0" w:type="auto"/>
            <w:hideMark/>
          </w:tcPr>
          <w:p w14:paraId="15BC59E7"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Direct N₂O and CH₄ emissions</w:t>
            </w:r>
          </w:p>
        </w:tc>
        <w:tc>
          <w:tcPr>
            <w:tcW w:w="0" w:type="auto"/>
            <w:hideMark/>
          </w:tcPr>
          <w:p w14:paraId="75D1A411"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Moderate; context-specific</w:t>
            </w:r>
          </w:p>
        </w:tc>
        <w:tc>
          <w:tcPr>
            <w:tcW w:w="0" w:type="auto"/>
            <w:hideMark/>
          </w:tcPr>
          <w:p w14:paraId="06902660"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Monitoring costs; farmer adoption incentives and training</w:t>
            </w:r>
          </w:p>
        </w:tc>
      </w:tr>
      <w:tr w:rsidR="006D2956" w:rsidRPr="006D2956" w14:paraId="477C50FB" w14:textId="77777777" w:rsidTr="006D2956">
        <w:tc>
          <w:tcPr>
            <w:tcW w:w="0" w:type="auto"/>
            <w:hideMark/>
          </w:tcPr>
          <w:p w14:paraId="68488D28"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Carbon pricing / mandatory reporting</w:t>
            </w:r>
          </w:p>
        </w:tc>
        <w:tc>
          <w:tcPr>
            <w:tcW w:w="0" w:type="auto"/>
            <w:hideMark/>
          </w:tcPr>
          <w:p w14:paraId="425C1F9B"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Cross-cutting, all categories</w:t>
            </w:r>
          </w:p>
        </w:tc>
        <w:tc>
          <w:tcPr>
            <w:tcW w:w="0" w:type="auto"/>
            <w:hideMark/>
          </w:tcPr>
          <w:p w14:paraId="6335629C"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Potentially large if well designed</w:t>
            </w:r>
          </w:p>
        </w:tc>
        <w:tc>
          <w:tcPr>
            <w:tcW w:w="0" w:type="auto"/>
            <w:hideMark/>
          </w:tcPr>
          <w:p w14:paraId="1214EAB1" w14:textId="77777777" w:rsidR="006D2956" w:rsidRPr="006D2956" w:rsidRDefault="006D2956" w:rsidP="006D2956">
            <w:pPr>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Data infrastructure; compliance costs; enforcement capacity</w:t>
            </w:r>
          </w:p>
        </w:tc>
      </w:tr>
    </w:tbl>
    <w:p w14:paraId="073B8E5F"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i/>
          <w:iCs/>
          <w:sz w:val="24"/>
          <w:szCs w:val="24"/>
          <w:lang w:eastAsia="en-GB"/>
        </w:rPr>
        <w:t xml:space="preserve">Sources: Ahmed &amp; </w:t>
      </w:r>
      <w:proofErr w:type="spellStart"/>
      <w:r w:rsidRPr="006D2956">
        <w:rPr>
          <w:rFonts w:ascii="Times New Roman" w:eastAsia="Times New Roman" w:hAnsi="Times New Roman" w:cs="Times New Roman"/>
          <w:i/>
          <w:iCs/>
          <w:sz w:val="24"/>
          <w:szCs w:val="24"/>
          <w:lang w:eastAsia="en-GB"/>
        </w:rPr>
        <w:t>Turchini</w:t>
      </w:r>
      <w:proofErr w:type="spellEnd"/>
      <w:r w:rsidRPr="006D2956">
        <w:rPr>
          <w:rFonts w:ascii="Times New Roman" w:eastAsia="Times New Roman" w:hAnsi="Times New Roman" w:cs="Times New Roman"/>
          <w:i/>
          <w:iCs/>
          <w:sz w:val="24"/>
          <w:szCs w:val="24"/>
          <w:lang w:eastAsia="en-GB"/>
        </w:rPr>
        <w:t xml:space="preserve"> (2021); Badiola et al. (2018); </w:t>
      </w:r>
      <w:proofErr w:type="spellStart"/>
      <w:r w:rsidRPr="006D2956">
        <w:rPr>
          <w:rFonts w:ascii="Times New Roman" w:eastAsia="Times New Roman" w:hAnsi="Times New Roman" w:cs="Times New Roman"/>
          <w:i/>
          <w:iCs/>
          <w:sz w:val="24"/>
          <w:szCs w:val="24"/>
          <w:lang w:eastAsia="en-GB"/>
        </w:rPr>
        <w:t>Bohnes</w:t>
      </w:r>
      <w:proofErr w:type="spellEnd"/>
      <w:r w:rsidRPr="006D2956">
        <w:rPr>
          <w:rFonts w:ascii="Times New Roman" w:eastAsia="Times New Roman" w:hAnsi="Times New Roman" w:cs="Times New Roman"/>
          <w:i/>
          <w:iCs/>
          <w:sz w:val="24"/>
          <w:szCs w:val="24"/>
          <w:lang w:eastAsia="en-GB"/>
        </w:rPr>
        <w:t xml:space="preserve"> et al. (2019); Bush et al. (2013); Chopin et al. (2001); Duarte et al. (2017); </w:t>
      </w:r>
      <w:proofErr w:type="spellStart"/>
      <w:r w:rsidRPr="006D2956">
        <w:rPr>
          <w:rFonts w:ascii="Times New Roman" w:eastAsia="Times New Roman" w:hAnsi="Times New Roman" w:cs="Times New Roman"/>
          <w:i/>
          <w:iCs/>
          <w:sz w:val="24"/>
          <w:szCs w:val="24"/>
          <w:lang w:eastAsia="en-GB"/>
        </w:rPr>
        <w:t>Filgueira</w:t>
      </w:r>
      <w:proofErr w:type="spellEnd"/>
      <w:r w:rsidRPr="006D2956">
        <w:rPr>
          <w:rFonts w:ascii="Times New Roman" w:eastAsia="Times New Roman" w:hAnsi="Times New Roman" w:cs="Times New Roman"/>
          <w:i/>
          <w:iCs/>
          <w:sz w:val="24"/>
          <w:szCs w:val="24"/>
          <w:lang w:eastAsia="en-GB"/>
        </w:rPr>
        <w:t xml:space="preserve"> et al. (2015); Froehlich et al. (2018); Halloran et al. (2016); Henry et al. (2015); Hu et al. (2012); IPCC (2019a); Jonell &amp; Henriksson (2015); MacLeod et al. (2020); Naylor et al. (2021); Troell et al. (2009); </w:t>
      </w:r>
      <w:proofErr w:type="spellStart"/>
      <w:r w:rsidRPr="006D2956">
        <w:rPr>
          <w:rFonts w:ascii="Times New Roman" w:eastAsia="Times New Roman" w:hAnsi="Times New Roman" w:cs="Times New Roman"/>
          <w:i/>
          <w:iCs/>
          <w:sz w:val="24"/>
          <w:szCs w:val="24"/>
          <w:lang w:eastAsia="en-GB"/>
        </w:rPr>
        <w:t>Wilfart</w:t>
      </w:r>
      <w:proofErr w:type="spellEnd"/>
      <w:r w:rsidRPr="006D2956">
        <w:rPr>
          <w:rFonts w:ascii="Times New Roman" w:eastAsia="Times New Roman" w:hAnsi="Times New Roman" w:cs="Times New Roman"/>
          <w:i/>
          <w:iCs/>
          <w:sz w:val="24"/>
          <w:szCs w:val="24"/>
          <w:lang w:eastAsia="en-GB"/>
        </w:rPr>
        <w:t xml:space="preserve"> et al. (2013)</w:t>
      </w:r>
    </w:p>
    <w:p w14:paraId="12D1762E" w14:textId="26D66673"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08AF87E0"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lastRenderedPageBreak/>
        <w:t>8. Synthesis and Critical Discussion</w:t>
      </w:r>
    </w:p>
    <w:p w14:paraId="50FC4296"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literature synthesised in this review reveals several robust patterns alongside persistent methodological challenges and important data gaps. The most important substantive finding is the sheer heterogeneity in carbon intensity across species and production systems. The range from sub-1 kg CO₂-</w:t>
      </w:r>
      <w:proofErr w:type="spellStart"/>
      <w:r w:rsidRPr="006D2956">
        <w:rPr>
          <w:rFonts w:ascii="Times New Roman" w:eastAsia="Times New Roman" w:hAnsi="Times New Roman" w:cs="Times New Roman"/>
          <w:sz w:val="24"/>
          <w:szCs w:val="24"/>
          <w:lang w:eastAsia="en-GB"/>
        </w:rPr>
        <w:t>eq</w:t>
      </w:r>
      <w:proofErr w:type="spellEnd"/>
      <w:r w:rsidRPr="006D2956">
        <w:rPr>
          <w:rFonts w:ascii="Times New Roman" w:eastAsia="Times New Roman" w:hAnsi="Times New Roman" w:cs="Times New Roman"/>
          <w:sz w:val="24"/>
          <w:szCs w:val="24"/>
          <w:lang w:eastAsia="en-GB"/>
        </w:rPr>
        <w:t xml:space="preserve"> kg⁻¹ for filter-feeding bivalves and seaweed to values exceeding 20 kg CO₂-</w:t>
      </w:r>
      <w:proofErr w:type="spellStart"/>
      <w:r w:rsidRPr="006D2956">
        <w:rPr>
          <w:rFonts w:ascii="Times New Roman" w:eastAsia="Times New Roman" w:hAnsi="Times New Roman" w:cs="Times New Roman"/>
          <w:sz w:val="24"/>
          <w:szCs w:val="24"/>
          <w:lang w:eastAsia="en-GB"/>
        </w:rPr>
        <w:t>eq</w:t>
      </w:r>
      <w:proofErr w:type="spellEnd"/>
      <w:r w:rsidRPr="006D2956">
        <w:rPr>
          <w:rFonts w:ascii="Times New Roman" w:eastAsia="Times New Roman" w:hAnsi="Times New Roman" w:cs="Times New Roman"/>
          <w:sz w:val="24"/>
          <w:szCs w:val="24"/>
          <w:lang w:eastAsia="en-GB"/>
        </w:rPr>
        <w:t xml:space="preserve"> kg⁻¹ for some shrimp systems incorporating mangrove conversion is substantially wider than the variation found within most other major protein source categories, and reflects the genuine ecological and technological diversity packed into the single term "aquaculture" (MacLeod et al., 2020; Poore &amp; Nemecek, 2018). Blanket characterisations of aquaculture as inherently low- or high-carbon are therefore empirically indefensible, and policy instruments that treat the sector as a homogeneous entity risk misallocating effort and resources.</w:t>
      </w:r>
    </w:p>
    <w:p w14:paraId="789366C1"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remains the most powerful lever for reducing carbon footprints in fed aquaculture. The trajectory of fishmeal substitution over the past two decades has already driven measurable reductions in feed carbon intensity for salmon and trout (Naylor et al., 2021), though these gains have been partially eroded by land-use change emissions from expanded soy cultivation (Froehlich et al., 2018). The emerging generation of insect-based and microbial protein ingredients holds out the prospect of further significant reductions, and several of the LCA studies reviewed here suggest that systems adopting novel ingredients could achieve substantially lower carbon footprints than those dependent on conventional marine or terrestrial plant proteins (Halloran et al., 2016; Henry et al., 2015). Whether these technologies can scale cost-competitively to the volumes required by global aquaculture remains an open question, and early LCA results for novel ingredients are subject to the same methodological heterogeneity that continues to challenge the broader aquaculture LCA literature.</w:t>
      </w:r>
    </w:p>
    <w:p w14:paraId="49D9FA64"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Energy's role in aquaculture's GHG emissions is both a significant challenge and a genuinely tractable opportunity. For intensive land-based systems, the most direct route to low-carbon production is moving away from fossil fuel-derived electricity — a matter partly of national energy policy and partly of farm-level investment decisions (Badiola et al., 2018; MacLeod et al., 2020). For extensive and semi-intensive systems in lower-income countries, where energy use is relatively low but direct pond emissions and feed-related impacts may be significant, different intervention pathways are needed, centred on improved management practice, access to better-quality feeds, and farmer training. The sheer diversity of aquaculture contexts means that emission reduction policy must be tailored to specific production systems and geographies rather than pursuing a single uniform approach.</w:t>
      </w:r>
    </w:p>
    <w:p w14:paraId="4A67A6F8"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methodological advances reviewed in Section 6 are gradually addressing some of the most significant limitations in the aquaculture LCA field. Consequential and dynamic approaches yield more policy-relevant assessments of sector-level emission implications, while improved marine resource use metrics, water footprint integration, and early work on biodiversity impact characterisation are building a progressively more complete picture of aquaculture's total environmental burden. Even so, data quality and primary measurement remain fundamental constraints — particularly for direct pond GHG fluxes across diverse geographic and climatic contexts, and for the rapidly evolving ingredient compositions of commercial aquafeeds. Both Hu et al. (2012) and IPCC (2019a) emphasised the need for expanded empirical measurement programmes for CH₄ and N₂O from aquaculture systems as a prerequisite for reducing uncertainty in global emission estimates.</w:t>
      </w:r>
    </w:p>
    <w:p w14:paraId="057D4D5E"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Comparisons of aquaculture with terrestrial livestock in climate impact terms have become increasingly prominent in food policy discussions and dietary guidelines. Poore and Nemecek (2018) demonstrated, in a comprehensive global analysis, that aquaculture systems generally produce lower GHG emissions per unit of protein than ruminant livestock, though results are more variable when compared with monogastric pigs and poultry. Golden et al. (2016) highlighted the nutritional co-benefits of aquatic food consumption, particularly for micronutrients and long-chain omega-3 fatty acids, while Springmann et al. (2020) found that dietary guidelines incorporating moderate amounts of fish and seafood were associated with better combined nutritional and environmental outcomes than diets reliant primarily on terrestrial livestock. These comparative findings reinforce the case for including aquaculture — particularly lower-impact species and systems — in food system transition strategies aimed at improving diet quality and reducing dietary GHG footprints simultaneously.</w:t>
      </w:r>
    </w:p>
    <w:p w14:paraId="330DB76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Governance and certification remain essential enabling mechanisms. Bush et al. (2013) noted that voluntary standards have produced measurable improvements in specific practices in some contexts, but that the absence of robust carbon accounting requirements within most existing schemes limits their effectiveness as climate mitigation tools. Ahmed et al. (2019) and Naylor et al. (2021) both called for stronger integration of environmental accountability into national aquaculture development frameworks, arguing that the sector's long-term viability depends on its ability to demonstrate genuine improvement across multiple environmental dimensions, not GHG emissions alone.</w:t>
      </w:r>
    </w:p>
    <w:p w14:paraId="30411932" w14:textId="0A25221F"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4C7070E6"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9. Conclusions</w:t>
      </w:r>
    </w:p>
    <w:p w14:paraId="10A80A50"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This review has synthesised a broad and growing body of evidence on the carbon footprints of aquaculture systems, with particular focus on life cycle assessment methodology, comparative emission profiles, primary emission sources, and strategies for mitigation. Several principal conclusions emerge from this synthesis.</w:t>
      </w:r>
    </w:p>
    <w:p w14:paraId="19A061FA"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Aquaculture as a sector encompasses an extraordinarily wide range of carbon footprints, from near-zero or marginally negative values for some seaweed and bivalve systems to values comparable with, or exceeding, those of intensive terrestrial livestock for certain carnivorous finfish and some shrimp production configurations. This diversity means the sector cannot be characterised meaningfully in simple aggregate terms, and that differentiated, system-specific approaches to carbon accounting and reduction are essential for both scientific progress and effective policy.</w:t>
      </w:r>
    </w:p>
    <w:p w14:paraId="38DB6F2A"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is the dominant emission source in fed aquaculture and the primary lever for mitigation. The progressive replacement of marine ingredients with lower-carbon alternatives — including certified plant proteins, insect meal, and single-cell proteins — represents the highest-impact intervention available to the sector. Substitution strategies that shift environmental burdens from one production stage or geography to another must, however, be assessed through rigorous full life cycle accounting, and developing verification systems for novel feed ingredients is an important parallel requirement.</w:t>
      </w:r>
    </w:p>
    <w:p w14:paraId="554472B3"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Energy consumption is the second most important emission source and is amenable to significant reduction through renewable energy transition and improved efficiency, particularly in recirculating aquaculture systems. The carbon intensity of farm energy is </w:t>
      </w:r>
      <w:r w:rsidRPr="006D2956">
        <w:rPr>
          <w:rFonts w:ascii="Times New Roman" w:eastAsia="Times New Roman" w:hAnsi="Times New Roman" w:cs="Times New Roman"/>
          <w:sz w:val="24"/>
          <w:szCs w:val="24"/>
          <w:lang w:eastAsia="en-GB"/>
        </w:rPr>
        <w:lastRenderedPageBreak/>
        <w:t>strongly mediated by the national electricity mix, meaning that policies accelerating grid decarbonisation will generate important co-benefits for aquaculture producers without requiring any change to production methods themselves.</w:t>
      </w:r>
    </w:p>
    <w:p w14:paraId="3DF13211"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Advanced LCA methodologies, including consequential and dynamic approaches, multi-regional input-output analysis, and multi-impact assessment frameworks, are improving the analytical rigour and policy relevance of aquaculture carbon accounting. Despite this progress, methodological heterogeneity across published studies remains an obstacle to cross-system comparison, and sector-specific reporting guidelines for aquaculture LCA represent an important priority for the research community.</w:t>
      </w:r>
    </w:p>
    <w:p w14:paraId="691A855F"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Integrated multi-trophic aquaculture and recirculating systems with low-carbon energy supply represent the most technically promising pathways toward substantially lower-carbon production, but their wider adoption depends on resolving questions of economic viability, energy access, and regulatory complexity. Improved pond management practices, meanwhile, offer cost-effective and farmer-accessible mitigation opportunities for the large share of global production that occurs in semi-intensive systems.</w:t>
      </w:r>
    </w:p>
    <w:p w14:paraId="397B8D7D"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Governance frameworks — certification standards, national aquaculture strategies, and international climate agreements among them — have a central role in incentivising, measuring, and verifying progress toward lower-carbon aquaculture. Mandatory carbon reporting requirements, credible offset protocols for blue carbon, and public investment in monitoring and data infrastructure are all components of the enabling environment the sector will need if it is to make a meaningful contribution to global climate mitigation objectives.</w:t>
      </w:r>
    </w:p>
    <w:p w14:paraId="53EFD78A" w14:textId="4D9AB8A8"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332CAEE3"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10. Limitations</w:t>
      </w:r>
    </w:p>
    <w:p w14:paraId="543E0791"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This review carries several limitations that should be acknowledged openly. First, the adoption of a narrative rather than systematic review methodology, while appropriate for a heterogeneous and rapidly evolving literature, introduces an element of subjectivity into the selection, weighting, and interpretation of individual studies. The findings presented here should therefore be understood as a critical synthesis rather than a statistically representative sample of all available evidence.</w:t>
      </w:r>
    </w:p>
    <w:p w14:paraId="6AB51BFE"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Second, the published LCA literature for aquaculture is heavily concentrated on a small number of commercially prominent species and production systems — Norwegian Atlantic salmon, Asian shrimp, and European trout, in particular — and significant evidence gaps remain for many species and systems of growing commercial importance, including carp (by far the most produced aquaculture taxon globally), seabass, seabream, and numerous tropical freshwater and brackish-water species.</w:t>
      </w:r>
    </w:p>
    <w:p w14:paraId="40FFC2B4"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Third, the great majority of published LCA studies have been conducted in developed-country contexts or for export-oriented production systems in producing countries. The carbon footprints of subsistence and small-scale aquaculture systems, which provide food security and livelihoods for hundreds of millions of people across South and Southeast Asia and sub-Saharan Africa, remain very poorly characterised in the peer-reviewed literature.</w:t>
      </w:r>
    </w:p>
    <w:p w14:paraId="2EDD4EA8"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Fourth, the static nature of LCA methodology means that the dynamic and interactive effects of climate change itself on aquaculture production systems — including the influence of rising water temperatures on feed conversion efficiency, disease prevalence, and species range — are not systematically captured in existing assessments. The long-term climate compatibility of any given aquaculture system cannot, therefore, be fully evaluated through current LCA frameworks alone.</w:t>
      </w:r>
    </w:p>
    <w:p w14:paraId="7B1F3FA5" w14:textId="777777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Fifth, this review focuses primarily on cradle-to-farm-gate or cradle-to-consumer system boundaries and does not comprehensively address post-consumer food waste, which can significantly alter the effective carbon footprint per unit of nutrition actually consumed by the end user.</w:t>
      </w:r>
    </w:p>
    <w:p w14:paraId="78D99B1E" w14:textId="77777777" w:rsid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Finally, the pace of technological change in aquaculture — including advances in precision nutrition, novel RAS designs, offshore production systems, and emerging feed technologies — means that specific quantitative claims drawn from published studies may have a comparatively short period of direct relevance, even where the methodological and strategic conclusions of this review retain their validity over a longer horizon.</w:t>
      </w:r>
    </w:p>
    <w:p w14:paraId="0F501C97" w14:textId="77777777" w:rsidR="00B46195" w:rsidRDefault="00B46195" w:rsidP="006D2956">
      <w:pPr>
        <w:spacing w:before="100" w:beforeAutospacing="1" w:after="100" w:afterAutospacing="1" w:line="240" w:lineRule="auto"/>
        <w:rPr>
          <w:rFonts w:ascii="Times New Roman" w:eastAsia="Times New Roman" w:hAnsi="Times New Roman" w:cs="Times New Roman"/>
          <w:sz w:val="24"/>
          <w:szCs w:val="24"/>
          <w:lang w:eastAsia="en-GB"/>
        </w:rPr>
      </w:pPr>
    </w:p>
    <w:p w14:paraId="117FD29A" w14:textId="77777777" w:rsidR="00B46195" w:rsidRPr="00C04DA0" w:rsidRDefault="00B46195" w:rsidP="00B46195">
      <w:pPr>
        <w:spacing w:after="0" w:line="240" w:lineRule="auto"/>
        <w:rPr>
          <w:rFonts w:ascii="Times New Roman" w:eastAsia="Calibri" w:hAnsi="Times New Roman" w:cs="Times New Roman"/>
          <w:b/>
        </w:rPr>
      </w:pPr>
      <w:r w:rsidRPr="00C04DA0">
        <w:rPr>
          <w:rFonts w:ascii="Times New Roman" w:eastAsia="Calibri" w:hAnsi="Times New Roman" w:cs="Times New Roman"/>
          <w:b/>
        </w:rPr>
        <w:t>Declaration of AI Use</w:t>
      </w:r>
    </w:p>
    <w:p w14:paraId="6FBF07C1" w14:textId="77777777" w:rsidR="00B46195" w:rsidRPr="00C04DA0" w:rsidRDefault="00B46195" w:rsidP="00B46195">
      <w:pPr>
        <w:spacing w:after="0" w:line="240" w:lineRule="auto"/>
        <w:rPr>
          <w:rFonts w:ascii="Times New Roman" w:eastAsia="Calibri" w:hAnsi="Times New Roman" w:cs="Times New Roman"/>
        </w:rPr>
      </w:pPr>
    </w:p>
    <w:p w14:paraId="0E995E98" w14:textId="77777777" w:rsidR="00B46195" w:rsidRDefault="00B46195" w:rsidP="00B46195">
      <w:pPr>
        <w:spacing w:after="0" w:line="240" w:lineRule="auto"/>
        <w:jc w:val="both"/>
        <w:rPr>
          <w:rFonts w:ascii="Times New Roman" w:eastAsia="Calibri" w:hAnsi="Times New Roman" w:cs="Times New Roman"/>
        </w:rPr>
      </w:pPr>
      <w:r w:rsidRPr="00C04DA0">
        <w:rPr>
          <w:rFonts w:ascii="Times New Roman" w:eastAsia="Calibri"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CCE9ADA" w14:textId="77777777" w:rsidR="00B46195" w:rsidRDefault="00B46195" w:rsidP="00B46195">
      <w:pPr>
        <w:spacing w:after="0" w:line="240" w:lineRule="auto"/>
        <w:jc w:val="both"/>
        <w:rPr>
          <w:rFonts w:ascii="Times New Roman" w:eastAsia="Calibri" w:hAnsi="Times New Roman" w:cs="Times New Roman"/>
        </w:rPr>
      </w:pPr>
    </w:p>
    <w:p w14:paraId="0D17686D" w14:textId="77777777" w:rsidR="00B46195" w:rsidRDefault="00B46195" w:rsidP="00B46195">
      <w:pPr>
        <w:spacing w:after="0" w:line="240" w:lineRule="auto"/>
        <w:jc w:val="both"/>
        <w:rPr>
          <w:rFonts w:ascii="Times New Roman" w:eastAsia="Calibri" w:hAnsi="Times New Roman" w:cs="Times New Roman"/>
        </w:rPr>
      </w:pPr>
    </w:p>
    <w:p w14:paraId="560DDF29" w14:textId="77777777" w:rsidR="00B46195" w:rsidRPr="00FA067A" w:rsidRDefault="00B46195" w:rsidP="00B46195">
      <w:pPr>
        <w:rPr>
          <w:rFonts w:ascii="Arial" w:eastAsiaTheme="minorEastAsia" w:hAnsi="Arial" w:cs="Arial"/>
          <w:b/>
          <w:bCs/>
          <w:lang w:eastAsia="en-GB"/>
        </w:rPr>
      </w:pPr>
      <w:r w:rsidRPr="00FA067A">
        <w:rPr>
          <w:rFonts w:ascii="Arial" w:eastAsiaTheme="minorEastAsia" w:hAnsi="Arial" w:cs="Arial"/>
          <w:b/>
          <w:bCs/>
          <w:lang w:eastAsia="en-GB"/>
        </w:rPr>
        <w:t>COMPETING INTERESTS DISCLAIMER:</w:t>
      </w:r>
    </w:p>
    <w:p w14:paraId="6D36FF42" w14:textId="77777777" w:rsidR="00B46195" w:rsidRPr="00FA067A" w:rsidRDefault="00B46195" w:rsidP="00B46195">
      <w:pPr>
        <w:rPr>
          <w:rFonts w:eastAsiaTheme="minorEastAsia"/>
          <w:lang w:eastAsia="en-GB"/>
        </w:rPr>
      </w:pPr>
      <w:r w:rsidRPr="00FA067A">
        <w:rPr>
          <w:rFonts w:ascii="Arial" w:eastAsiaTheme="minorEastAsia" w:hAnsi="Arial" w:cs="Arial"/>
          <w:lang w:eastAsia="en-GB"/>
        </w:rPr>
        <w:t>Authors have declared that they have no known competing financial interests OR non-financial interests OR personal relationships that could have appeared to influence the work reported in this paper.</w:t>
      </w:r>
    </w:p>
    <w:p w14:paraId="43387737" w14:textId="77777777" w:rsidR="00B46195" w:rsidRPr="006D2956" w:rsidRDefault="00B46195" w:rsidP="006D2956">
      <w:pPr>
        <w:spacing w:before="100" w:beforeAutospacing="1" w:after="100" w:afterAutospacing="1" w:line="240" w:lineRule="auto"/>
        <w:rPr>
          <w:rFonts w:ascii="Times New Roman" w:eastAsia="Times New Roman" w:hAnsi="Times New Roman" w:cs="Times New Roman"/>
          <w:sz w:val="24"/>
          <w:szCs w:val="24"/>
          <w:lang w:eastAsia="en-GB"/>
        </w:rPr>
      </w:pPr>
    </w:p>
    <w:p w14:paraId="4F20C99B" w14:textId="43AAE41E" w:rsidR="006D2956" w:rsidRPr="006D2956" w:rsidRDefault="006D2956" w:rsidP="006D2956">
      <w:pPr>
        <w:spacing w:after="0" w:line="240" w:lineRule="auto"/>
        <w:rPr>
          <w:rFonts w:ascii="Times New Roman" w:eastAsia="Times New Roman" w:hAnsi="Times New Roman" w:cs="Times New Roman"/>
          <w:sz w:val="24"/>
          <w:szCs w:val="24"/>
          <w:lang w:eastAsia="en-GB"/>
        </w:rPr>
      </w:pPr>
    </w:p>
    <w:p w14:paraId="37E314F4" w14:textId="77777777" w:rsidR="006D2956" w:rsidRPr="006D2956" w:rsidRDefault="006D2956" w:rsidP="006D295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References</w:t>
      </w:r>
    </w:p>
    <w:p w14:paraId="1DA79FB9" w14:textId="2C0610A4"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Ahmed, N., Thompson, S., &amp; Glaser, M. (2019). Global aquaculture productivity, environmental sustainability, and climate change adaptability. </w:t>
      </w:r>
      <w:r w:rsidRPr="006D2956">
        <w:rPr>
          <w:rFonts w:ascii="Times New Roman" w:eastAsia="Times New Roman" w:hAnsi="Times New Roman" w:cs="Times New Roman"/>
          <w:i/>
          <w:iCs/>
          <w:sz w:val="24"/>
          <w:szCs w:val="24"/>
          <w:lang w:eastAsia="en-GB"/>
        </w:rPr>
        <w:t>Environmental Management, 63</w:t>
      </w:r>
      <w:r w:rsidRPr="006D2956">
        <w:rPr>
          <w:rFonts w:ascii="Times New Roman" w:eastAsia="Times New Roman" w:hAnsi="Times New Roman" w:cs="Times New Roman"/>
          <w:sz w:val="24"/>
          <w:szCs w:val="24"/>
          <w:lang w:eastAsia="en-GB"/>
        </w:rPr>
        <w:t xml:space="preserve">(2), 159–172. </w:t>
      </w:r>
      <w:r w:rsidRPr="006D2956">
        <w:rPr>
          <w:rFonts w:ascii="Times New Roman" w:eastAsia="Times New Roman" w:hAnsi="Times New Roman" w:cs="Times New Roman"/>
          <w:color w:val="0000FF"/>
          <w:sz w:val="24"/>
          <w:szCs w:val="24"/>
          <w:u w:val="single"/>
          <w:lang w:eastAsia="en-GB"/>
        </w:rPr>
        <w:t>https://doi.org/10.1007/s00267-018-1117-3</w:t>
      </w:r>
    </w:p>
    <w:p w14:paraId="42A72FD5" w14:textId="00AC2280"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Ahmed, N., &amp; </w:t>
      </w:r>
      <w:proofErr w:type="spellStart"/>
      <w:r w:rsidRPr="006D2956">
        <w:rPr>
          <w:rFonts w:ascii="Times New Roman" w:eastAsia="Times New Roman" w:hAnsi="Times New Roman" w:cs="Times New Roman"/>
          <w:sz w:val="24"/>
          <w:szCs w:val="24"/>
          <w:lang w:eastAsia="en-GB"/>
        </w:rPr>
        <w:t>Turchini</w:t>
      </w:r>
      <w:proofErr w:type="spellEnd"/>
      <w:r w:rsidRPr="006D2956">
        <w:rPr>
          <w:rFonts w:ascii="Times New Roman" w:eastAsia="Times New Roman" w:hAnsi="Times New Roman" w:cs="Times New Roman"/>
          <w:sz w:val="24"/>
          <w:szCs w:val="24"/>
          <w:lang w:eastAsia="en-GB"/>
        </w:rPr>
        <w:t xml:space="preserve">, G. M. (2021). Recirculating aquaculture systems (RAS): Environmental solution and climate change adaptation. </w:t>
      </w:r>
      <w:r w:rsidRPr="006D2956">
        <w:rPr>
          <w:rFonts w:ascii="Times New Roman" w:eastAsia="Times New Roman" w:hAnsi="Times New Roman" w:cs="Times New Roman"/>
          <w:i/>
          <w:iCs/>
          <w:sz w:val="24"/>
          <w:szCs w:val="24"/>
          <w:lang w:eastAsia="en-GB"/>
        </w:rPr>
        <w:t>Journal of Cleaner Production, 297</w:t>
      </w:r>
      <w:r w:rsidRPr="006D2956">
        <w:rPr>
          <w:rFonts w:ascii="Times New Roman" w:eastAsia="Times New Roman" w:hAnsi="Times New Roman" w:cs="Times New Roman"/>
          <w:sz w:val="24"/>
          <w:szCs w:val="24"/>
          <w:lang w:eastAsia="en-GB"/>
        </w:rPr>
        <w:t xml:space="preserve">, 126604. </w:t>
      </w:r>
      <w:r w:rsidRPr="006D2956">
        <w:rPr>
          <w:rFonts w:ascii="Times New Roman" w:eastAsia="Times New Roman" w:hAnsi="Times New Roman" w:cs="Times New Roman"/>
          <w:color w:val="0000FF"/>
          <w:sz w:val="24"/>
          <w:szCs w:val="24"/>
          <w:u w:val="single"/>
          <w:lang w:eastAsia="en-GB"/>
        </w:rPr>
        <w:t>https://doi.org/10.1016/j.jclepro.2021.126604</w:t>
      </w:r>
    </w:p>
    <w:p w14:paraId="22E2DDFD" w14:textId="76B34B48"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Aubin, J., </w:t>
      </w:r>
      <w:proofErr w:type="spellStart"/>
      <w:r w:rsidRPr="006D2956">
        <w:rPr>
          <w:rFonts w:ascii="Times New Roman" w:eastAsia="Times New Roman" w:hAnsi="Times New Roman" w:cs="Times New Roman"/>
          <w:sz w:val="24"/>
          <w:szCs w:val="24"/>
          <w:lang w:eastAsia="en-GB"/>
        </w:rPr>
        <w:t>Papatryphon</w:t>
      </w:r>
      <w:proofErr w:type="spellEnd"/>
      <w:r w:rsidRPr="006D2956">
        <w:rPr>
          <w:rFonts w:ascii="Times New Roman" w:eastAsia="Times New Roman" w:hAnsi="Times New Roman" w:cs="Times New Roman"/>
          <w:sz w:val="24"/>
          <w:szCs w:val="24"/>
          <w:lang w:eastAsia="en-GB"/>
        </w:rPr>
        <w:t xml:space="preserve">, E., van der Werf, H. M. G., &amp; </w:t>
      </w:r>
      <w:proofErr w:type="spellStart"/>
      <w:r w:rsidRPr="006D2956">
        <w:rPr>
          <w:rFonts w:ascii="Times New Roman" w:eastAsia="Times New Roman" w:hAnsi="Times New Roman" w:cs="Times New Roman"/>
          <w:sz w:val="24"/>
          <w:szCs w:val="24"/>
          <w:lang w:eastAsia="en-GB"/>
        </w:rPr>
        <w:t>Chatzifotis</w:t>
      </w:r>
      <w:proofErr w:type="spellEnd"/>
      <w:r w:rsidRPr="006D2956">
        <w:rPr>
          <w:rFonts w:ascii="Times New Roman" w:eastAsia="Times New Roman" w:hAnsi="Times New Roman" w:cs="Times New Roman"/>
          <w:sz w:val="24"/>
          <w:szCs w:val="24"/>
          <w:lang w:eastAsia="en-GB"/>
        </w:rPr>
        <w:t xml:space="preserve">, S. (2009). Assessment of the environmental impact of carnivorous finfish production systems using life cycle assessment. </w:t>
      </w:r>
      <w:r w:rsidRPr="006D2956">
        <w:rPr>
          <w:rFonts w:ascii="Times New Roman" w:eastAsia="Times New Roman" w:hAnsi="Times New Roman" w:cs="Times New Roman"/>
          <w:i/>
          <w:iCs/>
          <w:sz w:val="24"/>
          <w:szCs w:val="24"/>
          <w:lang w:eastAsia="en-GB"/>
        </w:rPr>
        <w:t>Journal of Cleaner Production, 17</w:t>
      </w:r>
      <w:r w:rsidRPr="006D2956">
        <w:rPr>
          <w:rFonts w:ascii="Times New Roman" w:eastAsia="Times New Roman" w:hAnsi="Times New Roman" w:cs="Times New Roman"/>
          <w:sz w:val="24"/>
          <w:szCs w:val="24"/>
          <w:lang w:eastAsia="en-GB"/>
        </w:rPr>
        <w:t xml:space="preserve">(3), 354–361. </w:t>
      </w:r>
      <w:r w:rsidRPr="006D2956">
        <w:rPr>
          <w:rFonts w:ascii="Times New Roman" w:eastAsia="Times New Roman" w:hAnsi="Times New Roman" w:cs="Times New Roman"/>
          <w:color w:val="0000FF"/>
          <w:sz w:val="24"/>
          <w:szCs w:val="24"/>
          <w:u w:val="single"/>
          <w:lang w:eastAsia="en-GB"/>
        </w:rPr>
        <w:t>https://doi.org/10.1016/j.jclepro.2008.08.008</w:t>
      </w:r>
    </w:p>
    <w:p w14:paraId="746B040E" w14:textId="63C17FE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Ayer, N. W., &amp;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P. H. (2009). Assessing alternative aquaculture technologies: Life cycle assessment of salmonid culture systems in Canada. </w:t>
      </w:r>
      <w:r w:rsidRPr="006D2956">
        <w:rPr>
          <w:rFonts w:ascii="Times New Roman" w:eastAsia="Times New Roman" w:hAnsi="Times New Roman" w:cs="Times New Roman"/>
          <w:i/>
          <w:iCs/>
          <w:sz w:val="24"/>
          <w:szCs w:val="24"/>
          <w:lang w:eastAsia="en-GB"/>
        </w:rPr>
        <w:t>Journal of Cleaner Production, 17</w:t>
      </w:r>
      <w:r w:rsidRPr="006D2956">
        <w:rPr>
          <w:rFonts w:ascii="Times New Roman" w:eastAsia="Times New Roman" w:hAnsi="Times New Roman" w:cs="Times New Roman"/>
          <w:sz w:val="24"/>
          <w:szCs w:val="24"/>
          <w:lang w:eastAsia="en-GB"/>
        </w:rPr>
        <w:t xml:space="preserve">(3), 362–373. </w:t>
      </w:r>
      <w:r w:rsidRPr="006D2956">
        <w:rPr>
          <w:rFonts w:ascii="Times New Roman" w:eastAsia="Times New Roman" w:hAnsi="Times New Roman" w:cs="Times New Roman"/>
          <w:color w:val="0000FF"/>
          <w:sz w:val="24"/>
          <w:szCs w:val="24"/>
          <w:u w:val="single"/>
          <w:lang w:eastAsia="en-GB"/>
        </w:rPr>
        <w:t>https://doi.org/10.1016/j.jclepro.2008.08.002</w:t>
      </w:r>
    </w:p>
    <w:p w14:paraId="4887826C" w14:textId="69B063B1"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Badiola, M., </w:t>
      </w:r>
      <w:proofErr w:type="spellStart"/>
      <w:r w:rsidRPr="006D2956">
        <w:rPr>
          <w:rFonts w:ascii="Times New Roman" w:eastAsia="Times New Roman" w:hAnsi="Times New Roman" w:cs="Times New Roman"/>
          <w:sz w:val="24"/>
          <w:szCs w:val="24"/>
          <w:lang w:eastAsia="en-GB"/>
        </w:rPr>
        <w:t>Basurko</w:t>
      </w:r>
      <w:proofErr w:type="spellEnd"/>
      <w:r w:rsidRPr="006D2956">
        <w:rPr>
          <w:rFonts w:ascii="Times New Roman" w:eastAsia="Times New Roman" w:hAnsi="Times New Roman" w:cs="Times New Roman"/>
          <w:sz w:val="24"/>
          <w:szCs w:val="24"/>
          <w:lang w:eastAsia="en-GB"/>
        </w:rPr>
        <w:t xml:space="preserve">, O. C., Piedrahita, R., Hundley, P., &amp; Mendiola, D. (2018). Energy use in recirculating aquaculture systems (RAS): A review. </w:t>
      </w:r>
      <w:r w:rsidRPr="006D2956">
        <w:rPr>
          <w:rFonts w:ascii="Times New Roman" w:eastAsia="Times New Roman" w:hAnsi="Times New Roman" w:cs="Times New Roman"/>
          <w:i/>
          <w:iCs/>
          <w:sz w:val="24"/>
          <w:szCs w:val="24"/>
          <w:lang w:eastAsia="en-GB"/>
        </w:rPr>
        <w:t>Aquacultural Engineering, 81</w:t>
      </w:r>
      <w:r w:rsidRPr="006D2956">
        <w:rPr>
          <w:rFonts w:ascii="Times New Roman" w:eastAsia="Times New Roman" w:hAnsi="Times New Roman" w:cs="Times New Roman"/>
          <w:sz w:val="24"/>
          <w:szCs w:val="24"/>
          <w:lang w:eastAsia="en-GB"/>
        </w:rPr>
        <w:t xml:space="preserve">, 57–70. </w:t>
      </w:r>
      <w:r w:rsidRPr="006D2956">
        <w:rPr>
          <w:rFonts w:ascii="Times New Roman" w:eastAsia="Times New Roman" w:hAnsi="Times New Roman" w:cs="Times New Roman"/>
          <w:color w:val="0000FF"/>
          <w:sz w:val="24"/>
          <w:szCs w:val="24"/>
          <w:u w:val="single"/>
          <w:lang w:eastAsia="en-GB"/>
        </w:rPr>
        <w:t>https://doi.org/10.1016/j.aquaeng.2018.03.003</w:t>
      </w:r>
    </w:p>
    <w:p w14:paraId="11A35476" w14:textId="3F1C1D1C"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Badiola, M., Mendiola, D., &amp; Bostock, J. (2012). Recirculating aquaculture systems (RAS) analysis: Main issues on management and future challenges. </w:t>
      </w:r>
      <w:r w:rsidRPr="006D2956">
        <w:rPr>
          <w:rFonts w:ascii="Times New Roman" w:eastAsia="Times New Roman" w:hAnsi="Times New Roman" w:cs="Times New Roman"/>
          <w:i/>
          <w:iCs/>
          <w:sz w:val="24"/>
          <w:szCs w:val="24"/>
          <w:lang w:eastAsia="en-GB"/>
        </w:rPr>
        <w:t>Aquacultural Engineering, 51</w:t>
      </w:r>
      <w:r w:rsidRPr="006D2956">
        <w:rPr>
          <w:rFonts w:ascii="Times New Roman" w:eastAsia="Times New Roman" w:hAnsi="Times New Roman" w:cs="Times New Roman"/>
          <w:sz w:val="24"/>
          <w:szCs w:val="24"/>
          <w:lang w:eastAsia="en-GB"/>
        </w:rPr>
        <w:t xml:space="preserve">, 26–35. </w:t>
      </w:r>
      <w:r w:rsidRPr="006D2956">
        <w:rPr>
          <w:rFonts w:ascii="Times New Roman" w:eastAsia="Times New Roman" w:hAnsi="Times New Roman" w:cs="Times New Roman"/>
          <w:color w:val="0000FF"/>
          <w:sz w:val="24"/>
          <w:szCs w:val="24"/>
          <w:u w:val="single"/>
          <w:lang w:eastAsia="en-GB"/>
        </w:rPr>
        <w:t>https://doi.org/10.1016/j.aquaeng.2012.07.004</w:t>
      </w:r>
    </w:p>
    <w:p w14:paraId="41EBE392" w14:textId="5061FA5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Becker, E. W. (2007). Micro-algae as a source of protein. </w:t>
      </w:r>
      <w:r w:rsidRPr="006D2956">
        <w:rPr>
          <w:rFonts w:ascii="Times New Roman" w:eastAsia="Times New Roman" w:hAnsi="Times New Roman" w:cs="Times New Roman"/>
          <w:i/>
          <w:iCs/>
          <w:sz w:val="24"/>
          <w:szCs w:val="24"/>
          <w:lang w:eastAsia="en-GB"/>
        </w:rPr>
        <w:t>Biotechnology Advances, 25</w:t>
      </w:r>
      <w:r w:rsidRPr="006D2956">
        <w:rPr>
          <w:rFonts w:ascii="Times New Roman" w:eastAsia="Times New Roman" w:hAnsi="Times New Roman" w:cs="Times New Roman"/>
          <w:sz w:val="24"/>
          <w:szCs w:val="24"/>
          <w:lang w:eastAsia="en-GB"/>
        </w:rPr>
        <w:t xml:space="preserve">(2), 207–210. </w:t>
      </w:r>
      <w:r w:rsidRPr="006D2956">
        <w:rPr>
          <w:rFonts w:ascii="Times New Roman" w:eastAsia="Times New Roman" w:hAnsi="Times New Roman" w:cs="Times New Roman"/>
          <w:color w:val="0000FF"/>
          <w:sz w:val="24"/>
          <w:szCs w:val="24"/>
          <w:u w:val="single"/>
          <w:lang w:eastAsia="en-GB"/>
        </w:rPr>
        <w:t>https://doi.org/10.1016/j.biotechadv.2006.11.002</w:t>
      </w:r>
    </w:p>
    <w:p w14:paraId="1186346E" w14:textId="21AE8879"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Bohnes</w:t>
      </w:r>
      <w:proofErr w:type="spellEnd"/>
      <w:r w:rsidRPr="006D2956">
        <w:rPr>
          <w:rFonts w:ascii="Times New Roman" w:eastAsia="Times New Roman" w:hAnsi="Times New Roman" w:cs="Times New Roman"/>
          <w:sz w:val="24"/>
          <w:szCs w:val="24"/>
          <w:lang w:eastAsia="en-GB"/>
        </w:rPr>
        <w:t xml:space="preserve">, F. A., Hauschild, M. Z., Schlundt, J., &amp; Laurent, A. (2019). Life cycle assessments of aquaculture systems: A critical review of reported findings with recommendations for policy and practice. </w:t>
      </w:r>
      <w:r w:rsidRPr="006D2956">
        <w:rPr>
          <w:rFonts w:ascii="Times New Roman" w:eastAsia="Times New Roman" w:hAnsi="Times New Roman" w:cs="Times New Roman"/>
          <w:i/>
          <w:iCs/>
          <w:sz w:val="24"/>
          <w:szCs w:val="24"/>
          <w:lang w:eastAsia="en-GB"/>
        </w:rPr>
        <w:t>Reviews in Aquaculture, 11</w:t>
      </w:r>
      <w:r w:rsidRPr="006D2956">
        <w:rPr>
          <w:rFonts w:ascii="Times New Roman" w:eastAsia="Times New Roman" w:hAnsi="Times New Roman" w:cs="Times New Roman"/>
          <w:sz w:val="24"/>
          <w:szCs w:val="24"/>
          <w:lang w:eastAsia="en-GB"/>
        </w:rPr>
        <w:t xml:space="preserve">(4), 1061–1079. </w:t>
      </w:r>
      <w:r w:rsidRPr="006D2956">
        <w:rPr>
          <w:rFonts w:ascii="Times New Roman" w:eastAsia="Times New Roman" w:hAnsi="Times New Roman" w:cs="Times New Roman"/>
          <w:color w:val="0000FF"/>
          <w:sz w:val="24"/>
          <w:szCs w:val="24"/>
          <w:u w:val="single"/>
          <w:lang w:eastAsia="en-GB"/>
        </w:rPr>
        <w:t>https://doi.org/10.1111/raq.12280</w:t>
      </w:r>
    </w:p>
    <w:p w14:paraId="64961203" w14:textId="4FE6C93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Bosma, R., Anh, P. T., &amp; Potting, J. (2011). Life cycle assessment of intensive striped catfish farming in the Mekong Delta for screening hotspots as input to environmental policy and research agenda. </w:t>
      </w:r>
      <w:r w:rsidRPr="006D2956">
        <w:rPr>
          <w:rFonts w:ascii="Times New Roman" w:eastAsia="Times New Roman" w:hAnsi="Times New Roman" w:cs="Times New Roman"/>
          <w:i/>
          <w:iCs/>
          <w:sz w:val="24"/>
          <w:szCs w:val="24"/>
          <w:lang w:eastAsia="en-GB"/>
        </w:rPr>
        <w:t>International Journal of Life Cycle Assessment, 16</w:t>
      </w:r>
      <w:r w:rsidRPr="006D2956">
        <w:rPr>
          <w:rFonts w:ascii="Times New Roman" w:eastAsia="Times New Roman" w:hAnsi="Times New Roman" w:cs="Times New Roman"/>
          <w:sz w:val="24"/>
          <w:szCs w:val="24"/>
          <w:lang w:eastAsia="en-GB"/>
        </w:rPr>
        <w:t xml:space="preserve">(9), 903–915. </w:t>
      </w:r>
      <w:r w:rsidRPr="006D2956">
        <w:rPr>
          <w:rFonts w:ascii="Times New Roman" w:eastAsia="Times New Roman" w:hAnsi="Times New Roman" w:cs="Times New Roman"/>
          <w:color w:val="0000FF"/>
          <w:sz w:val="24"/>
          <w:szCs w:val="24"/>
          <w:u w:val="single"/>
          <w:lang w:eastAsia="en-GB"/>
        </w:rPr>
        <w:t>https://doi.org/10.1007/s11367-011-0324-4</w:t>
      </w:r>
    </w:p>
    <w:p w14:paraId="6C3DE3D0" w14:textId="27DD4595"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Bush, S. R., Belton, B., Hall, D., Vandergeest, P., Murray, F. J., Ponte, S., Steinberg, P., Islam, M. S., Mol, A. P. J., Hatanaka, M., Kruijssen, F., Ha, T. T. T., Little, D. C., &amp; </w:t>
      </w:r>
      <w:proofErr w:type="spellStart"/>
      <w:r w:rsidRPr="006D2956">
        <w:rPr>
          <w:rFonts w:ascii="Times New Roman" w:eastAsia="Times New Roman" w:hAnsi="Times New Roman" w:cs="Times New Roman"/>
          <w:sz w:val="24"/>
          <w:szCs w:val="24"/>
          <w:lang w:eastAsia="en-GB"/>
        </w:rPr>
        <w:t>Kusumawati</w:t>
      </w:r>
      <w:proofErr w:type="spellEnd"/>
      <w:r w:rsidRPr="006D2956">
        <w:rPr>
          <w:rFonts w:ascii="Times New Roman" w:eastAsia="Times New Roman" w:hAnsi="Times New Roman" w:cs="Times New Roman"/>
          <w:sz w:val="24"/>
          <w:szCs w:val="24"/>
          <w:lang w:eastAsia="en-GB"/>
        </w:rPr>
        <w:t xml:space="preserve">, R. (2013). Certify sustainable aquaculture? </w:t>
      </w:r>
      <w:r w:rsidRPr="006D2956">
        <w:rPr>
          <w:rFonts w:ascii="Times New Roman" w:eastAsia="Times New Roman" w:hAnsi="Times New Roman" w:cs="Times New Roman"/>
          <w:i/>
          <w:iCs/>
          <w:sz w:val="24"/>
          <w:szCs w:val="24"/>
          <w:lang w:eastAsia="en-GB"/>
        </w:rPr>
        <w:t>Science, 341</w:t>
      </w:r>
      <w:r w:rsidRPr="006D2956">
        <w:rPr>
          <w:rFonts w:ascii="Times New Roman" w:eastAsia="Times New Roman" w:hAnsi="Times New Roman" w:cs="Times New Roman"/>
          <w:sz w:val="24"/>
          <w:szCs w:val="24"/>
          <w:lang w:eastAsia="en-GB"/>
        </w:rPr>
        <w:t xml:space="preserve">(6150), 1067–1068. </w:t>
      </w:r>
      <w:r w:rsidRPr="006D2956">
        <w:rPr>
          <w:rFonts w:ascii="Times New Roman" w:eastAsia="Times New Roman" w:hAnsi="Times New Roman" w:cs="Times New Roman"/>
          <w:color w:val="0000FF"/>
          <w:sz w:val="24"/>
          <w:szCs w:val="24"/>
          <w:u w:val="single"/>
          <w:lang w:eastAsia="en-GB"/>
        </w:rPr>
        <w:t>https://doi.org/10.1126/science.1237314</w:t>
      </w:r>
    </w:p>
    <w:p w14:paraId="1D59A3E4" w14:textId="7B734644"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Cashion, T., Hornborg, S., Ziegler, F., </w:t>
      </w:r>
      <w:proofErr w:type="spellStart"/>
      <w:r w:rsidRPr="006D2956">
        <w:rPr>
          <w:rFonts w:ascii="Times New Roman" w:eastAsia="Times New Roman" w:hAnsi="Times New Roman" w:cs="Times New Roman"/>
          <w:sz w:val="24"/>
          <w:szCs w:val="24"/>
          <w:lang w:eastAsia="en-GB"/>
        </w:rPr>
        <w:t>Hognes</w:t>
      </w:r>
      <w:proofErr w:type="spellEnd"/>
      <w:r w:rsidRPr="006D2956">
        <w:rPr>
          <w:rFonts w:ascii="Times New Roman" w:eastAsia="Times New Roman" w:hAnsi="Times New Roman" w:cs="Times New Roman"/>
          <w:sz w:val="24"/>
          <w:szCs w:val="24"/>
          <w:lang w:eastAsia="en-GB"/>
        </w:rPr>
        <w:t xml:space="preserve">, E. S., &amp;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P. (2016). Review and advancement of the marine biotic resource use metric in seafood LCAs: A case study of Norwegian salmon feed. </w:t>
      </w:r>
      <w:r w:rsidRPr="006D2956">
        <w:rPr>
          <w:rFonts w:ascii="Times New Roman" w:eastAsia="Times New Roman" w:hAnsi="Times New Roman" w:cs="Times New Roman"/>
          <w:i/>
          <w:iCs/>
          <w:sz w:val="24"/>
          <w:szCs w:val="24"/>
          <w:lang w:eastAsia="en-GB"/>
        </w:rPr>
        <w:t>International Journal of Life Cycle Assessment, 21</w:t>
      </w:r>
      <w:r w:rsidRPr="006D2956">
        <w:rPr>
          <w:rFonts w:ascii="Times New Roman" w:eastAsia="Times New Roman" w:hAnsi="Times New Roman" w:cs="Times New Roman"/>
          <w:sz w:val="24"/>
          <w:szCs w:val="24"/>
          <w:lang w:eastAsia="en-GB"/>
        </w:rPr>
        <w:t xml:space="preserve">(8), 1106–1120. </w:t>
      </w:r>
      <w:r w:rsidRPr="006D2956">
        <w:rPr>
          <w:rFonts w:ascii="Times New Roman" w:eastAsia="Times New Roman" w:hAnsi="Times New Roman" w:cs="Times New Roman"/>
          <w:color w:val="0000FF"/>
          <w:sz w:val="24"/>
          <w:szCs w:val="24"/>
          <w:u w:val="single"/>
          <w:lang w:eastAsia="en-GB"/>
        </w:rPr>
        <w:t>https://doi.org/10.1007/s11367-016-1092-y</w:t>
      </w:r>
    </w:p>
    <w:p w14:paraId="12F12917" w14:textId="31BDFC3B"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Chopin, T., Buschmann, A. H., Halling, C., Troell, M., Kautsky, N., </w:t>
      </w:r>
      <w:proofErr w:type="spellStart"/>
      <w:r w:rsidRPr="006D2956">
        <w:rPr>
          <w:rFonts w:ascii="Times New Roman" w:eastAsia="Times New Roman" w:hAnsi="Times New Roman" w:cs="Times New Roman"/>
          <w:sz w:val="24"/>
          <w:szCs w:val="24"/>
          <w:lang w:eastAsia="en-GB"/>
        </w:rPr>
        <w:t>Neori</w:t>
      </w:r>
      <w:proofErr w:type="spellEnd"/>
      <w:r w:rsidRPr="006D2956">
        <w:rPr>
          <w:rFonts w:ascii="Times New Roman" w:eastAsia="Times New Roman" w:hAnsi="Times New Roman" w:cs="Times New Roman"/>
          <w:sz w:val="24"/>
          <w:szCs w:val="24"/>
          <w:lang w:eastAsia="en-GB"/>
        </w:rPr>
        <w:t xml:space="preserve">, A., Kraemer, G. P., Zertuche-González, J. A., Yarish, C., &amp; </w:t>
      </w:r>
      <w:proofErr w:type="spellStart"/>
      <w:r w:rsidRPr="006D2956">
        <w:rPr>
          <w:rFonts w:ascii="Times New Roman" w:eastAsia="Times New Roman" w:hAnsi="Times New Roman" w:cs="Times New Roman"/>
          <w:sz w:val="24"/>
          <w:szCs w:val="24"/>
          <w:lang w:eastAsia="en-GB"/>
        </w:rPr>
        <w:t>Neefus</w:t>
      </w:r>
      <w:proofErr w:type="spellEnd"/>
      <w:r w:rsidRPr="006D2956">
        <w:rPr>
          <w:rFonts w:ascii="Times New Roman" w:eastAsia="Times New Roman" w:hAnsi="Times New Roman" w:cs="Times New Roman"/>
          <w:sz w:val="24"/>
          <w:szCs w:val="24"/>
          <w:lang w:eastAsia="en-GB"/>
        </w:rPr>
        <w:t xml:space="preserve">, C. (2001). Integrating seaweeds into marine aquaculture systems: A key toward sustainability. </w:t>
      </w:r>
      <w:r w:rsidRPr="006D2956">
        <w:rPr>
          <w:rFonts w:ascii="Times New Roman" w:eastAsia="Times New Roman" w:hAnsi="Times New Roman" w:cs="Times New Roman"/>
          <w:i/>
          <w:iCs/>
          <w:sz w:val="24"/>
          <w:szCs w:val="24"/>
          <w:lang w:eastAsia="en-GB"/>
        </w:rPr>
        <w:t>Journal of Phycology, 37</w:t>
      </w:r>
      <w:r w:rsidRPr="006D2956">
        <w:rPr>
          <w:rFonts w:ascii="Times New Roman" w:eastAsia="Times New Roman" w:hAnsi="Times New Roman" w:cs="Times New Roman"/>
          <w:sz w:val="24"/>
          <w:szCs w:val="24"/>
          <w:lang w:eastAsia="en-GB"/>
        </w:rPr>
        <w:t xml:space="preserve">(6), 975–986. </w:t>
      </w:r>
      <w:r w:rsidRPr="006D2956">
        <w:rPr>
          <w:rFonts w:ascii="Times New Roman" w:eastAsia="Times New Roman" w:hAnsi="Times New Roman" w:cs="Times New Roman"/>
          <w:color w:val="0000FF"/>
          <w:sz w:val="24"/>
          <w:szCs w:val="24"/>
          <w:u w:val="single"/>
          <w:lang w:eastAsia="en-GB"/>
        </w:rPr>
        <w:t>https://doi.org/10.1046/j.1529-8817.2001.01137.x</w:t>
      </w:r>
    </w:p>
    <w:p w14:paraId="48C200DE" w14:textId="71ADE6B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d'Orbcastel</w:t>
      </w:r>
      <w:proofErr w:type="spellEnd"/>
      <w:r w:rsidRPr="006D2956">
        <w:rPr>
          <w:rFonts w:ascii="Times New Roman" w:eastAsia="Times New Roman" w:hAnsi="Times New Roman" w:cs="Times New Roman"/>
          <w:sz w:val="24"/>
          <w:szCs w:val="24"/>
          <w:lang w:eastAsia="en-GB"/>
        </w:rPr>
        <w:t xml:space="preserve">, E. R., </w:t>
      </w:r>
      <w:proofErr w:type="spellStart"/>
      <w:r w:rsidRPr="006D2956">
        <w:rPr>
          <w:rFonts w:ascii="Times New Roman" w:eastAsia="Times New Roman" w:hAnsi="Times New Roman" w:cs="Times New Roman"/>
          <w:sz w:val="24"/>
          <w:szCs w:val="24"/>
          <w:lang w:eastAsia="en-GB"/>
        </w:rPr>
        <w:t>Blancheton</w:t>
      </w:r>
      <w:proofErr w:type="spellEnd"/>
      <w:r w:rsidRPr="006D2956">
        <w:rPr>
          <w:rFonts w:ascii="Times New Roman" w:eastAsia="Times New Roman" w:hAnsi="Times New Roman" w:cs="Times New Roman"/>
          <w:sz w:val="24"/>
          <w:szCs w:val="24"/>
          <w:lang w:eastAsia="en-GB"/>
        </w:rPr>
        <w:t xml:space="preserve">, J. P., &amp; Aubin, J. (2009). Towards environmentally sustainable aquaculture: Comparison between two trout farming systems using life cycle assessment. </w:t>
      </w:r>
      <w:r w:rsidRPr="006D2956">
        <w:rPr>
          <w:rFonts w:ascii="Times New Roman" w:eastAsia="Times New Roman" w:hAnsi="Times New Roman" w:cs="Times New Roman"/>
          <w:i/>
          <w:iCs/>
          <w:sz w:val="24"/>
          <w:szCs w:val="24"/>
          <w:lang w:eastAsia="en-GB"/>
        </w:rPr>
        <w:t>Aquacultural Engineering, 40</w:t>
      </w:r>
      <w:r w:rsidRPr="006D2956">
        <w:rPr>
          <w:rFonts w:ascii="Times New Roman" w:eastAsia="Times New Roman" w:hAnsi="Times New Roman" w:cs="Times New Roman"/>
          <w:sz w:val="24"/>
          <w:szCs w:val="24"/>
          <w:lang w:eastAsia="en-GB"/>
        </w:rPr>
        <w:t xml:space="preserve">(3), 113–119. </w:t>
      </w:r>
      <w:r w:rsidRPr="006D2956">
        <w:rPr>
          <w:rFonts w:ascii="Times New Roman" w:eastAsia="Times New Roman" w:hAnsi="Times New Roman" w:cs="Times New Roman"/>
          <w:color w:val="0000FF"/>
          <w:sz w:val="24"/>
          <w:szCs w:val="24"/>
          <w:u w:val="single"/>
          <w:lang w:eastAsia="en-GB"/>
        </w:rPr>
        <w:t>https://doi.org/10.1016/j.aquaeng.2008.12.002</w:t>
      </w:r>
    </w:p>
    <w:p w14:paraId="55A81040" w14:textId="45FAFEEE"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Duarte, C. M., Wu, J., Xiao, X., Bruhn, A., &amp; Krause-Jensen, D. (2017). Can seaweed farming play a role in climate change mitigation and adaptation? </w:t>
      </w:r>
      <w:r w:rsidRPr="006D2956">
        <w:rPr>
          <w:rFonts w:ascii="Times New Roman" w:eastAsia="Times New Roman" w:hAnsi="Times New Roman" w:cs="Times New Roman"/>
          <w:i/>
          <w:iCs/>
          <w:sz w:val="24"/>
          <w:szCs w:val="24"/>
          <w:lang w:eastAsia="en-GB"/>
        </w:rPr>
        <w:t>Frontiers in Marine Science, 4</w:t>
      </w:r>
      <w:r w:rsidRPr="006D2956">
        <w:rPr>
          <w:rFonts w:ascii="Times New Roman" w:eastAsia="Times New Roman" w:hAnsi="Times New Roman" w:cs="Times New Roman"/>
          <w:sz w:val="24"/>
          <w:szCs w:val="24"/>
          <w:lang w:eastAsia="en-GB"/>
        </w:rPr>
        <w:t xml:space="preserve">, 100. </w:t>
      </w:r>
      <w:r w:rsidRPr="006D2956">
        <w:rPr>
          <w:rFonts w:ascii="Times New Roman" w:eastAsia="Times New Roman" w:hAnsi="Times New Roman" w:cs="Times New Roman"/>
          <w:color w:val="0000FF"/>
          <w:sz w:val="24"/>
          <w:szCs w:val="24"/>
          <w:u w:val="single"/>
          <w:lang w:eastAsia="en-GB"/>
        </w:rPr>
        <w:t>https://doi.org/10.3389/fmars.2017.00100</w:t>
      </w:r>
    </w:p>
    <w:p w14:paraId="2B844BA8" w14:textId="0275F349"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FAO. (2020). </w:t>
      </w:r>
      <w:r w:rsidRPr="006D2956">
        <w:rPr>
          <w:rFonts w:ascii="Times New Roman" w:eastAsia="Times New Roman" w:hAnsi="Times New Roman" w:cs="Times New Roman"/>
          <w:i/>
          <w:iCs/>
          <w:sz w:val="24"/>
          <w:szCs w:val="24"/>
          <w:lang w:eastAsia="en-GB"/>
        </w:rPr>
        <w:t>The State of World Fisheries and Aquaculture 2020</w:t>
      </w:r>
      <w:r w:rsidRPr="006D2956">
        <w:rPr>
          <w:rFonts w:ascii="Times New Roman" w:eastAsia="Times New Roman" w:hAnsi="Times New Roman" w:cs="Times New Roman"/>
          <w:sz w:val="24"/>
          <w:szCs w:val="24"/>
          <w:lang w:eastAsia="en-GB"/>
        </w:rPr>
        <w:t xml:space="preserve">. Food and Agriculture Organization of the United Nations. </w:t>
      </w:r>
      <w:r w:rsidRPr="006D2956">
        <w:rPr>
          <w:rFonts w:ascii="Times New Roman" w:eastAsia="Times New Roman" w:hAnsi="Times New Roman" w:cs="Times New Roman"/>
          <w:color w:val="0000FF"/>
          <w:sz w:val="24"/>
          <w:szCs w:val="24"/>
          <w:u w:val="single"/>
          <w:lang w:eastAsia="en-GB"/>
        </w:rPr>
        <w:t>https://doi.org/10.4060/ca9229en</w:t>
      </w:r>
    </w:p>
    <w:p w14:paraId="0D572ECC" w14:textId="16F9737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FAO. (2024). </w:t>
      </w:r>
      <w:r w:rsidRPr="006D2956">
        <w:rPr>
          <w:rFonts w:ascii="Times New Roman" w:eastAsia="Times New Roman" w:hAnsi="Times New Roman" w:cs="Times New Roman"/>
          <w:i/>
          <w:iCs/>
          <w:sz w:val="24"/>
          <w:szCs w:val="24"/>
          <w:lang w:eastAsia="en-GB"/>
        </w:rPr>
        <w:t>The State of World Fisheries and Aquaculture 2024 – Blue Transformation in action</w:t>
      </w:r>
      <w:r w:rsidRPr="006D2956">
        <w:rPr>
          <w:rFonts w:ascii="Times New Roman" w:eastAsia="Times New Roman" w:hAnsi="Times New Roman" w:cs="Times New Roman"/>
          <w:sz w:val="24"/>
          <w:szCs w:val="24"/>
          <w:lang w:eastAsia="en-GB"/>
        </w:rPr>
        <w:t xml:space="preserve">. Food and Agriculture Organization of the United Nations. </w:t>
      </w:r>
      <w:r w:rsidRPr="006D2956">
        <w:rPr>
          <w:rFonts w:ascii="Times New Roman" w:eastAsia="Times New Roman" w:hAnsi="Times New Roman" w:cs="Times New Roman"/>
          <w:color w:val="0000FF"/>
          <w:sz w:val="24"/>
          <w:szCs w:val="24"/>
          <w:u w:val="single"/>
          <w:lang w:eastAsia="en-GB"/>
        </w:rPr>
        <w:t>https://doi.org/10.4060/cd0683en</w:t>
      </w:r>
    </w:p>
    <w:p w14:paraId="64AAF584" w14:textId="4C4BE6FE"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Filgueira</w:t>
      </w:r>
      <w:proofErr w:type="spellEnd"/>
      <w:r w:rsidRPr="006D2956">
        <w:rPr>
          <w:rFonts w:ascii="Times New Roman" w:eastAsia="Times New Roman" w:hAnsi="Times New Roman" w:cs="Times New Roman"/>
          <w:sz w:val="24"/>
          <w:szCs w:val="24"/>
          <w:lang w:eastAsia="en-GB"/>
        </w:rPr>
        <w:t xml:space="preserve">, R., Byron, C. J., Comeau, L. A., Costa-Pierce, B., Cranford, P. J., Ferreira, J. G., Grant, J., </w:t>
      </w:r>
      <w:proofErr w:type="spellStart"/>
      <w:r w:rsidRPr="006D2956">
        <w:rPr>
          <w:rFonts w:ascii="Times New Roman" w:eastAsia="Times New Roman" w:hAnsi="Times New Roman" w:cs="Times New Roman"/>
          <w:sz w:val="24"/>
          <w:szCs w:val="24"/>
          <w:lang w:eastAsia="en-GB"/>
        </w:rPr>
        <w:t>Guyondet</w:t>
      </w:r>
      <w:proofErr w:type="spellEnd"/>
      <w:r w:rsidRPr="006D2956">
        <w:rPr>
          <w:rFonts w:ascii="Times New Roman" w:eastAsia="Times New Roman" w:hAnsi="Times New Roman" w:cs="Times New Roman"/>
          <w:sz w:val="24"/>
          <w:szCs w:val="24"/>
          <w:lang w:eastAsia="en-GB"/>
        </w:rPr>
        <w:t xml:space="preserve">, T., Jansen, H. M., Landry, T., </w:t>
      </w:r>
      <w:proofErr w:type="spellStart"/>
      <w:r w:rsidRPr="006D2956">
        <w:rPr>
          <w:rFonts w:ascii="Times New Roman" w:eastAsia="Times New Roman" w:hAnsi="Times New Roman" w:cs="Times New Roman"/>
          <w:sz w:val="24"/>
          <w:szCs w:val="24"/>
          <w:lang w:eastAsia="en-GB"/>
        </w:rPr>
        <w:t>McKindsey</w:t>
      </w:r>
      <w:proofErr w:type="spellEnd"/>
      <w:r w:rsidRPr="006D2956">
        <w:rPr>
          <w:rFonts w:ascii="Times New Roman" w:eastAsia="Times New Roman" w:hAnsi="Times New Roman" w:cs="Times New Roman"/>
          <w:sz w:val="24"/>
          <w:szCs w:val="24"/>
          <w:lang w:eastAsia="en-GB"/>
        </w:rPr>
        <w:t xml:space="preserve">, C. W., Petersen, J. K., Reid, G. K., Robinson, S. M. C., </w:t>
      </w:r>
      <w:proofErr w:type="spellStart"/>
      <w:r w:rsidRPr="006D2956">
        <w:rPr>
          <w:rFonts w:ascii="Times New Roman" w:eastAsia="Times New Roman" w:hAnsi="Times New Roman" w:cs="Times New Roman"/>
          <w:sz w:val="24"/>
          <w:szCs w:val="24"/>
          <w:lang w:eastAsia="en-GB"/>
        </w:rPr>
        <w:t>Smaal</w:t>
      </w:r>
      <w:proofErr w:type="spellEnd"/>
      <w:r w:rsidRPr="006D2956">
        <w:rPr>
          <w:rFonts w:ascii="Times New Roman" w:eastAsia="Times New Roman" w:hAnsi="Times New Roman" w:cs="Times New Roman"/>
          <w:sz w:val="24"/>
          <w:szCs w:val="24"/>
          <w:lang w:eastAsia="en-GB"/>
        </w:rPr>
        <w:t xml:space="preserve">, A., Sonier, R., Strand, Ø., &amp; Strohmeier, T. (2015). An integrated ecosystem approach for assessing the potential role of cultivated bivalve shells as part of the carbon trading system. </w:t>
      </w:r>
      <w:r w:rsidRPr="006D2956">
        <w:rPr>
          <w:rFonts w:ascii="Times New Roman" w:eastAsia="Times New Roman" w:hAnsi="Times New Roman" w:cs="Times New Roman"/>
          <w:i/>
          <w:iCs/>
          <w:sz w:val="24"/>
          <w:szCs w:val="24"/>
          <w:lang w:eastAsia="en-GB"/>
        </w:rPr>
        <w:t>Marine Ecology Progress Series, 518</w:t>
      </w:r>
      <w:r w:rsidRPr="006D2956">
        <w:rPr>
          <w:rFonts w:ascii="Times New Roman" w:eastAsia="Times New Roman" w:hAnsi="Times New Roman" w:cs="Times New Roman"/>
          <w:sz w:val="24"/>
          <w:szCs w:val="24"/>
          <w:lang w:eastAsia="en-GB"/>
        </w:rPr>
        <w:t xml:space="preserve">, 281–287. </w:t>
      </w:r>
      <w:r w:rsidRPr="006D2956">
        <w:rPr>
          <w:rFonts w:ascii="Times New Roman" w:eastAsia="Times New Roman" w:hAnsi="Times New Roman" w:cs="Times New Roman"/>
          <w:color w:val="0000FF"/>
          <w:sz w:val="24"/>
          <w:szCs w:val="24"/>
          <w:u w:val="single"/>
          <w:lang w:eastAsia="en-GB"/>
        </w:rPr>
        <w:t>https://doi.org/10.3354/meps11048</w:t>
      </w:r>
    </w:p>
    <w:p w14:paraId="0D99A5A5" w14:textId="1F24E56C"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Finnveden</w:t>
      </w:r>
      <w:proofErr w:type="spellEnd"/>
      <w:r w:rsidRPr="006D2956">
        <w:rPr>
          <w:rFonts w:ascii="Times New Roman" w:eastAsia="Times New Roman" w:hAnsi="Times New Roman" w:cs="Times New Roman"/>
          <w:sz w:val="24"/>
          <w:szCs w:val="24"/>
          <w:lang w:eastAsia="en-GB"/>
        </w:rPr>
        <w:t xml:space="preserve">, G., Hauschild, M. Z., Ekvall, T., </w:t>
      </w:r>
      <w:proofErr w:type="spellStart"/>
      <w:r w:rsidRPr="006D2956">
        <w:rPr>
          <w:rFonts w:ascii="Times New Roman" w:eastAsia="Times New Roman" w:hAnsi="Times New Roman" w:cs="Times New Roman"/>
          <w:sz w:val="24"/>
          <w:szCs w:val="24"/>
          <w:lang w:eastAsia="en-GB"/>
        </w:rPr>
        <w:t>Guinée</w:t>
      </w:r>
      <w:proofErr w:type="spellEnd"/>
      <w:r w:rsidRPr="006D2956">
        <w:rPr>
          <w:rFonts w:ascii="Times New Roman" w:eastAsia="Times New Roman" w:hAnsi="Times New Roman" w:cs="Times New Roman"/>
          <w:sz w:val="24"/>
          <w:szCs w:val="24"/>
          <w:lang w:eastAsia="en-GB"/>
        </w:rPr>
        <w:t xml:space="preserve">, J., Heijungs, R., Hellweg, S., Koehler, A., Pennington, D., &amp; Suh, S. (2009). Recent developments in life cycle assessment. </w:t>
      </w:r>
      <w:r w:rsidRPr="006D2956">
        <w:rPr>
          <w:rFonts w:ascii="Times New Roman" w:eastAsia="Times New Roman" w:hAnsi="Times New Roman" w:cs="Times New Roman"/>
          <w:i/>
          <w:iCs/>
          <w:sz w:val="24"/>
          <w:szCs w:val="24"/>
          <w:lang w:eastAsia="en-GB"/>
        </w:rPr>
        <w:t>Journal of Environmental Management, 91</w:t>
      </w:r>
      <w:r w:rsidRPr="006D2956">
        <w:rPr>
          <w:rFonts w:ascii="Times New Roman" w:eastAsia="Times New Roman" w:hAnsi="Times New Roman" w:cs="Times New Roman"/>
          <w:sz w:val="24"/>
          <w:szCs w:val="24"/>
          <w:lang w:eastAsia="en-GB"/>
        </w:rPr>
        <w:t xml:space="preserve">(1), 1–21. </w:t>
      </w:r>
      <w:r w:rsidRPr="006D2956">
        <w:rPr>
          <w:rFonts w:ascii="Times New Roman" w:eastAsia="Times New Roman" w:hAnsi="Times New Roman" w:cs="Times New Roman"/>
          <w:color w:val="0000FF"/>
          <w:sz w:val="24"/>
          <w:szCs w:val="24"/>
          <w:u w:val="single"/>
          <w:lang w:eastAsia="en-GB"/>
        </w:rPr>
        <w:t>https://doi.org/10.1016/j.jenvman.2009.06.018</w:t>
      </w:r>
    </w:p>
    <w:p w14:paraId="5A745281" w14:textId="0F8C514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Froehlich, H. E., Runge, C. A., Gentry, R. R., Gaines, S. D., &amp; Halpern, B. S. (2018). Comparative terrestrial feed and land use of an aquaculture portfolio. </w:t>
      </w:r>
      <w:r w:rsidRPr="006D2956">
        <w:rPr>
          <w:rFonts w:ascii="Times New Roman" w:eastAsia="Times New Roman" w:hAnsi="Times New Roman" w:cs="Times New Roman"/>
          <w:i/>
          <w:iCs/>
          <w:sz w:val="24"/>
          <w:szCs w:val="24"/>
          <w:lang w:eastAsia="en-GB"/>
        </w:rPr>
        <w:t>Proceedings of the National Academy of Sciences, 115</w:t>
      </w:r>
      <w:r w:rsidRPr="006D2956">
        <w:rPr>
          <w:rFonts w:ascii="Times New Roman" w:eastAsia="Times New Roman" w:hAnsi="Times New Roman" w:cs="Times New Roman"/>
          <w:sz w:val="24"/>
          <w:szCs w:val="24"/>
          <w:lang w:eastAsia="en-GB"/>
        </w:rPr>
        <w:t xml:space="preserve">(20), 5295–5300. </w:t>
      </w:r>
      <w:r w:rsidRPr="006D2956">
        <w:rPr>
          <w:rFonts w:ascii="Times New Roman" w:eastAsia="Times New Roman" w:hAnsi="Times New Roman" w:cs="Times New Roman"/>
          <w:color w:val="0000FF"/>
          <w:sz w:val="24"/>
          <w:szCs w:val="24"/>
          <w:u w:val="single"/>
          <w:lang w:eastAsia="en-GB"/>
        </w:rPr>
        <w:t>https://doi.org/10.1073/pnas.1801692115</w:t>
      </w:r>
    </w:p>
    <w:p w14:paraId="3B8DF51B" w14:textId="26FFF53C"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Golden, C. D., Allison, E. H., Cheung, W. W. L., Dey, M. M., Halpern, B. S., McCauley, D. J., Smith, M., </w:t>
      </w:r>
      <w:proofErr w:type="spellStart"/>
      <w:r w:rsidRPr="006D2956">
        <w:rPr>
          <w:rFonts w:ascii="Times New Roman" w:eastAsia="Times New Roman" w:hAnsi="Times New Roman" w:cs="Times New Roman"/>
          <w:sz w:val="24"/>
          <w:szCs w:val="24"/>
          <w:lang w:eastAsia="en-GB"/>
        </w:rPr>
        <w:t>Vaitla</w:t>
      </w:r>
      <w:proofErr w:type="spellEnd"/>
      <w:r w:rsidRPr="006D2956">
        <w:rPr>
          <w:rFonts w:ascii="Times New Roman" w:eastAsia="Times New Roman" w:hAnsi="Times New Roman" w:cs="Times New Roman"/>
          <w:sz w:val="24"/>
          <w:szCs w:val="24"/>
          <w:lang w:eastAsia="en-GB"/>
        </w:rPr>
        <w:t xml:space="preserve">, B., Zeller, D., &amp; Myers, S. S. (2016). Nutrition: Fall in fish catch threatens human health. </w:t>
      </w:r>
      <w:r w:rsidRPr="006D2956">
        <w:rPr>
          <w:rFonts w:ascii="Times New Roman" w:eastAsia="Times New Roman" w:hAnsi="Times New Roman" w:cs="Times New Roman"/>
          <w:i/>
          <w:iCs/>
          <w:sz w:val="24"/>
          <w:szCs w:val="24"/>
          <w:lang w:eastAsia="en-GB"/>
        </w:rPr>
        <w:t>Nature, 534</w:t>
      </w:r>
      <w:r w:rsidRPr="006D2956">
        <w:rPr>
          <w:rFonts w:ascii="Times New Roman" w:eastAsia="Times New Roman" w:hAnsi="Times New Roman" w:cs="Times New Roman"/>
          <w:sz w:val="24"/>
          <w:szCs w:val="24"/>
          <w:lang w:eastAsia="en-GB"/>
        </w:rPr>
        <w:t xml:space="preserve">(7607), 317–320. </w:t>
      </w:r>
      <w:r w:rsidRPr="006D2956">
        <w:rPr>
          <w:rFonts w:ascii="Times New Roman" w:eastAsia="Times New Roman" w:hAnsi="Times New Roman" w:cs="Times New Roman"/>
          <w:color w:val="0000FF"/>
          <w:sz w:val="24"/>
          <w:szCs w:val="24"/>
          <w:u w:val="single"/>
          <w:lang w:eastAsia="en-GB"/>
        </w:rPr>
        <w:t>https://doi.org/10.1038/534317a</w:t>
      </w:r>
    </w:p>
    <w:p w14:paraId="5000E945" w14:textId="754BA085"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Halloran, A., </w:t>
      </w:r>
      <w:proofErr w:type="spellStart"/>
      <w:r w:rsidRPr="006D2956">
        <w:rPr>
          <w:rFonts w:ascii="Times New Roman" w:eastAsia="Times New Roman" w:hAnsi="Times New Roman" w:cs="Times New Roman"/>
          <w:sz w:val="24"/>
          <w:szCs w:val="24"/>
          <w:lang w:eastAsia="en-GB"/>
        </w:rPr>
        <w:t>Roos</w:t>
      </w:r>
      <w:proofErr w:type="spellEnd"/>
      <w:r w:rsidRPr="006D2956">
        <w:rPr>
          <w:rFonts w:ascii="Times New Roman" w:eastAsia="Times New Roman" w:hAnsi="Times New Roman" w:cs="Times New Roman"/>
          <w:sz w:val="24"/>
          <w:szCs w:val="24"/>
          <w:lang w:eastAsia="en-GB"/>
        </w:rPr>
        <w:t xml:space="preserve">, N., Eilenberg, J., Cerutti, A., &amp; Bruun, S. (2016). Life cycle assessment of edible insects for food protein: A review. </w:t>
      </w:r>
      <w:r w:rsidRPr="006D2956">
        <w:rPr>
          <w:rFonts w:ascii="Times New Roman" w:eastAsia="Times New Roman" w:hAnsi="Times New Roman" w:cs="Times New Roman"/>
          <w:i/>
          <w:iCs/>
          <w:sz w:val="24"/>
          <w:szCs w:val="24"/>
          <w:lang w:eastAsia="en-GB"/>
        </w:rPr>
        <w:t>Agronomy for Sustainable Development, 36</w:t>
      </w:r>
      <w:r w:rsidRPr="006D2956">
        <w:rPr>
          <w:rFonts w:ascii="Times New Roman" w:eastAsia="Times New Roman" w:hAnsi="Times New Roman" w:cs="Times New Roman"/>
          <w:sz w:val="24"/>
          <w:szCs w:val="24"/>
          <w:lang w:eastAsia="en-GB"/>
        </w:rPr>
        <w:t xml:space="preserve">(4), 57. </w:t>
      </w:r>
      <w:r w:rsidRPr="006D2956">
        <w:rPr>
          <w:rFonts w:ascii="Times New Roman" w:eastAsia="Times New Roman" w:hAnsi="Times New Roman" w:cs="Times New Roman"/>
          <w:color w:val="0000FF"/>
          <w:sz w:val="24"/>
          <w:szCs w:val="24"/>
          <w:u w:val="single"/>
          <w:lang w:eastAsia="en-GB"/>
        </w:rPr>
        <w:t>https://doi.org/10.1007/s13593-016-0392-8</w:t>
      </w:r>
    </w:p>
    <w:p w14:paraId="4E01DB73" w14:textId="1D40D649"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Hamilton, S. E., &amp; Casey, D. (2016). Creation of a high </w:t>
      </w:r>
      <w:proofErr w:type="spellStart"/>
      <w:r w:rsidRPr="006D2956">
        <w:rPr>
          <w:rFonts w:ascii="Times New Roman" w:eastAsia="Times New Roman" w:hAnsi="Times New Roman" w:cs="Times New Roman"/>
          <w:sz w:val="24"/>
          <w:szCs w:val="24"/>
          <w:lang w:eastAsia="en-GB"/>
        </w:rPr>
        <w:t>spatio</w:t>
      </w:r>
      <w:proofErr w:type="spellEnd"/>
      <w:r w:rsidRPr="006D2956">
        <w:rPr>
          <w:rFonts w:ascii="Times New Roman" w:eastAsia="Times New Roman" w:hAnsi="Times New Roman" w:cs="Times New Roman"/>
          <w:sz w:val="24"/>
          <w:szCs w:val="24"/>
          <w:lang w:eastAsia="en-GB"/>
        </w:rPr>
        <w:t xml:space="preserve">-temporal resolution global database of continuous mangrove forest cover for the 21st century (CGMFC-21). </w:t>
      </w:r>
      <w:r w:rsidRPr="006D2956">
        <w:rPr>
          <w:rFonts w:ascii="Times New Roman" w:eastAsia="Times New Roman" w:hAnsi="Times New Roman" w:cs="Times New Roman"/>
          <w:i/>
          <w:iCs/>
          <w:sz w:val="24"/>
          <w:szCs w:val="24"/>
          <w:lang w:eastAsia="en-GB"/>
        </w:rPr>
        <w:t>Global Ecology and Biogeography, 25</w:t>
      </w:r>
      <w:r w:rsidRPr="006D2956">
        <w:rPr>
          <w:rFonts w:ascii="Times New Roman" w:eastAsia="Times New Roman" w:hAnsi="Times New Roman" w:cs="Times New Roman"/>
          <w:sz w:val="24"/>
          <w:szCs w:val="24"/>
          <w:lang w:eastAsia="en-GB"/>
        </w:rPr>
        <w:t xml:space="preserve">(6), 729–738. </w:t>
      </w:r>
      <w:r w:rsidRPr="006D2956">
        <w:rPr>
          <w:rFonts w:ascii="Times New Roman" w:eastAsia="Times New Roman" w:hAnsi="Times New Roman" w:cs="Times New Roman"/>
          <w:color w:val="0000FF"/>
          <w:sz w:val="24"/>
          <w:szCs w:val="24"/>
          <w:u w:val="single"/>
          <w:lang w:eastAsia="en-GB"/>
        </w:rPr>
        <w:t>https://doi.org/10.1111/geb.12449</w:t>
      </w:r>
    </w:p>
    <w:p w14:paraId="384CAD62" w14:textId="2D14AAD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Henry, M., Gasco, L., Piccolo, G., &amp; </w:t>
      </w:r>
      <w:proofErr w:type="spellStart"/>
      <w:r w:rsidRPr="006D2956">
        <w:rPr>
          <w:rFonts w:ascii="Times New Roman" w:eastAsia="Times New Roman" w:hAnsi="Times New Roman" w:cs="Times New Roman"/>
          <w:sz w:val="24"/>
          <w:szCs w:val="24"/>
          <w:lang w:eastAsia="en-GB"/>
        </w:rPr>
        <w:t>Fountoulaki</w:t>
      </w:r>
      <w:proofErr w:type="spellEnd"/>
      <w:r w:rsidRPr="006D2956">
        <w:rPr>
          <w:rFonts w:ascii="Times New Roman" w:eastAsia="Times New Roman" w:hAnsi="Times New Roman" w:cs="Times New Roman"/>
          <w:sz w:val="24"/>
          <w:szCs w:val="24"/>
          <w:lang w:eastAsia="en-GB"/>
        </w:rPr>
        <w:t xml:space="preserve">, E. (2015). Review on the use of insects in the diet of farmed fish: Past and future. </w:t>
      </w:r>
      <w:r w:rsidRPr="006D2956">
        <w:rPr>
          <w:rFonts w:ascii="Times New Roman" w:eastAsia="Times New Roman" w:hAnsi="Times New Roman" w:cs="Times New Roman"/>
          <w:i/>
          <w:iCs/>
          <w:sz w:val="24"/>
          <w:szCs w:val="24"/>
          <w:lang w:eastAsia="en-GB"/>
        </w:rPr>
        <w:t>Animal Feed Science and Technology, 203</w:t>
      </w:r>
      <w:r w:rsidRPr="006D2956">
        <w:rPr>
          <w:rFonts w:ascii="Times New Roman" w:eastAsia="Times New Roman" w:hAnsi="Times New Roman" w:cs="Times New Roman"/>
          <w:sz w:val="24"/>
          <w:szCs w:val="24"/>
          <w:lang w:eastAsia="en-GB"/>
        </w:rPr>
        <w:t xml:space="preserve">, 1–22. </w:t>
      </w:r>
      <w:r w:rsidRPr="006D2956">
        <w:rPr>
          <w:rFonts w:ascii="Times New Roman" w:eastAsia="Times New Roman" w:hAnsi="Times New Roman" w:cs="Times New Roman"/>
          <w:color w:val="0000FF"/>
          <w:sz w:val="24"/>
          <w:szCs w:val="24"/>
          <w:u w:val="single"/>
          <w:lang w:eastAsia="en-GB"/>
        </w:rPr>
        <w:t>https://doi.org/10.1016/j.anifeedsci.2015.03.001</w:t>
      </w:r>
    </w:p>
    <w:p w14:paraId="70A463F0" w14:textId="035B88BA"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Henriksson, P. J. G., Belton, B., Murshed-e-Jahan, K., &amp; Rico, A. (2018). Measuring the potential for sustainable intensification of aquaculture in Bangladesh using life cycle assessment. </w:t>
      </w:r>
      <w:r w:rsidRPr="006D2956">
        <w:rPr>
          <w:rFonts w:ascii="Times New Roman" w:eastAsia="Times New Roman" w:hAnsi="Times New Roman" w:cs="Times New Roman"/>
          <w:i/>
          <w:iCs/>
          <w:sz w:val="24"/>
          <w:szCs w:val="24"/>
          <w:lang w:eastAsia="en-GB"/>
        </w:rPr>
        <w:t>Proceedings of the National Academy of Sciences, 115</w:t>
      </w:r>
      <w:r w:rsidRPr="006D2956">
        <w:rPr>
          <w:rFonts w:ascii="Times New Roman" w:eastAsia="Times New Roman" w:hAnsi="Times New Roman" w:cs="Times New Roman"/>
          <w:sz w:val="24"/>
          <w:szCs w:val="24"/>
          <w:lang w:eastAsia="en-GB"/>
        </w:rPr>
        <w:t xml:space="preserve">(12), 2958–2963. </w:t>
      </w:r>
      <w:r w:rsidRPr="006D2956">
        <w:rPr>
          <w:rFonts w:ascii="Times New Roman" w:eastAsia="Times New Roman" w:hAnsi="Times New Roman" w:cs="Times New Roman"/>
          <w:color w:val="0000FF"/>
          <w:sz w:val="24"/>
          <w:szCs w:val="24"/>
          <w:u w:val="single"/>
          <w:lang w:eastAsia="en-GB"/>
        </w:rPr>
        <w:t>https://doi.org/10.1073/pnas.1716530115</w:t>
      </w:r>
    </w:p>
    <w:p w14:paraId="6D9AD822" w14:textId="1AE62102"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Henriksson, P. J. G., Rico, A., Zhang, W., Ahmad-Al-Nahid, S., Newton, R., Phan, L. T., Zhang, Z., </w:t>
      </w:r>
      <w:proofErr w:type="spellStart"/>
      <w:r w:rsidRPr="006D2956">
        <w:rPr>
          <w:rFonts w:ascii="Times New Roman" w:eastAsia="Times New Roman" w:hAnsi="Times New Roman" w:cs="Times New Roman"/>
          <w:sz w:val="24"/>
          <w:szCs w:val="24"/>
          <w:lang w:eastAsia="en-GB"/>
        </w:rPr>
        <w:t>Jaithiang</w:t>
      </w:r>
      <w:proofErr w:type="spellEnd"/>
      <w:r w:rsidRPr="006D2956">
        <w:rPr>
          <w:rFonts w:ascii="Times New Roman" w:eastAsia="Times New Roman" w:hAnsi="Times New Roman" w:cs="Times New Roman"/>
          <w:sz w:val="24"/>
          <w:szCs w:val="24"/>
          <w:lang w:eastAsia="en-GB"/>
        </w:rPr>
        <w:t xml:space="preserve">, J., Dao, H. M., Phu, T. M., Little, D. C., Murray, F. J., </w:t>
      </w:r>
      <w:proofErr w:type="spellStart"/>
      <w:r w:rsidRPr="006D2956">
        <w:rPr>
          <w:rFonts w:ascii="Times New Roman" w:eastAsia="Times New Roman" w:hAnsi="Times New Roman" w:cs="Times New Roman"/>
          <w:sz w:val="24"/>
          <w:szCs w:val="24"/>
          <w:lang w:eastAsia="en-GB"/>
        </w:rPr>
        <w:t>Satapornvanit</w:t>
      </w:r>
      <w:proofErr w:type="spellEnd"/>
      <w:r w:rsidRPr="006D2956">
        <w:rPr>
          <w:rFonts w:ascii="Times New Roman" w:eastAsia="Times New Roman" w:hAnsi="Times New Roman" w:cs="Times New Roman"/>
          <w:sz w:val="24"/>
          <w:szCs w:val="24"/>
          <w:lang w:eastAsia="en-GB"/>
        </w:rPr>
        <w:t xml:space="preserve">, </w:t>
      </w:r>
      <w:r w:rsidRPr="006D2956">
        <w:rPr>
          <w:rFonts w:ascii="Times New Roman" w:eastAsia="Times New Roman" w:hAnsi="Times New Roman" w:cs="Times New Roman"/>
          <w:sz w:val="24"/>
          <w:szCs w:val="24"/>
          <w:lang w:eastAsia="en-GB"/>
        </w:rPr>
        <w:lastRenderedPageBreak/>
        <w:t xml:space="preserve">K., Liu, L., Liu, Q., Haque, M. M., Hall, S. J., Tran, N., Jahan, K. M. E., &amp; </w:t>
      </w:r>
      <w:proofErr w:type="spellStart"/>
      <w:r w:rsidRPr="006D2956">
        <w:rPr>
          <w:rFonts w:ascii="Times New Roman" w:eastAsia="Times New Roman" w:hAnsi="Times New Roman" w:cs="Times New Roman"/>
          <w:sz w:val="24"/>
          <w:szCs w:val="24"/>
          <w:lang w:eastAsia="en-GB"/>
        </w:rPr>
        <w:t>Guinée</w:t>
      </w:r>
      <w:proofErr w:type="spellEnd"/>
      <w:r w:rsidRPr="006D2956">
        <w:rPr>
          <w:rFonts w:ascii="Times New Roman" w:eastAsia="Times New Roman" w:hAnsi="Times New Roman" w:cs="Times New Roman"/>
          <w:sz w:val="24"/>
          <w:szCs w:val="24"/>
          <w:lang w:eastAsia="en-GB"/>
        </w:rPr>
        <w:t xml:space="preserve">, J. B. (2015). Comparison of Asian aquaculture products by use of statistically supported life cycle assessment. </w:t>
      </w:r>
      <w:r w:rsidRPr="006D2956">
        <w:rPr>
          <w:rFonts w:ascii="Times New Roman" w:eastAsia="Times New Roman" w:hAnsi="Times New Roman" w:cs="Times New Roman"/>
          <w:i/>
          <w:iCs/>
          <w:sz w:val="24"/>
          <w:szCs w:val="24"/>
          <w:lang w:eastAsia="en-GB"/>
        </w:rPr>
        <w:t>Environmental Science &amp; Technology, 49</w:t>
      </w:r>
      <w:r w:rsidRPr="006D2956">
        <w:rPr>
          <w:rFonts w:ascii="Times New Roman" w:eastAsia="Times New Roman" w:hAnsi="Times New Roman" w:cs="Times New Roman"/>
          <w:sz w:val="24"/>
          <w:szCs w:val="24"/>
          <w:lang w:eastAsia="en-GB"/>
        </w:rPr>
        <w:t xml:space="preserve">(24), 14176–14183. </w:t>
      </w:r>
      <w:r w:rsidRPr="006D2956">
        <w:rPr>
          <w:rFonts w:ascii="Times New Roman" w:eastAsia="Times New Roman" w:hAnsi="Times New Roman" w:cs="Times New Roman"/>
          <w:color w:val="0000FF"/>
          <w:sz w:val="24"/>
          <w:szCs w:val="24"/>
          <w:u w:val="single"/>
          <w:lang w:eastAsia="en-GB"/>
        </w:rPr>
        <w:t>https://doi.org/10.1021/acs.est.5b04528</w:t>
      </w:r>
    </w:p>
    <w:p w14:paraId="68628A8F" w14:textId="6C0C5F3F"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Hu, L., Zhang, J., Ren, W., Guo, L., Cheng, Y., Li, J., Li, K., Zhu, Z., Zhang, J., Luo, S., Cheng, L., Tang, J., &amp; Chen, X. (2016). Can the co-cultivation of rice and fish help sustain rice production? </w:t>
      </w:r>
      <w:r w:rsidRPr="006D2956">
        <w:rPr>
          <w:rFonts w:ascii="Times New Roman" w:eastAsia="Times New Roman" w:hAnsi="Times New Roman" w:cs="Times New Roman"/>
          <w:i/>
          <w:iCs/>
          <w:sz w:val="24"/>
          <w:szCs w:val="24"/>
          <w:lang w:eastAsia="en-GB"/>
        </w:rPr>
        <w:t>Scientific Reports, 6</w:t>
      </w:r>
      <w:r w:rsidRPr="006D2956">
        <w:rPr>
          <w:rFonts w:ascii="Times New Roman" w:eastAsia="Times New Roman" w:hAnsi="Times New Roman" w:cs="Times New Roman"/>
          <w:sz w:val="24"/>
          <w:szCs w:val="24"/>
          <w:lang w:eastAsia="en-GB"/>
        </w:rPr>
        <w:t xml:space="preserve">, Article 28728. </w:t>
      </w:r>
      <w:r w:rsidRPr="006D2956">
        <w:rPr>
          <w:rFonts w:ascii="Times New Roman" w:eastAsia="Times New Roman" w:hAnsi="Times New Roman" w:cs="Times New Roman"/>
          <w:color w:val="0000FF"/>
          <w:sz w:val="24"/>
          <w:szCs w:val="24"/>
          <w:u w:val="single"/>
          <w:lang w:eastAsia="en-GB"/>
        </w:rPr>
        <w:t>https://doi.org/10.1038/srep28728</w:t>
      </w:r>
    </w:p>
    <w:p w14:paraId="276A73AE" w14:textId="4D3E72BE"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Hu, Z., Lee, J. W., Chandran, K., Kim, S., &amp; Khanal, S. K. (2012). Nitrous oxide (N₂O) emission from aquaculture: A review. </w:t>
      </w:r>
      <w:r w:rsidRPr="006D2956">
        <w:rPr>
          <w:rFonts w:ascii="Times New Roman" w:eastAsia="Times New Roman" w:hAnsi="Times New Roman" w:cs="Times New Roman"/>
          <w:i/>
          <w:iCs/>
          <w:sz w:val="24"/>
          <w:szCs w:val="24"/>
          <w:lang w:eastAsia="en-GB"/>
        </w:rPr>
        <w:t>Environmental Science &amp; Technology, 46</w:t>
      </w:r>
      <w:r w:rsidRPr="006D2956">
        <w:rPr>
          <w:rFonts w:ascii="Times New Roman" w:eastAsia="Times New Roman" w:hAnsi="Times New Roman" w:cs="Times New Roman"/>
          <w:sz w:val="24"/>
          <w:szCs w:val="24"/>
          <w:lang w:eastAsia="en-GB"/>
        </w:rPr>
        <w:t xml:space="preserve">(12), 6470–6480. </w:t>
      </w:r>
      <w:r w:rsidRPr="006D2956">
        <w:rPr>
          <w:rFonts w:ascii="Times New Roman" w:eastAsia="Times New Roman" w:hAnsi="Times New Roman" w:cs="Times New Roman"/>
          <w:color w:val="0000FF"/>
          <w:sz w:val="24"/>
          <w:szCs w:val="24"/>
          <w:u w:val="single"/>
          <w:lang w:eastAsia="en-GB"/>
        </w:rPr>
        <w:t>https://doi.org/10.1021/es300110x</w:t>
      </w:r>
    </w:p>
    <w:p w14:paraId="39E4AAFC" w14:textId="4DBA139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IPCC. (2019a). </w:t>
      </w:r>
      <w:r w:rsidRPr="006D2956">
        <w:rPr>
          <w:rFonts w:ascii="Times New Roman" w:eastAsia="Times New Roman" w:hAnsi="Times New Roman" w:cs="Times New Roman"/>
          <w:i/>
          <w:iCs/>
          <w:sz w:val="24"/>
          <w:szCs w:val="24"/>
          <w:lang w:eastAsia="en-GB"/>
        </w:rPr>
        <w:t>2019 Refinement to the 2006 IPCC Guidelines for National Greenhouse Gas Inventories</w:t>
      </w:r>
      <w:r w:rsidRPr="006D2956">
        <w:rPr>
          <w:rFonts w:ascii="Times New Roman" w:eastAsia="Times New Roman" w:hAnsi="Times New Roman" w:cs="Times New Roman"/>
          <w:sz w:val="24"/>
          <w:szCs w:val="24"/>
          <w:lang w:eastAsia="en-GB"/>
        </w:rPr>
        <w:t xml:space="preserve">. Intergovernmental Panel on Climate Change. </w:t>
      </w:r>
      <w:r w:rsidRPr="006D2956">
        <w:rPr>
          <w:rFonts w:ascii="Times New Roman" w:eastAsia="Times New Roman" w:hAnsi="Times New Roman" w:cs="Times New Roman"/>
          <w:color w:val="0000FF"/>
          <w:sz w:val="24"/>
          <w:szCs w:val="24"/>
          <w:u w:val="single"/>
          <w:lang w:eastAsia="en-GB"/>
        </w:rPr>
        <w:t>https://www.ipcc.ch/report/2019-refinement-to-the-2006-ipcc-guidelines-for-national-greenhouse-gas-inventories/</w:t>
      </w:r>
    </w:p>
    <w:p w14:paraId="1480580C" w14:textId="6EC221CA"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IPCC. (2019b). </w:t>
      </w:r>
      <w:r w:rsidRPr="006D2956">
        <w:rPr>
          <w:rFonts w:ascii="Times New Roman" w:eastAsia="Times New Roman" w:hAnsi="Times New Roman" w:cs="Times New Roman"/>
          <w:i/>
          <w:iCs/>
          <w:sz w:val="24"/>
          <w:szCs w:val="24"/>
          <w:lang w:eastAsia="en-GB"/>
        </w:rPr>
        <w:t>Climate change and land: An IPCC special report on climate change, desertification, land degradation, sustainable land management, food security, and greenhouse gas fluxes in terrestrial ecosystems</w:t>
      </w:r>
      <w:r w:rsidRPr="006D2956">
        <w:rPr>
          <w:rFonts w:ascii="Times New Roman" w:eastAsia="Times New Roman" w:hAnsi="Times New Roman" w:cs="Times New Roman"/>
          <w:sz w:val="24"/>
          <w:szCs w:val="24"/>
          <w:lang w:eastAsia="en-GB"/>
        </w:rPr>
        <w:t xml:space="preserve">. Intergovernmental Panel on Climate Change. </w:t>
      </w:r>
      <w:r w:rsidRPr="006D2956">
        <w:rPr>
          <w:rFonts w:ascii="Times New Roman" w:eastAsia="Times New Roman" w:hAnsi="Times New Roman" w:cs="Times New Roman"/>
          <w:color w:val="0000FF"/>
          <w:sz w:val="24"/>
          <w:szCs w:val="24"/>
          <w:u w:val="single"/>
          <w:lang w:eastAsia="en-GB"/>
        </w:rPr>
        <w:t>https://www.ipcc.ch/srccl/</w:t>
      </w:r>
    </w:p>
    <w:p w14:paraId="1ABE7750" w14:textId="0946F133"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IPCC. (2022). </w:t>
      </w:r>
      <w:r w:rsidRPr="006D2956">
        <w:rPr>
          <w:rFonts w:ascii="Times New Roman" w:eastAsia="Times New Roman" w:hAnsi="Times New Roman" w:cs="Times New Roman"/>
          <w:i/>
          <w:iCs/>
          <w:sz w:val="24"/>
          <w:szCs w:val="24"/>
          <w:lang w:eastAsia="en-GB"/>
        </w:rPr>
        <w:t>Climate Change 2022: Mitigation of Climate Change. Contribution of Working Group III to the Sixth Assessment Report of the Intergovernmental Panel on Climate Change</w:t>
      </w:r>
      <w:r w:rsidRPr="006D2956">
        <w:rPr>
          <w:rFonts w:ascii="Times New Roman" w:eastAsia="Times New Roman" w:hAnsi="Times New Roman" w:cs="Times New Roman"/>
          <w:sz w:val="24"/>
          <w:szCs w:val="24"/>
          <w:lang w:eastAsia="en-GB"/>
        </w:rPr>
        <w:t xml:space="preserve">. Cambridge University Press. </w:t>
      </w:r>
      <w:r w:rsidRPr="006D2956">
        <w:rPr>
          <w:rFonts w:ascii="Times New Roman" w:eastAsia="Times New Roman" w:hAnsi="Times New Roman" w:cs="Times New Roman"/>
          <w:color w:val="0000FF"/>
          <w:sz w:val="24"/>
          <w:szCs w:val="24"/>
          <w:u w:val="single"/>
          <w:lang w:eastAsia="en-GB"/>
        </w:rPr>
        <w:t>https://doi.org/10.1017/9781009157926</w:t>
      </w:r>
    </w:p>
    <w:p w14:paraId="17F3FF52" w14:textId="4DEE9B3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Jonell, M., &amp; Henriksson, P. J. G. (2015). Mangrove-shrimp farms in Vietnam — Comparing organic and conventional systems using life cycle assessment. </w:t>
      </w:r>
      <w:r w:rsidRPr="006D2956">
        <w:rPr>
          <w:rFonts w:ascii="Times New Roman" w:eastAsia="Times New Roman" w:hAnsi="Times New Roman" w:cs="Times New Roman"/>
          <w:i/>
          <w:iCs/>
          <w:sz w:val="24"/>
          <w:szCs w:val="24"/>
          <w:lang w:eastAsia="en-GB"/>
        </w:rPr>
        <w:t>Aquaculture, 447</w:t>
      </w:r>
      <w:r w:rsidRPr="006D2956">
        <w:rPr>
          <w:rFonts w:ascii="Times New Roman" w:eastAsia="Times New Roman" w:hAnsi="Times New Roman" w:cs="Times New Roman"/>
          <w:sz w:val="24"/>
          <w:szCs w:val="24"/>
          <w:lang w:eastAsia="en-GB"/>
        </w:rPr>
        <w:t xml:space="preserve">, 66–75. </w:t>
      </w:r>
      <w:r w:rsidRPr="006D2956">
        <w:rPr>
          <w:rFonts w:ascii="Times New Roman" w:eastAsia="Times New Roman" w:hAnsi="Times New Roman" w:cs="Times New Roman"/>
          <w:color w:val="0000FF"/>
          <w:sz w:val="24"/>
          <w:szCs w:val="24"/>
          <w:u w:val="single"/>
          <w:lang w:eastAsia="en-GB"/>
        </w:rPr>
        <w:t>https://doi.org/10.1016/j.aquaculture.2014.11.001</w:t>
      </w:r>
    </w:p>
    <w:p w14:paraId="0696BCAB" w14:textId="6752590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Kok, B., </w:t>
      </w:r>
      <w:proofErr w:type="spellStart"/>
      <w:r w:rsidRPr="006D2956">
        <w:rPr>
          <w:rFonts w:ascii="Times New Roman" w:eastAsia="Times New Roman" w:hAnsi="Times New Roman" w:cs="Times New Roman"/>
          <w:sz w:val="24"/>
          <w:szCs w:val="24"/>
          <w:lang w:eastAsia="en-GB"/>
        </w:rPr>
        <w:t>Malcorps</w:t>
      </w:r>
      <w:proofErr w:type="spellEnd"/>
      <w:r w:rsidRPr="006D2956">
        <w:rPr>
          <w:rFonts w:ascii="Times New Roman" w:eastAsia="Times New Roman" w:hAnsi="Times New Roman" w:cs="Times New Roman"/>
          <w:sz w:val="24"/>
          <w:szCs w:val="24"/>
          <w:lang w:eastAsia="en-GB"/>
        </w:rPr>
        <w:t xml:space="preserve">, W., Tlusty, M. F., Eltholth, M., Auchterlonie, N., Little, D. C., … Davies, S. J. (2020). Fish as feed: Using economic allocation to quantify the Fish In: Fish Out ratio of major fed aquaculture species. </w:t>
      </w:r>
      <w:r w:rsidRPr="006D2956">
        <w:rPr>
          <w:rFonts w:ascii="Times New Roman" w:eastAsia="Times New Roman" w:hAnsi="Times New Roman" w:cs="Times New Roman"/>
          <w:i/>
          <w:iCs/>
          <w:sz w:val="24"/>
          <w:szCs w:val="24"/>
          <w:lang w:eastAsia="en-GB"/>
        </w:rPr>
        <w:t>Aquaculture, 528</w:t>
      </w:r>
      <w:r w:rsidRPr="006D2956">
        <w:rPr>
          <w:rFonts w:ascii="Times New Roman" w:eastAsia="Times New Roman" w:hAnsi="Times New Roman" w:cs="Times New Roman"/>
          <w:sz w:val="24"/>
          <w:szCs w:val="24"/>
          <w:lang w:eastAsia="en-GB"/>
        </w:rPr>
        <w:t xml:space="preserve">, 735474. </w:t>
      </w:r>
      <w:r w:rsidRPr="006D2956">
        <w:rPr>
          <w:rFonts w:ascii="Times New Roman" w:eastAsia="Times New Roman" w:hAnsi="Times New Roman" w:cs="Times New Roman"/>
          <w:color w:val="0000FF"/>
          <w:sz w:val="24"/>
          <w:szCs w:val="24"/>
          <w:u w:val="single"/>
          <w:lang w:eastAsia="en-GB"/>
        </w:rPr>
        <w:t>https://doi.org/10.1016/j.aquaculture.2020.735474</w:t>
      </w:r>
    </w:p>
    <w:p w14:paraId="5FD0915C" w14:textId="3C0388C3"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Krause-Jensen, D., &amp; Duarte, C. M. (2016). Substantial role of macroalgae in marine carbon sequestration. </w:t>
      </w:r>
      <w:r w:rsidRPr="006D2956">
        <w:rPr>
          <w:rFonts w:ascii="Times New Roman" w:eastAsia="Times New Roman" w:hAnsi="Times New Roman" w:cs="Times New Roman"/>
          <w:i/>
          <w:iCs/>
          <w:sz w:val="24"/>
          <w:szCs w:val="24"/>
          <w:lang w:eastAsia="en-GB"/>
        </w:rPr>
        <w:t>Nature Geoscience, 9</w:t>
      </w:r>
      <w:r w:rsidRPr="006D2956">
        <w:rPr>
          <w:rFonts w:ascii="Times New Roman" w:eastAsia="Times New Roman" w:hAnsi="Times New Roman" w:cs="Times New Roman"/>
          <w:sz w:val="24"/>
          <w:szCs w:val="24"/>
          <w:lang w:eastAsia="en-GB"/>
        </w:rPr>
        <w:t xml:space="preserve">(10), 737–742. </w:t>
      </w:r>
      <w:r w:rsidRPr="006D2956">
        <w:rPr>
          <w:rFonts w:ascii="Times New Roman" w:eastAsia="Times New Roman" w:hAnsi="Times New Roman" w:cs="Times New Roman"/>
          <w:color w:val="0000FF"/>
          <w:sz w:val="24"/>
          <w:szCs w:val="24"/>
          <w:u w:val="single"/>
          <w:lang w:eastAsia="en-GB"/>
        </w:rPr>
        <w:t>https://doi.org/10.1038/ngeo2790</w:t>
      </w:r>
    </w:p>
    <w:p w14:paraId="5F655AD3" w14:textId="441516F3"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MacLeod, M. J., Hasan, M. R., Robb, D. H. F., &amp; Mamun-Ur-Rashid, M. (2020). Quantifying greenhouse gas emissions from global aquaculture. </w:t>
      </w:r>
      <w:r w:rsidRPr="006D2956">
        <w:rPr>
          <w:rFonts w:ascii="Times New Roman" w:eastAsia="Times New Roman" w:hAnsi="Times New Roman" w:cs="Times New Roman"/>
          <w:i/>
          <w:iCs/>
          <w:sz w:val="24"/>
          <w:szCs w:val="24"/>
          <w:lang w:eastAsia="en-GB"/>
        </w:rPr>
        <w:t>Scientific Reports, 10</w:t>
      </w:r>
      <w:r w:rsidRPr="006D2956">
        <w:rPr>
          <w:rFonts w:ascii="Times New Roman" w:eastAsia="Times New Roman" w:hAnsi="Times New Roman" w:cs="Times New Roman"/>
          <w:sz w:val="24"/>
          <w:szCs w:val="24"/>
          <w:lang w:eastAsia="en-GB"/>
        </w:rPr>
        <w:t xml:space="preserve">, Article 11679. </w:t>
      </w:r>
      <w:r w:rsidRPr="006D2956">
        <w:rPr>
          <w:rFonts w:ascii="Times New Roman" w:eastAsia="Times New Roman" w:hAnsi="Times New Roman" w:cs="Times New Roman"/>
          <w:color w:val="0000FF"/>
          <w:sz w:val="24"/>
          <w:szCs w:val="24"/>
          <w:u w:val="single"/>
          <w:lang w:eastAsia="en-GB"/>
        </w:rPr>
        <w:t>https://doi.org/10.1038/s41598-020-68231-8</w:t>
      </w:r>
    </w:p>
    <w:p w14:paraId="4E5A39C7" w14:textId="63FC9DBE"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Mungkung</w:t>
      </w:r>
      <w:proofErr w:type="spellEnd"/>
      <w:r w:rsidRPr="006D2956">
        <w:rPr>
          <w:rFonts w:ascii="Times New Roman" w:eastAsia="Times New Roman" w:hAnsi="Times New Roman" w:cs="Times New Roman"/>
          <w:sz w:val="24"/>
          <w:szCs w:val="24"/>
          <w:lang w:eastAsia="en-GB"/>
        </w:rPr>
        <w:t xml:space="preserve">, R., Aubin, J., </w:t>
      </w:r>
      <w:proofErr w:type="spellStart"/>
      <w:r w:rsidRPr="006D2956">
        <w:rPr>
          <w:rFonts w:ascii="Times New Roman" w:eastAsia="Times New Roman" w:hAnsi="Times New Roman" w:cs="Times New Roman"/>
          <w:sz w:val="24"/>
          <w:szCs w:val="24"/>
          <w:lang w:eastAsia="en-GB"/>
        </w:rPr>
        <w:t>Prihadi</w:t>
      </w:r>
      <w:proofErr w:type="spellEnd"/>
      <w:r w:rsidRPr="006D2956">
        <w:rPr>
          <w:rFonts w:ascii="Times New Roman" w:eastAsia="Times New Roman" w:hAnsi="Times New Roman" w:cs="Times New Roman"/>
          <w:sz w:val="24"/>
          <w:szCs w:val="24"/>
          <w:lang w:eastAsia="en-GB"/>
        </w:rPr>
        <w:t xml:space="preserve">, T. H., </w:t>
      </w:r>
      <w:proofErr w:type="spellStart"/>
      <w:r w:rsidRPr="006D2956">
        <w:rPr>
          <w:rFonts w:ascii="Times New Roman" w:eastAsia="Times New Roman" w:hAnsi="Times New Roman" w:cs="Times New Roman"/>
          <w:sz w:val="24"/>
          <w:szCs w:val="24"/>
          <w:lang w:eastAsia="en-GB"/>
        </w:rPr>
        <w:t>Slembrouck</w:t>
      </w:r>
      <w:proofErr w:type="spellEnd"/>
      <w:r w:rsidRPr="006D2956">
        <w:rPr>
          <w:rFonts w:ascii="Times New Roman" w:eastAsia="Times New Roman" w:hAnsi="Times New Roman" w:cs="Times New Roman"/>
          <w:sz w:val="24"/>
          <w:szCs w:val="24"/>
          <w:lang w:eastAsia="en-GB"/>
        </w:rPr>
        <w:t xml:space="preserve">, J., van der Werf, H. M. G., &amp; Legendre, M. (2013). Life cycle assessment for environmentally sustainable aquaculture management: A case study of combined aquaculture systems for carp and tilapia. </w:t>
      </w:r>
      <w:r w:rsidRPr="006D2956">
        <w:rPr>
          <w:rFonts w:ascii="Times New Roman" w:eastAsia="Times New Roman" w:hAnsi="Times New Roman" w:cs="Times New Roman"/>
          <w:i/>
          <w:iCs/>
          <w:sz w:val="24"/>
          <w:szCs w:val="24"/>
          <w:lang w:eastAsia="en-GB"/>
        </w:rPr>
        <w:t>Journal of Cleaner Production, 57</w:t>
      </w:r>
      <w:r w:rsidRPr="006D2956">
        <w:rPr>
          <w:rFonts w:ascii="Times New Roman" w:eastAsia="Times New Roman" w:hAnsi="Times New Roman" w:cs="Times New Roman"/>
          <w:sz w:val="24"/>
          <w:szCs w:val="24"/>
          <w:lang w:eastAsia="en-GB"/>
        </w:rPr>
        <w:t xml:space="preserve">, 249–256. </w:t>
      </w:r>
      <w:r w:rsidRPr="006D2956">
        <w:rPr>
          <w:rFonts w:ascii="Times New Roman" w:eastAsia="Times New Roman" w:hAnsi="Times New Roman" w:cs="Times New Roman"/>
          <w:color w:val="0000FF"/>
          <w:sz w:val="24"/>
          <w:szCs w:val="24"/>
          <w:u w:val="single"/>
          <w:lang w:eastAsia="en-GB"/>
        </w:rPr>
        <w:t>https://doi.org/10.1016/j.jclepro.2013.05.029</w:t>
      </w:r>
    </w:p>
    <w:p w14:paraId="76675B0F" w14:textId="1815355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Naylor, R. L., Goldburg, R. J., Mooney, H., Beveridge, M., Clay, J., Folke, C., Kautsky, N., Lubchenco, J., Primavera, J., &amp; Williams, M. (1998). Nature's subsidies to shrimp and salmon farming. </w:t>
      </w:r>
      <w:r w:rsidRPr="006D2956">
        <w:rPr>
          <w:rFonts w:ascii="Times New Roman" w:eastAsia="Times New Roman" w:hAnsi="Times New Roman" w:cs="Times New Roman"/>
          <w:i/>
          <w:iCs/>
          <w:sz w:val="24"/>
          <w:szCs w:val="24"/>
          <w:lang w:eastAsia="en-GB"/>
        </w:rPr>
        <w:t>Science, 282</w:t>
      </w:r>
      <w:r w:rsidRPr="006D2956">
        <w:rPr>
          <w:rFonts w:ascii="Times New Roman" w:eastAsia="Times New Roman" w:hAnsi="Times New Roman" w:cs="Times New Roman"/>
          <w:sz w:val="24"/>
          <w:szCs w:val="24"/>
          <w:lang w:eastAsia="en-GB"/>
        </w:rPr>
        <w:t xml:space="preserve">(5390), 883–884. </w:t>
      </w:r>
      <w:r w:rsidRPr="006D2956">
        <w:rPr>
          <w:rFonts w:ascii="Times New Roman" w:eastAsia="Times New Roman" w:hAnsi="Times New Roman" w:cs="Times New Roman"/>
          <w:color w:val="0000FF"/>
          <w:sz w:val="24"/>
          <w:szCs w:val="24"/>
          <w:u w:val="single"/>
          <w:lang w:eastAsia="en-GB"/>
        </w:rPr>
        <w:t>https://doi.org/10.1126/science.282.5390.883</w:t>
      </w:r>
    </w:p>
    <w:p w14:paraId="761D517F" w14:textId="4501E30E"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Naylor, R. L., Hardy, R. W., Buschmann, A. H., Bush, S. R., Cao, L., Klinger, D. H., Little, D. C., Lubchenco, J., Prefontaine, S. E., &amp; Troell, M. (2021). A 20-year retrospective review of global aquaculture. </w:t>
      </w:r>
      <w:r w:rsidRPr="006D2956">
        <w:rPr>
          <w:rFonts w:ascii="Times New Roman" w:eastAsia="Times New Roman" w:hAnsi="Times New Roman" w:cs="Times New Roman"/>
          <w:i/>
          <w:iCs/>
          <w:sz w:val="24"/>
          <w:szCs w:val="24"/>
          <w:lang w:eastAsia="en-GB"/>
        </w:rPr>
        <w:t>Nature, 591</w:t>
      </w:r>
      <w:r w:rsidRPr="006D2956">
        <w:rPr>
          <w:rFonts w:ascii="Times New Roman" w:eastAsia="Times New Roman" w:hAnsi="Times New Roman" w:cs="Times New Roman"/>
          <w:sz w:val="24"/>
          <w:szCs w:val="24"/>
          <w:lang w:eastAsia="en-GB"/>
        </w:rPr>
        <w:t xml:space="preserve">(7851), 551–563. </w:t>
      </w:r>
      <w:r w:rsidRPr="006D2956">
        <w:rPr>
          <w:rFonts w:ascii="Times New Roman" w:eastAsia="Times New Roman" w:hAnsi="Times New Roman" w:cs="Times New Roman"/>
          <w:color w:val="0000FF"/>
          <w:sz w:val="24"/>
          <w:szCs w:val="24"/>
          <w:u w:val="single"/>
          <w:lang w:eastAsia="en-GB"/>
        </w:rPr>
        <w:t>https://doi.org/10.1038/s41586-021-03308-6</w:t>
      </w:r>
    </w:p>
    <w:p w14:paraId="5DCC6980" w14:textId="1F27FFBB"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Newton, R. W., &amp; Little, D. C. (2018). Mapping the impacts of farmed Scottish salmon from a life cycle perspective. </w:t>
      </w:r>
      <w:r w:rsidRPr="006D2956">
        <w:rPr>
          <w:rFonts w:ascii="Times New Roman" w:eastAsia="Times New Roman" w:hAnsi="Times New Roman" w:cs="Times New Roman"/>
          <w:i/>
          <w:iCs/>
          <w:sz w:val="24"/>
          <w:szCs w:val="24"/>
          <w:lang w:eastAsia="en-GB"/>
        </w:rPr>
        <w:t>International Journal of Life Cycle Assessment, 23</w:t>
      </w:r>
      <w:r w:rsidRPr="006D2956">
        <w:rPr>
          <w:rFonts w:ascii="Times New Roman" w:eastAsia="Times New Roman" w:hAnsi="Times New Roman" w:cs="Times New Roman"/>
          <w:sz w:val="24"/>
          <w:szCs w:val="24"/>
          <w:lang w:eastAsia="en-GB"/>
        </w:rPr>
        <w:t xml:space="preserve">(5), 1018–1029. </w:t>
      </w:r>
      <w:r w:rsidRPr="006D2956">
        <w:rPr>
          <w:rFonts w:ascii="Times New Roman" w:eastAsia="Times New Roman" w:hAnsi="Times New Roman" w:cs="Times New Roman"/>
          <w:color w:val="0000FF"/>
          <w:sz w:val="24"/>
          <w:szCs w:val="24"/>
          <w:u w:val="single"/>
          <w:lang w:eastAsia="en-GB"/>
        </w:rPr>
        <w:t>https://doi.org/10.1007/s11367-017-1386-8</w:t>
      </w:r>
    </w:p>
    <w:p w14:paraId="05F830CA" w14:textId="3F2E28EA"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Olsen, R. L., &amp; Hasan, M. R. (2012). A limited supply of fishmeal: Impact on future increases in global aquaculture production. </w:t>
      </w:r>
      <w:r w:rsidRPr="006D2956">
        <w:rPr>
          <w:rFonts w:ascii="Times New Roman" w:eastAsia="Times New Roman" w:hAnsi="Times New Roman" w:cs="Times New Roman"/>
          <w:i/>
          <w:iCs/>
          <w:sz w:val="24"/>
          <w:szCs w:val="24"/>
          <w:lang w:eastAsia="en-GB"/>
        </w:rPr>
        <w:t>Trends in Food Science and Technology, 27</w:t>
      </w:r>
      <w:r w:rsidRPr="006D2956">
        <w:rPr>
          <w:rFonts w:ascii="Times New Roman" w:eastAsia="Times New Roman" w:hAnsi="Times New Roman" w:cs="Times New Roman"/>
          <w:sz w:val="24"/>
          <w:szCs w:val="24"/>
          <w:lang w:eastAsia="en-GB"/>
        </w:rPr>
        <w:t xml:space="preserve">(2), 120–128. </w:t>
      </w:r>
      <w:r w:rsidRPr="006D2956">
        <w:rPr>
          <w:rFonts w:ascii="Times New Roman" w:eastAsia="Times New Roman" w:hAnsi="Times New Roman" w:cs="Times New Roman"/>
          <w:color w:val="0000FF"/>
          <w:sz w:val="24"/>
          <w:szCs w:val="24"/>
          <w:u w:val="single"/>
          <w:lang w:eastAsia="en-GB"/>
        </w:rPr>
        <w:t>https://doi.org/10.1016/j.tifs.2012.06.003</w:t>
      </w:r>
    </w:p>
    <w:p w14:paraId="1D746E55" w14:textId="5CD3F015"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Papatryphon</w:t>
      </w:r>
      <w:proofErr w:type="spellEnd"/>
      <w:r w:rsidRPr="006D2956">
        <w:rPr>
          <w:rFonts w:ascii="Times New Roman" w:eastAsia="Times New Roman" w:hAnsi="Times New Roman" w:cs="Times New Roman"/>
          <w:sz w:val="24"/>
          <w:szCs w:val="24"/>
          <w:lang w:eastAsia="en-GB"/>
        </w:rPr>
        <w:t xml:space="preserve">, E., Petit, J., Kaushik, S. J., &amp; van der Werf, H. M. G. (2004). Environmental impact assessment of salmonid feeds using life cycle assessment (LCA). </w:t>
      </w:r>
      <w:r w:rsidRPr="006D2956">
        <w:rPr>
          <w:rFonts w:ascii="Times New Roman" w:eastAsia="Times New Roman" w:hAnsi="Times New Roman" w:cs="Times New Roman"/>
          <w:i/>
          <w:iCs/>
          <w:sz w:val="24"/>
          <w:szCs w:val="24"/>
          <w:lang w:eastAsia="en-GB"/>
        </w:rPr>
        <w:t>AMBIO, 33</w:t>
      </w:r>
      <w:r w:rsidRPr="006D2956">
        <w:rPr>
          <w:rFonts w:ascii="Times New Roman" w:eastAsia="Times New Roman" w:hAnsi="Times New Roman" w:cs="Times New Roman"/>
          <w:sz w:val="24"/>
          <w:szCs w:val="24"/>
          <w:lang w:eastAsia="en-GB"/>
        </w:rPr>
        <w:t xml:space="preserve">(6), 316–323. </w:t>
      </w:r>
      <w:r w:rsidRPr="006D2956">
        <w:rPr>
          <w:rFonts w:ascii="Times New Roman" w:eastAsia="Times New Roman" w:hAnsi="Times New Roman" w:cs="Times New Roman"/>
          <w:color w:val="0000FF"/>
          <w:sz w:val="24"/>
          <w:szCs w:val="24"/>
          <w:u w:val="single"/>
          <w:lang w:eastAsia="en-GB"/>
        </w:rPr>
        <w:t>https://doi.org/10.1579/0044-7447-33.6.316</w:t>
      </w:r>
    </w:p>
    <w:p w14:paraId="16B96828" w14:textId="5E7CCD64"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Pelletier, N., &amp;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P. (2010). Forecasting potential global environmental costs of livestock production 2000–2050. </w:t>
      </w:r>
      <w:r w:rsidRPr="006D2956">
        <w:rPr>
          <w:rFonts w:ascii="Times New Roman" w:eastAsia="Times New Roman" w:hAnsi="Times New Roman" w:cs="Times New Roman"/>
          <w:i/>
          <w:iCs/>
          <w:sz w:val="24"/>
          <w:szCs w:val="24"/>
          <w:lang w:eastAsia="en-GB"/>
        </w:rPr>
        <w:t>Proceedings of the National Academy of Sciences, 107</w:t>
      </w:r>
      <w:r w:rsidRPr="006D2956">
        <w:rPr>
          <w:rFonts w:ascii="Times New Roman" w:eastAsia="Times New Roman" w:hAnsi="Times New Roman" w:cs="Times New Roman"/>
          <w:sz w:val="24"/>
          <w:szCs w:val="24"/>
          <w:lang w:eastAsia="en-GB"/>
        </w:rPr>
        <w:t xml:space="preserve">(43), 18371–18374. </w:t>
      </w:r>
      <w:r w:rsidRPr="006D2956">
        <w:rPr>
          <w:rFonts w:ascii="Times New Roman" w:eastAsia="Times New Roman" w:hAnsi="Times New Roman" w:cs="Times New Roman"/>
          <w:color w:val="0000FF"/>
          <w:sz w:val="24"/>
          <w:szCs w:val="24"/>
          <w:u w:val="single"/>
          <w:lang w:eastAsia="en-GB"/>
        </w:rPr>
        <w:t>https://doi.org/10.1073/pnas.1004659107</w:t>
      </w:r>
    </w:p>
    <w:p w14:paraId="61DD7FA0" w14:textId="33595B2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Pelletier, N.,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P., Sonesson, U., Scholz, A., Ziegler, F., </w:t>
      </w:r>
      <w:proofErr w:type="spellStart"/>
      <w:r w:rsidRPr="006D2956">
        <w:rPr>
          <w:rFonts w:ascii="Times New Roman" w:eastAsia="Times New Roman" w:hAnsi="Times New Roman" w:cs="Times New Roman"/>
          <w:sz w:val="24"/>
          <w:szCs w:val="24"/>
          <w:lang w:eastAsia="en-GB"/>
        </w:rPr>
        <w:t>Flysjö</w:t>
      </w:r>
      <w:proofErr w:type="spellEnd"/>
      <w:r w:rsidRPr="006D2956">
        <w:rPr>
          <w:rFonts w:ascii="Times New Roman" w:eastAsia="Times New Roman" w:hAnsi="Times New Roman" w:cs="Times New Roman"/>
          <w:sz w:val="24"/>
          <w:szCs w:val="24"/>
          <w:lang w:eastAsia="en-GB"/>
        </w:rPr>
        <w:t xml:space="preserve">, A., Kruse, S., Cancino, B., &amp; Silverman, H. (2009). Not all salmon are created equal: Life cycle assessment (LCA) of global salmon farming systems. </w:t>
      </w:r>
      <w:r w:rsidRPr="006D2956">
        <w:rPr>
          <w:rFonts w:ascii="Times New Roman" w:eastAsia="Times New Roman" w:hAnsi="Times New Roman" w:cs="Times New Roman"/>
          <w:i/>
          <w:iCs/>
          <w:sz w:val="24"/>
          <w:szCs w:val="24"/>
          <w:lang w:eastAsia="en-GB"/>
        </w:rPr>
        <w:t>Environmental Science &amp; Technology, 43</w:t>
      </w:r>
      <w:r w:rsidRPr="006D2956">
        <w:rPr>
          <w:rFonts w:ascii="Times New Roman" w:eastAsia="Times New Roman" w:hAnsi="Times New Roman" w:cs="Times New Roman"/>
          <w:sz w:val="24"/>
          <w:szCs w:val="24"/>
          <w:lang w:eastAsia="en-GB"/>
        </w:rPr>
        <w:t xml:space="preserve">(23), 8730–8736. </w:t>
      </w:r>
      <w:r w:rsidRPr="006D2956">
        <w:rPr>
          <w:rFonts w:ascii="Times New Roman" w:eastAsia="Times New Roman" w:hAnsi="Times New Roman" w:cs="Times New Roman"/>
          <w:color w:val="0000FF"/>
          <w:sz w:val="24"/>
          <w:szCs w:val="24"/>
          <w:u w:val="single"/>
          <w:lang w:eastAsia="en-GB"/>
        </w:rPr>
        <w:t>https://doi.org/10.1021/es9010114</w:t>
      </w:r>
    </w:p>
    <w:p w14:paraId="097606B4" w14:textId="23DF4354"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Poore, J., &amp; Nemecek, T. (2018). Reducing food's environmental impacts through producers and consumers. </w:t>
      </w:r>
      <w:r w:rsidRPr="006D2956">
        <w:rPr>
          <w:rFonts w:ascii="Times New Roman" w:eastAsia="Times New Roman" w:hAnsi="Times New Roman" w:cs="Times New Roman"/>
          <w:i/>
          <w:iCs/>
          <w:sz w:val="24"/>
          <w:szCs w:val="24"/>
          <w:lang w:eastAsia="en-GB"/>
        </w:rPr>
        <w:t>Science, 360</w:t>
      </w:r>
      <w:r w:rsidRPr="006D2956">
        <w:rPr>
          <w:rFonts w:ascii="Times New Roman" w:eastAsia="Times New Roman" w:hAnsi="Times New Roman" w:cs="Times New Roman"/>
          <w:sz w:val="24"/>
          <w:szCs w:val="24"/>
          <w:lang w:eastAsia="en-GB"/>
        </w:rPr>
        <w:t xml:space="preserve">(6392), 987–992. </w:t>
      </w:r>
      <w:r w:rsidRPr="006D2956">
        <w:rPr>
          <w:rFonts w:ascii="Times New Roman" w:eastAsia="Times New Roman" w:hAnsi="Times New Roman" w:cs="Times New Roman"/>
          <w:color w:val="0000FF"/>
          <w:sz w:val="24"/>
          <w:szCs w:val="24"/>
          <w:u w:val="single"/>
          <w:lang w:eastAsia="en-GB"/>
        </w:rPr>
        <w:t>https://doi.org/10.1126/science.aaq0216</w:t>
      </w:r>
    </w:p>
    <w:p w14:paraId="0FEBD83F" w14:textId="08E0AD81"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Primavera, J. H. (2006). Overcoming the impacts of aquaculture on the coastal zone. </w:t>
      </w:r>
      <w:r w:rsidRPr="006D2956">
        <w:rPr>
          <w:rFonts w:ascii="Times New Roman" w:eastAsia="Times New Roman" w:hAnsi="Times New Roman" w:cs="Times New Roman"/>
          <w:i/>
          <w:iCs/>
          <w:sz w:val="24"/>
          <w:szCs w:val="24"/>
          <w:lang w:eastAsia="en-GB"/>
        </w:rPr>
        <w:t>Ocean &amp; Coastal Management, 49</w:t>
      </w:r>
      <w:r w:rsidRPr="006D2956">
        <w:rPr>
          <w:rFonts w:ascii="Times New Roman" w:eastAsia="Times New Roman" w:hAnsi="Times New Roman" w:cs="Times New Roman"/>
          <w:sz w:val="24"/>
          <w:szCs w:val="24"/>
          <w:lang w:eastAsia="en-GB"/>
        </w:rPr>
        <w:t xml:space="preserve">(9–10), 531–545. </w:t>
      </w:r>
      <w:r w:rsidRPr="006D2956">
        <w:rPr>
          <w:rFonts w:ascii="Times New Roman" w:eastAsia="Times New Roman" w:hAnsi="Times New Roman" w:cs="Times New Roman"/>
          <w:color w:val="0000FF"/>
          <w:sz w:val="24"/>
          <w:szCs w:val="24"/>
          <w:u w:val="single"/>
          <w:lang w:eastAsia="en-GB"/>
        </w:rPr>
        <w:t>https://doi.org/10.1016/j.ocecoaman.2006.06.018</w:t>
      </w:r>
    </w:p>
    <w:p w14:paraId="65D3ACD8" w14:textId="32551709"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Snyder, H. (2019). Literature review as a research methodology: An overview and guidelines. </w:t>
      </w:r>
      <w:r w:rsidRPr="006D2956">
        <w:rPr>
          <w:rFonts w:ascii="Times New Roman" w:eastAsia="Times New Roman" w:hAnsi="Times New Roman" w:cs="Times New Roman"/>
          <w:i/>
          <w:iCs/>
          <w:sz w:val="24"/>
          <w:szCs w:val="24"/>
          <w:lang w:eastAsia="en-GB"/>
        </w:rPr>
        <w:t>Journal of Business Research, 104</w:t>
      </w:r>
      <w:r w:rsidRPr="006D2956">
        <w:rPr>
          <w:rFonts w:ascii="Times New Roman" w:eastAsia="Times New Roman" w:hAnsi="Times New Roman" w:cs="Times New Roman"/>
          <w:sz w:val="24"/>
          <w:szCs w:val="24"/>
          <w:lang w:eastAsia="en-GB"/>
        </w:rPr>
        <w:t xml:space="preserve">, 333–339. </w:t>
      </w:r>
      <w:r w:rsidRPr="006D2956">
        <w:rPr>
          <w:rFonts w:ascii="Times New Roman" w:eastAsia="Times New Roman" w:hAnsi="Times New Roman" w:cs="Times New Roman"/>
          <w:color w:val="0000FF"/>
          <w:sz w:val="24"/>
          <w:szCs w:val="24"/>
          <w:u w:val="single"/>
          <w:lang w:eastAsia="en-GB"/>
        </w:rPr>
        <w:t>https://doi.org/10.1016/j.jbusres.2019.07.039</w:t>
      </w:r>
    </w:p>
    <w:p w14:paraId="049AD102" w14:textId="6873C1C3"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Springmann, M., </w:t>
      </w:r>
      <w:proofErr w:type="spellStart"/>
      <w:r w:rsidRPr="006D2956">
        <w:rPr>
          <w:rFonts w:ascii="Times New Roman" w:eastAsia="Times New Roman" w:hAnsi="Times New Roman" w:cs="Times New Roman"/>
          <w:sz w:val="24"/>
          <w:szCs w:val="24"/>
          <w:lang w:eastAsia="en-GB"/>
        </w:rPr>
        <w:t>Spajic</w:t>
      </w:r>
      <w:proofErr w:type="spellEnd"/>
      <w:r w:rsidRPr="006D2956">
        <w:rPr>
          <w:rFonts w:ascii="Times New Roman" w:eastAsia="Times New Roman" w:hAnsi="Times New Roman" w:cs="Times New Roman"/>
          <w:sz w:val="24"/>
          <w:szCs w:val="24"/>
          <w:lang w:eastAsia="en-GB"/>
        </w:rPr>
        <w:t xml:space="preserve">, L., Clark, M. A., Poore, J., Herforth, A., Webb, P., Rayner, M., &amp; Scarborough, P. (2020). The healthiness and sustainability of national and global food based dietary guidelines: Modelling study. </w:t>
      </w:r>
      <w:r w:rsidRPr="006D2956">
        <w:rPr>
          <w:rFonts w:ascii="Times New Roman" w:eastAsia="Times New Roman" w:hAnsi="Times New Roman" w:cs="Times New Roman"/>
          <w:i/>
          <w:iCs/>
          <w:sz w:val="24"/>
          <w:szCs w:val="24"/>
          <w:lang w:eastAsia="en-GB"/>
        </w:rPr>
        <w:t>BMJ, 370</w:t>
      </w:r>
      <w:r w:rsidRPr="006D2956">
        <w:rPr>
          <w:rFonts w:ascii="Times New Roman" w:eastAsia="Times New Roman" w:hAnsi="Times New Roman" w:cs="Times New Roman"/>
          <w:sz w:val="24"/>
          <w:szCs w:val="24"/>
          <w:lang w:eastAsia="en-GB"/>
        </w:rPr>
        <w:t xml:space="preserve">, m2322. </w:t>
      </w:r>
      <w:r w:rsidRPr="006D2956">
        <w:rPr>
          <w:rFonts w:ascii="Times New Roman" w:eastAsia="Times New Roman" w:hAnsi="Times New Roman" w:cs="Times New Roman"/>
          <w:color w:val="0000FF"/>
          <w:sz w:val="24"/>
          <w:szCs w:val="24"/>
          <w:u w:val="single"/>
          <w:lang w:eastAsia="en-GB"/>
        </w:rPr>
        <w:t>https://doi.org/10.1136/bmj.m2322</w:t>
      </w:r>
    </w:p>
    <w:p w14:paraId="4250FAD7" w14:textId="44B8B7BB"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Tacon, A. G. J., &amp; Metian, M. (2008). Global overview on the use of fish meal and fish oil in industrially compounded aquafeeds: Trends and future prospects. </w:t>
      </w:r>
      <w:r w:rsidRPr="006D2956">
        <w:rPr>
          <w:rFonts w:ascii="Times New Roman" w:eastAsia="Times New Roman" w:hAnsi="Times New Roman" w:cs="Times New Roman"/>
          <w:i/>
          <w:iCs/>
          <w:sz w:val="24"/>
          <w:szCs w:val="24"/>
          <w:lang w:eastAsia="en-GB"/>
        </w:rPr>
        <w:t>Aquaculture, 285</w:t>
      </w:r>
      <w:r w:rsidRPr="006D2956">
        <w:rPr>
          <w:rFonts w:ascii="Times New Roman" w:eastAsia="Times New Roman" w:hAnsi="Times New Roman" w:cs="Times New Roman"/>
          <w:sz w:val="24"/>
          <w:szCs w:val="24"/>
          <w:lang w:eastAsia="en-GB"/>
        </w:rPr>
        <w:t xml:space="preserve">(1–4), 146–158. </w:t>
      </w:r>
      <w:r w:rsidRPr="006D2956">
        <w:rPr>
          <w:rFonts w:ascii="Times New Roman" w:eastAsia="Times New Roman" w:hAnsi="Times New Roman" w:cs="Times New Roman"/>
          <w:color w:val="0000FF"/>
          <w:sz w:val="24"/>
          <w:szCs w:val="24"/>
          <w:u w:val="single"/>
          <w:lang w:eastAsia="en-GB"/>
        </w:rPr>
        <w:t>https://doi.org/10.1016/j.aquaculture.2008.08.015</w:t>
      </w:r>
    </w:p>
    <w:p w14:paraId="37B3DE07" w14:textId="4E7AEC85"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Troell, M., Joyce, A., Chopin, T., </w:t>
      </w:r>
      <w:proofErr w:type="spellStart"/>
      <w:r w:rsidRPr="006D2956">
        <w:rPr>
          <w:rFonts w:ascii="Times New Roman" w:eastAsia="Times New Roman" w:hAnsi="Times New Roman" w:cs="Times New Roman"/>
          <w:sz w:val="24"/>
          <w:szCs w:val="24"/>
          <w:lang w:eastAsia="en-GB"/>
        </w:rPr>
        <w:t>Neori</w:t>
      </w:r>
      <w:proofErr w:type="spellEnd"/>
      <w:r w:rsidRPr="006D2956">
        <w:rPr>
          <w:rFonts w:ascii="Times New Roman" w:eastAsia="Times New Roman" w:hAnsi="Times New Roman" w:cs="Times New Roman"/>
          <w:sz w:val="24"/>
          <w:szCs w:val="24"/>
          <w:lang w:eastAsia="en-GB"/>
        </w:rPr>
        <w:t xml:space="preserve">, A., Buschmann, A. H., &amp; Fang, J. G. (2009). Ecological engineering in aquaculture — Potential for integrated multi-trophic aquaculture (IMTA) in marine offshore systems. </w:t>
      </w:r>
      <w:r w:rsidRPr="006D2956">
        <w:rPr>
          <w:rFonts w:ascii="Times New Roman" w:eastAsia="Times New Roman" w:hAnsi="Times New Roman" w:cs="Times New Roman"/>
          <w:i/>
          <w:iCs/>
          <w:sz w:val="24"/>
          <w:szCs w:val="24"/>
          <w:lang w:eastAsia="en-GB"/>
        </w:rPr>
        <w:t>Aquaculture, 297</w:t>
      </w:r>
      <w:r w:rsidRPr="006D2956">
        <w:rPr>
          <w:rFonts w:ascii="Times New Roman" w:eastAsia="Times New Roman" w:hAnsi="Times New Roman" w:cs="Times New Roman"/>
          <w:sz w:val="24"/>
          <w:szCs w:val="24"/>
          <w:lang w:eastAsia="en-GB"/>
        </w:rPr>
        <w:t xml:space="preserve">(1–4), 1–9. </w:t>
      </w:r>
      <w:r w:rsidRPr="006D2956">
        <w:rPr>
          <w:rFonts w:ascii="Times New Roman" w:eastAsia="Times New Roman" w:hAnsi="Times New Roman" w:cs="Times New Roman"/>
          <w:color w:val="0000FF"/>
          <w:sz w:val="24"/>
          <w:szCs w:val="24"/>
          <w:u w:val="single"/>
          <w:lang w:eastAsia="en-GB"/>
        </w:rPr>
        <w:t>https://doi.org/10.1016/j.aquaculture.2009.09.010</w:t>
      </w:r>
    </w:p>
    <w:p w14:paraId="0A5976CE" w14:textId="421F86D6"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Troell, M., Naylor, R. L., Metian, M., Beveridge, M., </w:t>
      </w:r>
      <w:proofErr w:type="spellStart"/>
      <w:r w:rsidRPr="006D2956">
        <w:rPr>
          <w:rFonts w:ascii="Times New Roman" w:eastAsia="Times New Roman" w:hAnsi="Times New Roman" w:cs="Times New Roman"/>
          <w:sz w:val="24"/>
          <w:szCs w:val="24"/>
          <w:lang w:eastAsia="en-GB"/>
        </w:rPr>
        <w:t>Tyedmers</w:t>
      </w:r>
      <w:proofErr w:type="spellEnd"/>
      <w:r w:rsidRPr="006D2956">
        <w:rPr>
          <w:rFonts w:ascii="Times New Roman" w:eastAsia="Times New Roman" w:hAnsi="Times New Roman" w:cs="Times New Roman"/>
          <w:sz w:val="24"/>
          <w:szCs w:val="24"/>
          <w:lang w:eastAsia="en-GB"/>
        </w:rPr>
        <w:t xml:space="preserve">, P., Folke, C., Arrow, K. J., Barrett, S., Crépin, A. S., Ehrlich, P. R., Gren, Å., Kautsky, N., Levin, S. A., Nyborg, K., </w:t>
      </w:r>
      <w:proofErr w:type="spellStart"/>
      <w:r w:rsidRPr="006D2956">
        <w:rPr>
          <w:rFonts w:ascii="Times New Roman" w:eastAsia="Times New Roman" w:hAnsi="Times New Roman" w:cs="Times New Roman"/>
          <w:sz w:val="24"/>
          <w:szCs w:val="24"/>
          <w:lang w:eastAsia="en-GB"/>
        </w:rPr>
        <w:t>Österblom</w:t>
      </w:r>
      <w:proofErr w:type="spellEnd"/>
      <w:r w:rsidRPr="006D2956">
        <w:rPr>
          <w:rFonts w:ascii="Times New Roman" w:eastAsia="Times New Roman" w:hAnsi="Times New Roman" w:cs="Times New Roman"/>
          <w:sz w:val="24"/>
          <w:szCs w:val="24"/>
          <w:lang w:eastAsia="en-GB"/>
        </w:rPr>
        <w:t xml:space="preserve">, H., Polasky, S., Scheffer, M., Walker, B. H., </w:t>
      </w:r>
      <w:proofErr w:type="spellStart"/>
      <w:r w:rsidRPr="006D2956">
        <w:rPr>
          <w:rFonts w:ascii="Times New Roman" w:eastAsia="Times New Roman" w:hAnsi="Times New Roman" w:cs="Times New Roman"/>
          <w:sz w:val="24"/>
          <w:szCs w:val="24"/>
          <w:lang w:eastAsia="en-GB"/>
        </w:rPr>
        <w:t>Xepapadeas</w:t>
      </w:r>
      <w:proofErr w:type="spellEnd"/>
      <w:r w:rsidRPr="006D2956">
        <w:rPr>
          <w:rFonts w:ascii="Times New Roman" w:eastAsia="Times New Roman" w:hAnsi="Times New Roman" w:cs="Times New Roman"/>
          <w:sz w:val="24"/>
          <w:szCs w:val="24"/>
          <w:lang w:eastAsia="en-GB"/>
        </w:rPr>
        <w:t xml:space="preserve">, T., &amp; de Zeeuw, A. (2014). Does aquaculture add resilience to the global food system? </w:t>
      </w:r>
      <w:r w:rsidRPr="006D2956">
        <w:rPr>
          <w:rFonts w:ascii="Times New Roman" w:eastAsia="Times New Roman" w:hAnsi="Times New Roman" w:cs="Times New Roman"/>
          <w:i/>
          <w:iCs/>
          <w:sz w:val="24"/>
          <w:szCs w:val="24"/>
          <w:lang w:eastAsia="en-GB"/>
        </w:rPr>
        <w:t>Proceedings of the National Academy of Sciences, 111</w:t>
      </w:r>
      <w:r w:rsidRPr="006D2956">
        <w:rPr>
          <w:rFonts w:ascii="Times New Roman" w:eastAsia="Times New Roman" w:hAnsi="Times New Roman" w:cs="Times New Roman"/>
          <w:sz w:val="24"/>
          <w:szCs w:val="24"/>
          <w:lang w:eastAsia="en-GB"/>
        </w:rPr>
        <w:t xml:space="preserve">(37), 13257–13263. </w:t>
      </w:r>
      <w:r w:rsidRPr="006D2956">
        <w:rPr>
          <w:rFonts w:ascii="Times New Roman" w:eastAsia="Times New Roman" w:hAnsi="Times New Roman" w:cs="Times New Roman"/>
          <w:color w:val="0000FF"/>
          <w:sz w:val="24"/>
          <w:szCs w:val="24"/>
          <w:u w:val="single"/>
          <w:lang w:eastAsia="en-GB"/>
        </w:rPr>
        <w:t>https://doi.org/10.1073/pnas.1404067111</w:t>
      </w:r>
    </w:p>
    <w:p w14:paraId="252F8285" w14:textId="21DADF97"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D2956">
        <w:rPr>
          <w:rFonts w:ascii="Times New Roman" w:eastAsia="Times New Roman" w:hAnsi="Times New Roman" w:cs="Times New Roman"/>
          <w:sz w:val="24"/>
          <w:szCs w:val="24"/>
          <w:lang w:eastAsia="en-GB"/>
        </w:rPr>
        <w:t>Wilfart</w:t>
      </w:r>
      <w:proofErr w:type="spellEnd"/>
      <w:r w:rsidRPr="006D2956">
        <w:rPr>
          <w:rFonts w:ascii="Times New Roman" w:eastAsia="Times New Roman" w:hAnsi="Times New Roman" w:cs="Times New Roman"/>
          <w:sz w:val="24"/>
          <w:szCs w:val="24"/>
          <w:lang w:eastAsia="en-GB"/>
        </w:rPr>
        <w:t xml:space="preserve">, A., Prudhomme, J., </w:t>
      </w:r>
      <w:proofErr w:type="spellStart"/>
      <w:r w:rsidRPr="006D2956">
        <w:rPr>
          <w:rFonts w:ascii="Times New Roman" w:eastAsia="Times New Roman" w:hAnsi="Times New Roman" w:cs="Times New Roman"/>
          <w:sz w:val="24"/>
          <w:szCs w:val="24"/>
          <w:lang w:eastAsia="en-GB"/>
        </w:rPr>
        <w:t>Blancheton</w:t>
      </w:r>
      <w:proofErr w:type="spellEnd"/>
      <w:r w:rsidRPr="006D2956">
        <w:rPr>
          <w:rFonts w:ascii="Times New Roman" w:eastAsia="Times New Roman" w:hAnsi="Times New Roman" w:cs="Times New Roman"/>
          <w:sz w:val="24"/>
          <w:szCs w:val="24"/>
          <w:lang w:eastAsia="en-GB"/>
        </w:rPr>
        <w:t xml:space="preserve">, J. P., &amp; Aubin, J. (2013). LCA and </w:t>
      </w:r>
      <w:proofErr w:type="spellStart"/>
      <w:r w:rsidRPr="006D2956">
        <w:rPr>
          <w:rFonts w:ascii="Times New Roman" w:eastAsia="Times New Roman" w:hAnsi="Times New Roman" w:cs="Times New Roman"/>
          <w:sz w:val="24"/>
          <w:szCs w:val="24"/>
          <w:lang w:eastAsia="en-GB"/>
        </w:rPr>
        <w:t>emergy</w:t>
      </w:r>
      <w:proofErr w:type="spellEnd"/>
      <w:r w:rsidRPr="006D2956">
        <w:rPr>
          <w:rFonts w:ascii="Times New Roman" w:eastAsia="Times New Roman" w:hAnsi="Times New Roman" w:cs="Times New Roman"/>
          <w:sz w:val="24"/>
          <w:szCs w:val="24"/>
          <w:lang w:eastAsia="en-GB"/>
        </w:rPr>
        <w:t xml:space="preserve"> accounting of aquaculture systems: Towards ecological intensification. </w:t>
      </w:r>
      <w:r w:rsidRPr="006D2956">
        <w:rPr>
          <w:rFonts w:ascii="Times New Roman" w:eastAsia="Times New Roman" w:hAnsi="Times New Roman" w:cs="Times New Roman"/>
          <w:i/>
          <w:iCs/>
          <w:sz w:val="24"/>
          <w:szCs w:val="24"/>
          <w:lang w:eastAsia="en-GB"/>
        </w:rPr>
        <w:t>Journal of Environmental Management, 121</w:t>
      </w:r>
      <w:r w:rsidRPr="006D2956">
        <w:rPr>
          <w:rFonts w:ascii="Times New Roman" w:eastAsia="Times New Roman" w:hAnsi="Times New Roman" w:cs="Times New Roman"/>
          <w:sz w:val="24"/>
          <w:szCs w:val="24"/>
          <w:lang w:eastAsia="en-GB"/>
        </w:rPr>
        <w:t xml:space="preserve">, 96–109. </w:t>
      </w:r>
      <w:r w:rsidRPr="006D2956">
        <w:rPr>
          <w:rFonts w:ascii="Times New Roman" w:eastAsia="Times New Roman" w:hAnsi="Times New Roman" w:cs="Times New Roman"/>
          <w:color w:val="0000FF"/>
          <w:sz w:val="24"/>
          <w:szCs w:val="24"/>
          <w:u w:val="single"/>
          <w:lang w:eastAsia="en-GB"/>
        </w:rPr>
        <w:t>https://doi.org/10.1016/j.jenvman.2013.01.031</w:t>
      </w:r>
    </w:p>
    <w:p w14:paraId="2AAEFF4F" w14:textId="682A214F" w:rsidR="006D2956" w:rsidRPr="006D2956" w:rsidRDefault="006D2956" w:rsidP="006D2956">
      <w:pPr>
        <w:spacing w:before="100" w:beforeAutospacing="1" w:after="100" w:afterAutospacing="1" w:line="240" w:lineRule="auto"/>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Ziegler, F., Winther, U., </w:t>
      </w:r>
      <w:proofErr w:type="spellStart"/>
      <w:r w:rsidRPr="006D2956">
        <w:rPr>
          <w:rFonts w:ascii="Times New Roman" w:eastAsia="Times New Roman" w:hAnsi="Times New Roman" w:cs="Times New Roman"/>
          <w:sz w:val="24"/>
          <w:szCs w:val="24"/>
          <w:lang w:eastAsia="en-GB"/>
        </w:rPr>
        <w:t>Skontorp</w:t>
      </w:r>
      <w:proofErr w:type="spellEnd"/>
      <w:r w:rsidRPr="006D2956">
        <w:rPr>
          <w:rFonts w:ascii="Times New Roman" w:eastAsia="Times New Roman" w:hAnsi="Times New Roman" w:cs="Times New Roman"/>
          <w:sz w:val="24"/>
          <w:szCs w:val="24"/>
          <w:lang w:eastAsia="en-GB"/>
        </w:rPr>
        <w:t xml:space="preserve"> </w:t>
      </w:r>
      <w:proofErr w:type="spellStart"/>
      <w:r w:rsidRPr="006D2956">
        <w:rPr>
          <w:rFonts w:ascii="Times New Roman" w:eastAsia="Times New Roman" w:hAnsi="Times New Roman" w:cs="Times New Roman"/>
          <w:sz w:val="24"/>
          <w:szCs w:val="24"/>
          <w:lang w:eastAsia="en-GB"/>
        </w:rPr>
        <w:t>Hognes</w:t>
      </w:r>
      <w:proofErr w:type="spellEnd"/>
      <w:r w:rsidRPr="006D2956">
        <w:rPr>
          <w:rFonts w:ascii="Times New Roman" w:eastAsia="Times New Roman" w:hAnsi="Times New Roman" w:cs="Times New Roman"/>
          <w:sz w:val="24"/>
          <w:szCs w:val="24"/>
          <w:lang w:eastAsia="en-GB"/>
        </w:rPr>
        <w:t xml:space="preserve">, E., Emanuelsson, A., Sund, V., &amp; Ellingsen, H. (2013). The carbon footprint of Norwegian seafood products on the global seafood market. </w:t>
      </w:r>
      <w:r w:rsidRPr="006D2956">
        <w:rPr>
          <w:rFonts w:ascii="Times New Roman" w:eastAsia="Times New Roman" w:hAnsi="Times New Roman" w:cs="Times New Roman"/>
          <w:i/>
          <w:iCs/>
          <w:sz w:val="24"/>
          <w:szCs w:val="24"/>
          <w:lang w:eastAsia="en-GB"/>
        </w:rPr>
        <w:t>Journal of Industrial Ecology, 17</w:t>
      </w:r>
      <w:r w:rsidRPr="006D2956">
        <w:rPr>
          <w:rFonts w:ascii="Times New Roman" w:eastAsia="Times New Roman" w:hAnsi="Times New Roman" w:cs="Times New Roman"/>
          <w:sz w:val="24"/>
          <w:szCs w:val="24"/>
          <w:lang w:eastAsia="en-GB"/>
        </w:rPr>
        <w:t xml:space="preserve">(1), 103–116. </w:t>
      </w:r>
      <w:r w:rsidRPr="006D2956">
        <w:rPr>
          <w:rFonts w:ascii="Times New Roman" w:eastAsia="Times New Roman" w:hAnsi="Times New Roman" w:cs="Times New Roman"/>
          <w:color w:val="0000FF"/>
          <w:sz w:val="24"/>
          <w:szCs w:val="24"/>
          <w:u w:val="single"/>
          <w:lang w:eastAsia="en-GB"/>
        </w:rPr>
        <w:t>https://doi.org/10.1111/j.1530-9290.2012.00485.x</w:t>
      </w:r>
    </w:p>
    <w:p w14:paraId="7D4FBB42" w14:textId="77777777" w:rsidR="004841B3" w:rsidRDefault="004841B3"/>
    <w:sectPr w:rsidR="004841B3" w:rsidSect="004841B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B31B9" w14:textId="77777777" w:rsidR="005D7C3F" w:rsidRDefault="005D7C3F" w:rsidP="007D2412">
      <w:pPr>
        <w:spacing w:after="0" w:line="240" w:lineRule="auto"/>
      </w:pPr>
      <w:r>
        <w:separator/>
      </w:r>
    </w:p>
  </w:endnote>
  <w:endnote w:type="continuationSeparator" w:id="0">
    <w:p w14:paraId="21E8BC69" w14:textId="77777777" w:rsidR="005D7C3F" w:rsidRDefault="005D7C3F" w:rsidP="007D2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CFFE6" w14:textId="77777777" w:rsidR="007D2412" w:rsidRDefault="007D24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CF32" w14:textId="77777777" w:rsidR="007D2412" w:rsidRDefault="007D24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922D" w14:textId="77777777" w:rsidR="007D2412" w:rsidRDefault="007D2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7578B" w14:textId="77777777" w:rsidR="005D7C3F" w:rsidRDefault="005D7C3F" w:rsidP="007D2412">
      <w:pPr>
        <w:spacing w:after="0" w:line="240" w:lineRule="auto"/>
      </w:pPr>
      <w:r>
        <w:separator/>
      </w:r>
    </w:p>
  </w:footnote>
  <w:footnote w:type="continuationSeparator" w:id="0">
    <w:p w14:paraId="4B4953C7" w14:textId="77777777" w:rsidR="005D7C3F" w:rsidRDefault="005D7C3F" w:rsidP="007D2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8E8B" w14:textId="0CEBAE21" w:rsidR="007D2412" w:rsidRDefault="007D2412">
    <w:pPr>
      <w:pStyle w:val="Header"/>
    </w:pPr>
    <w:r>
      <w:rPr>
        <w:noProof/>
      </w:rPr>
      <w:pict w14:anchorId="52C93B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54020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3715" w14:textId="5CFE1937" w:rsidR="007D2412" w:rsidRDefault="007D2412">
    <w:pPr>
      <w:pStyle w:val="Header"/>
    </w:pPr>
    <w:r>
      <w:rPr>
        <w:noProof/>
      </w:rPr>
      <w:pict w14:anchorId="3C45C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54020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139B" w14:textId="41C77436" w:rsidR="007D2412" w:rsidRDefault="007D2412">
    <w:pPr>
      <w:pStyle w:val="Header"/>
    </w:pPr>
    <w:r>
      <w:rPr>
        <w:noProof/>
      </w:rPr>
      <w:pict w14:anchorId="4B34C0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54020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CE1AD7"/>
    <w:rsid w:val="001D4398"/>
    <w:rsid w:val="00345F3B"/>
    <w:rsid w:val="004841B3"/>
    <w:rsid w:val="005D7C3F"/>
    <w:rsid w:val="006D2956"/>
    <w:rsid w:val="007D2412"/>
    <w:rsid w:val="00824882"/>
    <w:rsid w:val="00A651C3"/>
    <w:rsid w:val="00B46195"/>
    <w:rsid w:val="00CE1AD7"/>
    <w:rsid w:val="00E21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469C7"/>
  <w15:chartTrackingRefBased/>
  <w15:docId w15:val="{A1CA372C-0D87-45E7-926B-73CD32DD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1B3"/>
  </w:style>
  <w:style w:type="paragraph" w:styleId="Heading1">
    <w:name w:val="heading 1"/>
    <w:basedOn w:val="Normal"/>
    <w:next w:val="Normal"/>
    <w:link w:val="Heading1Char"/>
    <w:uiPriority w:val="9"/>
    <w:qFormat/>
    <w:rsid w:val="00CE1AD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E1AD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E1AD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E1AD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E1AD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E1A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A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A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A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Shading1-Accent1">
    <w:name w:val="Medium Shading 1 Accent 1"/>
    <w:basedOn w:val="TableNormal"/>
    <w:uiPriority w:val="63"/>
    <w:rsid w:val="0082488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CE1AD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E1AD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E1AD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E1AD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E1AD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E1A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A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A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AD7"/>
    <w:rPr>
      <w:rFonts w:eastAsiaTheme="majorEastAsia" w:cstheme="majorBidi"/>
      <w:color w:val="272727" w:themeColor="text1" w:themeTint="D8"/>
    </w:rPr>
  </w:style>
  <w:style w:type="paragraph" w:styleId="Title">
    <w:name w:val="Title"/>
    <w:basedOn w:val="Normal"/>
    <w:next w:val="Normal"/>
    <w:link w:val="TitleChar"/>
    <w:uiPriority w:val="10"/>
    <w:qFormat/>
    <w:rsid w:val="00CE1A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A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A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A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A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1AD7"/>
    <w:rPr>
      <w:i/>
      <w:iCs/>
      <w:color w:val="404040" w:themeColor="text1" w:themeTint="BF"/>
    </w:rPr>
  </w:style>
  <w:style w:type="paragraph" w:styleId="ListParagraph">
    <w:name w:val="List Paragraph"/>
    <w:basedOn w:val="Normal"/>
    <w:uiPriority w:val="34"/>
    <w:qFormat/>
    <w:rsid w:val="00CE1AD7"/>
    <w:pPr>
      <w:ind w:left="720"/>
      <w:contextualSpacing/>
    </w:pPr>
  </w:style>
  <w:style w:type="character" w:styleId="IntenseEmphasis">
    <w:name w:val="Intense Emphasis"/>
    <w:basedOn w:val="DefaultParagraphFont"/>
    <w:uiPriority w:val="21"/>
    <w:qFormat/>
    <w:rsid w:val="00CE1AD7"/>
    <w:rPr>
      <w:i/>
      <w:iCs/>
      <w:color w:val="365F91" w:themeColor="accent1" w:themeShade="BF"/>
    </w:rPr>
  </w:style>
  <w:style w:type="paragraph" w:styleId="IntenseQuote">
    <w:name w:val="Intense Quote"/>
    <w:basedOn w:val="Normal"/>
    <w:next w:val="Normal"/>
    <w:link w:val="IntenseQuoteChar"/>
    <w:uiPriority w:val="30"/>
    <w:qFormat/>
    <w:rsid w:val="00CE1AD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E1AD7"/>
    <w:rPr>
      <w:i/>
      <w:iCs/>
      <w:color w:val="365F91" w:themeColor="accent1" w:themeShade="BF"/>
    </w:rPr>
  </w:style>
  <w:style w:type="character" w:styleId="IntenseReference">
    <w:name w:val="Intense Reference"/>
    <w:basedOn w:val="DefaultParagraphFont"/>
    <w:uiPriority w:val="32"/>
    <w:qFormat/>
    <w:rsid w:val="00CE1AD7"/>
    <w:rPr>
      <w:b/>
      <w:bCs/>
      <w:smallCaps/>
      <w:color w:val="365F91" w:themeColor="accent1" w:themeShade="BF"/>
      <w:spacing w:val="5"/>
    </w:rPr>
  </w:style>
  <w:style w:type="table" w:styleId="TableGridLight">
    <w:name w:val="Grid Table Light"/>
    <w:basedOn w:val="TableNormal"/>
    <w:uiPriority w:val="40"/>
    <w:rsid w:val="006D29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7D2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412"/>
  </w:style>
  <w:style w:type="paragraph" w:styleId="Footer">
    <w:name w:val="footer"/>
    <w:basedOn w:val="Normal"/>
    <w:link w:val="FooterChar"/>
    <w:uiPriority w:val="99"/>
    <w:unhideWhenUsed/>
    <w:rsid w:val="007D2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4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28</Pages>
  <Words>13380</Words>
  <Characters>76272</Characters>
  <Application>Microsoft Office Word</Application>
  <DocSecurity>0</DocSecurity>
  <Lines>635</Lines>
  <Paragraphs>178</Paragraphs>
  <ScaleCrop>false</ScaleCrop>
  <Company>HP</Company>
  <LinksUpToDate>false</LinksUpToDate>
  <CharactersWithSpaces>89474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Pinaki Mondal</dc:creator>
  <cp:keywords/>
  <dc:description/>
  <cp:lastModifiedBy>SDI 1084</cp:lastModifiedBy>
  <cp:revision>5</cp:revision>
  <dcterms:created xsi:type="dcterms:W3CDTF">2026-07-14T19:23:00Z</dcterms:created>
  <dcterms:modified xsi:type="dcterms:W3CDTF">2026-07-15T13:14:00Z</dcterms:modified>
</cp:coreProperties>
</file>