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D4D41" w14:textId="77777777" w:rsidR="00F15FD7" w:rsidRDefault="00F15FD7">
      <w:pPr>
        <w:spacing w:line="276" w:lineRule="auto"/>
        <w:jc w:val="center"/>
        <w:rPr>
          <w:rFonts w:cs="Times New Roman"/>
          <w:b/>
          <w:bCs/>
        </w:rPr>
      </w:pPr>
    </w:p>
    <w:p w14:paraId="1C7981FE" w14:textId="77777777" w:rsidR="00F15FD7" w:rsidRDefault="00563E74">
      <w:pPr>
        <w:spacing w:line="276" w:lineRule="auto"/>
        <w:jc w:val="center"/>
        <w:rPr>
          <w:rFonts w:ascii="Times New Roman" w:hAnsi="Times New Roman" w:cs="Times New Roman"/>
          <w:b/>
          <w:bCs/>
          <w:i/>
          <w:iCs/>
          <w:sz w:val="32"/>
          <w:szCs w:val="32"/>
        </w:rPr>
      </w:pPr>
      <w:r>
        <w:rPr>
          <w:rFonts w:ascii="Times New Roman" w:hAnsi="Times New Roman" w:cs="Times New Roman"/>
          <w:b/>
          <w:bCs/>
          <w:sz w:val="32"/>
          <w:szCs w:val="32"/>
        </w:rPr>
        <w:t>Differential watering and organic amendment effects on the yield, quality and metabolite constituents of pepper</w:t>
      </w:r>
      <w:r>
        <w:rPr>
          <w:rFonts w:ascii="Times New Roman" w:hAnsi="Times New Roman" w:cs="Times New Roman"/>
          <w:b/>
          <w:bCs/>
          <w:i/>
          <w:iCs/>
          <w:sz w:val="32"/>
          <w:szCs w:val="32"/>
        </w:rPr>
        <w:t xml:space="preserve"> (</w:t>
      </w:r>
      <w:r>
        <w:rPr>
          <w:rStyle w:val="Emphasis"/>
          <w:rFonts w:ascii="Times New Roman" w:hAnsi="Times New Roman" w:cs="Times New Roman"/>
          <w:b/>
          <w:bCs/>
          <w:sz w:val="32"/>
          <w:szCs w:val="32"/>
        </w:rPr>
        <w:t xml:space="preserve">Capsicum </w:t>
      </w:r>
      <w:proofErr w:type="spellStart"/>
      <w:r>
        <w:rPr>
          <w:rStyle w:val="Emphasis"/>
          <w:rFonts w:ascii="Times New Roman" w:hAnsi="Times New Roman" w:cs="Times New Roman"/>
          <w:b/>
          <w:bCs/>
          <w:sz w:val="32"/>
          <w:szCs w:val="32"/>
        </w:rPr>
        <w:t>chinense</w:t>
      </w:r>
      <w:proofErr w:type="spellEnd"/>
      <w:r>
        <w:rPr>
          <w:rFonts w:ascii="Times New Roman" w:hAnsi="Times New Roman" w:cs="Times New Roman"/>
          <w:b/>
          <w:bCs/>
          <w:i/>
          <w:iCs/>
          <w:sz w:val="32"/>
          <w:szCs w:val="32"/>
        </w:rPr>
        <w:t xml:space="preserve"> </w:t>
      </w:r>
      <w:r>
        <w:rPr>
          <w:rFonts w:ascii="Times New Roman" w:hAnsi="Times New Roman" w:cs="Times New Roman"/>
          <w:b/>
          <w:bCs/>
          <w:sz w:val="32"/>
          <w:szCs w:val="32"/>
        </w:rPr>
        <w:t>Jacq.</w:t>
      </w:r>
      <w:r>
        <w:rPr>
          <w:rFonts w:ascii="Times New Roman" w:hAnsi="Times New Roman" w:cs="Times New Roman"/>
          <w:b/>
          <w:bCs/>
          <w:i/>
          <w:iCs/>
          <w:sz w:val="32"/>
          <w:szCs w:val="32"/>
        </w:rPr>
        <w:t>)</w:t>
      </w:r>
    </w:p>
    <w:p w14:paraId="0DBB6F75" w14:textId="77777777" w:rsidR="00F15FD7" w:rsidRDefault="00F15FD7">
      <w:pPr>
        <w:spacing w:line="276" w:lineRule="auto"/>
        <w:rPr>
          <w:rFonts w:ascii="Times New Roman" w:hAnsi="Times New Roman" w:cs="Times New Roman"/>
          <w:b/>
          <w:bCs/>
          <w:lang w:val="en-GB"/>
        </w:rPr>
      </w:pPr>
      <w:bookmarkStart w:id="0" w:name="_GoBack"/>
      <w:bookmarkEnd w:id="0"/>
    </w:p>
    <w:p w14:paraId="6AAF85D6" w14:textId="77777777" w:rsidR="00F15FD7" w:rsidRDefault="00563E74">
      <w:pPr>
        <w:spacing w:line="276" w:lineRule="auto"/>
        <w:jc w:val="center"/>
        <w:rPr>
          <w:rFonts w:ascii="Times New Roman" w:hAnsi="Times New Roman" w:cs="Times New Roman"/>
          <w:b/>
          <w:bCs/>
          <w:lang w:val="en-GB"/>
        </w:rPr>
      </w:pPr>
      <w:r>
        <w:rPr>
          <w:rFonts w:ascii="Times New Roman" w:hAnsi="Times New Roman" w:cs="Times New Roman"/>
          <w:b/>
          <w:bCs/>
          <w:lang w:val="en-GB"/>
        </w:rPr>
        <w:t>Abstract</w:t>
      </w:r>
    </w:p>
    <w:p w14:paraId="6AAE54A2" w14:textId="77777777" w:rsidR="00F15FD7" w:rsidRDefault="00563E74">
      <w:pPr>
        <w:pStyle w:val="NormalWeb"/>
        <w:spacing w:line="276" w:lineRule="auto"/>
        <w:jc w:val="both"/>
        <w:rPr>
          <w:sz w:val="22"/>
          <w:szCs w:val="22"/>
        </w:rPr>
      </w:pPr>
      <w:r>
        <w:rPr>
          <w:sz w:val="22"/>
          <w:szCs w:val="22"/>
        </w:rPr>
        <w:t xml:space="preserve">Water deficit remains a major limitation to pepper production in tropical </w:t>
      </w:r>
      <w:proofErr w:type="spellStart"/>
      <w:r>
        <w:rPr>
          <w:sz w:val="22"/>
          <w:szCs w:val="22"/>
        </w:rPr>
        <w:t>agro</w:t>
      </w:r>
      <w:proofErr w:type="spellEnd"/>
      <w:r>
        <w:rPr>
          <w:sz w:val="22"/>
          <w:szCs w:val="22"/>
        </w:rPr>
        <w:t xml:space="preserve">-ecosystems, necessitating sustainable soil and microbial management strategies. This study evaluated the effects of biochar and </w:t>
      </w:r>
      <w:r>
        <w:rPr>
          <w:rStyle w:val="Emphasis"/>
          <w:sz w:val="22"/>
          <w:szCs w:val="22"/>
        </w:rPr>
        <w:t xml:space="preserve">Trichoderma </w:t>
      </w:r>
      <w:proofErr w:type="spellStart"/>
      <w:r>
        <w:rPr>
          <w:rStyle w:val="Emphasis"/>
          <w:sz w:val="22"/>
          <w:szCs w:val="22"/>
        </w:rPr>
        <w:t>harzianum</w:t>
      </w:r>
      <w:proofErr w:type="spellEnd"/>
      <w:r>
        <w:rPr>
          <w:sz w:val="22"/>
          <w:szCs w:val="22"/>
        </w:rPr>
        <w:t xml:space="preserve"> inoculation on growth, yield, fruit quality, soil properties, and stress physiology of pepper (</w:t>
      </w:r>
      <w:r>
        <w:rPr>
          <w:rStyle w:val="Emphasis"/>
          <w:sz w:val="22"/>
          <w:szCs w:val="22"/>
        </w:rPr>
        <w:t xml:space="preserve">Capsicum </w:t>
      </w:r>
      <w:proofErr w:type="spellStart"/>
      <w:r>
        <w:rPr>
          <w:rStyle w:val="Emphasis"/>
          <w:sz w:val="22"/>
          <w:szCs w:val="22"/>
        </w:rPr>
        <w:t>c</w:t>
      </w:r>
      <w:r>
        <w:rPr>
          <w:rStyle w:val="Emphasis"/>
          <w:sz w:val="22"/>
          <w:szCs w:val="22"/>
        </w:rPr>
        <w:t>hinense</w:t>
      </w:r>
      <w:proofErr w:type="spellEnd"/>
      <w:r>
        <w:rPr>
          <w:sz w:val="22"/>
          <w:szCs w:val="22"/>
        </w:rPr>
        <w:t xml:space="preserve"> Jacq.) under differential watering regimes. A screenhouse experiment was conducted using a Completely Randomized Design with fourteen treatments comprising sole biochar, sole </w:t>
      </w:r>
      <w:r>
        <w:rPr>
          <w:rStyle w:val="Emphasis"/>
          <w:sz w:val="22"/>
          <w:szCs w:val="22"/>
        </w:rPr>
        <w:t xml:space="preserve">T. </w:t>
      </w:r>
      <w:proofErr w:type="spellStart"/>
      <w:r>
        <w:rPr>
          <w:rStyle w:val="Emphasis"/>
          <w:sz w:val="22"/>
          <w:szCs w:val="22"/>
        </w:rPr>
        <w:t>harzianum</w:t>
      </w:r>
      <w:proofErr w:type="spellEnd"/>
      <w:r>
        <w:rPr>
          <w:sz w:val="22"/>
          <w:szCs w:val="22"/>
        </w:rPr>
        <w:t>, their combinations, and three watering levels (100, 60, and</w:t>
      </w:r>
      <w:r>
        <w:rPr>
          <w:sz w:val="22"/>
          <w:szCs w:val="22"/>
        </w:rPr>
        <w:t xml:space="preserve"> 40% field capacity). Growth and yield parameters were evaluated, also plant physiological and biochemical responses, including antioxidant enzyme activities, peroxide dismutase (SOD), catalase (CAT), peroxidase (POD), and ascorbate peroxidase (APX), were </w:t>
      </w:r>
      <w:r>
        <w:rPr>
          <w:sz w:val="22"/>
          <w:szCs w:val="22"/>
        </w:rPr>
        <w:t xml:space="preserve">assessed. Fruit quality was evaluated based on proximate composition (moisture, crude protein, crude </w:t>
      </w:r>
      <w:proofErr w:type="spellStart"/>
      <w:r>
        <w:rPr>
          <w:sz w:val="22"/>
          <w:szCs w:val="22"/>
        </w:rPr>
        <w:t>fibre</w:t>
      </w:r>
      <w:proofErr w:type="spellEnd"/>
      <w:r>
        <w:rPr>
          <w:sz w:val="22"/>
          <w:szCs w:val="22"/>
        </w:rPr>
        <w:t>, fat, ash, and carbohydrate contents) and mineral composition (Ca, Mg, K, Na, Fe, and Zn). Soil properties assessed included soil pH, organic carbon,</w:t>
      </w:r>
      <w:r>
        <w:rPr>
          <w:sz w:val="22"/>
          <w:szCs w:val="22"/>
        </w:rPr>
        <w:t xml:space="preserve"> total nitrogen, available phosphorus, exchangeable cations, bulk density, porosity, and soil water-holding capacity. Results showed that the combined application of biochar and </w:t>
      </w:r>
      <w:r>
        <w:rPr>
          <w:rStyle w:val="Emphasis"/>
          <w:sz w:val="22"/>
          <w:szCs w:val="22"/>
        </w:rPr>
        <w:t xml:space="preserve">T. </w:t>
      </w:r>
      <w:proofErr w:type="spellStart"/>
      <w:r>
        <w:rPr>
          <w:rStyle w:val="Emphasis"/>
          <w:sz w:val="22"/>
          <w:szCs w:val="22"/>
        </w:rPr>
        <w:t>harzianum</w:t>
      </w:r>
      <w:proofErr w:type="spellEnd"/>
      <w:r>
        <w:rPr>
          <w:sz w:val="22"/>
          <w:szCs w:val="22"/>
        </w:rPr>
        <w:t xml:space="preserve"> under 100% field capacity (B+T+100% FC) produced the highest plan</w:t>
      </w:r>
      <w:r>
        <w:rPr>
          <w:sz w:val="22"/>
          <w:szCs w:val="22"/>
        </w:rPr>
        <w:t>t height (90.27cm), leaf area (166.69cm</w:t>
      </w:r>
      <w:r>
        <w:rPr>
          <w:sz w:val="22"/>
          <w:szCs w:val="22"/>
          <w:vertAlign w:val="superscript"/>
        </w:rPr>
        <w:t>2</w:t>
      </w:r>
      <w:r>
        <w:rPr>
          <w:sz w:val="22"/>
          <w:szCs w:val="22"/>
        </w:rPr>
        <w:t>), Stem girth (10.83cm), root development, biomass accumulation, and fruit yield. The B+T+60% FC treatment also significantly enhanced growth and yield compared with sole applications and untreated water-stressed pla</w:t>
      </w:r>
      <w:r>
        <w:rPr>
          <w:sz w:val="22"/>
          <w:szCs w:val="22"/>
        </w:rPr>
        <w:t xml:space="preserve">nts, indicating improved tolerance to moderate water deficit. Plants subjected to 40% field capacity alone exhibited marked reductions in growth and yield, accompanied by elevated proline content and antioxidant enzyme activities. However, biochar or </w:t>
      </w:r>
      <w:r>
        <w:rPr>
          <w:rStyle w:val="Emphasis"/>
          <w:sz w:val="22"/>
          <w:szCs w:val="22"/>
        </w:rPr>
        <w:t xml:space="preserve">T. </w:t>
      </w:r>
      <w:proofErr w:type="spellStart"/>
      <w:r>
        <w:rPr>
          <w:rStyle w:val="Emphasis"/>
          <w:sz w:val="22"/>
          <w:szCs w:val="22"/>
        </w:rPr>
        <w:t>ha</w:t>
      </w:r>
      <w:r>
        <w:rPr>
          <w:rStyle w:val="Emphasis"/>
          <w:sz w:val="22"/>
          <w:szCs w:val="22"/>
        </w:rPr>
        <w:t>rzianum</w:t>
      </w:r>
      <w:proofErr w:type="spellEnd"/>
      <w:r>
        <w:rPr>
          <w:sz w:val="22"/>
          <w:szCs w:val="22"/>
        </w:rPr>
        <w:t xml:space="preserve"> application, particularly in combination, significantly moderated stress responses by reducing proline accumulation and regulating antioxidant enzymes (SOD, CAT, POD, and APX). Co-application treatments further improved fruit nutritional and minera</w:t>
      </w:r>
      <w:r>
        <w:rPr>
          <w:sz w:val="22"/>
          <w:szCs w:val="22"/>
        </w:rPr>
        <w:t xml:space="preserve">l composition, chlorophyll content, and soil water-holding capacity. The findings demonstrate that integrated application of biochar and </w:t>
      </w:r>
      <w:r>
        <w:rPr>
          <w:rStyle w:val="Emphasis"/>
          <w:sz w:val="22"/>
          <w:szCs w:val="22"/>
        </w:rPr>
        <w:t xml:space="preserve">Trichoderma </w:t>
      </w:r>
      <w:proofErr w:type="spellStart"/>
      <w:r>
        <w:rPr>
          <w:rStyle w:val="Emphasis"/>
          <w:sz w:val="22"/>
          <w:szCs w:val="22"/>
        </w:rPr>
        <w:t>harzianum</w:t>
      </w:r>
      <w:proofErr w:type="spellEnd"/>
      <w:r>
        <w:rPr>
          <w:sz w:val="22"/>
          <w:szCs w:val="22"/>
        </w:rPr>
        <w:t xml:space="preserve">, especially under 60–100% field capacity, effectively mitigates water stress and enhances pepper </w:t>
      </w:r>
      <w:r>
        <w:rPr>
          <w:sz w:val="22"/>
          <w:szCs w:val="22"/>
        </w:rPr>
        <w:t>productivity and quality, providing a sustainable management option for pepper cultivation under variable moisture conditions.</w:t>
      </w:r>
    </w:p>
    <w:p w14:paraId="3CF1A84A" w14:textId="77777777" w:rsidR="00F15FD7" w:rsidRDefault="00563E74">
      <w:pPr>
        <w:pStyle w:val="NormalWeb"/>
        <w:spacing w:line="276" w:lineRule="auto"/>
        <w:jc w:val="both"/>
        <w:rPr>
          <w:sz w:val="22"/>
          <w:szCs w:val="22"/>
        </w:rPr>
      </w:pPr>
      <w:r>
        <w:rPr>
          <w:rStyle w:val="Strong"/>
          <w:rFonts w:eastAsiaTheme="majorEastAsia"/>
          <w:sz w:val="22"/>
          <w:szCs w:val="22"/>
        </w:rPr>
        <w:t>Keywords:</w:t>
      </w:r>
      <w:r>
        <w:rPr>
          <w:sz w:val="22"/>
          <w:szCs w:val="22"/>
        </w:rPr>
        <w:t xml:space="preserve"> Biochar; </w:t>
      </w:r>
      <w:r>
        <w:rPr>
          <w:rStyle w:val="Emphasis"/>
          <w:sz w:val="22"/>
          <w:szCs w:val="22"/>
        </w:rPr>
        <w:t xml:space="preserve">Trichoderma </w:t>
      </w:r>
      <w:proofErr w:type="spellStart"/>
      <w:r>
        <w:rPr>
          <w:rStyle w:val="Emphasis"/>
          <w:sz w:val="22"/>
          <w:szCs w:val="22"/>
        </w:rPr>
        <w:t>harzianum</w:t>
      </w:r>
      <w:proofErr w:type="spellEnd"/>
      <w:r>
        <w:rPr>
          <w:sz w:val="22"/>
          <w:szCs w:val="22"/>
        </w:rPr>
        <w:t xml:space="preserve">; </w:t>
      </w:r>
      <w:r>
        <w:rPr>
          <w:rStyle w:val="Emphasis"/>
          <w:sz w:val="22"/>
          <w:szCs w:val="22"/>
        </w:rPr>
        <w:t xml:space="preserve">Capsicum </w:t>
      </w:r>
      <w:proofErr w:type="spellStart"/>
      <w:r>
        <w:rPr>
          <w:rStyle w:val="Emphasis"/>
          <w:sz w:val="22"/>
          <w:szCs w:val="22"/>
        </w:rPr>
        <w:t>chinense</w:t>
      </w:r>
      <w:proofErr w:type="spellEnd"/>
      <w:r>
        <w:rPr>
          <w:sz w:val="22"/>
          <w:szCs w:val="22"/>
        </w:rPr>
        <w:t>; Water stress; Antioxidant enzymes; Sustainable agriculture</w:t>
      </w:r>
    </w:p>
    <w:p w14:paraId="1DD1E5C4" w14:textId="77777777" w:rsidR="00F15FD7" w:rsidRDefault="00563E74">
      <w:pPr>
        <w:pStyle w:val="ListParagraph"/>
        <w:numPr>
          <w:ilvl w:val="0"/>
          <w:numId w:val="1"/>
        </w:numPr>
        <w:rPr>
          <w:rFonts w:cs="Times New Roman"/>
          <w:b/>
          <w:bCs/>
          <w:sz w:val="22"/>
        </w:rPr>
      </w:pPr>
      <w:r>
        <w:rPr>
          <w:rFonts w:cs="Times New Roman"/>
          <w:b/>
          <w:bCs/>
          <w:sz w:val="22"/>
        </w:rPr>
        <w:t xml:space="preserve"> Introduc</w:t>
      </w:r>
      <w:r>
        <w:rPr>
          <w:rFonts w:cs="Times New Roman"/>
          <w:b/>
          <w:bCs/>
          <w:sz w:val="22"/>
        </w:rPr>
        <w:t>tion</w:t>
      </w:r>
    </w:p>
    <w:p w14:paraId="1868639A" w14:textId="77777777" w:rsidR="00F15FD7" w:rsidRDefault="00563E74">
      <w:pPr>
        <w:spacing w:line="276" w:lineRule="auto"/>
        <w:jc w:val="both"/>
        <w:rPr>
          <w:rFonts w:ascii="Times New Roman" w:hAnsi="Times New Roman" w:cs="Times New Roman"/>
        </w:rPr>
      </w:pPr>
      <w:r>
        <w:rPr>
          <w:rFonts w:ascii="Times New Roman" w:hAnsi="Times New Roman" w:cs="Times New Roman"/>
        </w:rPr>
        <w:t>Pepper (</w:t>
      </w:r>
      <w:r>
        <w:rPr>
          <w:rFonts w:ascii="Times New Roman" w:hAnsi="Times New Roman" w:cs="Times New Roman"/>
          <w:i/>
          <w:iCs/>
        </w:rPr>
        <w:t xml:space="preserve">Capsicum </w:t>
      </w:r>
      <w:proofErr w:type="spellStart"/>
      <w:r>
        <w:rPr>
          <w:rFonts w:ascii="Times New Roman" w:hAnsi="Times New Roman" w:cs="Times New Roman"/>
          <w:i/>
          <w:iCs/>
        </w:rPr>
        <w:t>chinense</w:t>
      </w:r>
      <w:proofErr w:type="spellEnd"/>
      <w:r>
        <w:rPr>
          <w:rFonts w:ascii="Times New Roman" w:hAnsi="Times New Roman" w:cs="Times New Roman"/>
        </w:rPr>
        <w:t xml:space="preserve"> Jacq.) is one of the most widely cultivated vegetable and spice crops worldwide, valued for its economic importance, culinary versatility, and nutritional and medicinal properties. In Nigeria and other tropical regions, pepper occupies an important place </w:t>
      </w:r>
      <w:r>
        <w:rPr>
          <w:rFonts w:ascii="Times New Roman" w:hAnsi="Times New Roman" w:cs="Times New Roman"/>
        </w:rPr>
        <w:t xml:space="preserve">in local diets and markets due to its pungency, high vitamin content, and strong consumer demand (FAOSTAT, 2012; Mustapha </w:t>
      </w:r>
      <w:r>
        <w:rPr>
          <w:rFonts w:ascii="Times New Roman" w:hAnsi="Times New Roman" w:cs="Times New Roman"/>
          <w:i/>
          <w:iCs/>
        </w:rPr>
        <w:t>et al.,</w:t>
      </w:r>
      <w:r>
        <w:rPr>
          <w:rFonts w:ascii="Times New Roman" w:hAnsi="Times New Roman" w:cs="Times New Roman"/>
        </w:rPr>
        <w:t xml:space="preserve"> 2021). Nigeria is recognized as the largest producer of pepper among the sub-Saharan African countries (Akpan et al., 2023) an</w:t>
      </w:r>
      <w:r>
        <w:rPr>
          <w:rFonts w:ascii="Times New Roman" w:hAnsi="Times New Roman" w:cs="Times New Roman"/>
        </w:rPr>
        <w:t>d ranks among the leading producers globally, contributing about 50% of Africa’s total pepper production. The crop is predominantly cultivated in the northern region of the country (</w:t>
      </w:r>
      <w:proofErr w:type="spellStart"/>
      <w:r>
        <w:rPr>
          <w:rFonts w:ascii="Times New Roman" w:hAnsi="Times New Roman" w:cs="Times New Roman"/>
        </w:rPr>
        <w:t>Ogunbo</w:t>
      </w:r>
      <w:proofErr w:type="spellEnd"/>
      <w:r>
        <w:rPr>
          <w:rFonts w:ascii="Times New Roman" w:hAnsi="Times New Roman" w:cs="Times New Roman"/>
        </w:rPr>
        <w:t xml:space="preserve">, 2015). In 2020, Nigeria produced 762,174 </w:t>
      </w:r>
      <w:proofErr w:type="spellStart"/>
      <w:r>
        <w:rPr>
          <w:rFonts w:ascii="Times New Roman" w:hAnsi="Times New Roman" w:cs="Times New Roman"/>
        </w:rPr>
        <w:t>tonnes</w:t>
      </w:r>
      <w:proofErr w:type="spellEnd"/>
      <w:r>
        <w:rPr>
          <w:rFonts w:ascii="Times New Roman" w:hAnsi="Times New Roman" w:cs="Times New Roman"/>
        </w:rPr>
        <w:t xml:space="preserve"> of green chilies a</w:t>
      </w:r>
      <w:r>
        <w:rPr>
          <w:rFonts w:ascii="Times New Roman" w:hAnsi="Times New Roman" w:cs="Times New Roman"/>
        </w:rPr>
        <w:t>nd peppers, representing a slight increase of 0.27% compared to the production recorded in 2019 (FAO, 2020).</w:t>
      </w:r>
    </w:p>
    <w:p w14:paraId="77C1C4C9" w14:textId="77777777" w:rsidR="00F15FD7" w:rsidRDefault="00563E74">
      <w:pPr>
        <w:spacing w:line="276" w:lineRule="auto"/>
        <w:jc w:val="both"/>
        <w:rPr>
          <w:rFonts w:ascii="Times New Roman" w:hAnsi="Times New Roman" w:cs="Times New Roman"/>
        </w:rPr>
      </w:pPr>
      <w:r>
        <w:rPr>
          <w:rFonts w:ascii="Times New Roman" w:hAnsi="Times New Roman" w:cs="Times New Roman"/>
        </w:rPr>
        <w:lastRenderedPageBreak/>
        <w:t>Drought has been reported to affect several physiological and biochemical processes in plants, including photosynthesis, nitrogen assimilation, and</w:t>
      </w:r>
      <w:r>
        <w:rPr>
          <w:rFonts w:ascii="Times New Roman" w:hAnsi="Times New Roman" w:cs="Times New Roman"/>
        </w:rPr>
        <w:t xml:space="preserve"> metabolic activities (Nadeem </w:t>
      </w:r>
      <w:r>
        <w:rPr>
          <w:rFonts w:ascii="Times New Roman" w:hAnsi="Times New Roman" w:cs="Times New Roman"/>
          <w:i/>
          <w:iCs/>
        </w:rPr>
        <w:t>et al.,</w:t>
      </w:r>
      <w:r>
        <w:rPr>
          <w:rFonts w:ascii="Times New Roman" w:hAnsi="Times New Roman" w:cs="Times New Roman"/>
        </w:rPr>
        <w:t xml:space="preserve"> 2019; Kim </w:t>
      </w:r>
      <w:r>
        <w:rPr>
          <w:rFonts w:ascii="Times New Roman" w:hAnsi="Times New Roman" w:cs="Times New Roman"/>
          <w:i/>
          <w:iCs/>
        </w:rPr>
        <w:t>et al.,</w:t>
      </w:r>
      <w:r>
        <w:rPr>
          <w:rFonts w:ascii="Times New Roman" w:hAnsi="Times New Roman" w:cs="Times New Roman"/>
        </w:rPr>
        <w:t xml:space="preserve"> 2023; Pei </w:t>
      </w:r>
      <w:r>
        <w:rPr>
          <w:rFonts w:ascii="Times New Roman" w:hAnsi="Times New Roman" w:cs="Times New Roman"/>
          <w:i/>
          <w:iCs/>
        </w:rPr>
        <w:t>et al.,</w:t>
      </w:r>
      <w:r>
        <w:rPr>
          <w:rFonts w:ascii="Times New Roman" w:hAnsi="Times New Roman" w:cs="Times New Roman"/>
        </w:rPr>
        <w:t xml:space="preserve"> 2023). In response to drought stress, plants undergo a range of physiological adjustments aimed at maximizing water-use efficiency while maintaining essential metabolic pathways (Qi </w:t>
      </w:r>
      <w:r>
        <w:rPr>
          <w:rFonts w:ascii="Times New Roman" w:hAnsi="Times New Roman" w:cs="Times New Roman"/>
          <w:i/>
          <w:iCs/>
        </w:rPr>
        <w:t>et al.,</w:t>
      </w:r>
      <w:r>
        <w:rPr>
          <w:rFonts w:ascii="Times New Roman" w:hAnsi="Times New Roman" w:cs="Times New Roman"/>
        </w:rPr>
        <w:t xml:space="preserve"> 2021; Sato </w:t>
      </w:r>
      <w:r>
        <w:rPr>
          <w:rFonts w:ascii="Times New Roman" w:hAnsi="Times New Roman" w:cs="Times New Roman"/>
          <w:i/>
          <w:iCs/>
        </w:rPr>
        <w:t>et al.,</w:t>
      </w:r>
      <w:r>
        <w:rPr>
          <w:rFonts w:ascii="Times New Roman" w:hAnsi="Times New Roman" w:cs="Times New Roman"/>
        </w:rPr>
        <w:t xml:space="preserve"> 2024). These adaptations include stomatal closure to reduce water loss through transpiration and modifications in root architecture to enhance water uptake from the soil (Gupta </w:t>
      </w:r>
      <w:r>
        <w:rPr>
          <w:rFonts w:ascii="Times New Roman" w:hAnsi="Times New Roman" w:cs="Times New Roman"/>
          <w:i/>
          <w:iCs/>
        </w:rPr>
        <w:t>et al.,</w:t>
      </w:r>
      <w:r>
        <w:rPr>
          <w:rFonts w:ascii="Times New Roman" w:hAnsi="Times New Roman" w:cs="Times New Roman"/>
        </w:rPr>
        <w:t xml:space="preserve"> 2020). In southwestern Nigeria, particularly</w:t>
      </w:r>
      <w:r>
        <w:rPr>
          <w:rFonts w:ascii="Times New Roman" w:hAnsi="Times New Roman" w:cs="Times New Roman"/>
        </w:rPr>
        <w:t xml:space="preserve"> within the Akoko region of Ondo State, pepper cultivation is strongly influenced by seasonal water availability. Farmers in communities such as </w:t>
      </w:r>
      <w:proofErr w:type="spellStart"/>
      <w:r>
        <w:rPr>
          <w:rFonts w:ascii="Times New Roman" w:hAnsi="Times New Roman" w:cs="Times New Roman"/>
        </w:rPr>
        <w:t>Etioro-Supare</w:t>
      </w:r>
      <w:proofErr w:type="spellEnd"/>
      <w:r>
        <w:rPr>
          <w:rFonts w:ascii="Times New Roman" w:hAnsi="Times New Roman" w:cs="Times New Roman"/>
        </w:rPr>
        <w:t xml:space="preserve"> </w:t>
      </w:r>
      <w:proofErr w:type="spellStart"/>
      <w:r>
        <w:rPr>
          <w:rFonts w:ascii="Times New Roman" w:hAnsi="Times New Roman" w:cs="Times New Roman"/>
        </w:rPr>
        <w:t>Akoko</w:t>
      </w:r>
      <w:proofErr w:type="spellEnd"/>
      <w:r>
        <w:rPr>
          <w:rFonts w:ascii="Times New Roman" w:hAnsi="Times New Roman" w:cs="Times New Roman"/>
        </w:rPr>
        <w:t xml:space="preserve">, </w:t>
      </w:r>
      <w:proofErr w:type="spellStart"/>
      <w:r>
        <w:rPr>
          <w:rFonts w:ascii="Times New Roman" w:hAnsi="Times New Roman" w:cs="Times New Roman"/>
        </w:rPr>
        <w:t>Akungba</w:t>
      </w:r>
      <w:proofErr w:type="spellEnd"/>
      <w:r>
        <w:rPr>
          <w:rFonts w:ascii="Times New Roman" w:hAnsi="Times New Roman" w:cs="Times New Roman"/>
        </w:rPr>
        <w:t xml:space="preserve"> </w:t>
      </w:r>
      <w:proofErr w:type="spellStart"/>
      <w:r>
        <w:rPr>
          <w:rFonts w:ascii="Times New Roman" w:hAnsi="Times New Roman" w:cs="Times New Roman"/>
        </w:rPr>
        <w:t>Akoko</w:t>
      </w:r>
      <w:proofErr w:type="spellEnd"/>
      <w:r>
        <w:rPr>
          <w:rFonts w:ascii="Times New Roman" w:hAnsi="Times New Roman" w:cs="Times New Roman"/>
        </w:rPr>
        <w:t xml:space="preserve">, and </w:t>
      </w:r>
      <w:proofErr w:type="spellStart"/>
      <w:r>
        <w:rPr>
          <w:rFonts w:ascii="Times New Roman" w:hAnsi="Times New Roman" w:cs="Times New Roman"/>
        </w:rPr>
        <w:t>Ayegunle</w:t>
      </w:r>
      <w:proofErr w:type="spellEnd"/>
      <w:r>
        <w:rPr>
          <w:rFonts w:ascii="Times New Roman" w:hAnsi="Times New Roman" w:cs="Times New Roman"/>
        </w:rPr>
        <w:t xml:space="preserve"> </w:t>
      </w:r>
      <w:proofErr w:type="spellStart"/>
      <w:r>
        <w:rPr>
          <w:rFonts w:ascii="Times New Roman" w:hAnsi="Times New Roman" w:cs="Times New Roman"/>
        </w:rPr>
        <w:t>Akoko</w:t>
      </w:r>
      <w:proofErr w:type="spellEnd"/>
      <w:r>
        <w:rPr>
          <w:rFonts w:ascii="Times New Roman" w:hAnsi="Times New Roman" w:cs="Times New Roman"/>
        </w:rPr>
        <w:t xml:space="preserve"> communities often experience reduced production during t</w:t>
      </w:r>
      <w:r>
        <w:rPr>
          <w:rFonts w:ascii="Times New Roman" w:hAnsi="Times New Roman" w:cs="Times New Roman"/>
        </w:rPr>
        <w:t xml:space="preserve">he dry season due to limited soil moisture and inadequate irrigation facilities. This seasonal decline in production frequently results in supply shortages and noticeable increases in market prices toward the end of the year and during the early months of </w:t>
      </w:r>
      <w:r>
        <w:rPr>
          <w:rFonts w:ascii="Times New Roman" w:hAnsi="Times New Roman" w:cs="Times New Roman"/>
        </w:rPr>
        <w:t xml:space="preserve">January and </w:t>
      </w:r>
      <w:proofErr w:type="spellStart"/>
      <w:r>
        <w:rPr>
          <w:rFonts w:ascii="Times New Roman" w:hAnsi="Times New Roman" w:cs="Times New Roman"/>
        </w:rPr>
        <w:t>February.Water</w:t>
      </w:r>
      <w:proofErr w:type="spellEnd"/>
      <w:r>
        <w:rPr>
          <w:rFonts w:ascii="Times New Roman" w:hAnsi="Times New Roman" w:cs="Times New Roman"/>
        </w:rPr>
        <w:t xml:space="preserve"> plays a fundamental role in plant growth and development, constituting between 80 and 95% of the biomass of fresh plant tissues (</w:t>
      </w:r>
      <w:proofErr w:type="spellStart"/>
      <w:r>
        <w:t>Lisar</w:t>
      </w:r>
      <w:proofErr w:type="spellEnd"/>
      <w:r>
        <w:rPr>
          <w:rFonts w:ascii="Times New Roman" w:hAnsi="Times New Roman" w:cs="Times New Roman"/>
        </w:rPr>
        <w:t xml:space="preserve"> et al., 2012). Under drought conditions, plants experience metabolic disruptions and oxidative</w:t>
      </w:r>
      <w:r>
        <w:rPr>
          <w:rFonts w:ascii="Times New Roman" w:hAnsi="Times New Roman" w:cs="Times New Roman"/>
        </w:rPr>
        <w:t xml:space="preserve"> stress resulting from excessive production of reactive oxygen species (ROS), which can damage cellular membranes, proteins, and nucleic acids (</w:t>
      </w:r>
      <w:proofErr w:type="spellStart"/>
      <w:r>
        <w:rPr>
          <w:rFonts w:ascii="Times New Roman" w:hAnsi="Times New Roman" w:cs="Times New Roman"/>
        </w:rPr>
        <w:t>Hasanuzzaman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2022). Although plants accumulate compatible solutes such as sugars, proline, and sugar alc</w:t>
      </w:r>
      <w:r>
        <w:rPr>
          <w:rFonts w:ascii="Times New Roman" w:hAnsi="Times New Roman" w:cs="Times New Roman"/>
        </w:rPr>
        <w:t>ohols to stabilize proteins and cellular structures under stress conditions (Ghosh et al., 2021), prolonged water scarcity can nevertheless lead to a substantial decline in crop productivity. Thus, sustainable agronomic strategies capable of improving soil</w:t>
      </w:r>
      <w:r>
        <w:rPr>
          <w:rFonts w:ascii="Times New Roman" w:hAnsi="Times New Roman" w:cs="Times New Roman"/>
        </w:rPr>
        <w:t xml:space="preserve"> moisture retention and enhancing plant stress tolerance are increasingly being explored. Biochar, a carbon-rich material produced through the pyrolysis of organic biomass under limited oxygen conditions, has gained considerable attention as a climate-smar</w:t>
      </w:r>
      <w:r>
        <w:rPr>
          <w:rFonts w:ascii="Times New Roman" w:hAnsi="Times New Roman" w:cs="Times New Roman"/>
        </w:rPr>
        <w:t xml:space="preserve">t soil amendment. Biochar improves soil structure, porosity, cation exchange capacity, and water-holding capacity, thereby enhancing soil moisture retention and nutrient availability under drought conditions (Blanco-Canqui </w:t>
      </w:r>
      <w:hyperlink r:id="rId7" w:anchor="ref-CR17" w:tooltip="Blanco-Canqui H (2017) Biochar and Soil Physical Properties. SSSAJ 81(4):687–711" w:history="1">
        <w:r w:rsidR="00F15FD7">
          <w:rPr>
            <w:rStyle w:val="Hyperlink"/>
            <w:rFonts w:ascii="Times New Roman" w:hAnsi="Times New Roman" w:cs="Times New Roman"/>
            <w:color w:val="auto"/>
            <w:u w:val="none"/>
          </w:rPr>
          <w:t>2017</w:t>
        </w:r>
      </w:hyperlink>
      <w:r>
        <w:rPr>
          <w:rFonts w:ascii="Times New Roman" w:hAnsi="Times New Roman" w:cs="Times New Roman"/>
        </w:rPr>
        <w:t xml:space="preserve">; Bohara </w:t>
      </w:r>
      <w:r>
        <w:rPr>
          <w:rFonts w:ascii="Times New Roman" w:hAnsi="Times New Roman" w:cs="Times New Roman"/>
          <w:i/>
          <w:iCs/>
        </w:rPr>
        <w:t>et al.</w:t>
      </w:r>
      <w:r>
        <w:rPr>
          <w:rFonts w:ascii="Times New Roman" w:hAnsi="Times New Roman" w:cs="Times New Roman"/>
        </w:rPr>
        <w:t xml:space="preserve"> </w:t>
      </w:r>
      <w:hyperlink r:id="rId8" w:anchor="ref-CR20" w:tooltip="Bohara H, Dodla S, Wang JJ, Darapuneni M, Acharya BS, Magdi S, Pavuluri K (2019) Influence of poultry litter and biochar on soil water dynamics and nutrient leaching from a very fine sandy loam soil. Soil Tillage Res 189:44–51" w:history="1">
        <w:r w:rsidR="00F15FD7">
          <w:rPr>
            <w:rStyle w:val="Hyperlink"/>
            <w:rFonts w:ascii="Times New Roman" w:hAnsi="Times New Roman" w:cs="Times New Roman"/>
            <w:color w:val="auto"/>
            <w:u w:val="none"/>
          </w:rPr>
          <w:t>2019</w:t>
        </w:r>
      </w:hyperlink>
      <w:r>
        <w:rPr>
          <w:rFonts w:ascii="Times New Roman" w:hAnsi="Times New Roman" w:cs="Times New Roman"/>
        </w:rPr>
        <w:t>). In addition, the p</w:t>
      </w:r>
      <w:r>
        <w:rPr>
          <w:rFonts w:ascii="Times New Roman" w:hAnsi="Times New Roman" w:cs="Times New Roman"/>
        </w:rPr>
        <w:t>orous structure of biochar provides favorable habitats for beneficial soil microorganisms, promoting microbial colonization and activity in the rhizosphere (Wu et al.</w:t>
      </w:r>
      <w:r>
        <w:rPr>
          <w:rFonts w:ascii="Times New Roman" w:hAnsi="Times New Roman" w:cs="Times New Roman"/>
          <w:i/>
          <w:iCs/>
        </w:rPr>
        <w:t>.,</w:t>
      </w:r>
      <w:r>
        <w:rPr>
          <w:rFonts w:ascii="Times New Roman" w:hAnsi="Times New Roman" w:cs="Times New Roman"/>
        </w:rPr>
        <w:t xml:space="preserve"> 2022).</w:t>
      </w:r>
    </w:p>
    <w:p w14:paraId="5FA75BE9" w14:textId="77777777" w:rsidR="00F15FD7" w:rsidRDefault="00563E74">
      <w:pPr>
        <w:spacing w:line="276" w:lineRule="auto"/>
        <w:jc w:val="both"/>
        <w:rPr>
          <w:rFonts w:ascii="Times New Roman" w:hAnsi="Times New Roman" w:cs="Times New Roman"/>
        </w:rPr>
      </w:pP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is a widely studied beneficial fungus known for its </w:t>
      </w:r>
      <w:proofErr w:type="spellStart"/>
      <w:r>
        <w:rPr>
          <w:rFonts w:ascii="Times New Roman" w:hAnsi="Times New Roman" w:cs="Times New Roman"/>
        </w:rPr>
        <w:t>mycopa</w:t>
      </w:r>
      <w:r>
        <w:rPr>
          <w:rFonts w:ascii="Times New Roman" w:hAnsi="Times New Roman" w:cs="Times New Roman"/>
        </w:rPr>
        <w:t>rasitic</w:t>
      </w:r>
      <w:proofErr w:type="spellEnd"/>
      <w:r>
        <w:rPr>
          <w:rFonts w:ascii="Times New Roman" w:hAnsi="Times New Roman" w:cs="Times New Roman"/>
        </w:rPr>
        <w:t xml:space="preserve"> and plant growth–promoting abilities (Mukherjee </w:t>
      </w:r>
      <w:r>
        <w:rPr>
          <w:rFonts w:ascii="Times New Roman" w:hAnsi="Times New Roman" w:cs="Times New Roman"/>
          <w:i/>
          <w:iCs/>
        </w:rPr>
        <w:t>et al.,</w:t>
      </w:r>
      <w:r>
        <w:rPr>
          <w:rFonts w:ascii="Times New Roman" w:hAnsi="Times New Roman" w:cs="Times New Roman"/>
        </w:rPr>
        <w:t xml:space="preserve"> 2013). Its root colonization enhances plant tolerance to stress through physiological and biochemical adjustments, improving root growth, nutrient uptake, and overall plant development (Ji </w:t>
      </w:r>
      <w:r>
        <w:rPr>
          <w:rFonts w:ascii="Times New Roman" w:hAnsi="Times New Roman" w:cs="Times New Roman"/>
          <w:i/>
          <w:iCs/>
        </w:rPr>
        <w:t xml:space="preserve">et </w:t>
      </w:r>
      <w:r>
        <w:rPr>
          <w:rFonts w:ascii="Times New Roman" w:hAnsi="Times New Roman" w:cs="Times New Roman"/>
          <w:i/>
          <w:iCs/>
        </w:rPr>
        <w:t>al.,</w:t>
      </w:r>
      <w:r>
        <w:rPr>
          <w:rFonts w:ascii="Times New Roman" w:hAnsi="Times New Roman" w:cs="Times New Roman"/>
        </w:rPr>
        <w:t xml:space="preserve"> 2012). Saha </w:t>
      </w:r>
      <w:r>
        <w:rPr>
          <w:rFonts w:ascii="Times New Roman" w:hAnsi="Times New Roman" w:cs="Times New Roman"/>
          <w:i/>
          <w:iCs/>
        </w:rPr>
        <w:t>et al.</w:t>
      </w:r>
      <w:r>
        <w:rPr>
          <w:rFonts w:ascii="Times New Roman" w:hAnsi="Times New Roman" w:cs="Times New Roman"/>
        </w:rPr>
        <w:t xml:space="preserve"> (2024) reported that the concentrations of essential nutrients (N, P, S, Ca, Mg, and K) were significantly increased under different </w:t>
      </w:r>
      <w:r>
        <w:rPr>
          <w:rFonts w:ascii="Times New Roman" w:hAnsi="Times New Roman" w:cs="Times New Roman"/>
          <w:i/>
        </w:rPr>
        <w:t>Trichoderma</w:t>
      </w:r>
      <w:r>
        <w:rPr>
          <w:rFonts w:ascii="Times New Roman" w:hAnsi="Times New Roman" w:cs="Times New Roman"/>
        </w:rPr>
        <w:t xml:space="preserve"> treatments, while the Na/K ratio was markedly reduced, mainly due to enhanced potassium</w:t>
      </w:r>
      <w:r>
        <w:rPr>
          <w:rFonts w:ascii="Times New Roman" w:hAnsi="Times New Roman" w:cs="Times New Roman"/>
        </w:rPr>
        <w:t xml:space="preserve"> uptake. Druzhinina </w:t>
      </w:r>
      <w:r>
        <w:rPr>
          <w:rFonts w:ascii="Times New Roman" w:hAnsi="Times New Roman" w:cs="Times New Roman"/>
          <w:i/>
          <w:iCs/>
        </w:rPr>
        <w:t>et al.</w:t>
      </w:r>
      <w:r>
        <w:rPr>
          <w:rFonts w:ascii="Times New Roman" w:hAnsi="Times New Roman" w:cs="Times New Roman"/>
        </w:rPr>
        <w:t xml:space="preserve"> (2011) explained that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rPr>
        <w:t xml:space="preserve">, a prominent species of </w:t>
      </w:r>
      <w:r>
        <w:rPr>
          <w:rFonts w:ascii="Times New Roman" w:hAnsi="Times New Roman" w:cs="Times New Roman"/>
          <w:i/>
        </w:rPr>
        <w:t>Trichoderma</w:t>
      </w:r>
      <w:r>
        <w:rPr>
          <w:rFonts w:ascii="Times New Roman" w:hAnsi="Times New Roman" w:cs="Times New Roman"/>
        </w:rPr>
        <w:t>, produces various growth-promoting substances, including ethylene and indole-3-acetic acid (IAA), which stimulate root development. They further note</w:t>
      </w:r>
      <w:r>
        <w:rPr>
          <w:rFonts w:ascii="Times New Roman" w:hAnsi="Times New Roman" w:cs="Times New Roman"/>
        </w:rPr>
        <w:t xml:space="preserve">d that </w:t>
      </w:r>
      <w:proofErr w:type="spellStart"/>
      <w:r>
        <w:rPr>
          <w:rFonts w:ascii="Times New Roman" w:hAnsi="Times New Roman" w:cs="Times New Roman"/>
        </w:rPr>
        <w:t>hydrophobins</w:t>
      </w:r>
      <w:proofErr w:type="spellEnd"/>
      <w:r>
        <w:rPr>
          <w:rFonts w:ascii="Times New Roman" w:hAnsi="Times New Roman" w:cs="Times New Roman"/>
        </w:rPr>
        <w:t xml:space="preserve"> and </w:t>
      </w:r>
      <w:proofErr w:type="spellStart"/>
      <w:r>
        <w:rPr>
          <w:rFonts w:ascii="Times New Roman" w:hAnsi="Times New Roman" w:cs="Times New Roman"/>
        </w:rPr>
        <w:t>swollenin</w:t>
      </w:r>
      <w:proofErr w:type="spellEnd"/>
      <w:r>
        <w:rPr>
          <w:rFonts w:ascii="Times New Roman" w:hAnsi="Times New Roman" w:cs="Times New Roman"/>
        </w:rPr>
        <w:t xml:space="preserve"> produced by </w:t>
      </w:r>
      <w:r>
        <w:rPr>
          <w:rFonts w:ascii="Times New Roman" w:hAnsi="Times New Roman" w:cs="Times New Roman"/>
          <w:i/>
        </w:rPr>
        <w:t>Trichoderma</w:t>
      </w:r>
      <w:r>
        <w:rPr>
          <w:rFonts w:ascii="Times New Roman" w:hAnsi="Times New Roman" w:cs="Times New Roman"/>
        </w:rPr>
        <w:t xml:space="preserve"> facilitate effective colonization of plant roots. Zhang </w:t>
      </w:r>
      <w:r>
        <w:rPr>
          <w:rFonts w:ascii="Times New Roman" w:hAnsi="Times New Roman" w:cs="Times New Roman"/>
          <w:i/>
          <w:iCs/>
        </w:rPr>
        <w:t>et al.</w:t>
      </w:r>
      <w:r>
        <w:rPr>
          <w:rFonts w:ascii="Times New Roman" w:hAnsi="Times New Roman" w:cs="Times New Roman"/>
        </w:rPr>
        <w:t xml:space="preserve"> (2019) demonstrated that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induces increased expression of antioxidant enzyme genes and enhances the activity of key antioxi</w:t>
      </w:r>
      <w:r>
        <w:rPr>
          <w:rFonts w:ascii="Times New Roman" w:hAnsi="Times New Roman" w:cs="Times New Roman"/>
        </w:rPr>
        <w:t>dant enzymes such as superoxide dismutase (SOD), peroxidase (POD), and catalase (CAT), thereby reducing reactive oxygen species (ROS) levels in plant cells. Similarly, Saha</w:t>
      </w:r>
      <w:r>
        <w:rPr>
          <w:rFonts w:ascii="Times New Roman" w:hAnsi="Times New Roman" w:cs="Times New Roman"/>
          <w:i/>
          <w:iCs/>
        </w:rPr>
        <w:t xml:space="preserve"> et al. </w:t>
      </w:r>
      <w:r>
        <w:rPr>
          <w:rFonts w:ascii="Times New Roman" w:hAnsi="Times New Roman" w:cs="Times New Roman"/>
        </w:rPr>
        <w:t>(2024) observed increased activities of POD and ascorbate peroxidase (APX) i</w:t>
      </w:r>
      <w:r>
        <w:rPr>
          <w:rFonts w:ascii="Times New Roman" w:hAnsi="Times New Roman" w:cs="Times New Roman"/>
        </w:rPr>
        <w:t xml:space="preserve">n </w:t>
      </w:r>
      <w:r>
        <w:rPr>
          <w:rFonts w:ascii="Times New Roman" w:hAnsi="Times New Roman" w:cs="Times New Roman"/>
          <w:i/>
          <w:iCs/>
        </w:rPr>
        <w:t>Trichoderma</w:t>
      </w:r>
      <w:r>
        <w:rPr>
          <w:rFonts w:ascii="Times New Roman" w:hAnsi="Times New Roman" w:cs="Times New Roman"/>
        </w:rPr>
        <w:t>-treated Indian mustard under saline conditions, which were associated with improved yield and enhanced stress tolerance.</w:t>
      </w:r>
    </w:p>
    <w:p w14:paraId="327DF474" w14:textId="77777777" w:rsidR="00F15FD7" w:rsidRDefault="00563E74">
      <w:pPr>
        <w:spacing w:line="276" w:lineRule="auto"/>
        <w:jc w:val="both"/>
        <w:rPr>
          <w:rFonts w:ascii="Times New Roman" w:hAnsi="Times New Roman" w:cs="Times New Roman"/>
        </w:rPr>
      </w:pPr>
      <w:r>
        <w:rPr>
          <w:rFonts w:ascii="Times New Roman" w:hAnsi="Times New Roman" w:cs="Times New Roman"/>
        </w:rPr>
        <w:t xml:space="preserve">Although the individual roles of biochar and </w:t>
      </w:r>
      <w:r>
        <w:rPr>
          <w:rFonts w:ascii="Times New Roman" w:hAnsi="Times New Roman" w:cs="Times New Roman"/>
          <w:i/>
          <w:iCs/>
        </w:rPr>
        <w:t>Trichoderma</w:t>
      </w:r>
      <w:r>
        <w:rPr>
          <w:rFonts w:ascii="Times New Roman" w:hAnsi="Times New Roman" w:cs="Times New Roman"/>
        </w:rPr>
        <w:t xml:space="preserve"> in improving crop performance under abiotic stress have been wid</w:t>
      </w:r>
      <w:r>
        <w:rPr>
          <w:rFonts w:ascii="Times New Roman" w:hAnsi="Times New Roman" w:cs="Times New Roman"/>
        </w:rPr>
        <w:t xml:space="preserve">ely reported, information on their combined effects under varying moisture regimes remains limited, particularly for pepper. Therefore, this study evaluated the effects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applied individually and in combination, on the g</w:t>
      </w:r>
      <w:r>
        <w:rPr>
          <w:rFonts w:ascii="Times New Roman" w:hAnsi="Times New Roman" w:cs="Times New Roman"/>
        </w:rPr>
        <w:t>rowth, yield, fruit quality, soil properties, and stress-related metabolites of pepper under different watering regimes (100%, 60%, and 40% field capacity). The findings will help provide insights into sustainable soil management strategies for improving p</w:t>
      </w:r>
      <w:r>
        <w:rPr>
          <w:rFonts w:ascii="Times New Roman" w:hAnsi="Times New Roman" w:cs="Times New Roman"/>
        </w:rPr>
        <w:t>epper productivity under water-limited conditions.</w:t>
      </w:r>
      <w:bookmarkStart w:id="1" w:name="_Toc208713642"/>
    </w:p>
    <w:p w14:paraId="2517D4D1" w14:textId="77777777" w:rsidR="00F15FD7" w:rsidRDefault="00F15FD7">
      <w:pPr>
        <w:spacing w:line="276" w:lineRule="auto"/>
        <w:jc w:val="both"/>
        <w:rPr>
          <w:rFonts w:ascii="Times New Roman" w:hAnsi="Times New Roman" w:cs="Times New Roman"/>
        </w:rPr>
      </w:pPr>
    </w:p>
    <w:p w14:paraId="1E4C2521" w14:textId="77777777" w:rsidR="00F15FD7" w:rsidRDefault="00F15FD7">
      <w:pPr>
        <w:spacing w:line="276" w:lineRule="auto"/>
        <w:jc w:val="both"/>
        <w:rPr>
          <w:rFonts w:ascii="Times New Roman" w:hAnsi="Times New Roman" w:cs="Times New Roman"/>
        </w:rPr>
      </w:pPr>
    </w:p>
    <w:p w14:paraId="6A39163D"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2.0 Materials and Methods</w:t>
      </w:r>
    </w:p>
    <w:p w14:paraId="2B17054B"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2.1 Experimental Site</w:t>
      </w:r>
    </w:p>
    <w:p w14:paraId="2D32CDA3"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The study was conducted in the screenhouse of the Department of Plant Science and Biotechnology, Adekunle Ajasin University, Akungba</w:t>
      </w:r>
      <w:r>
        <w:rPr>
          <w:rFonts w:ascii="Times New Roman" w:hAnsi="Times New Roman" w:cs="Times New Roman"/>
        </w:rPr>
        <w:noBreakHyphen/>
        <w:t>Akoko, Nigeria.</w:t>
      </w:r>
    </w:p>
    <w:p w14:paraId="1107B352"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 xml:space="preserve">2.2 </w:t>
      </w:r>
      <w:r>
        <w:rPr>
          <w:rFonts w:ascii="Times New Roman" w:hAnsi="Times New Roman" w:cs="Times New Roman"/>
          <w:b/>
          <w:bCs/>
        </w:rPr>
        <w:t>Biochar Preparation</w:t>
      </w:r>
    </w:p>
    <w:p w14:paraId="6F7700BE"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 xml:space="preserve">Biochar was produced from cow dung, poultry droppings, </w:t>
      </w:r>
      <w:r>
        <w:rPr>
          <w:rFonts w:ascii="Times New Roman" w:hAnsi="Times New Roman" w:cs="Times New Roman"/>
          <w:i/>
          <w:iCs/>
        </w:rPr>
        <w:t>Pennisetum purpureum</w:t>
      </w:r>
      <w:r>
        <w:rPr>
          <w:rFonts w:ascii="Times New Roman" w:hAnsi="Times New Roman" w:cs="Times New Roman"/>
        </w:rPr>
        <w:t xml:space="preserve"> (elephant grass), </w:t>
      </w:r>
      <w:proofErr w:type="spellStart"/>
      <w:r>
        <w:rPr>
          <w:rFonts w:ascii="Times New Roman" w:hAnsi="Times New Roman" w:cs="Times New Roman"/>
          <w:i/>
          <w:iCs/>
        </w:rPr>
        <w:t>Chromolaena</w:t>
      </w:r>
      <w:proofErr w:type="spellEnd"/>
      <w:r>
        <w:rPr>
          <w:rFonts w:ascii="Times New Roman" w:hAnsi="Times New Roman" w:cs="Times New Roman"/>
          <w:i/>
          <w:iCs/>
        </w:rPr>
        <w:t xml:space="preserve"> </w:t>
      </w:r>
      <w:proofErr w:type="spellStart"/>
      <w:r>
        <w:rPr>
          <w:rFonts w:ascii="Times New Roman" w:hAnsi="Times New Roman" w:cs="Times New Roman"/>
          <w:i/>
          <w:iCs/>
        </w:rPr>
        <w:t>odorata</w:t>
      </w:r>
      <w:proofErr w:type="spellEnd"/>
      <w:r>
        <w:rPr>
          <w:rFonts w:ascii="Times New Roman" w:hAnsi="Times New Roman" w:cs="Times New Roman"/>
        </w:rPr>
        <w:t xml:space="preserve">, and </w:t>
      </w:r>
      <w:proofErr w:type="spellStart"/>
      <w:r>
        <w:rPr>
          <w:rFonts w:ascii="Times New Roman" w:hAnsi="Times New Roman" w:cs="Times New Roman"/>
          <w:i/>
          <w:iCs/>
        </w:rPr>
        <w:t>Tithonia</w:t>
      </w:r>
      <w:proofErr w:type="spellEnd"/>
      <w:r>
        <w:rPr>
          <w:rFonts w:ascii="Times New Roman" w:hAnsi="Times New Roman" w:cs="Times New Roman"/>
          <w:i/>
          <w:iCs/>
        </w:rPr>
        <w:t xml:space="preserve"> </w:t>
      </w:r>
      <w:proofErr w:type="spellStart"/>
      <w:r>
        <w:rPr>
          <w:rFonts w:ascii="Times New Roman" w:hAnsi="Times New Roman" w:cs="Times New Roman"/>
          <w:i/>
          <w:iCs/>
        </w:rPr>
        <w:t>diversifolia</w:t>
      </w:r>
      <w:proofErr w:type="spellEnd"/>
      <w:r>
        <w:rPr>
          <w:rFonts w:ascii="Times New Roman" w:hAnsi="Times New Roman" w:cs="Times New Roman"/>
        </w:rPr>
        <w:t>. Raw materials were cleaned of debris, chopped into 2–5 cm pieces, air</w:t>
      </w:r>
      <w:r>
        <w:rPr>
          <w:rFonts w:ascii="Times New Roman" w:hAnsi="Times New Roman" w:cs="Times New Roman"/>
        </w:rPr>
        <w:noBreakHyphen/>
        <w:t>dried for 5–7 days, oven</w:t>
      </w:r>
      <w:r>
        <w:rPr>
          <w:rFonts w:ascii="Times New Roman" w:hAnsi="Times New Roman" w:cs="Times New Roman"/>
        </w:rPr>
        <w:noBreakHyphen/>
        <w:t xml:space="preserve">dried at 60–70 °C for 24–48 h to reduce moisture, ground, and sieved through a 2 mm mesh (Downie </w:t>
      </w:r>
      <w:r>
        <w:rPr>
          <w:rFonts w:ascii="Times New Roman" w:hAnsi="Times New Roman" w:cs="Times New Roman"/>
          <w:i/>
          <w:iCs/>
        </w:rPr>
        <w:t xml:space="preserve">et al., </w:t>
      </w:r>
      <w:r>
        <w:rPr>
          <w:rFonts w:ascii="Times New Roman" w:hAnsi="Times New Roman" w:cs="Times New Roman"/>
        </w:rPr>
        <w:t>2011). Equal proportions of the biomass were mixed thoroughly. Two hundred grams of the mixed biomass was placed into sealed stainless</w:t>
      </w:r>
      <w:r>
        <w:rPr>
          <w:rFonts w:ascii="Times New Roman" w:hAnsi="Times New Roman" w:cs="Times New Roman"/>
        </w:rPr>
        <w:noBreakHyphen/>
        <w:t>steel crucibles</w:t>
      </w:r>
      <w:r>
        <w:rPr>
          <w:rFonts w:ascii="Times New Roman" w:hAnsi="Times New Roman" w:cs="Times New Roman"/>
        </w:rPr>
        <w:t xml:space="preserve"> to limit oxygen and pyrolyzed in a muffle furnace at 400 °C for 1–2 h After cooling to &lt;100 °C, biochar was stored in clean airtight containers labeled with feedstock composition, pyrolysis temperature, and production date pending use. (</w:t>
      </w:r>
      <w:proofErr w:type="spellStart"/>
      <w:r>
        <w:rPr>
          <w:rFonts w:ascii="Times New Roman" w:hAnsi="Times New Roman" w:cs="Times New Roman"/>
        </w:rPr>
        <w:t>Narzari</w:t>
      </w:r>
      <w:proofErr w:type="spellEnd"/>
      <w:r>
        <w:rPr>
          <w:rFonts w:ascii="Times New Roman" w:hAnsi="Times New Roman" w:cs="Times New Roman"/>
        </w:rPr>
        <w:t xml:space="preserve"> </w:t>
      </w:r>
      <w:r>
        <w:rPr>
          <w:rFonts w:ascii="Times New Roman" w:hAnsi="Times New Roman" w:cs="Times New Roman"/>
          <w:i/>
          <w:iCs/>
        </w:rPr>
        <w:t xml:space="preserve">et al., </w:t>
      </w:r>
      <w:hyperlink r:id="rId9" w:anchor="B39" w:history="1">
        <w:r w:rsidR="00F15FD7">
          <w:rPr>
            <w:rStyle w:val="Hyperlink"/>
            <w:rFonts w:ascii="Times New Roman" w:hAnsi="Times New Roman" w:cs="Times New Roman"/>
            <w:color w:val="auto"/>
            <w:u w:val="none"/>
          </w:rPr>
          <w:t>2017</w:t>
        </w:r>
      </w:hyperlink>
      <w:r>
        <w:rPr>
          <w:rFonts w:ascii="Times New Roman" w:hAnsi="Times New Roman" w:cs="Times New Roman"/>
        </w:rPr>
        <w:t>)</w:t>
      </w:r>
    </w:p>
    <w:p w14:paraId="43645C74"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 xml:space="preserve">2.3 Isolation and Culture of </w:t>
      </w:r>
      <w:r>
        <w:rPr>
          <w:rFonts w:ascii="Times New Roman" w:hAnsi="Times New Roman" w:cs="Times New Roman"/>
          <w:b/>
          <w:bCs/>
          <w:i/>
          <w:iCs/>
        </w:rPr>
        <w:t xml:space="preserve">Trichoderma </w:t>
      </w:r>
      <w:proofErr w:type="spellStart"/>
      <w:r>
        <w:rPr>
          <w:rFonts w:ascii="Times New Roman" w:hAnsi="Times New Roman" w:cs="Times New Roman"/>
          <w:b/>
          <w:bCs/>
          <w:i/>
          <w:iCs/>
        </w:rPr>
        <w:t>harzianum</w:t>
      </w:r>
      <w:proofErr w:type="spellEnd"/>
    </w:p>
    <w:p w14:paraId="7C3BA97A"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 xml:space="preserve">Soil samples were collected from the rhizosphere of healthy plants. Serial dilutions (10⁻¹–10⁻⁶) were prepared in sterile distilled water and aliquots plated on Potato Dextrose Agar (PDA) amended with streptomycin to inhibit bacterial growth (Elad </w:t>
      </w:r>
      <w:r>
        <w:rPr>
          <w:rFonts w:ascii="Times New Roman" w:hAnsi="Times New Roman" w:cs="Times New Roman"/>
          <w:i/>
          <w:iCs/>
        </w:rPr>
        <w:t>et al.,</w:t>
      </w:r>
      <w:r>
        <w:rPr>
          <w:rFonts w:ascii="Times New Roman" w:hAnsi="Times New Roman" w:cs="Times New Roman"/>
        </w:rPr>
        <w:t xml:space="preserve"> </w:t>
      </w:r>
      <w:r>
        <w:rPr>
          <w:rFonts w:ascii="Times New Roman" w:hAnsi="Times New Roman" w:cs="Times New Roman"/>
        </w:rPr>
        <w:t xml:space="preserve">1981). Plates were incubated at 25 ± 2 °C for 5–7 days. Distinct </w:t>
      </w:r>
      <w:r>
        <w:rPr>
          <w:rFonts w:ascii="Times New Roman" w:hAnsi="Times New Roman" w:cs="Times New Roman"/>
          <w:i/>
          <w:iCs/>
        </w:rPr>
        <w:t>Trichoderma</w:t>
      </w:r>
      <w:r>
        <w:rPr>
          <w:rFonts w:ascii="Times New Roman" w:hAnsi="Times New Roman" w:cs="Times New Roman"/>
        </w:rPr>
        <w:t xml:space="preserve"> colonies were sub</w:t>
      </w:r>
      <w:r>
        <w:rPr>
          <w:rFonts w:ascii="Times New Roman" w:hAnsi="Times New Roman" w:cs="Times New Roman"/>
        </w:rPr>
        <w:noBreakHyphen/>
        <w:t>cultured via hyphal tip transfer to obtain pure isolates. Identification was based on colony morphology and microscopic features of conidiophores and conidia (Sh</w:t>
      </w:r>
      <w:r>
        <w:rPr>
          <w:rFonts w:ascii="Times New Roman" w:hAnsi="Times New Roman" w:cs="Times New Roman"/>
        </w:rPr>
        <w:t xml:space="preserve">arma and Singh, 2014). For mass culture, 5 mm mycelial discs from pure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cultures were inoculated into Potato Dextrose Broth (PDB) and incubated on a rotary shaker at 25 ± 2 °C for 7–10 days (</w:t>
      </w:r>
      <w:proofErr w:type="spellStart"/>
      <w:r>
        <w:rPr>
          <w:rFonts w:ascii="Times New Roman" w:hAnsi="Times New Roman" w:cs="Times New Roman"/>
        </w:rPr>
        <w:t>Hewavitharana</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2018). The resulting fungal bio</w:t>
      </w:r>
      <w:r>
        <w:rPr>
          <w:rFonts w:ascii="Times New Roman" w:hAnsi="Times New Roman" w:cs="Times New Roman"/>
        </w:rPr>
        <w:t>mass was harvested by filtration, washed with sterile distilled water, and prepared as a suspension containing ≥10⁶–10⁸ CFU mL⁻¹ for experimental application.</w:t>
      </w:r>
    </w:p>
    <w:p w14:paraId="17E19746"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2.4 Seed and Soil Sources</w:t>
      </w:r>
    </w:p>
    <w:p w14:paraId="447505E9"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 xml:space="preserve">The local variety of </w:t>
      </w:r>
      <w:r>
        <w:rPr>
          <w:rFonts w:ascii="Times New Roman" w:hAnsi="Times New Roman" w:cs="Times New Roman"/>
          <w:i/>
          <w:iCs/>
        </w:rPr>
        <w:t xml:space="preserve">Capsicum </w:t>
      </w:r>
      <w:proofErr w:type="spellStart"/>
      <w:r>
        <w:rPr>
          <w:rFonts w:ascii="Times New Roman" w:hAnsi="Times New Roman" w:cs="Times New Roman"/>
          <w:i/>
          <w:iCs/>
        </w:rPr>
        <w:t>chinense</w:t>
      </w:r>
      <w:proofErr w:type="spellEnd"/>
      <w:r>
        <w:rPr>
          <w:rFonts w:ascii="Times New Roman" w:hAnsi="Times New Roman" w:cs="Times New Roman"/>
        </w:rPr>
        <w:t xml:space="preserve"> (</w:t>
      </w:r>
      <w:proofErr w:type="spellStart"/>
      <w:r>
        <w:rPr>
          <w:rFonts w:ascii="Times New Roman" w:hAnsi="Times New Roman" w:cs="Times New Roman"/>
        </w:rPr>
        <w:t>Atarodo</w:t>
      </w:r>
      <w:proofErr w:type="spellEnd"/>
      <w:r>
        <w:rPr>
          <w:rFonts w:ascii="Times New Roman" w:hAnsi="Times New Roman" w:cs="Times New Roman"/>
        </w:rPr>
        <w:t>) seeds used were obtain</w:t>
      </w:r>
      <w:r>
        <w:rPr>
          <w:rFonts w:ascii="Times New Roman" w:hAnsi="Times New Roman" w:cs="Times New Roman"/>
        </w:rPr>
        <w:t xml:space="preserve">ed from a local market in </w:t>
      </w:r>
      <w:proofErr w:type="spellStart"/>
      <w:r>
        <w:rPr>
          <w:rFonts w:ascii="Times New Roman" w:hAnsi="Times New Roman" w:cs="Times New Roman"/>
        </w:rPr>
        <w:t>Akungba</w:t>
      </w:r>
      <w:r>
        <w:rPr>
          <w:rFonts w:ascii="Times New Roman" w:hAnsi="Times New Roman" w:cs="Times New Roman"/>
        </w:rPr>
        <w:noBreakHyphen/>
        <w:t>Akoko</w:t>
      </w:r>
      <w:proofErr w:type="spellEnd"/>
      <w:r>
        <w:rPr>
          <w:rFonts w:ascii="Times New Roman" w:hAnsi="Times New Roman" w:cs="Times New Roman"/>
        </w:rPr>
        <w:t>, Ondo State, Nigeria. Topsoil was collected from the experimental field of the Department of Plant Science and Biotechnology, Adekunle Ajasin University, Akungba</w:t>
      </w:r>
      <w:r>
        <w:rPr>
          <w:rFonts w:ascii="Times New Roman" w:hAnsi="Times New Roman" w:cs="Times New Roman"/>
        </w:rPr>
        <w:noBreakHyphen/>
        <w:t>Akoko, Nigeria.</w:t>
      </w:r>
    </w:p>
    <w:p w14:paraId="58709F4C"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2.5 Experimental Set</w:t>
      </w:r>
      <w:r>
        <w:rPr>
          <w:rFonts w:ascii="Times New Roman" w:hAnsi="Times New Roman" w:cs="Times New Roman"/>
          <w:b/>
          <w:bCs/>
        </w:rPr>
        <w:noBreakHyphen/>
        <w:t>Up</w:t>
      </w:r>
    </w:p>
    <w:p w14:paraId="739C16C6"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Four</w:t>
      </w:r>
      <w:r>
        <w:rPr>
          <w:rFonts w:ascii="Times New Roman" w:hAnsi="Times New Roman" w:cs="Times New Roman"/>
        </w:rPr>
        <w:noBreakHyphen/>
        <w:t>week</w:t>
      </w:r>
      <w:r>
        <w:rPr>
          <w:rFonts w:ascii="Times New Roman" w:hAnsi="Times New Roman" w:cs="Times New Roman"/>
        </w:rPr>
        <w:noBreakHyphen/>
        <w:t xml:space="preserve">old </w:t>
      </w:r>
      <w:r>
        <w:rPr>
          <w:rFonts w:ascii="Times New Roman" w:hAnsi="Times New Roman" w:cs="Times New Roman"/>
        </w:rPr>
        <w:t xml:space="preserve">seedlings were transplanted into pots containing 5 kg of the collected topsoil. Biochar (150 g) was incorporated into designated pots two weeks before transplanting. One week after transplanting,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suspension (30 mL; ≥10⁶–10⁸ CFU mL⁻¹) was appli</w:t>
      </w:r>
      <w:r>
        <w:rPr>
          <w:rFonts w:ascii="Times New Roman" w:hAnsi="Times New Roman" w:cs="Times New Roman"/>
        </w:rPr>
        <w:t xml:space="preserve">ed near the root zone of plants assigned to </w:t>
      </w:r>
      <w:r>
        <w:rPr>
          <w:rFonts w:ascii="Times New Roman" w:hAnsi="Times New Roman" w:cs="Times New Roman"/>
          <w:i/>
          <w:iCs/>
        </w:rPr>
        <w:t>Trichoderma</w:t>
      </w:r>
      <w:r>
        <w:rPr>
          <w:rFonts w:ascii="Times New Roman" w:hAnsi="Times New Roman" w:cs="Times New Roman"/>
        </w:rPr>
        <w:t xml:space="preserve"> treatments.</w:t>
      </w:r>
    </w:p>
    <w:p w14:paraId="4622A6E9"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The experiment was arranged in a Completely Randomized Design (CRD) with fourteen treatments, each replicated ten times:</w:t>
      </w:r>
    </w:p>
    <w:p w14:paraId="3A6A1196"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T1 = 100% Field Capacity</w:t>
      </w:r>
    </w:p>
    <w:p w14:paraId="12317246"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T2 = 60% Field Capacity</w:t>
      </w:r>
    </w:p>
    <w:p w14:paraId="0DF9A58C"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T3 = 40% Field Cap</w:t>
      </w:r>
      <w:r>
        <w:rPr>
          <w:rFonts w:ascii="Times New Roman" w:hAnsi="Times New Roman" w:cs="Times New Roman"/>
        </w:rPr>
        <w:t>acity</w:t>
      </w:r>
    </w:p>
    <w:p w14:paraId="3D50B597"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T4 = Biochar alone</w:t>
      </w:r>
    </w:p>
    <w:p w14:paraId="5C533181"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T5 = </w:t>
      </w:r>
      <w:r>
        <w:rPr>
          <w:rFonts w:ascii="Times New Roman" w:hAnsi="Times New Roman" w:cs="Times New Roman"/>
          <w:i/>
          <w:iCs/>
        </w:rPr>
        <w:t>Trichoderma</w:t>
      </w:r>
      <w:r>
        <w:rPr>
          <w:rFonts w:ascii="Times New Roman" w:hAnsi="Times New Roman" w:cs="Times New Roman"/>
        </w:rPr>
        <w:t xml:space="preserve"> alone</w:t>
      </w:r>
    </w:p>
    <w:p w14:paraId="7E9EFEEC"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T6 = Biochar + 100% Field Capacity</w:t>
      </w:r>
    </w:p>
    <w:p w14:paraId="34A69481"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T7 = Biochar + 60% Field Capacity</w:t>
      </w:r>
    </w:p>
    <w:p w14:paraId="759BDA93"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T8 = Biochar + 40% Field Capacity</w:t>
      </w:r>
    </w:p>
    <w:p w14:paraId="771D1EB4"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T9 = </w:t>
      </w:r>
      <w:r>
        <w:rPr>
          <w:rFonts w:ascii="Times New Roman" w:hAnsi="Times New Roman" w:cs="Times New Roman"/>
          <w:i/>
          <w:iCs/>
        </w:rPr>
        <w:t>Trichoderma</w:t>
      </w:r>
      <w:r>
        <w:rPr>
          <w:rFonts w:ascii="Times New Roman" w:hAnsi="Times New Roman" w:cs="Times New Roman"/>
        </w:rPr>
        <w:t xml:space="preserve"> + 100% Field Capacity</w:t>
      </w:r>
    </w:p>
    <w:p w14:paraId="332FCF69"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T10 = </w:t>
      </w:r>
      <w:r>
        <w:rPr>
          <w:rFonts w:ascii="Times New Roman" w:hAnsi="Times New Roman" w:cs="Times New Roman"/>
          <w:i/>
          <w:iCs/>
        </w:rPr>
        <w:t>Trichoderma</w:t>
      </w:r>
      <w:r>
        <w:rPr>
          <w:rFonts w:ascii="Times New Roman" w:hAnsi="Times New Roman" w:cs="Times New Roman"/>
        </w:rPr>
        <w:t xml:space="preserve"> + 60% Field Capacity</w:t>
      </w:r>
    </w:p>
    <w:p w14:paraId="4C34B7E6"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T11 = </w:t>
      </w:r>
      <w:r>
        <w:rPr>
          <w:rFonts w:ascii="Times New Roman" w:hAnsi="Times New Roman" w:cs="Times New Roman"/>
          <w:i/>
          <w:iCs/>
        </w:rPr>
        <w:t>Trichoderma</w:t>
      </w:r>
      <w:r>
        <w:rPr>
          <w:rFonts w:ascii="Times New Roman" w:hAnsi="Times New Roman" w:cs="Times New Roman"/>
        </w:rPr>
        <w:t xml:space="preserve"> + 40% Field Capacity</w:t>
      </w:r>
    </w:p>
    <w:p w14:paraId="1D7FDAB5"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T12 = Biochar + </w:t>
      </w:r>
      <w:r>
        <w:rPr>
          <w:rFonts w:ascii="Times New Roman" w:hAnsi="Times New Roman" w:cs="Times New Roman"/>
          <w:i/>
          <w:iCs/>
        </w:rPr>
        <w:t>Trichoderma</w:t>
      </w:r>
      <w:r>
        <w:rPr>
          <w:rFonts w:ascii="Times New Roman" w:hAnsi="Times New Roman" w:cs="Times New Roman"/>
        </w:rPr>
        <w:t xml:space="preserve"> + 100% Field Capacity</w:t>
      </w:r>
    </w:p>
    <w:p w14:paraId="4CF617A9"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t xml:space="preserve">T13 = Biochar + </w:t>
      </w:r>
      <w:r>
        <w:rPr>
          <w:rFonts w:ascii="Times New Roman" w:hAnsi="Times New Roman" w:cs="Times New Roman"/>
          <w:i/>
          <w:iCs/>
        </w:rPr>
        <w:t>Trichoderma</w:t>
      </w:r>
      <w:r>
        <w:rPr>
          <w:rFonts w:ascii="Times New Roman" w:hAnsi="Times New Roman" w:cs="Times New Roman"/>
        </w:rPr>
        <w:t xml:space="preserve"> + 60% Field Capacity</w:t>
      </w:r>
    </w:p>
    <w:p w14:paraId="17F69A4B" w14:textId="77777777" w:rsidR="00F15FD7" w:rsidRDefault="00563E74">
      <w:pPr>
        <w:numPr>
          <w:ilvl w:val="0"/>
          <w:numId w:val="2"/>
        </w:numPr>
        <w:spacing w:after="0" w:line="276" w:lineRule="auto"/>
        <w:jc w:val="both"/>
        <w:rPr>
          <w:rFonts w:ascii="Times New Roman" w:hAnsi="Times New Roman" w:cs="Times New Roman"/>
        </w:rPr>
      </w:pPr>
      <w:r>
        <w:rPr>
          <w:rFonts w:ascii="Times New Roman" w:hAnsi="Times New Roman" w:cs="Times New Roman"/>
        </w:rPr>
        <w:lastRenderedPageBreak/>
        <w:t xml:space="preserve">T14 = Biochar + </w:t>
      </w:r>
      <w:r>
        <w:rPr>
          <w:rFonts w:ascii="Times New Roman" w:hAnsi="Times New Roman" w:cs="Times New Roman"/>
          <w:i/>
          <w:iCs/>
        </w:rPr>
        <w:t>Trichoderma</w:t>
      </w:r>
      <w:r>
        <w:rPr>
          <w:rFonts w:ascii="Times New Roman" w:hAnsi="Times New Roman" w:cs="Times New Roman"/>
        </w:rPr>
        <w:t xml:space="preserve"> + 40% Field Capacity</w:t>
      </w:r>
    </w:p>
    <w:p w14:paraId="6A89F84D"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b/>
          <w:bCs/>
        </w:rPr>
        <w:t>2.6 Data collection</w:t>
      </w:r>
    </w:p>
    <w:p w14:paraId="4A077FA2" w14:textId="77777777" w:rsidR="00F15FD7" w:rsidRDefault="00563E74">
      <w:pPr>
        <w:spacing w:after="0" w:line="276" w:lineRule="auto"/>
        <w:ind w:left="180"/>
        <w:jc w:val="both"/>
        <w:rPr>
          <w:rFonts w:ascii="Times New Roman" w:hAnsi="Times New Roman" w:cs="Times New Roman"/>
        </w:rPr>
      </w:pPr>
      <w:r>
        <w:rPr>
          <w:rFonts w:ascii="Times New Roman" w:hAnsi="Times New Roman" w:cs="Times New Roman"/>
        </w:rPr>
        <w:t>Plant height was measured from the surface of the soil to the plan</w:t>
      </w:r>
      <w:r>
        <w:rPr>
          <w:rFonts w:ascii="Times New Roman" w:hAnsi="Times New Roman" w:cs="Times New Roman"/>
        </w:rPr>
        <w:t>t apical bud using a meter rule. Stem girth was measured at the 2 cm point from the base of the plants using a digital vernier caliper (model 0-200 mm). Leaf length and breadth were measured using a meter rule, and leaf area was calculated. The number of l</w:t>
      </w:r>
      <w:r>
        <w:rPr>
          <w:rFonts w:ascii="Times New Roman" w:hAnsi="Times New Roman" w:cs="Times New Roman"/>
        </w:rPr>
        <w:t>eaves were counted manually on each plant. Root growth was determined by measuring the root length using a meter rule after uprooting, and the number of roots was counted manually. Fresh and dry mass of plant parts were assessed using an electronic weighin</w:t>
      </w:r>
      <w:r>
        <w:rPr>
          <w:rFonts w:ascii="Times New Roman" w:hAnsi="Times New Roman" w:cs="Times New Roman"/>
        </w:rPr>
        <w:t xml:space="preserve">g balance. </w:t>
      </w:r>
    </w:p>
    <w:p w14:paraId="1CB845A4"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2.7 Chlorophyll Content Analysis</w:t>
      </w:r>
    </w:p>
    <w:p w14:paraId="64546B9C" w14:textId="77777777" w:rsidR="00F15FD7" w:rsidRDefault="00563E74">
      <w:pPr>
        <w:ind w:left="180"/>
        <w:jc w:val="both"/>
        <w:rPr>
          <w:rFonts w:ascii="Times New Roman" w:hAnsi="Times New Roman" w:cs="Times New Roman"/>
        </w:rPr>
      </w:pPr>
      <w:r>
        <w:rPr>
          <w:rFonts w:ascii="Times New Roman" w:hAnsi="Times New Roman" w:cs="Times New Roman"/>
        </w:rPr>
        <w:t>The leaf total chlorophyll content was determined using Arnon (1949) method and calculated using the formula: Total chlorophyll= [(20.2 × D645) + (8.02 × D665)] × [50/1000] × [100/5] × ½ where D645= absorbance of the extract at 645 wave length (nm), 663= a</w:t>
      </w:r>
      <w:r>
        <w:rPr>
          <w:rFonts w:ascii="Times New Roman" w:hAnsi="Times New Roman" w:cs="Times New Roman"/>
        </w:rPr>
        <w:t xml:space="preserve">bsorbance of the extract at 663 wave length (nm). </w:t>
      </w:r>
    </w:p>
    <w:p w14:paraId="15B12102"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2.8 Fruit Quality Analyses</w:t>
      </w:r>
    </w:p>
    <w:p w14:paraId="474BFB54" w14:textId="77777777" w:rsidR="00F15FD7" w:rsidRDefault="00563E74">
      <w:pPr>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Dried fruit samples were digested using 10 ml of 20% </w:t>
      </w:r>
      <w:proofErr w:type="spellStart"/>
      <w:r>
        <w:rPr>
          <w:rFonts w:ascii="Times New Roman" w:hAnsi="Times New Roman" w:cs="Times New Roman"/>
        </w:rPr>
        <w:t>sulphuric</w:t>
      </w:r>
      <w:proofErr w:type="spellEnd"/>
      <w:r>
        <w:rPr>
          <w:rFonts w:ascii="Times New Roman" w:hAnsi="Times New Roman" w:cs="Times New Roman"/>
        </w:rPr>
        <w:t xml:space="preserve"> acid. Na + and K + were analyzed by flame photometry while Mg2+ and Ca 2+ were determined by EDTA titration (AOA</w:t>
      </w:r>
      <w:r>
        <w:rPr>
          <w:rFonts w:ascii="Times New Roman" w:hAnsi="Times New Roman" w:cs="Times New Roman"/>
        </w:rPr>
        <w:t>C, 1990). The proximate composition was also assayed using the standard laboratory procedures by AOAC (1990).</w:t>
      </w:r>
    </w:p>
    <w:p w14:paraId="48F5A8CC"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2.9 Determination of Antioxidant Enzyme Activities</w:t>
      </w:r>
    </w:p>
    <w:p w14:paraId="13596770" w14:textId="77777777" w:rsidR="00F15FD7" w:rsidRDefault="00563E74">
      <w:pPr>
        <w:spacing w:after="0" w:line="278" w:lineRule="auto"/>
        <w:jc w:val="both"/>
        <w:rPr>
          <w:rFonts w:ascii="Times New Roman" w:hAnsi="Times New Roman" w:cs="Times New Roman"/>
        </w:rPr>
      </w:pPr>
      <w:r>
        <w:rPr>
          <w:rFonts w:ascii="Times New Roman" w:hAnsi="Times New Roman" w:cs="Times New Roman"/>
        </w:rPr>
        <w:t>Leaf samples were immediately frozen in liquid nitrogen, freeze-dried, and stored at −80 °C unt</w:t>
      </w:r>
      <w:r>
        <w:rPr>
          <w:rFonts w:ascii="Times New Roman" w:hAnsi="Times New Roman" w:cs="Times New Roman"/>
        </w:rPr>
        <w:t>il analysis. About 25 mg of sample was homogenized in 50 mM sodium phosphate buffer (pH 7.8) and centrifuged at 15,000 × g for 20 min at 4 °C. The resulting supernatant was used as the enzyme extract. The activities of superoxide dismutase (SOD) were deter</w:t>
      </w:r>
      <w:r>
        <w:rPr>
          <w:rFonts w:ascii="Times New Roman" w:hAnsi="Times New Roman" w:cs="Times New Roman"/>
        </w:rPr>
        <w:t>mined using the method proposed by (</w:t>
      </w:r>
      <w:proofErr w:type="spellStart"/>
      <w:r>
        <w:rPr>
          <w:rFonts w:ascii="Times New Roman" w:hAnsi="Times New Roman" w:cs="Times New Roman"/>
        </w:rPr>
        <w:t>Giannopolitis</w:t>
      </w:r>
      <w:proofErr w:type="spellEnd"/>
      <w:r>
        <w:rPr>
          <w:rFonts w:ascii="Times New Roman" w:hAnsi="Times New Roman" w:cs="Times New Roman"/>
        </w:rPr>
        <w:t xml:space="preserve"> and </w:t>
      </w:r>
      <w:proofErr w:type="spellStart"/>
      <w:r>
        <w:rPr>
          <w:rFonts w:ascii="Times New Roman" w:hAnsi="Times New Roman" w:cs="Times New Roman"/>
        </w:rPr>
        <w:t>Ries</w:t>
      </w:r>
      <w:proofErr w:type="spellEnd"/>
      <w:r>
        <w:rPr>
          <w:rFonts w:ascii="Times New Roman" w:hAnsi="Times New Roman" w:cs="Times New Roman"/>
        </w:rPr>
        <w:t>, 1988) by measuring the inhibition of nitro blue tetrazolium (NBT) reduction at 560 nm. One unit of SOD activity corresponded to 50% inhibition of NBT reduction. Peroxidase (POD) and catalase (CAT)</w:t>
      </w:r>
      <w:r>
        <w:rPr>
          <w:rFonts w:ascii="Times New Roman" w:hAnsi="Times New Roman" w:cs="Times New Roman"/>
        </w:rPr>
        <w:t xml:space="preserve"> activities were determined following the method of (Zhang and </w:t>
      </w:r>
      <w:r>
        <w:t>Kirkham, 1994)</w:t>
      </w:r>
      <w:r>
        <w:rPr>
          <w:rFonts w:ascii="Times New Roman" w:hAnsi="Times New Roman" w:cs="Times New Roman"/>
        </w:rPr>
        <w:t>. POD activity was measured from the increase in absorbance at 470 nm due to guaiacol oxidation, while CAT activity was determined from the decrease in absorbance at 240 nm result</w:t>
      </w:r>
      <w:r>
        <w:rPr>
          <w:rFonts w:ascii="Times New Roman" w:hAnsi="Times New Roman" w:cs="Times New Roman"/>
        </w:rPr>
        <w:t>ing from H₂O₂ decomposition. Ascorbate peroxidase (APX) activity was assayed according to the method of (Nakano and Asada, 1981) by monitoring the decline in absorbance at 290 nm due to ascorbate oxidation.</w:t>
      </w:r>
    </w:p>
    <w:p w14:paraId="67E1F88B" w14:textId="77777777" w:rsidR="00F15FD7" w:rsidRDefault="00563E74">
      <w:pPr>
        <w:spacing w:line="278" w:lineRule="auto"/>
        <w:rPr>
          <w:rFonts w:ascii="Times New Roman" w:hAnsi="Times New Roman" w:cs="Times New Roman"/>
          <w:b/>
          <w:bCs/>
        </w:rPr>
      </w:pPr>
      <w:r>
        <w:rPr>
          <w:rFonts w:ascii="Times New Roman" w:hAnsi="Times New Roman" w:cs="Times New Roman"/>
          <w:b/>
          <w:bCs/>
        </w:rPr>
        <w:t xml:space="preserve">2.10 Determination of Proline and </w:t>
      </w:r>
      <w:r>
        <w:rPr>
          <w:rFonts w:ascii="Times New Roman" w:eastAsia="Times New Roman" w:hAnsi="Times New Roman" w:cs="Times New Roman"/>
          <w:b/>
          <w:bCs/>
        </w:rPr>
        <w:t>Total phenolics</w:t>
      </w:r>
      <w:r>
        <w:rPr>
          <w:rFonts w:ascii="Times New Roman" w:hAnsi="Times New Roman" w:cs="Times New Roman"/>
          <w:b/>
          <w:bCs/>
        </w:rPr>
        <w:t xml:space="preserve"> Content</w:t>
      </w:r>
    </w:p>
    <w:p w14:paraId="6308E9ED" w14:textId="77777777" w:rsidR="00F15FD7" w:rsidRDefault="00563E74">
      <w:pPr>
        <w:spacing w:after="0" w:line="278" w:lineRule="auto"/>
        <w:jc w:val="both"/>
        <w:rPr>
          <w:rFonts w:ascii="Times New Roman" w:hAnsi="Times New Roman" w:cs="Times New Roman"/>
        </w:rPr>
      </w:pPr>
      <w:r>
        <w:rPr>
          <w:rFonts w:ascii="Times New Roman" w:hAnsi="Times New Roman" w:cs="Times New Roman"/>
        </w:rPr>
        <w:t xml:space="preserve">Proline concentration was determined by following the method of Bates </w:t>
      </w:r>
      <w:r>
        <w:rPr>
          <w:rFonts w:ascii="Times New Roman" w:hAnsi="Times New Roman" w:cs="Times New Roman"/>
          <w:i/>
          <w:iCs/>
        </w:rPr>
        <w:t>et al.</w:t>
      </w:r>
      <w:r>
        <w:rPr>
          <w:rFonts w:ascii="Times New Roman" w:hAnsi="Times New Roman" w:cs="Times New Roman"/>
        </w:rPr>
        <w:t xml:space="preserve"> (1973). Approximately 25 mg of freeze-dried plant material was homogenized in 10 mL sulfosalicylic acid (3%) and filtered through Whatman’s filter paper. Two milliliters </w:t>
      </w:r>
      <w:r>
        <w:rPr>
          <w:rFonts w:ascii="Times New Roman" w:hAnsi="Times New Roman" w:cs="Times New Roman"/>
        </w:rPr>
        <w:t xml:space="preserve">of the filtrate was mixed with a similar amount (2 mL) of acid-ninhydrin and glacial acetic acid. The mixture was heated for 1 h at 100 °C and cooled immediately on an ice bath. The reaction mixture was extracted with toluene (4 mL). The upper chromophore </w:t>
      </w:r>
      <w:r>
        <w:rPr>
          <w:rFonts w:ascii="Times New Roman" w:hAnsi="Times New Roman" w:cs="Times New Roman"/>
        </w:rPr>
        <w:t>layer (upper layer) was aspirated and cooled to room temperature. The absorbance was taken at 520 nm with a UV-Vis spectrophotometer and calculations were done by using an appropriate proline standard curve</w:t>
      </w:r>
    </w:p>
    <w:p w14:paraId="6803057B" w14:textId="77777777" w:rsidR="00F15FD7" w:rsidRDefault="00563E74">
      <w:pPr>
        <w:spacing w:after="0" w:line="278" w:lineRule="auto"/>
        <w:jc w:val="both"/>
        <w:rPr>
          <w:rFonts w:ascii="Times New Roman" w:hAnsi="Times New Roman" w:cs="Times New Roman"/>
        </w:rPr>
      </w:pPr>
      <w:r>
        <w:rPr>
          <w:rFonts w:ascii="Times New Roman" w:hAnsi="Times New Roman" w:cs="Times New Roman"/>
        </w:rPr>
        <w:t>Total phenolic content (TPC) was determined using</w:t>
      </w:r>
      <w:r>
        <w:rPr>
          <w:rFonts w:ascii="Times New Roman" w:hAnsi="Times New Roman" w:cs="Times New Roman"/>
        </w:rPr>
        <w:t xml:space="preserve"> the </w:t>
      </w:r>
      <w:proofErr w:type="spellStart"/>
      <w:r>
        <w:rPr>
          <w:rFonts w:ascii="Times New Roman" w:hAnsi="Times New Roman" w:cs="Times New Roman"/>
        </w:rPr>
        <w:t>Folin</w:t>
      </w:r>
      <w:proofErr w:type="spellEnd"/>
      <w:r>
        <w:rPr>
          <w:rFonts w:ascii="Times New Roman" w:hAnsi="Times New Roman" w:cs="Times New Roman"/>
        </w:rPr>
        <w:t>–</w:t>
      </w:r>
      <w:proofErr w:type="spellStart"/>
      <w:r>
        <w:rPr>
          <w:rFonts w:ascii="Times New Roman" w:hAnsi="Times New Roman" w:cs="Times New Roman"/>
        </w:rPr>
        <w:t>Ciocalteu</w:t>
      </w:r>
      <w:proofErr w:type="spellEnd"/>
      <w:r>
        <w:rPr>
          <w:rFonts w:ascii="Times New Roman" w:hAnsi="Times New Roman" w:cs="Times New Roman"/>
        </w:rPr>
        <w:t xml:space="preserve"> method described by (</w:t>
      </w:r>
      <w:r>
        <w:t xml:space="preserve">Rizvi </w:t>
      </w:r>
      <w:r>
        <w:rPr>
          <w:i/>
          <w:iCs/>
        </w:rPr>
        <w:t>et al.,</w:t>
      </w:r>
      <w:r>
        <w:t xml:space="preserve"> 2023</w:t>
      </w:r>
      <w:r>
        <w:rPr>
          <w:rFonts w:ascii="Times New Roman" w:hAnsi="Times New Roman" w:cs="Times New Roman"/>
        </w:rPr>
        <w:t xml:space="preserve">). The reaction mixture contained 1 mL of sample, 200 µL of </w:t>
      </w:r>
      <w:proofErr w:type="spellStart"/>
      <w:r>
        <w:rPr>
          <w:rFonts w:ascii="Times New Roman" w:hAnsi="Times New Roman" w:cs="Times New Roman"/>
        </w:rPr>
        <w:t>Folin</w:t>
      </w:r>
      <w:proofErr w:type="spellEnd"/>
      <w:r>
        <w:rPr>
          <w:rFonts w:ascii="Times New Roman" w:hAnsi="Times New Roman" w:cs="Times New Roman"/>
        </w:rPr>
        <w:t>–</w:t>
      </w:r>
      <w:proofErr w:type="spellStart"/>
      <w:r>
        <w:rPr>
          <w:rFonts w:ascii="Times New Roman" w:hAnsi="Times New Roman" w:cs="Times New Roman"/>
        </w:rPr>
        <w:t>Ciocalteu</w:t>
      </w:r>
      <w:proofErr w:type="spellEnd"/>
      <w:r>
        <w:rPr>
          <w:rFonts w:ascii="Times New Roman" w:hAnsi="Times New Roman" w:cs="Times New Roman"/>
        </w:rPr>
        <w:t xml:space="preserve"> reagent (1 N), and 1.8 mL of distilled water. After 3 min, 400 µL of 10% </w:t>
      </w:r>
      <w:proofErr w:type="spellStart"/>
      <w:r>
        <w:rPr>
          <w:rFonts w:ascii="Times New Roman" w:hAnsi="Times New Roman" w:cs="Times New Roman"/>
        </w:rPr>
        <w:t>Na₂CO</w:t>
      </w:r>
      <w:proofErr w:type="spellEnd"/>
      <w:r>
        <w:rPr>
          <w:rFonts w:ascii="Times New Roman" w:hAnsi="Times New Roman" w:cs="Times New Roman"/>
        </w:rPr>
        <w:t>₃ was added, followed by 600 µL of distill</w:t>
      </w:r>
      <w:r>
        <w:rPr>
          <w:rFonts w:ascii="Times New Roman" w:hAnsi="Times New Roman" w:cs="Times New Roman"/>
        </w:rPr>
        <w:t xml:space="preserve">ed water to bring the final volume to 4 </w:t>
      </w:r>
      <w:proofErr w:type="spellStart"/>
      <w:r>
        <w:rPr>
          <w:rFonts w:ascii="Times New Roman" w:hAnsi="Times New Roman" w:cs="Times New Roman"/>
        </w:rPr>
        <w:t>mL.</w:t>
      </w:r>
      <w:proofErr w:type="spellEnd"/>
      <w:r>
        <w:rPr>
          <w:rFonts w:ascii="Times New Roman" w:hAnsi="Times New Roman" w:cs="Times New Roman"/>
        </w:rPr>
        <w:t xml:space="preserve"> The mixture was incubated at room temperature for 1 h, and absorbance was measured at 725 nm. Total phenolic content was calculated using a gallic acid standard curve and expressed as µg g⁻¹ dry weight.</w:t>
      </w:r>
    </w:p>
    <w:p w14:paraId="56F63E76" w14:textId="77777777" w:rsidR="00F15FD7" w:rsidRDefault="00F15FD7">
      <w:pPr>
        <w:spacing w:after="0" w:line="278" w:lineRule="auto"/>
        <w:jc w:val="both"/>
        <w:rPr>
          <w:rFonts w:ascii="Times New Roman" w:hAnsi="Times New Roman" w:cs="Times New Roman"/>
        </w:rPr>
      </w:pPr>
    </w:p>
    <w:p w14:paraId="3FC71B98" w14:textId="77777777" w:rsidR="00F15FD7" w:rsidRDefault="00563E74">
      <w:pPr>
        <w:jc w:val="both"/>
        <w:rPr>
          <w:rFonts w:ascii="Times New Roman" w:hAnsi="Times New Roman" w:cs="Times New Roman"/>
          <w:b/>
          <w:bCs/>
        </w:rPr>
      </w:pPr>
      <w:r>
        <w:rPr>
          <w:rFonts w:ascii="Times New Roman" w:hAnsi="Times New Roman" w:cs="Times New Roman"/>
          <w:b/>
          <w:bCs/>
        </w:rPr>
        <w:t>2.11 Soi</w:t>
      </w:r>
      <w:r>
        <w:rPr>
          <w:rFonts w:ascii="Times New Roman" w:hAnsi="Times New Roman" w:cs="Times New Roman"/>
          <w:b/>
          <w:bCs/>
        </w:rPr>
        <w:t>l Analysis</w:t>
      </w:r>
    </w:p>
    <w:p w14:paraId="547A712E" w14:textId="77777777" w:rsidR="00F15FD7" w:rsidRDefault="00563E74">
      <w:pPr>
        <w:jc w:val="both"/>
        <w:rPr>
          <w:rFonts w:ascii="Times New Roman" w:hAnsi="Times New Roman" w:cs="Times New Roman"/>
        </w:rPr>
      </w:pPr>
      <w:r>
        <w:rPr>
          <w:rFonts w:ascii="Times New Roman" w:hAnsi="Times New Roman" w:cs="Times New Roman"/>
        </w:rPr>
        <w:t>Soil pH was determined using a Metro pH meter (Model E250). Soil particle size was determined using the hydrometer method (</w:t>
      </w:r>
      <w:proofErr w:type="spellStart"/>
      <w:r>
        <w:rPr>
          <w:rFonts w:ascii="Times New Roman" w:hAnsi="Times New Roman" w:cs="Times New Roman"/>
        </w:rPr>
        <w:t>Bouyoucos</w:t>
      </w:r>
      <w:proofErr w:type="spellEnd"/>
      <w:r>
        <w:rPr>
          <w:rFonts w:ascii="Times New Roman" w:hAnsi="Times New Roman" w:cs="Times New Roman"/>
        </w:rPr>
        <w:t>, 1962). Cation exchange capacity (CEC) was determined by the ammonium saturation method (Jackson, 1968). Organic</w:t>
      </w:r>
      <w:r>
        <w:rPr>
          <w:rFonts w:ascii="Times New Roman" w:hAnsi="Times New Roman" w:cs="Times New Roman"/>
        </w:rPr>
        <w:t xml:space="preserve"> matter was determined by the wet oxidation method </w:t>
      </w:r>
      <w:r>
        <w:rPr>
          <w:rFonts w:ascii="Times New Roman" w:hAnsi="Times New Roman" w:cs="Times New Roman"/>
        </w:rPr>
        <w:lastRenderedPageBreak/>
        <w:t xml:space="preserve">(Walkley and Black, 1934). The determinations of K and Na were carried out using flame photometry, while Ca and Mg were determined by the </w:t>
      </w:r>
      <w:proofErr w:type="spellStart"/>
      <w:r>
        <w:rPr>
          <w:rFonts w:ascii="Times New Roman" w:hAnsi="Times New Roman" w:cs="Times New Roman"/>
        </w:rPr>
        <w:t>versenate</w:t>
      </w:r>
      <w:proofErr w:type="spellEnd"/>
      <w:r>
        <w:rPr>
          <w:rFonts w:ascii="Times New Roman" w:hAnsi="Times New Roman" w:cs="Times New Roman"/>
        </w:rPr>
        <w:t xml:space="preserve"> or EDTA method. Soil available phosphorus was determined </w:t>
      </w:r>
      <w:r>
        <w:rPr>
          <w:rFonts w:ascii="Times New Roman" w:hAnsi="Times New Roman" w:cs="Times New Roman"/>
        </w:rPr>
        <w:t xml:space="preserve">using the Olsen and </w:t>
      </w:r>
      <w:proofErr w:type="spellStart"/>
      <w:r>
        <w:rPr>
          <w:rFonts w:ascii="Times New Roman" w:hAnsi="Times New Roman" w:cs="Times New Roman"/>
        </w:rPr>
        <w:t>Mehlich</w:t>
      </w:r>
      <w:proofErr w:type="spellEnd"/>
      <w:r>
        <w:rPr>
          <w:rFonts w:ascii="Times New Roman" w:hAnsi="Times New Roman" w:cs="Times New Roman"/>
        </w:rPr>
        <w:t xml:space="preserve"> method (</w:t>
      </w:r>
      <w:proofErr w:type="spellStart"/>
      <w:r>
        <w:rPr>
          <w:rFonts w:ascii="Times New Roman" w:hAnsi="Times New Roman" w:cs="Times New Roman"/>
        </w:rPr>
        <w:t>Iatrou</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2014). Microbial loads in the soil were determined by the standard spread-plate dilution method described by (Seeley and Vandemark, 1981).</w:t>
      </w:r>
    </w:p>
    <w:p w14:paraId="7854DF2E" w14:textId="77777777" w:rsidR="00F15FD7" w:rsidRDefault="00563E74">
      <w:pPr>
        <w:spacing w:after="0" w:line="276" w:lineRule="auto"/>
        <w:jc w:val="both"/>
        <w:rPr>
          <w:rFonts w:ascii="Times New Roman" w:hAnsi="Times New Roman" w:cs="Times New Roman"/>
          <w:b/>
          <w:bCs/>
        </w:rPr>
      </w:pPr>
      <w:r>
        <w:rPr>
          <w:rFonts w:ascii="Times New Roman" w:hAnsi="Times New Roman" w:cs="Times New Roman"/>
          <w:b/>
          <w:bCs/>
        </w:rPr>
        <w:t>2.12 Statistical Analysis</w:t>
      </w:r>
    </w:p>
    <w:p w14:paraId="6B02D002" w14:textId="77777777" w:rsidR="00F15FD7" w:rsidRDefault="00563E74">
      <w:pPr>
        <w:spacing w:after="0" w:line="276" w:lineRule="auto"/>
        <w:jc w:val="both"/>
        <w:rPr>
          <w:rFonts w:ascii="Times New Roman" w:hAnsi="Times New Roman" w:cs="Times New Roman"/>
        </w:rPr>
      </w:pPr>
      <w:r>
        <w:rPr>
          <w:rFonts w:ascii="Times New Roman" w:hAnsi="Times New Roman" w:cs="Times New Roman"/>
        </w:rPr>
        <w:t>All data were analyzed using SPSS softwa</w:t>
      </w:r>
      <w:r>
        <w:rPr>
          <w:rFonts w:ascii="Times New Roman" w:hAnsi="Times New Roman" w:cs="Times New Roman"/>
        </w:rPr>
        <w:t>re. Treatment means were separated using Tukey’s Honest Significant Difference (HSD) test at a 5% level of significance.</w:t>
      </w:r>
    </w:p>
    <w:p w14:paraId="65F2D6EF" w14:textId="77777777" w:rsidR="00F15FD7" w:rsidRDefault="00F15FD7">
      <w:pPr>
        <w:spacing w:after="0" w:line="276" w:lineRule="auto"/>
        <w:jc w:val="both"/>
        <w:rPr>
          <w:rFonts w:ascii="Times New Roman" w:hAnsi="Times New Roman" w:cs="Times New Roman"/>
        </w:rPr>
      </w:pPr>
    </w:p>
    <w:p w14:paraId="302C728E" w14:textId="77777777" w:rsidR="00F15FD7" w:rsidRDefault="00563E74">
      <w:pPr>
        <w:pStyle w:val="Caption"/>
        <w:tabs>
          <w:tab w:val="left" w:pos="2880"/>
        </w:tabs>
        <w:spacing w:line="276" w:lineRule="auto"/>
        <w:rPr>
          <w:rFonts w:cs="Times New Roman"/>
          <w:sz w:val="22"/>
          <w:szCs w:val="22"/>
        </w:rPr>
      </w:pPr>
      <w:r>
        <w:rPr>
          <w:rFonts w:cs="Times New Roman"/>
          <w:sz w:val="22"/>
          <w:szCs w:val="22"/>
        </w:rPr>
        <w:t xml:space="preserve">3.0 RESULTS </w:t>
      </w:r>
    </w:p>
    <w:p w14:paraId="3433825C" w14:textId="77777777" w:rsidR="00F15FD7" w:rsidRDefault="00563E74">
      <w:pPr>
        <w:jc w:val="both"/>
        <w:rPr>
          <w:rFonts w:ascii="Times New Roman" w:hAnsi="Times New Roman" w:cs="Times New Roman"/>
          <w:b/>
          <w:bCs/>
        </w:rPr>
      </w:pPr>
      <w:r>
        <w:rPr>
          <w:rFonts w:ascii="Times New Roman" w:hAnsi="Times New Roman" w:cs="Times New Roman"/>
          <w:b/>
          <w:bCs/>
        </w:rPr>
        <w:t>3.1. Physicochemical properties of biochar produced</w:t>
      </w:r>
    </w:p>
    <w:p w14:paraId="371CD5EB" w14:textId="77777777" w:rsidR="00F15FD7" w:rsidRDefault="00563E74">
      <w:pPr>
        <w:jc w:val="both"/>
        <w:rPr>
          <w:rFonts w:ascii="Times New Roman" w:hAnsi="Times New Roman" w:cs="Times New Roman"/>
        </w:rPr>
      </w:pPr>
      <w:r>
        <w:rPr>
          <w:rFonts w:ascii="Times New Roman" w:hAnsi="Times New Roman" w:cs="Times New Roman"/>
        </w:rPr>
        <w:t xml:space="preserve">Table 1 shows the physicochemical properties of the biochar produced. The biochar had a pH of 9.50, indicating that it is alkaline. The cation exchange capacity (CEC) was 35.54 </w:t>
      </w:r>
      <w:proofErr w:type="spellStart"/>
      <w:r>
        <w:rPr>
          <w:rFonts w:ascii="Times New Roman" w:hAnsi="Times New Roman" w:cs="Times New Roman"/>
        </w:rPr>
        <w:t>cmol</w:t>
      </w:r>
      <w:proofErr w:type="spellEnd"/>
      <w:r>
        <w:rPr>
          <w:rFonts w:ascii="Times New Roman" w:hAnsi="Times New Roman" w:cs="Times New Roman"/>
        </w:rPr>
        <w:t xml:space="preserve"> kg⁻¹, while the carbon content was 33.18 g kg⁻¹ with a carbon-to-nitrogen </w:t>
      </w:r>
      <w:r>
        <w:rPr>
          <w:rFonts w:ascii="Times New Roman" w:hAnsi="Times New Roman" w:cs="Times New Roman"/>
        </w:rPr>
        <w:t>ratio of 150:1. The concentrations of macronutrients recorded were phosphorus (0.25 g kg⁻¹), potassium (2.597 g kg⁻¹), calcium (0.43 g kg⁻¹), and magnesium (0.188 g kg⁻¹). Other elements present included sodium (0.0248 g kg⁻¹), silicon (0.0385 g kg⁻¹), iro</w:t>
      </w:r>
      <w:r>
        <w:rPr>
          <w:rFonts w:ascii="Times New Roman" w:hAnsi="Times New Roman" w:cs="Times New Roman"/>
        </w:rPr>
        <w:t>n (0.0267 g kg⁻¹), copper (0.0398 g kg⁻¹), manganese (0.1264 g kg⁻¹), zinc (0.277 g kg⁻¹), and boron (0.048 g kg⁻¹). The ash content of the biochar was 46.08 g kg⁻¹.</w:t>
      </w:r>
    </w:p>
    <w:p w14:paraId="684771AF" w14:textId="77777777" w:rsidR="00F15FD7" w:rsidRDefault="00563E74">
      <w:pPr>
        <w:spacing w:line="276" w:lineRule="auto"/>
        <w:rPr>
          <w:rFonts w:ascii="Times New Roman" w:hAnsi="Times New Roman" w:cs="Times New Roman"/>
          <w:b/>
        </w:rPr>
      </w:pPr>
      <w:r>
        <w:rPr>
          <w:rFonts w:ascii="Times New Roman" w:hAnsi="Times New Roman" w:cs="Times New Roman"/>
          <w:b/>
        </w:rPr>
        <w:t>Table 1. Physical and chemical properties of biochar used for the study</w:t>
      </w:r>
    </w:p>
    <w:tbl>
      <w:tblPr>
        <w:tblStyle w:val="LightShading2"/>
        <w:tblW w:w="0" w:type="auto"/>
        <w:tblInd w:w="-211" w:type="dxa"/>
        <w:tblLook w:val="04A0" w:firstRow="1" w:lastRow="0" w:firstColumn="1" w:lastColumn="0" w:noHBand="0" w:noVBand="1"/>
      </w:tblPr>
      <w:tblGrid>
        <w:gridCol w:w="3585"/>
        <w:gridCol w:w="1912"/>
      </w:tblGrid>
      <w:tr w:rsidR="00F15FD7" w14:paraId="4438753C" w14:textId="77777777" w:rsidTr="00F15FD7">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7E13432" w14:textId="77777777" w:rsidR="00F15FD7" w:rsidRDefault="00563E74">
            <w:pPr>
              <w:spacing w:after="0" w:line="276" w:lineRule="auto"/>
              <w:rPr>
                <w:rFonts w:ascii="Times New Roman" w:hAnsi="Times New Roman" w:cs="Times New Roman"/>
              </w:rPr>
            </w:pPr>
            <w:r>
              <w:rPr>
                <w:rFonts w:ascii="Times New Roman" w:hAnsi="Times New Roman" w:cs="Times New Roman"/>
              </w:rPr>
              <w:t>Properties</w:t>
            </w:r>
          </w:p>
        </w:tc>
        <w:tc>
          <w:tcPr>
            <w:tcW w:w="1912" w:type="dxa"/>
          </w:tcPr>
          <w:p w14:paraId="359C320A" w14:textId="77777777" w:rsidR="00F15FD7" w:rsidRDefault="00563E74">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Values</w:t>
            </w:r>
          </w:p>
        </w:tc>
      </w:tr>
      <w:tr w:rsidR="00F15FD7" w14:paraId="6815CE70"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44F66333"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 xml:space="preserve">pH </w:t>
            </w:r>
          </w:p>
        </w:tc>
        <w:tc>
          <w:tcPr>
            <w:tcW w:w="1912" w:type="dxa"/>
            <w:tcBorders>
              <w:right w:val="nil"/>
            </w:tcBorders>
          </w:tcPr>
          <w:p w14:paraId="3B4884A7"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9.50</w:t>
            </w:r>
          </w:p>
        </w:tc>
      </w:tr>
      <w:tr w:rsidR="00F15FD7" w14:paraId="20A091B8"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279D7B60"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CEC (</w:t>
            </w:r>
            <w:proofErr w:type="spellStart"/>
            <w:r>
              <w:rPr>
                <w:rFonts w:ascii="Times New Roman" w:hAnsi="Times New Roman" w:cs="Times New Roman"/>
                <w:b w:val="0"/>
              </w:rPr>
              <w:t>cmol</w:t>
            </w:r>
            <w:proofErr w:type="spellEnd"/>
            <w:r>
              <w:rPr>
                <w:rFonts w:ascii="Times New Roman" w:hAnsi="Times New Roman" w:cs="Times New Roman"/>
                <w:b w:val="0"/>
              </w:rPr>
              <w:t>/kg)</w:t>
            </w:r>
          </w:p>
        </w:tc>
        <w:tc>
          <w:tcPr>
            <w:tcW w:w="1912" w:type="dxa"/>
          </w:tcPr>
          <w:p w14:paraId="5F92DFCC"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35.54</w:t>
            </w:r>
          </w:p>
        </w:tc>
      </w:tr>
      <w:tr w:rsidR="00F15FD7" w14:paraId="20979C6F"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4B02F5F1"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Carbon (g/kg)</w:t>
            </w:r>
          </w:p>
        </w:tc>
        <w:tc>
          <w:tcPr>
            <w:tcW w:w="1912" w:type="dxa"/>
            <w:tcBorders>
              <w:right w:val="nil"/>
            </w:tcBorders>
          </w:tcPr>
          <w:p w14:paraId="4BA1FDEF"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33.18</w:t>
            </w:r>
          </w:p>
        </w:tc>
      </w:tr>
      <w:tr w:rsidR="00F15FD7" w14:paraId="137E95CC"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7359034C"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Carbon/Nitrogen ratio</w:t>
            </w:r>
          </w:p>
        </w:tc>
        <w:tc>
          <w:tcPr>
            <w:tcW w:w="1912" w:type="dxa"/>
          </w:tcPr>
          <w:p w14:paraId="38E0648F"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150:1</w:t>
            </w:r>
          </w:p>
        </w:tc>
      </w:tr>
      <w:tr w:rsidR="00F15FD7" w14:paraId="79010665"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7A457066"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P (g/kg)</w:t>
            </w:r>
          </w:p>
        </w:tc>
        <w:tc>
          <w:tcPr>
            <w:tcW w:w="1912" w:type="dxa"/>
            <w:tcBorders>
              <w:right w:val="nil"/>
            </w:tcBorders>
          </w:tcPr>
          <w:p w14:paraId="54F5E939"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p>
        </w:tc>
      </w:tr>
      <w:tr w:rsidR="00F15FD7" w14:paraId="6686A2D1"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375F56F7"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K (g/kg)</w:t>
            </w:r>
          </w:p>
        </w:tc>
        <w:tc>
          <w:tcPr>
            <w:tcW w:w="1912" w:type="dxa"/>
          </w:tcPr>
          <w:p w14:paraId="5F980863"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2.597</w:t>
            </w:r>
          </w:p>
        </w:tc>
      </w:tr>
      <w:tr w:rsidR="00F15FD7" w14:paraId="2903306F"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5621187F"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Ca (g/kg)</w:t>
            </w:r>
          </w:p>
        </w:tc>
        <w:tc>
          <w:tcPr>
            <w:tcW w:w="1912" w:type="dxa"/>
            <w:tcBorders>
              <w:right w:val="nil"/>
            </w:tcBorders>
          </w:tcPr>
          <w:p w14:paraId="4EB5A18B"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w:t>
            </w:r>
          </w:p>
        </w:tc>
      </w:tr>
      <w:tr w:rsidR="00F15FD7" w14:paraId="3D3F9225"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3585" w:type="dxa"/>
          </w:tcPr>
          <w:p w14:paraId="7A65CB1E"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Mg (g/kg)</w:t>
            </w:r>
          </w:p>
        </w:tc>
        <w:tc>
          <w:tcPr>
            <w:tcW w:w="1912" w:type="dxa"/>
          </w:tcPr>
          <w:p w14:paraId="2E2E31F7"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0.188</w:t>
            </w:r>
          </w:p>
        </w:tc>
      </w:tr>
      <w:tr w:rsidR="00F15FD7" w14:paraId="00D57E5B"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4AD65EDF"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Na (g/kg)</w:t>
            </w:r>
          </w:p>
        </w:tc>
        <w:tc>
          <w:tcPr>
            <w:tcW w:w="1912" w:type="dxa"/>
            <w:tcBorders>
              <w:right w:val="nil"/>
            </w:tcBorders>
          </w:tcPr>
          <w:p w14:paraId="1D026B27"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0.0248</w:t>
            </w:r>
          </w:p>
        </w:tc>
      </w:tr>
      <w:tr w:rsidR="00F15FD7" w14:paraId="1B0EA9A8"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95D0B9A"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Si (g/kg)</w:t>
            </w:r>
          </w:p>
        </w:tc>
        <w:tc>
          <w:tcPr>
            <w:tcW w:w="1912" w:type="dxa"/>
          </w:tcPr>
          <w:p w14:paraId="2192E2AC"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0.0385</w:t>
            </w:r>
          </w:p>
        </w:tc>
      </w:tr>
      <w:tr w:rsidR="00F15FD7" w14:paraId="379D021B"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1C8F409A"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Fe (g/kg)</w:t>
            </w:r>
          </w:p>
        </w:tc>
        <w:tc>
          <w:tcPr>
            <w:tcW w:w="1912" w:type="dxa"/>
            <w:tcBorders>
              <w:right w:val="nil"/>
            </w:tcBorders>
          </w:tcPr>
          <w:p w14:paraId="3EAE165F"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0.0267</w:t>
            </w:r>
          </w:p>
        </w:tc>
      </w:tr>
      <w:tr w:rsidR="00F15FD7" w14:paraId="0819730B"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D66A1D3"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Cu (g/kg)</w:t>
            </w:r>
          </w:p>
        </w:tc>
        <w:tc>
          <w:tcPr>
            <w:tcW w:w="1912" w:type="dxa"/>
          </w:tcPr>
          <w:p w14:paraId="055AD13B"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0.0398</w:t>
            </w:r>
          </w:p>
        </w:tc>
      </w:tr>
      <w:tr w:rsidR="00F15FD7" w14:paraId="4F053DF8"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535F1FB9"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Mn (g/kg)</w:t>
            </w:r>
          </w:p>
        </w:tc>
        <w:tc>
          <w:tcPr>
            <w:tcW w:w="1912" w:type="dxa"/>
            <w:tcBorders>
              <w:right w:val="nil"/>
            </w:tcBorders>
          </w:tcPr>
          <w:p w14:paraId="0350D4ED"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0.1264</w:t>
            </w:r>
          </w:p>
        </w:tc>
      </w:tr>
      <w:tr w:rsidR="00F15FD7" w14:paraId="62F7BC41"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172743F1"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Zn (g/kg)</w:t>
            </w:r>
          </w:p>
        </w:tc>
        <w:tc>
          <w:tcPr>
            <w:tcW w:w="1912" w:type="dxa"/>
          </w:tcPr>
          <w:p w14:paraId="58662DCB"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0.277</w:t>
            </w:r>
          </w:p>
        </w:tc>
      </w:tr>
      <w:tr w:rsidR="00F15FD7" w14:paraId="109694D4"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Borders>
              <w:left w:val="nil"/>
              <w:right w:val="nil"/>
            </w:tcBorders>
          </w:tcPr>
          <w:p w14:paraId="54FDFEF3"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 xml:space="preserve">B </w:t>
            </w:r>
            <w:r>
              <w:rPr>
                <w:rFonts w:ascii="Times New Roman" w:hAnsi="Times New Roman" w:cs="Times New Roman"/>
                <w:b w:val="0"/>
              </w:rPr>
              <w:t>(g/kg)</w:t>
            </w:r>
          </w:p>
        </w:tc>
        <w:tc>
          <w:tcPr>
            <w:tcW w:w="1912" w:type="dxa"/>
            <w:tcBorders>
              <w:right w:val="nil"/>
            </w:tcBorders>
          </w:tcPr>
          <w:p w14:paraId="2F2A9B5A"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0.048</w:t>
            </w:r>
          </w:p>
        </w:tc>
      </w:tr>
      <w:tr w:rsidR="00F15FD7" w14:paraId="56E2A235" w14:textId="77777777" w:rsidTr="00F15FD7">
        <w:trPr>
          <w:trHeight w:val="419"/>
        </w:trPr>
        <w:tc>
          <w:tcPr>
            <w:cnfStyle w:val="001000000000" w:firstRow="0" w:lastRow="0" w:firstColumn="1" w:lastColumn="0" w:oddVBand="0" w:evenVBand="0" w:oddHBand="0" w:evenHBand="0" w:firstRowFirstColumn="0" w:firstRowLastColumn="0" w:lastRowFirstColumn="0" w:lastRowLastColumn="0"/>
            <w:tcW w:w="3585" w:type="dxa"/>
          </w:tcPr>
          <w:p w14:paraId="7BD84747" w14:textId="77777777" w:rsidR="00F15FD7" w:rsidRDefault="00563E74">
            <w:pPr>
              <w:spacing w:after="0" w:line="276" w:lineRule="auto"/>
              <w:rPr>
                <w:rFonts w:ascii="Times New Roman" w:hAnsi="Times New Roman" w:cs="Times New Roman"/>
                <w:b w:val="0"/>
              </w:rPr>
            </w:pPr>
            <w:r>
              <w:rPr>
                <w:rFonts w:ascii="Times New Roman" w:hAnsi="Times New Roman" w:cs="Times New Roman"/>
                <w:b w:val="0"/>
              </w:rPr>
              <w:t>Ash Content (g/Kg)</w:t>
            </w:r>
          </w:p>
        </w:tc>
        <w:tc>
          <w:tcPr>
            <w:tcW w:w="1912" w:type="dxa"/>
          </w:tcPr>
          <w:p w14:paraId="33336CD3" w14:textId="77777777" w:rsidR="00F15FD7" w:rsidRDefault="00563E74">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46.08</w:t>
            </w:r>
          </w:p>
        </w:tc>
      </w:tr>
    </w:tbl>
    <w:p w14:paraId="4F75B700" w14:textId="77777777" w:rsidR="00F15FD7" w:rsidRDefault="00F15FD7">
      <w:pPr>
        <w:spacing w:line="276" w:lineRule="auto"/>
        <w:rPr>
          <w:rFonts w:ascii="Times New Roman" w:hAnsi="Times New Roman" w:cs="Times New Roman"/>
          <w:b/>
        </w:rPr>
      </w:pPr>
    </w:p>
    <w:p w14:paraId="71FA5C7B" w14:textId="77777777" w:rsidR="00F15FD7" w:rsidRDefault="00563E74">
      <w:pPr>
        <w:pStyle w:val="Caption"/>
        <w:tabs>
          <w:tab w:val="left" w:pos="2880"/>
        </w:tabs>
        <w:spacing w:line="276" w:lineRule="auto"/>
        <w:rPr>
          <w:rFonts w:cs="Times New Roman"/>
          <w:sz w:val="22"/>
          <w:szCs w:val="22"/>
          <w:lang w:val="en-US"/>
        </w:rPr>
      </w:pPr>
      <w:r>
        <w:rPr>
          <w:rFonts w:cs="Times New Roman"/>
          <w:sz w:val="22"/>
          <w:szCs w:val="22"/>
        </w:rPr>
        <w:t xml:space="preserve">3.2 Effects of </w:t>
      </w:r>
      <w:r>
        <w:rPr>
          <w:rFonts w:cs="Times New Roman"/>
          <w:sz w:val="22"/>
          <w:szCs w:val="22"/>
          <w:lang w:val="en-US"/>
        </w:rPr>
        <w:t>amendments on pepper g</w:t>
      </w:r>
      <w:proofErr w:type="spellStart"/>
      <w:r>
        <w:rPr>
          <w:rFonts w:cs="Times New Roman"/>
          <w:sz w:val="22"/>
          <w:szCs w:val="22"/>
        </w:rPr>
        <w:t>rowth</w:t>
      </w:r>
      <w:proofErr w:type="spellEnd"/>
      <w:r>
        <w:rPr>
          <w:rFonts w:cs="Times New Roman"/>
          <w:sz w:val="22"/>
          <w:szCs w:val="22"/>
          <w:lang w:val="en-US"/>
        </w:rPr>
        <w:t xml:space="preserve"> variables of pepper under differential watering</w:t>
      </w:r>
    </w:p>
    <w:p w14:paraId="2CBAC096" w14:textId="77777777" w:rsidR="00F15FD7" w:rsidRDefault="00563E74">
      <w:pPr>
        <w:pStyle w:val="Caption"/>
        <w:tabs>
          <w:tab w:val="left" w:pos="2880"/>
        </w:tabs>
        <w:spacing w:line="276" w:lineRule="auto"/>
        <w:rPr>
          <w:rFonts w:cs="Times New Roman"/>
          <w:b w:val="0"/>
          <w:bCs/>
          <w:sz w:val="22"/>
          <w:szCs w:val="16"/>
          <w:lang w:val="en-US"/>
        </w:rPr>
      </w:pPr>
      <w:r>
        <w:rPr>
          <w:rFonts w:cs="Times New Roman"/>
          <w:b w:val="0"/>
          <w:bCs/>
          <w:sz w:val="22"/>
          <w:szCs w:val="16"/>
          <w:lang w:val="en-US"/>
        </w:rPr>
        <w:t xml:space="preserve">Table 2 shows that both biochar and </w:t>
      </w:r>
      <w:r>
        <w:rPr>
          <w:rFonts w:cs="Times New Roman"/>
          <w:b w:val="0"/>
          <w:bCs/>
          <w:i/>
          <w:iCs w:val="0"/>
          <w:sz w:val="22"/>
          <w:szCs w:val="16"/>
          <w:lang w:val="en-US"/>
        </w:rPr>
        <w:t xml:space="preserve">Trichoderma </w:t>
      </w:r>
      <w:proofErr w:type="spellStart"/>
      <w:r>
        <w:rPr>
          <w:rFonts w:cs="Times New Roman"/>
          <w:b w:val="0"/>
          <w:bCs/>
          <w:i/>
          <w:iCs w:val="0"/>
          <w:sz w:val="22"/>
          <w:szCs w:val="16"/>
          <w:lang w:val="en-US"/>
        </w:rPr>
        <w:t>harzianum</w:t>
      </w:r>
      <w:proofErr w:type="spellEnd"/>
      <w:r>
        <w:rPr>
          <w:rFonts w:cs="Times New Roman"/>
          <w:b w:val="0"/>
          <w:bCs/>
          <w:sz w:val="22"/>
          <w:szCs w:val="16"/>
          <w:lang w:val="en-US"/>
        </w:rPr>
        <w:t xml:space="preserve"> individually improved pepper growth, but their combined application (B+T) had the greatest effect. For example, plant height reached 90.27 cm under B+T at 100% FC, compared to 76.13 cm with biochar alone and 68.10 cm with </w:t>
      </w:r>
      <w:r>
        <w:rPr>
          <w:rFonts w:cs="Times New Roman"/>
          <w:b w:val="0"/>
          <w:bCs/>
          <w:i/>
          <w:iCs w:val="0"/>
          <w:sz w:val="22"/>
          <w:szCs w:val="16"/>
          <w:lang w:val="en-US"/>
        </w:rPr>
        <w:t xml:space="preserve">Trichoderma </w:t>
      </w:r>
      <w:r>
        <w:rPr>
          <w:rFonts w:cs="Times New Roman"/>
          <w:b w:val="0"/>
          <w:bCs/>
          <w:sz w:val="22"/>
          <w:szCs w:val="16"/>
          <w:lang w:val="en-US"/>
        </w:rPr>
        <w:t xml:space="preserve">alone. Leaf </w:t>
      </w:r>
      <w:r>
        <w:rPr>
          <w:rFonts w:cs="Times New Roman"/>
          <w:b w:val="0"/>
          <w:bCs/>
          <w:sz w:val="22"/>
          <w:szCs w:val="16"/>
          <w:lang w:val="en-US"/>
        </w:rPr>
        <w:lastRenderedPageBreak/>
        <w:t>number wa</w:t>
      </w:r>
      <w:r>
        <w:rPr>
          <w:rFonts w:cs="Times New Roman"/>
          <w:b w:val="0"/>
          <w:bCs/>
          <w:sz w:val="22"/>
          <w:szCs w:val="16"/>
          <w:lang w:val="en-US"/>
        </w:rPr>
        <w:t xml:space="preserve">s highest (169.67 leaves) under B+T at 60% FC, while leaf area reached 166.69 cm² under B+T at 100% FC. Root development was also enhanced, with the number of roots increasing to 125 and root length to 19.00 cm under B+T at 100% FC. These values show that </w:t>
      </w:r>
      <w:r>
        <w:rPr>
          <w:rFonts w:cs="Times New Roman"/>
          <w:b w:val="0"/>
          <w:bCs/>
          <w:sz w:val="22"/>
          <w:szCs w:val="16"/>
          <w:lang w:val="en-US"/>
        </w:rPr>
        <w:t xml:space="preserve">the combination of biochar and </w:t>
      </w:r>
      <w:r>
        <w:rPr>
          <w:rFonts w:cs="Times New Roman"/>
          <w:b w:val="0"/>
          <w:bCs/>
          <w:i/>
          <w:iCs w:val="0"/>
          <w:sz w:val="22"/>
          <w:szCs w:val="16"/>
          <w:lang w:val="en-US"/>
        </w:rPr>
        <w:t>Trichoderma,</w:t>
      </w:r>
      <w:r>
        <w:rPr>
          <w:rFonts w:cs="Times New Roman"/>
          <w:b w:val="0"/>
          <w:bCs/>
          <w:sz w:val="22"/>
          <w:szCs w:val="16"/>
          <w:lang w:val="en-US"/>
        </w:rPr>
        <w:t xml:space="preserve"> especially under higher watering regimes, significantly promotes pepper growth.</w:t>
      </w:r>
    </w:p>
    <w:bookmarkEnd w:id="1"/>
    <w:p w14:paraId="137B1588" w14:textId="77777777" w:rsidR="00F15FD7" w:rsidRDefault="00F15FD7">
      <w:pPr>
        <w:pStyle w:val="Caption"/>
        <w:tabs>
          <w:tab w:val="left" w:pos="2880"/>
        </w:tabs>
        <w:spacing w:line="276" w:lineRule="auto"/>
        <w:rPr>
          <w:rFonts w:cs="Times New Roman"/>
          <w:sz w:val="22"/>
          <w:szCs w:val="22"/>
        </w:rPr>
      </w:pPr>
    </w:p>
    <w:p w14:paraId="73F5D07B" w14:textId="77777777" w:rsidR="00F15FD7" w:rsidRDefault="00563E74">
      <w:pPr>
        <w:pStyle w:val="Caption"/>
        <w:tabs>
          <w:tab w:val="left" w:pos="2880"/>
        </w:tabs>
        <w:spacing w:line="276" w:lineRule="auto"/>
        <w:rPr>
          <w:rFonts w:cs="Times New Roman"/>
          <w:sz w:val="22"/>
          <w:szCs w:val="22"/>
        </w:rPr>
      </w:pPr>
      <w:r>
        <w:rPr>
          <w:rFonts w:cs="Times New Roman"/>
          <w:sz w:val="22"/>
          <w:szCs w:val="22"/>
        </w:rPr>
        <w:t xml:space="preserve">Table 2. </w:t>
      </w:r>
      <w:r>
        <w:rPr>
          <w:rFonts w:cs="Times New Roman"/>
          <w:b w:val="0"/>
          <w:sz w:val="22"/>
          <w:szCs w:val="22"/>
        </w:rPr>
        <w:t xml:space="preserve">Effects of application of Biochar and </w:t>
      </w:r>
      <w:r>
        <w:rPr>
          <w:rFonts w:cs="Times New Roman"/>
          <w:b w:val="0"/>
          <w:i/>
          <w:sz w:val="22"/>
          <w:szCs w:val="22"/>
        </w:rPr>
        <w:t xml:space="preserve">Trichoderma </w:t>
      </w:r>
      <w:proofErr w:type="spellStart"/>
      <w:r>
        <w:rPr>
          <w:rFonts w:cs="Times New Roman"/>
          <w:b w:val="0"/>
          <w:i/>
          <w:sz w:val="22"/>
          <w:szCs w:val="22"/>
        </w:rPr>
        <w:t>harzianum</w:t>
      </w:r>
      <w:proofErr w:type="spellEnd"/>
      <w:r>
        <w:rPr>
          <w:rFonts w:cs="Times New Roman"/>
          <w:b w:val="0"/>
          <w:sz w:val="22"/>
          <w:szCs w:val="22"/>
        </w:rPr>
        <w:t xml:space="preserve"> on growth parameters of pepper subjected to differential watering regimes</w:t>
      </w:r>
    </w:p>
    <w:tbl>
      <w:tblPr>
        <w:tblStyle w:val="LightShading2"/>
        <w:tblW w:w="9516" w:type="dxa"/>
        <w:tblLook w:val="04A0" w:firstRow="1" w:lastRow="0" w:firstColumn="1" w:lastColumn="0" w:noHBand="0" w:noVBand="1"/>
      </w:tblPr>
      <w:tblGrid>
        <w:gridCol w:w="1784"/>
        <w:gridCol w:w="1234"/>
        <w:gridCol w:w="1234"/>
        <w:gridCol w:w="1234"/>
        <w:gridCol w:w="1338"/>
        <w:gridCol w:w="1338"/>
        <w:gridCol w:w="1354"/>
      </w:tblGrid>
      <w:tr w:rsidR="00F15FD7" w14:paraId="141E6739" w14:textId="77777777" w:rsidTr="00F15FD7">
        <w:trPr>
          <w:cnfStyle w:val="100000000000" w:firstRow="1" w:lastRow="0" w:firstColumn="0" w:lastColumn="0" w:oddVBand="0" w:evenVBand="0" w:oddHBand="0"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784" w:type="dxa"/>
            <w:vMerge w:val="restart"/>
            <w:noWrap/>
            <w:vAlign w:val="center"/>
          </w:tcPr>
          <w:p w14:paraId="384BE2DD" w14:textId="77777777" w:rsidR="00F15FD7" w:rsidRDefault="00F15FD7">
            <w:pPr>
              <w:tabs>
                <w:tab w:val="left" w:pos="2880"/>
              </w:tabs>
              <w:spacing w:after="0" w:line="276" w:lineRule="auto"/>
              <w:jc w:val="center"/>
              <w:rPr>
                <w:rFonts w:ascii="Times New Roman" w:hAnsi="Times New Roman" w:cs="Times New Roman"/>
              </w:rPr>
            </w:pPr>
          </w:p>
          <w:p w14:paraId="524B0C94" w14:textId="77777777" w:rsidR="00F15FD7" w:rsidRDefault="00F15FD7">
            <w:pPr>
              <w:tabs>
                <w:tab w:val="left" w:pos="2880"/>
              </w:tabs>
              <w:spacing w:after="0" w:line="276" w:lineRule="auto"/>
              <w:jc w:val="center"/>
              <w:rPr>
                <w:rFonts w:ascii="Times New Roman" w:hAnsi="Times New Roman" w:cs="Times New Roman"/>
                <w:b w:val="0"/>
                <w:bCs w:val="0"/>
              </w:rPr>
            </w:pPr>
          </w:p>
          <w:p w14:paraId="242E70DE"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TREATMENTS</w:t>
            </w:r>
          </w:p>
        </w:tc>
        <w:tc>
          <w:tcPr>
            <w:tcW w:w="7732" w:type="dxa"/>
            <w:gridSpan w:val="6"/>
            <w:noWrap/>
            <w:vAlign w:val="center"/>
          </w:tcPr>
          <w:p w14:paraId="24ACCC17" w14:textId="7167BAF2" w:rsidR="00F15FD7" w:rsidRDefault="00563E74">
            <w:pPr>
              <w:tabs>
                <w:tab w:val="left" w:pos="2880"/>
              </w:tabs>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Pepper growth </w:t>
            </w:r>
            <w:r w:rsidR="00A91106">
              <w:rPr>
                <w:rFonts w:ascii="Times New Roman" w:hAnsi="Times New Roman" w:cs="Times New Roman"/>
              </w:rPr>
              <w:t>variables at</w:t>
            </w:r>
            <w:r>
              <w:rPr>
                <w:rFonts w:ascii="Times New Roman" w:hAnsi="Times New Roman" w:cs="Times New Roman"/>
              </w:rPr>
              <w:t xml:space="preserve"> 12</w:t>
            </w:r>
            <w:r>
              <w:rPr>
                <w:rFonts w:ascii="Times New Roman" w:hAnsi="Times New Roman" w:cs="Times New Roman"/>
                <w:vertAlign w:val="superscript"/>
              </w:rPr>
              <w:t>th</w:t>
            </w:r>
            <w:r>
              <w:rPr>
                <w:rFonts w:ascii="Times New Roman" w:hAnsi="Times New Roman" w:cs="Times New Roman"/>
              </w:rPr>
              <w:t xml:space="preserve"> WAT</w:t>
            </w:r>
          </w:p>
        </w:tc>
      </w:tr>
      <w:tr w:rsidR="00F15FD7" w14:paraId="47BED07F"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vMerge/>
            <w:tcBorders>
              <w:left w:val="nil"/>
              <w:right w:val="nil"/>
            </w:tcBorders>
            <w:noWrap/>
            <w:vAlign w:val="center"/>
          </w:tcPr>
          <w:p w14:paraId="6D6AB984" w14:textId="77777777" w:rsidR="00F15FD7" w:rsidRDefault="00F15FD7">
            <w:pPr>
              <w:tabs>
                <w:tab w:val="left" w:pos="2880"/>
              </w:tabs>
              <w:spacing w:after="0" w:line="276" w:lineRule="auto"/>
              <w:jc w:val="center"/>
              <w:rPr>
                <w:rFonts w:ascii="Times New Roman" w:hAnsi="Times New Roman" w:cs="Times New Roman"/>
              </w:rPr>
            </w:pPr>
          </w:p>
        </w:tc>
        <w:tc>
          <w:tcPr>
            <w:tcW w:w="1234" w:type="dxa"/>
            <w:tcBorders>
              <w:right w:val="nil"/>
            </w:tcBorders>
            <w:noWrap/>
            <w:vAlign w:val="center"/>
          </w:tcPr>
          <w:p w14:paraId="325BE58E"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Plant height (cm)</w:t>
            </w:r>
          </w:p>
        </w:tc>
        <w:tc>
          <w:tcPr>
            <w:tcW w:w="1234" w:type="dxa"/>
            <w:tcBorders>
              <w:right w:val="nil"/>
            </w:tcBorders>
            <w:noWrap/>
            <w:vAlign w:val="center"/>
          </w:tcPr>
          <w:p w14:paraId="0A8241F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Number of leaves</w:t>
            </w:r>
          </w:p>
        </w:tc>
        <w:tc>
          <w:tcPr>
            <w:tcW w:w="1234" w:type="dxa"/>
            <w:tcBorders>
              <w:right w:val="nil"/>
            </w:tcBorders>
            <w:noWrap/>
            <w:vAlign w:val="center"/>
          </w:tcPr>
          <w:p w14:paraId="42288DB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Leaf area (cm</w:t>
            </w:r>
            <w:r>
              <w:rPr>
                <w:rFonts w:ascii="Times New Roman" w:hAnsi="Times New Roman" w:cs="Times New Roman"/>
                <w:b/>
                <w:vertAlign w:val="superscript"/>
              </w:rPr>
              <w:t>2</w:t>
            </w:r>
            <w:r>
              <w:rPr>
                <w:rFonts w:ascii="Times New Roman" w:hAnsi="Times New Roman" w:cs="Times New Roman"/>
                <w:b/>
              </w:rPr>
              <w:t>)</w:t>
            </w:r>
          </w:p>
        </w:tc>
        <w:tc>
          <w:tcPr>
            <w:tcW w:w="1338" w:type="dxa"/>
            <w:tcBorders>
              <w:right w:val="nil"/>
            </w:tcBorders>
            <w:noWrap/>
            <w:vAlign w:val="center"/>
          </w:tcPr>
          <w:p w14:paraId="28D1BD8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Stem girth (cm)</w:t>
            </w:r>
          </w:p>
        </w:tc>
        <w:tc>
          <w:tcPr>
            <w:tcW w:w="1338" w:type="dxa"/>
            <w:tcBorders>
              <w:right w:val="nil"/>
            </w:tcBorders>
            <w:noWrap/>
            <w:vAlign w:val="center"/>
          </w:tcPr>
          <w:p w14:paraId="11601320"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Number of roots</w:t>
            </w:r>
          </w:p>
        </w:tc>
        <w:tc>
          <w:tcPr>
            <w:tcW w:w="1354" w:type="dxa"/>
            <w:tcBorders>
              <w:right w:val="nil"/>
            </w:tcBorders>
            <w:noWrap/>
            <w:vAlign w:val="center"/>
          </w:tcPr>
          <w:p w14:paraId="2DCA5F8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Root length (cm)</w:t>
            </w:r>
          </w:p>
        </w:tc>
      </w:tr>
      <w:tr w:rsidR="00F15FD7" w14:paraId="255A91CC"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7E5182E8"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Biochar</w:t>
            </w:r>
          </w:p>
        </w:tc>
        <w:tc>
          <w:tcPr>
            <w:tcW w:w="1234" w:type="dxa"/>
            <w:noWrap/>
            <w:vAlign w:val="center"/>
          </w:tcPr>
          <w:p w14:paraId="1817F844"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76.13</w:t>
            </w:r>
            <w:r>
              <w:rPr>
                <w:rFonts w:ascii="Times New Roman" w:hAnsi="Times New Roman" w:cs="Times New Roman"/>
                <w:vertAlign w:val="superscript"/>
              </w:rPr>
              <w:t>c</w:t>
            </w:r>
          </w:p>
        </w:tc>
        <w:tc>
          <w:tcPr>
            <w:tcW w:w="1234" w:type="dxa"/>
            <w:noWrap/>
            <w:vAlign w:val="center"/>
          </w:tcPr>
          <w:p w14:paraId="6A9C177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114.00</w:t>
            </w:r>
            <w:r>
              <w:rPr>
                <w:rFonts w:ascii="Times New Roman" w:hAnsi="Times New Roman" w:cs="Times New Roman"/>
                <w:vertAlign w:val="superscript"/>
              </w:rPr>
              <w:t>cd</w:t>
            </w:r>
          </w:p>
        </w:tc>
        <w:tc>
          <w:tcPr>
            <w:tcW w:w="1234" w:type="dxa"/>
            <w:noWrap/>
            <w:vAlign w:val="center"/>
          </w:tcPr>
          <w:p w14:paraId="013C9350"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74.60</w:t>
            </w:r>
            <w:r>
              <w:rPr>
                <w:rFonts w:ascii="Times New Roman" w:hAnsi="Times New Roman" w:cs="Times New Roman"/>
                <w:color w:val="auto"/>
                <w:vertAlign w:val="superscript"/>
              </w:rPr>
              <w:t>b</w:t>
            </w:r>
          </w:p>
        </w:tc>
        <w:tc>
          <w:tcPr>
            <w:tcW w:w="1338" w:type="dxa"/>
            <w:noWrap/>
            <w:vAlign w:val="center"/>
          </w:tcPr>
          <w:p w14:paraId="0BEC133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8.23</w:t>
            </w:r>
            <w:r>
              <w:rPr>
                <w:rFonts w:ascii="Times New Roman" w:hAnsi="Times New Roman" w:cs="Times New Roman"/>
                <w:color w:val="auto"/>
                <w:vertAlign w:val="superscript"/>
              </w:rPr>
              <w:t>ab</w:t>
            </w:r>
          </w:p>
        </w:tc>
        <w:tc>
          <w:tcPr>
            <w:tcW w:w="1338" w:type="dxa"/>
            <w:noWrap/>
            <w:vAlign w:val="center"/>
          </w:tcPr>
          <w:p w14:paraId="7AA9224E"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58.00</w:t>
            </w:r>
            <w:r>
              <w:rPr>
                <w:rFonts w:ascii="Times New Roman" w:hAnsi="Times New Roman" w:cs="Times New Roman"/>
                <w:color w:val="auto"/>
                <w:vertAlign w:val="superscript"/>
              </w:rPr>
              <w:t>b</w:t>
            </w:r>
          </w:p>
        </w:tc>
        <w:tc>
          <w:tcPr>
            <w:tcW w:w="1354" w:type="dxa"/>
            <w:noWrap/>
            <w:vAlign w:val="center"/>
          </w:tcPr>
          <w:p w14:paraId="4595F81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21.53</w:t>
            </w:r>
            <w:r>
              <w:rPr>
                <w:rFonts w:ascii="Times New Roman" w:hAnsi="Times New Roman" w:cs="Times New Roman"/>
                <w:color w:val="auto"/>
                <w:vertAlign w:val="superscript"/>
              </w:rPr>
              <w:t>d</w:t>
            </w:r>
          </w:p>
        </w:tc>
      </w:tr>
      <w:tr w:rsidR="00F15FD7" w14:paraId="33A046BD"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E980EFC"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i/>
              </w:rPr>
              <w:t>Trichoderma</w:t>
            </w:r>
          </w:p>
        </w:tc>
        <w:tc>
          <w:tcPr>
            <w:tcW w:w="1234" w:type="dxa"/>
            <w:tcBorders>
              <w:right w:val="nil"/>
            </w:tcBorders>
            <w:noWrap/>
            <w:vAlign w:val="center"/>
          </w:tcPr>
          <w:p w14:paraId="4A83A52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68.10</w:t>
            </w:r>
            <w:r>
              <w:rPr>
                <w:rFonts w:ascii="Times New Roman" w:hAnsi="Times New Roman" w:cs="Times New Roman"/>
                <w:vertAlign w:val="superscript"/>
              </w:rPr>
              <w:t>abc</w:t>
            </w:r>
          </w:p>
        </w:tc>
        <w:tc>
          <w:tcPr>
            <w:tcW w:w="1234" w:type="dxa"/>
            <w:tcBorders>
              <w:right w:val="nil"/>
            </w:tcBorders>
            <w:noWrap/>
            <w:vAlign w:val="center"/>
          </w:tcPr>
          <w:p w14:paraId="3763873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100.33</w:t>
            </w:r>
            <w:r>
              <w:rPr>
                <w:rFonts w:ascii="Times New Roman" w:hAnsi="Times New Roman" w:cs="Times New Roman"/>
                <w:color w:val="auto"/>
                <w:vertAlign w:val="superscript"/>
              </w:rPr>
              <w:t>bc</w:t>
            </w:r>
          </w:p>
        </w:tc>
        <w:tc>
          <w:tcPr>
            <w:tcW w:w="1234" w:type="dxa"/>
            <w:tcBorders>
              <w:right w:val="nil"/>
            </w:tcBorders>
            <w:noWrap/>
            <w:vAlign w:val="center"/>
          </w:tcPr>
          <w:p w14:paraId="0046E56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71.59</w:t>
            </w:r>
            <w:r>
              <w:rPr>
                <w:rFonts w:ascii="Times New Roman" w:hAnsi="Times New Roman" w:cs="Times New Roman"/>
                <w:color w:val="auto"/>
                <w:vertAlign w:val="superscript"/>
              </w:rPr>
              <w:t>ab</w:t>
            </w:r>
          </w:p>
        </w:tc>
        <w:tc>
          <w:tcPr>
            <w:tcW w:w="1338" w:type="dxa"/>
            <w:tcBorders>
              <w:right w:val="nil"/>
            </w:tcBorders>
            <w:noWrap/>
            <w:vAlign w:val="center"/>
          </w:tcPr>
          <w:p w14:paraId="3ADA8E0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8.21</w:t>
            </w:r>
            <w:r>
              <w:rPr>
                <w:rFonts w:ascii="Times New Roman" w:hAnsi="Times New Roman" w:cs="Times New Roman"/>
                <w:color w:val="auto"/>
                <w:vertAlign w:val="superscript"/>
              </w:rPr>
              <w:t>ab</w:t>
            </w:r>
          </w:p>
        </w:tc>
        <w:tc>
          <w:tcPr>
            <w:tcW w:w="1338" w:type="dxa"/>
            <w:tcBorders>
              <w:right w:val="nil"/>
            </w:tcBorders>
            <w:noWrap/>
            <w:vAlign w:val="center"/>
          </w:tcPr>
          <w:p w14:paraId="6D86BF6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82.33</w:t>
            </w:r>
            <w:r>
              <w:rPr>
                <w:rFonts w:ascii="Times New Roman" w:hAnsi="Times New Roman" w:cs="Times New Roman"/>
                <w:color w:val="auto"/>
                <w:vertAlign w:val="superscript"/>
              </w:rPr>
              <w:t>cde</w:t>
            </w:r>
          </w:p>
        </w:tc>
        <w:tc>
          <w:tcPr>
            <w:tcW w:w="1354" w:type="dxa"/>
            <w:tcBorders>
              <w:right w:val="nil"/>
            </w:tcBorders>
            <w:noWrap/>
            <w:vAlign w:val="center"/>
          </w:tcPr>
          <w:p w14:paraId="656A21D1"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18.33</w:t>
            </w:r>
            <w:r>
              <w:rPr>
                <w:rFonts w:ascii="Times New Roman" w:hAnsi="Times New Roman" w:cs="Times New Roman"/>
                <w:color w:val="auto"/>
                <w:vertAlign w:val="superscript"/>
              </w:rPr>
              <w:t>abc</w:t>
            </w:r>
          </w:p>
        </w:tc>
      </w:tr>
      <w:tr w:rsidR="00F15FD7" w14:paraId="5E01AA9A"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26C68525"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40% FC</w:t>
            </w:r>
          </w:p>
        </w:tc>
        <w:tc>
          <w:tcPr>
            <w:tcW w:w="1234" w:type="dxa"/>
            <w:noWrap/>
            <w:vAlign w:val="center"/>
          </w:tcPr>
          <w:p w14:paraId="28EEB70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43.83</w:t>
            </w:r>
            <w:r>
              <w:rPr>
                <w:rFonts w:ascii="Times New Roman" w:hAnsi="Times New Roman" w:cs="Times New Roman"/>
                <w:vertAlign w:val="superscript"/>
              </w:rPr>
              <w:t>a</w:t>
            </w:r>
          </w:p>
        </w:tc>
        <w:tc>
          <w:tcPr>
            <w:tcW w:w="1234" w:type="dxa"/>
            <w:noWrap/>
            <w:vAlign w:val="center"/>
          </w:tcPr>
          <w:p w14:paraId="68F0788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74.67</w:t>
            </w:r>
            <w:r>
              <w:rPr>
                <w:rFonts w:ascii="Times New Roman" w:hAnsi="Times New Roman" w:cs="Times New Roman"/>
                <w:color w:val="auto"/>
                <w:vertAlign w:val="superscript"/>
              </w:rPr>
              <w:t>a</w:t>
            </w:r>
          </w:p>
        </w:tc>
        <w:tc>
          <w:tcPr>
            <w:tcW w:w="1234" w:type="dxa"/>
            <w:noWrap/>
            <w:vAlign w:val="center"/>
          </w:tcPr>
          <w:p w14:paraId="6C4CF64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64.27</w:t>
            </w:r>
            <w:r>
              <w:rPr>
                <w:rFonts w:ascii="Times New Roman" w:hAnsi="Times New Roman" w:cs="Times New Roman"/>
                <w:color w:val="auto"/>
                <w:vertAlign w:val="superscript"/>
              </w:rPr>
              <w:t>a</w:t>
            </w:r>
          </w:p>
        </w:tc>
        <w:tc>
          <w:tcPr>
            <w:tcW w:w="1338" w:type="dxa"/>
            <w:noWrap/>
            <w:vAlign w:val="center"/>
          </w:tcPr>
          <w:p w14:paraId="5F922D0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7.97</w:t>
            </w:r>
            <w:r>
              <w:rPr>
                <w:rFonts w:ascii="Times New Roman" w:hAnsi="Times New Roman" w:cs="Times New Roman"/>
                <w:color w:val="auto"/>
                <w:vertAlign w:val="superscript"/>
              </w:rPr>
              <w:t>a</w:t>
            </w:r>
          </w:p>
        </w:tc>
        <w:tc>
          <w:tcPr>
            <w:tcW w:w="1338" w:type="dxa"/>
            <w:noWrap/>
            <w:vAlign w:val="center"/>
          </w:tcPr>
          <w:p w14:paraId="05D6815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48.67</w:t>
            </w:r>
            <w:r>
              <w:rPr>
                <w:rFonts w:ascii="Times New Roman" w:hAnsi="Times New Roman" w:cs="Times New Roman"/>
                <w:color w:val="auto"/>
                <w:vertAlign w:val="superscript"/>
              </w:rPr>
              <w:t>a</w:t>
            </w:r>
          </w:p>
        </w:tc>
        <w:tc>
          <w:tcPr>
            <w:tcW w:w="1354" w:type="dxa"/>
            <w:noWrap/>
            <w:vAlign w:val="center"/>
          </w:tcPr>
          <w:p w14:paraId="112BF27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14.73</w:t>
            </w:r>
            <w:r>
              <w:rPr>
                <w:rFonts w:ascii="Times New Roman" w:hAnsi="Times New Roman" w:cs="Times New Roman"/>
                <w:color w:val="auto"/>
                <w:vertAlign w:val="superscript"/>
              </w:rPr>
              <w:t>ab</w:t>
            </w:r>
          </w:p>
        </w:tc>
      </w:tr>
      <w:tr w:rsidR="00F15FD7" w14:paraId="3D094AC6"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00FABAF4"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60% FC</w:t>
            </w:r>
          </w:p>
        </w:tc>
        <w:tc>
          <w:tcPr>
            <w:tcW w:w="1234" w:type="dxa"/>
            <w:tcBorders>
              <w:right w:val="nil"/>
            </w:tcBorders>
            <w:noWrap/>
            <w:vAlign w:val="center"/>
          </w:tcPr>
          <w:p w14:paraId="2DE2D06C"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49.50</w:t>
            </w:r>
            <w:r>
              <w:rPr>
                <w:rFonts w:ascii="Times New Roman" w:hAnsi="Times New Roman" w:cs="Times New Roman"/>
                <w:vertAlign w:val="superscript"/>
              </w:rPr>
              <w:t>a</w:t>
            </w:r>
          </w:p>
        </w:tc>
        <w:tc>
          <w:tcPr>
            <w:tcW w:w="1234" w:type="dxa"/>
            <w:tcBorders>
              <w:right w:val="nil"/>
            </w:tcBorders>
            <w:noWrap/>
            <w:vAlign w:val="center"/>
          </w:tcPr>
          <w:p w14:paraId="7162986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89.00</w:t>
            </w:r>
            <w:r>
              <w:rPr>
                <w:rFonts w:ascii="Times New Roman" w:hAnsi="Times New Roman" w:cs="Times New Roman"/>
                <w:color w:val="auto"/>
                <w:vertAlign w:val="superscript"/>
              </w:rPr>
              <w:t>ab</w:t>
            </w:r>
          </w:p>
        </w:tc>
        <w:tc>
          <w:tcPr>
            <w:tcW w:w="1234" w:type="dxa"/>
            <w:tcBorders>
              <w:right w:val="nil"/>
            </w:tcBorders>
            <w:noWrap/>
            <w:vAlign w:val="center"/>
          </w:tcPr>
          <w:p w14:paraId="6E7D6C3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69.82</w:t>
            </w:r>
            <w:r>
              <w:rPr>
                <w:rFonts w:ascii="Times New Roman" w:hAnsi="Times New Roman" w:cs="Times New Roman"/>
                <w:color w:val="auto"/>
                <w:vertAlign w:val="superscript"/>
              </w:rPr>
              <w:t>ab</w:t>
            </w:r>
          </w:p>
        </w:tc>
        <w:tc>
          <w:tcPr>
            <w:tcW w:w="1338" w:type="dxa"/>
            <w:tcBorders>
              <w:right w:val="nil"/>
            </w:tcBorders>
            <w:noWrap/>
            <w:vAlign w:val="center"/>
          </w:tcPr>
          <w:p w14:paraId="5CAE470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7.07</w:t>
            </w:r>
            <w:r>
              <w:rPr>
                <w:rFonts w:ascii="Times New Roman" w:hAnsi="Times New Roman" w:cs="Times New Roman"/>
                <w:color w:val="auto"/>
                <w:vertAlign w:val="superscript"/>
              </w:rPr>
              <w:t>a</w:t>
            </w:r>
          </w:p>
        </w:tc>
        <w:tc>
          <w:tcPr>
            <w:tcW w:w="1338" w:type="dxa"/>
            <w:tcBorders>
              <w:right w:val="nil"/>
            </w:tcBorders>
            <w:noWrap/>
            <w:vAlign w:val="center"/>
          </w:tcPr>
          <w:p w14:paraId="24E80D3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51.67</w:t>
            </w:r>
            <w:r>
              <w:rPr>
                <w:rFonts w:ascii="Times New Roman" w:hAnsi="Times New Roman" w:cs="Times New Roman"/>
                <w:color w:val="auto"/>
                <w:vertAlign w:val="superscript"/>
              </w:rPr>
              <w:t>ab</w:t>
            </w:r>
          </w:p>
        </w:tc>
        <w:tc>
          <w:tcPr>
            <w:tcW w:w="1354" w:type="dxa"/>
            <w:tcBorders>
              <w:right w:val="nil"/>
            </w:tcBorders>
            <w:noWrap/>
            <w:vAlign w:val="center"/>
          </w:tcPr>
          <w:p w14:paraId="7550EFB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15.40</w:t>
            </w:r>
            <w:r>
              <w:rPr>
                <w:rFonts w:ascii="Times New Roman" w:hAnsi="Times New Roman" w:cs="Times New Roman"/>
                <w:color w:val="auto"/>
                <w:vertAlign w:val="superscript"/>
              </w:rPr>
              <w:t>ab</w:t>
            </w:r>
          </w:p>
        </w:tc>
      </w:tr>
      <w:tr w:rsidR="00F15FD7" w14:paraId="5433007C"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28865B2F"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100% FC</w:t>
            </w:r>
          </w:p>
        </w:tc>
        <w:tc>
          <w:tcPr>
            <w:tcW w:w="1234" w:type="dxa"/>
            <w:noWrap/>
            <w:vAlign w:val="center"/>
          </w:tcPr>
          <w:p w14:paraId="4564D7F7"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75.40</w:t>
            </w:r>
            <w:r>
              <w:rPr>
                <w:rFonts w:ascii="Times New Roman" w:hAnsi="Times New Roman" w:cs="Times New Roman"/>
                <w:vertAlign w:val="superscript"/>
              </w:rPr>
              <w:t>c</w:t>
            </w:r>
          </w:p>
        </w:tc>
        <w:tc>
          <w:tcPr>
            <w:tcW w:w="1234" w:type="dxa"/>
            <w:noWrap/>
            <w:vAlign w:val="center"/>
          </w:tcPr>
          <w:p w14:paraId="48BDF9E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135.67</w:t>
            </w:r>
            <w:r>
              <w:rPr>
                <w:rFonts w:ascii="Times New Roman" w:hAnsi="Times New Roman" w:cs="Times New Roman"/>
                <w:color w:val="auto"/>
                <w:vertAlign w:val="superscript"/>
              </w:rPr>
              <w:t>a</w:t>
            </w:r>
          </w:p>
        </w:tc>
        <w:tc>
          <w:tcPr>
            <w:tcW w:w="1234" w:type="dxa"/>
            <w:noWrap/>
            <w:vAlign w:val="center"/>
          </w:tcPr>
          <w:p w14:paraId="3B29886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86.33</w:t>
            </w:r>
            <w:r>
              <w:rPr>
                <w:rFonts w:ascii="Times New Roman" w:hAnsi="Times New Roman" w:cs="Times New Roman"/>
                <w:color w:val="auto"/>
                <w:vertAlign w:val="superscript"/>
              </w:rPr>
              <w:t>c</w:t>
            </w:r>
          </w:p>
        </w:tc>
        <w:tc>
          <w:tcPr>
            <w:tcW w:w="1338" w:type="dxa"/>
            <w:noWrap/>
            <w:vAlign w:val="center"/>
          </w:tcPr>
          <w:p w14:paraId="4361F38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8.20</w:t>
            </w:r>
            <w:r>
              <w:rPr>
                <w:rFonts w:ascii="Times New Roman" w:hAnsi="Times New Roman" w:cs="Times New Roman"/>
                <w:color w:val="auto"/>
                <w:vertAlign w:val="superscript"/>
              </w:rPr>
              <w:t>ab</w:t>
            </w:r>
          </w:p>
        </w:tc>
        <w:tc>
          <w:tcPr>
            <w:tcW w:w="1338" w:type="dxa"/>
            <w:noWrap/>
            <w:vAlign w:val="center"/>
          </w:tcPr>
          <w:p w14:paraId="1FC8CA1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78.33</w:t>
            </w:r>
            <w:r>
              <w:rPr>
                <w:rFonts w:ascii="Times New Roman" w:hAnsi="Times New Roman" w:cs="Times New Roman"/>
                <w:color w:val="auto"/>
                <w:vertAlign w:val="superscript"/>
              </w:rPr>
              <w:t>cd</w:t>
            </w:r>
          </w:p>
        </w:tc>
        <w:tc>
          <w:tcPr>
            <w:tcW w:w="1354" w:type="dxa"/>
            <w:noWrap/>
            <w:vAlign w:val="center"/>
          </w:tcPr>
          <w:p w14:paraId="74FE208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12.73</w:t>
            </w:r>
            <w:r>
              <w:rPr>
                <w:rFonts w:ascii="Times New Roman" w:hAnsi="Times New Roman" w:cs="Times New Roman"/>
                <w:color w:val="auto"/>
                <w:vertAlign w:val="superscript"/>
              </w:rPr>
              <w:t>a</w:t>
            </w:r>
          </w:p>
        </w:tc>
      </w:tr>
      <w:tr w:rsidR="00F15FD7" w14:paraId="7144F090"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43A67149"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B+40% FC</w:t>
            </w:r>
          </w:p>
        </w:tc>
        <w:tc>
          <w:tcPr>
            <w:tcW w:w="1234" w:type="dxa"/>
            <w:tcBorders>
              <w:right w:val="nil"/>
            </w:tcBorders>
            <w:noWrap/>
            <w:vAlign w:val="center"/>
          </w:tcPr>
          <w:p w14:paraId="6354C7F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67.40</w:t>
            </w:r>
            <w:r>
              <w:rPr>
                <w:rFonts w:ascii="Times New Roman" w:hAnsi="Times New Roman" w:cs="Times New Roman"/>
                <w:vertAlign w:val="superscript"/>
              </w:rPr>
              <w:t>abc</w:t>
            </w:r>
          </w:p>
        </w:tc>
        <w:tc>
          <w:tcPr>
            <w:tcW w:w="1234" w:type="dxa"/>
            <w:tcBorders>
              <w:right w:val="nil"/>
            </w:tcBorders>
            <w:noWrap/>
            <w:vAlign w:val="center"/>
          </w:tcPr>
          <w:p w14:paraId="4689709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102.67</w:t>
            </w:r>
            <w:r>
              <w:rPr>
                <w:rFonts w:ascii="Times New Roman" w:hAnsi="Times New Roman" w:cs="Times New Roman"/>
                <w:color w:val="auto"/>
                <w:vertAlign w:val="superscript"/>
              </w:rPr>
              <w:t>cd</w:t>
            </w:r>
          </w:p>
        </w:tc>
        <w:tc>
          <w:tcPr>
            <w:tcW w:w="1234" w:type="dxa"/>
            <w:tcBorders>
              <w:right w:val="nil"/>
            </w:tcBorders>
            <w:noWrap/>
            <w:vAlign w:val="center"/>
          </w:tcPr>
          <w:p w14:paraId="21B1C48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76.69</w:t>
            </w:r>
            <w:r>
              <w:rPr>
                <w:rFonts w:ascii="Times New Roman" w:hAnsi="Times New Roman" w:cs="Times New Roman"/>
                <w:color w:val="auto"/>
                <w:vertAlign w:val="superscript"/>
              </w:rPr>
              <w:t>ab</w:t>
            </w:r>
          </w:p>
        </w:tc>
        <w:tc>
          <w:tcPr>
            <w:tcW w:w="1338" w:type="dxa"/>
            <w:tcBorders>
              <w:right w:val="nil"/>
            </w:tcBorders>
            <w:noWrap/>
            <w:vAlign w:val="center"/>
          </w:tcPr>
          <w:p w14:paraId="3BCD16D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9.43</w:t>
            </w:r>
            <w:r>
              <w:rPr>
                <w:rFonts w:ascii="Times New Roman" w:hAnsi="Times New Roman" w:cs="Times New Roman"/>
                <w:color w:val="auto"/>
                <w:vertAlign w:val="superscript"/>
              </w:rPr>
              <w:t>bc</w:t>
            </w:r>
          </w:p>
        </w:tc>
        <w:tc>
          <w:tcPr>
            <w:tcW w:w="1338" w:type="dxa"/>
            <w:tcBorders>
              <w:right w:val="nil"/>
            </w:tcBorders>
            <w:noWrap/>
            <w:vAlign w:val="center"/>
          </w:tcPr>
          <w:p w14:paraId="45F1AE2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68.00</w:t>
            </w:r>
            <w:r>
              <w:rPr>
                <w:rFonts w:ascii="Times New Roman" w:hAnsi="Times New Roman" w:cs="Times New Roman"/>
                <w:color w:val="auto"/>
                <w:vertAlign w:val="superscript"/>
              </w:rPr>
              <w:t>bc</w:t>
            </w:r>
          </w:p>
        </w:tc>
        <w:tc>
          <w:tcPr>
            <w:tcW w:w="1354" w:type="dxa"/>
            <w:tcBorders>
              <w:right w:val="nil"/>
            </w:tcBorders>
            <w:noWrap/>
            <w:vAlign w:val="center"/>
          </w:tcPr>
          <w:p w14:paraId="63B3515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16.50</w:t>
            </w:r>
            <w:r>
              <w:rPr>
                <w:rFonts w:ascii="Times New Roman" w:hAnsi="Times New Roman" w:cs="Times New Roman"/>
                <w:color w:val="auto"/>
                <w:vertAlign w:val="superscript"/>
              </w:rPr>
              <w:t>b</w:t>
            </w:r>
          </w:p>
        </w:tc>
      </w:tr>
      <w:tr w:rsidR="00F15FD7" w14:paraId="3D19AC83"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7CCDC2B7"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B+60% FC</w:t>
            </w:r>
          </w:p>
        </w:tc>
        <w:tc>
          <w:tcPr>
            <w:tcW w:w="1234" w:type="dxa"/>
            <w:noWrap/>
            <w:vAlign w:val="center"/>
          </w:tcPr>
          <w:p w14:paraId="7CB3D0C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55.93</w:t>
            </w:r>
            <w:r>
              <w:rPr>
                <w:rFonts w:ascii="Times New Roman" w:hAnsi="Times New Roman" w:cs="Times New Roman"/>
                <w:vertAlign w:val="superscript"/>
              </w:rPr>
              <w:t>ab</w:t>
            </w:r>
          </w:p>
        </w:tc>
        <w:tc>
          <w:tcPr>
            <w:tcW w:w="1234" w:type="dxa"/>
            <w:noWrap/>
            <w:vAlign w:val="center"/>
          </w:tcPr>
          <w:p w14:paraId="195E3F1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102.67</w:t>
            </w:r>
            <w:r>
              <w:rPr>
                <w:rFonts w:ascii="Times New Roman" w:hAnsi="Times New Roman" w:cs="Times New Roman"/>
                <w:color w:val="auto"/>
                <w:vertAlign w:val="superscript"/>
              </w:rPr>
              <w:t>c</w:t>
            </w:r>
          </w:p>
        </w:tc>
        <w:tc>
          <w:tcPr>
            <w:tcW w:w="1234" w:type="dxa"/>
            <w:noWrap/>
            <w:vAlign w:val="center"/>
          </w:tcPr>
          <w:p w14:paraId="4FA6F72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101.02</w:t>
            </w:r>
            <w:r>
              <w:rPr>
                <w:rFonts w:ascii="Times New Roman" w:hAnsi="Times New Roman" w:cs="Times New Roman"/>
                <w:color w:val="auto"/>
                <w:vertAlign w:val="superscript"/>
              </w:rPr>
              <w:t>d</w:t>
            </w:r>
          </w:p>
        </w:tc>
        <w:tc>
          <w:tcPr>
            <w:tcW w:w="1338" w:type="dxa"/>
            <w:noWrap/>
            <w:vAlign w:val="center"/>
          </w:tcPr>
          <w:p w14:paraId="5364439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9.83</w:t>
            </w:r>
            <w:r>
              <w:rPr>
                <w:rFonts w:ascii="Times New Roman" w:hAnsi="Times New Roman" w:cs="Times New Roman"/>
                <w:color w:val="auto"/>
                <w:vertAlign w:val="superscript"/>
              </w:rPr>
              <w:t>bc</w:t>
            </w:r>
          </w:p>
        </w:tc>
        <w:tc>
          <w:tcPr>
            <w:tcW w:w="1338" w:type="dxa"/>
            <w:noWrap/>
            <w:vAlign w:val="center"/>
          </w:tcPr>
          <w:p w14:paraId="48811EE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80.00</w:t>
            </w:r>
            <w:r>
              <w:rPr>
                <w:rFonts w:ascii="Times New Roman" w:hAnsi="Times New Roman" w:cs="Times New Roman"/>
                <w:color w:val="auto"/>
                <w:vertAlign w:val="superscript"/>
              </w:rPr>
              <w:t>cd</w:t>
            </w:r>
          </w:p>
        </w:tc>
        <w:tc>
          <w:tcPr>
            <w:tcW w:w="1354" w:type="dxa"/>
            <w:noWrap/>
            <w:vAlign w:val="center"/>
          </w:tcPr>
          <w:p w14:paraId="1C8BDFE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18.73</w:t>
            </w:r>
            <w:r>
              <w:rPr>
                <w:rFonts w:ascii="Times New Roman" w:hAnsi="Times New Roman" w:cs="Times New Roman"/>
                <w:color w:val="auto"/>
                <w:vertAlign w:val="superscript"/>
              </w:rPr>
              <w:t>ab</w:t>
            </w:r>
          </w:p>
        </w:tc>
      </w:tr>
      <w:tr w:rsidR="00F15FD7" w14:paraId="370AB231"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CFBE047"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B+100% FC</w:t>
            </w:r>
          </w:p>
        </w:tc>
        <w:tc>
          <w:tcPr>
            <w:tcW w:w="1234" w:type="dxa"/>
            <w:tcBorders>
              <w:right w:val="nil"/>
            </w:tcBorders>
            <w:noWrap/>
            <w:vAlign w:val="center"/>
          </w:tcPr>
          <w:p w14:paraId="05D7D09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74.29</w:t>
            </w:r>
            <w:r>
              <w:rPr>
                <w:rFonts w:ascii="Times New Roman" w:hAnsi="Times New Roman" w:cs="Times New Roman"/>
                <w:vertAlign w:val="superscript"/>
              </w:rPr>
              <w:t>c</w:t>
            </w:r>
          </w:p>
        </w:tc>
        <w:tc>
          <w:tcPr>
            <w:tcW w:w="1234" w:type="dxa"/>
            <w:tcBorders>
              <w:right w:val="nil"/>
            </w:tcBorders>
            <w:noWrap/>
            <w:vAlign w:val="center"/>
          </w:tcPr>
          <w:p w14:paraId="436A3807"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120.67</w:t>
            </w:r>
            <w:r>
              <w:rPr>
                <w:rFonts w:ascii="Times New Roman" w:hAnsi="Times New Roman" w:cs="Times New Roman"/>
                <w:color w:val="auto"/>
                <w:vertAlign w:val="superscript"/>
              </w:rPr>
              <w:t>b</w:t>
            </w:r>
          </w:p>
        </w:tc>
        <w:tc>
          <w:tcPr>
            <w:tcW w:w="1234" w:type="dxa"/>
            <w:tcBorders>
              <w:right w:val="nil"/>
            </w:tcBorders>
            <w:noWrap/>
            <w:vAlign w:val="center"/>
          </w:tcPr>
          <w:p w14:paraId="5CF4321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71.74a</w:t>
            </w:r>
            <w:r>
              <w:rPr>
                <w:rFonts w:ascii="Times New Roman" w:hAnsi="Times New Roman" w:cs="Times New Roman"/>
                <w:color w:val="auto"/>
                <w:vertAlign w:val="superscript"/>
              </w:rPr>
              <w:t>b</w:t>
            </w:r>
          </w:p>
        </w:tc>
        <w:tc>
          <w:tcPr>
            <w:tcW w:w="1338" w:type="dxa"/>
            <w:tcBorders>
              <w:right w:val="nil"/>
            </w:tcBorders>
            <w:noWrap/>
            <w:vAlign w:val="center"/>
          </w:tcPr>
          <w:p w14:paraId="1F329C7C"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8.93</w:t>
            </w:r>
            <w:r>
              <w:rPr>
                <w:rFonts w:ascii="Times New Roman" w:hAnsi="Times New Roman" w:cs="Times New Roman"/>
                <w:color w:val="auto"/>
                <w:vertAlign w:val="superscript"/>
              </w:rPr>
              <w:t>b</w:t>
            </w:r>
          </w:p>
        </w:tc>
        <w:tc>
          <w:tcPr>
            <w:tcW w:w="1338" w:type="dxa"/>
            <w:tcBorders>
              <w:right w:val="nil"/>
            </w:tcBorders>
            <w:noWrap/>
            <w:vAlign w:val="center"/>
          </w:tcPr>
          <w:p w14:paraId="73AA0BB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86.33</w:t>
            </w:r>
            <w:r>
              <w:rPr>
                <w:rFonts w:ascii="Times New Roman" w:hAnsi="Times New Roman" w:cs="Times New Roman"/>
                <w:color w:val="auto"/>
                <w:vertAlign w:val="superscript"/>
              </w:rPr>
              <w:t>cde</w:t>
            </w:r>
          </w:p>
        </w:tc>
        <w:tc>
          <w:tcPr>
            <w:tcW w:w="1354" w:type="dxa"/>
            <w:tcBorders>
              <w:right w:val="nil"/>
            </w:tcBorders>
            <w:noWrap/>
            <w:vAlign w:val="center"/>
          </w:tcPr>
          <w:p w14:paraId="5D91A242"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14.13</w:t>
            </w:r>
            <w:r>
              <w:rPr>
                <w:rFonts w:ascii="Times New Roman" w:hAnsi="Times New Roman" w:cs="Times New Roman"/>
                <w:color w:val="auto"/>
                <w:vertAlign w:val="superscript"/>
              </w:rPr>
              <w:t>ab</w:t>
            </w:r>
          </w:p>
        </w:tc>
      </w:tr>
      <w:tr w:rsidR="00F15FD7" w14:paraId="6EBE637B"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3062D114"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T+40% FC</w:t>
            </w:r>
          </w:p>
        </w:tc>
        <w:tc>
          <w:tcPr>
            <w:tcW w:w="1234" w:type="dxa"/>
            <w:noWrap/>
            <w:vAlign w:val="center"/>
          </w:tcPr>
          <w:p w14:paraId="59FBA67C"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68.70</w:t>
            </w:r>
            <w:r>
              <w:rPr>
                <w:rFonts w:ascii="Times New Roman" w:hAnsi="Times New Roman" w:cs="Times New Roman"/>
                <w:vertAlign w:val="superscript"/>
              </w:rPr>
              <w:t>abc</w:t>
            </w:r>
          </w:p>
        </w:tc>
        <w:tc>
          <w:tcPr>
            <w:tcW w:w="1234" w:type="dxa"/>
            <w:noWrap/>
            <w:vAlign w:val="center"/>
          </w:tcPr>
          <w:p w14:paraId="262EC20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96.33</w:t>
            </w:r>
            <w:r>
              <w:rPr>
                <w:rFonts w:ascii="Times New Roman" w:hAnsi="Times New Roman" w:cs="Times New Roman"/>
                <w:color w:val="auto"/>
                <w:vertAlign w:val="superscript"/>
              </w:rPr>
              <w:t>a</w:t>
            </w:r>
          </w:p>
        </w:tc>
        <w:tc>
          <w:tcPr>
            <w:tcW w:w="1234" w:type="dxa"/>
            <w:noWrap/>
            <w:vAlign w:val="center"/>
          </w:tcPr>
          <w:p w14:paraId="6AD77936"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87.44</w:t>
            </w:r>
            <w:r>
              <w:rPr>
                <w:rFonts w:ascii="Times New Roman" w:hAnsi="Times New Roman" w:cs="Times New Roman"/>
                <w:color w:val="auto"/>
                <w:vertAlign w:val="superscript"/>
              </w:rPr>
              <w:t>bc</w:t>
            </w:r>
          </w:p>
        </w:tc>
        <w:tc>
          <w:tcPr>
            <w:tcW w:w="1338" w:type="dxa"/>
            <w:noWrap/>
            <w:vAlign w:val="center"/>
          </w:tcPr>
          <w:p w14:paraId="6751FC8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8.83</w:t>
            </w:r>
            <w:r>
              <w:rPr>
                <w:rFonts w:ascii="Times New Roman" w:hAnsi="Times New Roman" w:cs="Times New Roman"/>
                <w:color w:val="auto"/>
                <w:vertAlign w:val="superscript"/>
              </w:rPr>
              <w:t>b</w:t>
            </w:r>
          </w:p>
        </w:tc>
        <w:tc>
          <w:tcPr>
            <w:tcW w:w="1338" w:type="dxa"/>
            <w:noWrap/>
            <w:vAlign w:val="center"/>
          </w:tcPr>
          <w:p w14:paraId="4F52E22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71.67</w:t>
            </w:r>
            <w:r>
              <w:rPr>
                <w:rFonts w:ascii="Times New Roman" w:hAnsi="Times New Roman" w:cs="Times New Roman"/>
                <w:color w:val="auto"/>
                <w:vertAlign w:val="superscript"/>
              </w:rPr>
              <w:t>c</w:t>
            </w:r>
          </w:p>
        </w:tc>
        <w:tc>
          <w:tcPr>
            <w:tcW w:w="1354" w:type="dxa"/>
            <w:noWrap/>
            <w:vAlign w:val="center"/>
          </w:tcPr>
          <w:p w14:paraId="39BBA53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14.40</w:t>
            </w:r>
            <w:r>
              <w:rPr>
                <w:rFonts w:ascii="Times New Roman" w:hAnsi="Times New Roman" w:cs="Times New Roman"/>
                <w:color w:val="auto"/>
                <w:vertAlign w:val="superscript"/>
              </w:rPr>
              <w:t>ab</w:t>
            </w:r>
          </w:p>
        </w:tc>
      </w:tr>
      <w:tr w:rsidR="00F15FD7" w14:paraId="1E5C368E"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8FB557B"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T+60% FC</w:t>
            </w:r>
          </w:p>
        </w:tc>
        <w:tc>
          <w:tcPr>
            <w:tcW w:w="1234" w:type="dxa"/>
            <w:tcBorders>
              <w:right w:val="nil"/>
            </w:tcBorders>
            <w:noWrap/>
            <w:vAlign w:val="center"/>
          </w:tcPr>
          <w:p w14:paraId="7D0B037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55.70</w:t>
            </w:r>
            <w:r>
              <w:rPr>
                <w:rFonts w:ascii="Times New Roman" w:hAnsi="Times New Roman" w:cs="Times New Roman"/>
                <w:vertAlign w:val="superscript"/>
              </w:rPr>
              <w:t>ab</w:t>
            </w:r>
          </w:p>
        </w:tc>
        <w:tc>
          <w:tcPr>
            <w:tcW w:w="1234" w:type="dxa"/>
            <w:tcBorders>
              <w:right w:val="nil"/>
            </w:tcBorders>
            <w:noWrap/>
            <w:vAlign w:val="center"/>
          </w:tcPr>
          <w:p w14:paraId="2A908D0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115.00</w:t>
            </w:r>
            <w:r>
              <w:rPr>
                <w:rFonts w:ascii="Times New Roman" w:hAnsi="Times New Roman" w:cs="Times New Roman"/>
                <w:color w:val="auto"/>
                <w:vertAlign w:val="superscript"/>
              </w:rPr>
              <w:t>cd</w:t>
            </w:r>
          </w:p>
        </w:tc>
        <w:tc>
          <w:tcPr>
            <w:tcW w:w="1234" w:type="dxa"/>
            <w:tcBorders>
              <w:right w:val="nil"/>
            </w:tcBorders>
            <w:noWrap/>
            <w:vAlign w:val="center"/>
          </w:tcPr>
          <w:p w14:paraId="067FF4C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96.06</w:t>
            </w:r>
            <w:r>
              <w:rPr>
                <w:rFonts w:ascii="Times New Roman" w:hAnsi="Times New Roman" w:cs="Times New Roman"/>
                <w:color w:val="auto"/>
                <w:vertAlign w:val="superscript"/>
              </w:rPr>
              <w:t>c</w:t>
            </w:r>
          </w:p>
        </w:tc>
        <w:tc>
          <w:tcPr>
            <w:tcW w:w="1338" w:type="dxa"/>
            <w:tcBorders>
              <w:right w:val="nil"/>
            </w:tcBorders>
            <w:noWrap/>
            <w:vAlign w:val="center"/>
          </w:tcPr>
          <w:p w14:paraId="75DE53F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8.43</w:t>
            </w:r>
            <w:r>
              <w:rPr>
                <w:rFonts w:ascii="Times New Roman" w:hAnsi="Times New Roman" w:cs="Times New Roman"/>
                <w:color w:val="auto"/>
                <w:vertAlign w:val="superscript"/>
              </w:rPr>
              <w:t>b</w:t>
            </w:r>
          </w:p>
        </w:tc>
        <w:tc>
          <w:tcPr>
            <w:tcW w:w="1338" w:type="dxa"/>
            <w:tcBorders>
              <w:right w:val="nil"/>
            </w:tcBorders>
            <w:noWrap/>
            <w:vAlign w:val="center"/>
          </w:tcPr>
          <w:p w14:paraId="6D47936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95.00</w:t>
            </w:r>
            <w:r>
              <w:rPr>
                <w:rFonts w:ascii="Times New Roman" w:hAnsi="Times New Roman" w:cs="Times New Roman"/>
                <w:color w:val="auto"/>
                <w:vertAlign w:val="superscript"/>
              </w:rPr>
              <w:t>de</w:t>
            </w:r>
          </w:p>
        </w:tc>
        <w:tc>
          <w:tcPr>
            <w:tcW w:w="1354" w:type="dxa"/>
            <w:tcBorders>
              <w:right w:val="nil"/>
            </w:tcBorders>
            <w:noWrap/>
            <w:vAlign w:val="center"/>
          </w:tcPr>
          <w:p w14:paraId="6DEFAA11"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14.73</w:t>
            </w:r>
            <w:r>
              <w:rPr>
                <w:rFonts w:ascii="Times New Roman" w:hAnsi="Times New Roman" w:cs="Times New Roman"/>
                <w:color w:val="auto"/>
                <w:vertAlign w:val="superscript"/>
              </w:rPr>
              <w:t>a</w:t>
            </w:r>
          </w:p>
        </w:tc>
      </w:tr>
      <w:tr w:rsidR="00F15FD7" w14:paraId="6E9D20A4"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52A59A1C"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T+100% FC</w:t>
            </w:r>
          </w:p>
        </w:tc>
        <w:tc>
          <w:tcPr>
            <w:tcW w:w="1234" w:type="dxa"/>
            <w:noWrap/>
            <w:vAlign w:val="center"/>
          </w:tcPr>
          <w:p w14:paraId="36160AA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76.13</w:t>
            </w:r>
            <w:r>
              <w:rPr>
                <w:rFonts w:ascii="Times New Roman" w:hAnsi="Times New Roman" w:cs="Times New Roman"/>
                <w:vertAlign w:val="superscript"/>
              </w:rPr>
              <w:t>c</w:t>
            </w:r>
          </w:p>
        </w:tc>
        <w:tc>
          <w:tcPr>
            <w:tcW w:w="1234" w:type="dxa"/>
            <w:noWrap/>
            <w:vAlign w:val="center"/>
          </w:tcPr>
          <w:p w14:paraId="06A454E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113.00</w:t>
            </w:r>
            <w:r>
              <w:rPr>
                <w:rFonts w:ascii="Times New Roman" w:hAnsi="Times New Roman" w:cs="Times New Roman"/>
                <w:color w:val="auto"/>
                <w:vertAlign w:val="superscript"/>
              </w:rPr>
              <w:t>b</w:t>
            </w:r>
          </w:p>
        </w:tc>
        <w:tc>
          <w:tcPr>
            <w:tcW w:w="1234" w:type="dxa"/>
            <w:noWrap/>
            <w:vAlign w:val="center"/>
          </w:tcPr>
          <w:p w14:paraId="695A1BC0"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79.60</w:t>
            </w:r>
            <w:r>
              <w:rPr>
                <w:rFonts w:ascii="Times New Roman" w:hAnsi="Times New Roman" w:cs="Times New Roman"/>
                <w:color w:val="auto"/>
                <w:vertAlign w:val="superscript"/>
              </w:rPr>
              <w:t>ab</w:t>
            </w:r>
          </w:p>
        </w:tc>
        <w:tc>
          <w:tcPr>
            <w:tcW w:w="1338" w:type="dxa"/>
            <w:noWrap/>
            <w:vAlign w:val="center"/>
          </w:tcPr>
          <w:p w14:paraId="40E77BE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8.33</w:t>
            </w:r>
            <w:r>
              <w:rPr>
                <w:rFonts w:ascii="Times New Roman" w:hAnsi="Times New Roman" w:cs="Times New Roman"/>
                <w:color w:val="auto"/>
                <w:vertAlign w:val="superscript"/>
              </w:rPr>
              <w:t>ab</w:t>
            </w:r>
          </w:p>
        </w:tc>
        <w:tc>
          <w:tcPr>
            <w:tcW w:w="1338" w:type="dxa"/>
            <w:noWrap/>
            <w:vAlign w:val="center"/>
          </w:tcPr>
          <w:p w14:paraId="0B8A118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87.00</w:t>
            </w:r>
            <w:r>
              <w:rPr>
                <w:rFonts w:ascii="Times New Roman" w:hAnsi="Times New Roman" w:cs="Times New Roman"/>
                <w:color w:val="auto"/>
                <w:vertAlign w:val="superscript"/>
              </w:rPr>
              <w:t>d</w:t>
            </w:r>
          </w:p>
        </w:tc>
        <w:tc>
          <w:tcPr>
            <w:tcW w:w="1354" w:type="dxa"/>
            <w:noWrap/>
            <w:vAlign w:val="center"/>
          </w:tcPr>
          <w:p w14:paraId="4ACE7CF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15.70</w:t>
            </w:r>
            <w:r>
              <w:rPr>
                <w:rFonts w:ascii="Times New Roman" w:hAnsi="Times New Roman" w:cs="Times New Roman"/>
                <w:color w:val="auto"/>
                <w:vertAlign w:val="superscript"/>
              </w:rPr>
              <w:t>ab</w:t>
            </w:r>
          </w:p>
        </w:tc>
      </w:tr>
      <w:tr w:rsidR="00F15FD7" w14:paraId="335B5ECE"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1CFA18A9"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B+T+40% FC</w:t>
            </w:r>
          </w:p>
        </w:tc>
        <w:tc>
          <w:tcPr>
            <w:tcW w:w="1234" w:type="dxa"/>
            <w:tcBorders>
              <w:right w:val="nil"/>
            </w:tcBorders>
            <w:noWrap/>
            <w:vAlign w:val="center"/>
          </w:tcPr>
          <w:p w14:paraId="4190C03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51.40</w:t>
            </w:r>
            <w:r>
              <w:rPr>
                <w:rFonts w:ascii="Times New Roman" w:hAnsi="Times New Roman" w:cs="Times New Roman"/>
                <w:vertAlign w:val="superscript"/>
              </w:rPr>
              <w:t>ab</w:t>
            </w:r>
          </w:p>
        </w:tc>
        <w:tc>
          <w:tcPr>
            <w:tcW w:w="1234" w:type="dxa"/>
            <w:tcBorders>
              <w:right w:val="nil"/>
            </w:tcBorders>
            <w:noWrap/>
            <w:vAlign w:val="center"/>
          </w:tcPr>
          <w:p w14:paraId="692B005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79.67</w:t>
            </w:r>
            <w:r>
              <w:rPr>
                <w:rFonts w:ascii="Times New Roman" w:hAnsi="Times New Roman" w:cs="Times New Roman"/>
                <w:color w:val="auto"/>
                <w:vertAlign w:val="superscript"/>
              </w:rPr>
              <w:t>ab</w:t>
            </w:r>
          </w:p>
        </w:tc>
        <w:tc>
          <w:tcPr>
            <w:tcW w:w="1234" w:type="dxa"/>
            <w:tcBorders>
              <w:right w:val="nil"/>
            </w:tcBorders>
            <w:noWrap/>
            <w:vAlign w:val="center"/>
          </w:tcPr>
          <w:p w14:paraId="31B97EF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91.34</w:t>
            </w:r>
            <w:r>
              <w:rPr>
                <w:rFonts w:ascii="Times New Roman" w:hAnsi="Times New Roman" w:cs="Times New Roman"/>
                <w:color w:val="auto"/>
                <w:vertAlign w:val="superscript"/>
              </w:rPr>
              <w:t>c</w:t>
            </w:r>
          </w:p>
        </w:tc>
        <w:tc>
          <w:tcPr>
            <w:tcW w:w="1338" w:type="dxa"/>
            <w:tcBorders>
              <w:right w:val="nil"/>
            </w:tcBorders>
            <w:noWrap/>
            <w:vAlign w:val="center"/>
          </w:tcPr>
          <w:p w14:paraId="3449D19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8.83</w:t>
            </w:r>
            <w:r>
              <w:rPr>
                <w:rFonts w:ascii="Times New Roman" w:hAnsi="Times New Roman" w:cs="Times New Roman"/>
                <w:color w:val="auto"/>
                <w:vertAlign w:val="superscript"/>
              </w:rPr>
              <w:t>b</w:t>
            </w:r>
          </w:p>
        </w:tc>
        <w:tc>
          <w:tcPr>
            <w:tcW w:w="1338" w:type="dxa"/>
            <w:tcBorders>
              <w:right w:val="nil"/>
            </w:tcBorders>
            <w:noWrap/>
            <w:vAlign w:val="center"/>
          </w:tcPr>
          <w:p w14:paraId="0EFB0067"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70.33</w:t>
            </w:r>
            <w:r>
              <w:rPr>
                <w:rFonts w:ascii="Times New Roman" w:hAnsi="Times New Roman" w:cs="Times New Roman"/>
                <w:color w:val="auto"/>
                <w:vertAlign w:val="superscript"/>
              </w:rPr>
              <w:t>cd</w:t>
            </w:r>
          </w:p>
        </w:tc>
        <w:tc>
          <w:tcPr>
            <w:tcW w:w="1354" w:type="dxa"/>
            <w:tcBorders>
              <w:right w:val="nil"/>
            </w:tcBorders>
            <w:noWrap/>
            <w:vAlign w:val="center"/>
          </w:tcPr>
          <w:p w14:paraId="4E4B21C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15.83</w:t>
            </w:r>
            <w:r>
              <w:rPr>
                <w:rFonts w:ascii="Times New Roman" w:hAnsi="Times New Roman" w:cs="Times New Roman"/>
                <w:color w:val="auto"/>
                <w:vertAlign w:val="superscript"/>
              </w:rPr>
              <w:t>ab</w:t>
            </w:r>
          </w:p>
        </w:tc>
      </w:tr>
      <w:tr w:rsidR="00F15FD7" w14:paraId="143C5B5D" w14:textId="77777777" w:rsidTr="00F15FD7">
        <w:trPr>
          <w:trHeight w:val="498"/>
        </w:trPr>
        <w:tc>
          <w:tcPr>
            <w:cnfStyle w:val="001000000000" w:firstRow="0" w:lastRow="0" w:firstColumn="1" w:lastColumn="0" w:oddVBand="0" w:evenVBand="0" w:oddHBand="0" w:evenHBand="0" w:firstRowFirstColumn="0" w:firstRowLastColumn="0" w:lastRowFirstColumn="0" w:lastRowLastColumn="0"/>
            <w:tcW w:w="1784" w:type="dxa"/>
            <w:noWrap/>
            <w:vAlign w:val="center"/>
          </w:tcPr>
          <w:p w14:paraId="5350CF50"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B+T+60% FC</w:t>
            </w:r>
          </w:p>
        </w:tc>
        <w:tc>
          <w:tcPr>
            <w:tcW w:w="1234" w:type="dxa"/>
            <w:noWrap/>
            <w:vAlign w:val="center"/>
          </w:tcPr>
          <w:p w14:paraId="5E2E1F08"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78.70</w:t>
            </w:r>
            <w:r>
              <w:rPr>
                <w:rFonts w:ascii="Times New Roman" w:hAnsi="Times New Roman" w:cs="Times New Roman"/>
                <w:vertAlign w:val="superscript"/>
              </w:rPr>
              <w:t>c</w:t>
            </w:r>
          </w:p>
        </w:tc>
        <w:tc>
          <w:tcPr>
            <w:tcW w:w="1234" w:type="dxa"/>
            <w:noWrap/>
            <w:vAlign w:val="center"/>
          </w:tcPr>
          <w:p w14:paraId="2A69501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169.67</w:t>
            </w:r>
            <w:r>
              <w:rPr>
                <w:rFonts w:ascii="Times New Roman" w:hAnsi="Times New Roman" w:cs="Times New Roman"/>
                <w:color w:val="auto"/>
                <w:vertAlign w:val="superscript"/>
              </w:rPr>
              <w:t>f</w:t>
            </w:r>
          </w:p>
        </w:tc>
        <w:tc>
          <w:tcPr>
            <w:tcW w:w="1234" w:type="dxa"/>
            <w:noWrap/>
            <w:vAlign w:val="center"/>
          </w:tcPr>
          <w:p w14:paraId="2533836A"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101.02</w:t>
            </w:r>
            <w:r>
              <w:rPr>
                <w:rFonts w:ascii="Times New Roman" w:hAnsi="Times New Roman" w:cs="Times New Roman"/>
                <w:color w:val="auto"/>
                <w:vertAlign w:val="superscript"/>
              </w:rPr>
              <w:t>d</w:t>
            </w:r>
          </w:p>
        </w:tc>
        <w:tc>
          <w:tcPr>
            <w:tcW w:w="1338" w:type="dxa"/>
            <w:noWrap/>
            <w:vAlign w:val="center"/>
          </w:tcPr>
          <w:p w14:paraId="44453E4B"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10.77</w:t>
            </w:r>
            <w:r>
              <w:rPr>
                <w:rFonts w:ascii="Times New Roman" w:hAnsi="Times New Roman" w:cs="Times New Roman"/>
                <w:color w:val="auto"/>
                <w:vertAlign w:val="superscript"/>
              </w:rPr>
              <w:t>c</w:t>
            </w:r>
          </w:p>
        </w:tc>
        <w:tc>
          <w:tcPr>
            <w:tcW w:w="1338" w:type="dxa"/>
            <w:noWrap/>
            <w:vAlign w:val="center"/>
          </w:tcPr>
          <w:p w14:paraId="2F73935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90.67</w:t>
            </w:r>
            <w:r>
              <w:rPr>
                <w:rFonts w:ascii="Times New Roman" w:hAnsi="Times New Roman" w:cs="Times New Roman"/>
                <w:color w:val="auto"/>
                <w:vertAlign w:val="superscript"/>
              </w:rPr>
              <w:t>d</w:t>
            </w:r>
          </w:p>
        </w:tc>
        <w:tc>
          <w:tcPr>
            <w:tcW w:w="1354" w:type="dxa"/>
            <w:noWrap/>
            <w:vAlign w:val="center"/>
          </w:tcPr>
          <w:p w14:paraId="7FE87779"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15.10</w:t>
            </w:r>
            <w:r>
              <w:rPr>
                <w:rFonts w:ascii="Times New Roman" w:hAnsi="Times New Roman" w:cs="Times New Roman"/>
                <w:color w:val="auto"/>
                <w:vertAlign w:val="superscript"/>
              </w:rPr>
              <w:t>ab</w:t>
            </w:r>
          </w:p>
        </w:tc>
      </w:tr>
      <w:tr w:rsidR="00F15FD7" w14:paraId="733714FC" w14:textId="77777777" w:rsidTr="00F15FD7">
        <w:trPr>
          <w:trHeight w:val="529"/>
        </w:trPr>
        <w:tc>
          <w:tcPr>
            <w:cnfStyle w:val="001000000000" w:firstRow="0" w:lastRow="0" w:firstColumn="1" w:lastColumn="0" w:oddVBand="0" w:evenVBand="0" w:oddHBand="0" w:evenHBand="0" w:firstRowFirstColumn="0" w:firstRowLastColumn="0" w:lastRowFirstColumn="0" w:lastRowLastColumn="0"/>
            <w:tcW w:w="1784" w:type="dxa"/>
            <w:tcBorders>
              <w:left w:val="nil"/>
              <w:right w:val="nil"/>
            </w:tcBorders>
            <w:noWrap/>
            <w:vAlign w:val="center"/>
          </w:tcPr>
          <w:p w14:paraId="6A89C2BE" w14:textId="77777777" w:rsidR="00F15FD7" w:rsidRDefault="00563E74">
            <w:pPr>
              <w:tabs>
                <w:tab w:val="left" w:pos="2880"/>
              </w:tabs>
              <w:spacing w:after="0" w:line="276" w:lineRule="auto"/>
              <w:rPr>
                <w:rFonts w:ascii="Times New Roman" w:hAnsi="Times New Roman" w:cs="Times New Roman"/>
              </w:rPr>
            </w:pPr>
            <w:r>
              <w:rPr>
                <w:rFonts w:ascii="Times New Roman" w:hAnsi="Times New Roman" w:cs="Times New Roman"/>
              </w:rPr>
              <w:t>B+T+100%FC</w:t>
            </w:r>
          </w:p>
        </w:tc>
        <w:tc>
          <w:tcPr>
            <w:tcW w:w="1234" w:type="dxa"/>
            <w:tcBorders>
              <w:right w:val="nil"/>
            </w:tcBorders>
            <w:noWrap/>
            <w:vAlign w:val="center"/>
          </w:tcPr>
          <w:p w14:paraId="4200E98F"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90.27</w:t>
            </w:r>
            <w:r>
              <w:rPr>
                <w:rFonts w:ascii="Times New Roman" w:hAnsi="Times New Roman" w:cs="Times New Roman"/>
                <w:vertAlign w:val="superscript"/>
              </w:rPr>
              <w:t>d</w:t>
            </w:r>
          </w:p>
        </w:tc>
        <w:tc>
          <w:tcPr>
            <w:tcW w:w="1234" w:type="dxa"/>
            <w:tcBorders>
              <w:right w:val="nil"/>
            </w:tcBorders>
            <w:noWrap/>
            <w:vAlign w:val="center"/>
          </w:tcPr>
          <w:p w14:paraId="380CFA6D"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126.00</w:t>
            </w:r>
            <w:r>
              <w:rPr>
                <w:rFonts w:ascii="Times New Roman" w:hAnsi="Times New Roman" w:cs="Times New Roman"/>
                <w:color w:val="auto"/>
                <w:vertAlign w:val="superscript"/>
              </w:rPr>
              <w:t>de</w:t>
            </w:r>
          </w:p>
        </w:tc>
        <w:tc>
          <w:tcPr>
            <w:tcW w:w="1234" w:type="dxa"/>
            <w:tcBorders>
              <w:right w:val="nil"/>
            </w:tcBorders>
            <w:noWrap/>
            <w:vAlign w:val="center"/>
          </w:tcPr>
          <w:p w14:paraId="64EFFB84"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166.69</w:t>
            </w:r>
            <w:r>
              <w:rPr>
                <w:rFonts w:ascii="Times New Roman" w:hAnsi="Times New Roman" w:cs="Times New Roman"/>
                <w:color w:val="auto"/>
                <w:vertAlign w:val="superscript"/>
              </w:rPr>
              <w:t>e</w:t>
            </w:r>
          </w:p>
        </w:tc>
        <w:tc>
          <w:tcPr>
            <w:tcW w:w="1338" w:type="dxa"/>
            <w:tcBorders>
              <w:right w:val="nil"/>
            </w:tcBorders>
            <w:noWrap/>
            <w:vAlign w:val="center"/>
          </w:tcPr>
          <w:p w14:paraId="6590E193"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10.83</w:t>
            </w:r>
            <w:r>
              <w:rPr>
                <w:rFonts w:ascii="Times New Roman" w:hAnsi="Times New Roman" w:cs="Times New Roman"/>
                <w:color w:val="auto"/>
                <w:vertAlign w:val="superscript"/>
              </w:rPr>
              <w:t>c</w:t>
            </w:r>
          </w:p>
        </w:tc>
        <w:tc>
          <w:tcPr>
            <w:tcW w:w="1338" w:type="dxa"/>
            <w:tcBorders>
              <w:right w:val="nil"/>
            </w:tcBorders>
            <w:noWrap/>
            <w:vAlign w:val="center"/>
          </w:tcPr>
          <w:p w14:paraId="022AB074"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125.00</w:t>
            </w:r>
            <w:r>
              <w:rPr>
                <w:rFonts w:ascii="Times New Roman" w:hAnsi="Times New Roman" w:cs="Times New Roman"/>
                <w:color w:val="auto"/>
                <w:vertAlign w:val="superscript"/>
              </w:rPr>
              <w:t>f</w:t>
            </w:r>
          </w:p>
        </w:tc>
        <w:tc>
          <w:tcPr>
            <w:tcW w:w="1354" w:type="dxa"/>
            <w:tcBorders>
              <w:right w:val="nil"/>
            </w:tcBorders>
            <w:noWrap/>
            <w:vAlign w:val="center"/>
          </w:tcPr>
          <w:p w14:paraId="3AC002C5" w14:textId="77777777" w:rsidR="00F15FD7" w:rsidRDefault="00563E74">
            <w:pPr>
              <w:tabs>
                <w:tab w:val="left" w:pos="2880"/>
              </w:tabs>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19.00</w:t>
            </w:r>
            <w:r>
              <w:rPr>
                <w:rFonts w:ascii="Times New Roman" w:hAnsi="Times New Roman" w:cs="Times New Roman"/>
                <w:color w:val="auto"/>
                <w:vertAlign w:val="superscript"/>
              </w:rPr>
              <w:t>c</w:t>
            </w:r>
          </w:p>
        </w:tc>
      </w:tr>
    </w:tbl>
    <w:p w14:paraId="232CFB17" w14:textId="77777777" w:rsidR="00F15FD7" w:rsidRDefault="00563E74">
      <w:pPr>
        <w:tabs>
          <w:tab w:val="left" w:pos="2880"/>
        </w:tabs>
        <w:spacing w:after="0" w:line="276" w:lineRule="auto"/>
        <w:ind w:right="-784"/>
        <w:rPr>
          <w:rFonts w:ascii="Times New Roman" w:hAnsi="Times New Roman" w:cs="Times New Roman"/>
          <w:iCs/>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iCs/>
        </w:rPr>
        <w:t>, WAT= Weeks after treatment application.</w:t>
      </w:r>
    </w:p>
    <w:p w14:paraId="0FA9586E" w14:textId="77777777" w:rsidR="00F15FD7" w:rsidRDefault="00F15FD7">
      <w:pPr>
        <w:spacing w:line="360" w:lineRule="auto"/>
        <w:ind w:right="-180"/>
        <w:jc w:val="both"/>
        <w:rPr>
          <w:rFonts w:ascii="Times New Roman" w:hAnsi="Times New Roman" w:cs="Times New Roman"/>
        </w:rPr>
      </w:pPr>
    </w:p>
    <w:p w14:paraId="6EB23AD7" w14:textId="77777777" w:rsidR="00F15FD7" w:rsidRDefault="00F15FD7">
      <w:pPr>
        <w:spacing w:line="360" w:lineRule="auto"/>
        <w:ind w:right="-180"/>
        <w:jc w:val="both"/>
        <w:rPr>
          <w:rFonts w:ascii="Times New Roman" w:hAnsi="Times New Roman" w:cs="Times New Roman"/>
        </w:rPr>
      </w:pPr>
    </w:p>
    <w:p w14:paraId="468843DD" w14:textId="77777777" w:rsidR="00F15FD7" w:rsidRDefault="00563E74">
      <w:pPr>
        <w:spacing w:line="360" w:lineRule="auto"/>
        <w:ind w:right="-180"/>
        <w:jc w:val="both"/>
        <w:rPr>
          <w:rFonts w:ascii="Times New Roman" w:hAnsi="Times New Roman" w:cs="Times New Roman"/>
          <w:b/>
          <w:bCs/>
        </w:rPr>
      </w:pPr>
      <w:r>
        <w:rPr>
          <w:rFonts w:ascii="Times New Roman" w:hAnsi="Times New Roman" w:cs="Times New Roman"/>
          <w:b/>
          <w:bCs/>
        </w:rPr>
        <w:t>3.3. Effects on pepper biomass yield</w:t>
      </w:r>
      <w:r>
        <w:rPr>
          <w:rFonts w:ascii="Times New Roman" w:hAnsi="Times New Roman" w:cs="Times New Roman"/>
          <w:b/>
          <w:bCs/>
        </w:rPr>
        <w:t xml:space="preserve">s </w:t>
      </w:r>
    </w:p>
    <w:p w14:paraId="74A05591" w14:textId="77777777" w:rsidR="00F15FD7" w:rsidRDefault="00563E74">
      <w:pPr>
        <w:spacing w:line="360" w:lineRule="auto"/>
        <w:ind w:right="-180"/>
        <w:jc w:val="both"/>
        <w:rPr>
          <w:rFonts w:ascii="Times New Roman" w:hAnsi="Times New Roman" w:cs="Times New Roman"/>
        </w:rPr>
      </w:pPr>
      <w:r>
        <w:rPr>
          <w:rFonts w:ascii="Times New Roman" w:hAnsi="Times New Roman" w:cs="Times New Roman"/>
        </w:rPr>
        <w:t xml:space="preserve">Table 3 shows that both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i/>
          <w:iCs/>
        </w:rPr>
        <w:t>,</w:t>
      </w:r>
      <w:r>
        <w:rPr>
          <w:rFonts w:ascii="Times New Roman" w:hAnsi="Times New Roman" w:cs="Times New Roman"/>
        </w:rPr>
        <w:t xml:space="preserve"> individually and in combination, increased fresh and dry weights of pepper roots, leaves, and stems compared to untreated plants. For example, root fresh weight reached 14.93 g under biochar alo</w:t>
      </w:r>
      <w:r>
        <w:rPr>
          <w:rFonts w:ascii="Times New Roman" w:hAnsi="Times New Roman" w:cs="Times New Roman"/>
        </w:rPr>
        <w:t xml:space="preserve">ne and 14.31 g under B+T at 100% FC, while leaf fresh weight peaked at 24.06 g under T+40% FC. Stem fresh weight was highest (26.97 g) under B+T at 60% FC. Overall, </w:t>
      </w:r>
      <w:r>
        <w:rPr>
          <w:rFonts w:ascii="Times New Roman" w:hAnsi="Times New Roman" w:cs="Times New Roman"/>
        </w:rPr>
        <w:lastRenderedPageBreak/>
        <w:t xml:space="preserve">the combination of biochar and </w:t>
      </w:r>
      <w:r>
        <w:rPr>
          <w:rFonts w:ascii="Times New Roman" w:hAnsi="Times New Roman" w:cs="Times New Roman"/>
          <w:i/>
          <w:iCs/>
        </w:rPr>
        <w:t>Trichoderma,</w:t>
      </w:r>
      <w:r>
        <w:rPr>
          <w:rFonts w:ascii="Times New Roman" w:hAnsi="Times New Roman" w:cs="Times New Roman"/>
        </w:rPr>
        <w:t xml:space="preserve"> especially under higher watering regimes, consi</w:t>
      </w:r>
      <w:r>
        <w:rPr>
          <w:rFonts w:ascii="Times New Roman" w:hAnsi="Times New Roman" w:cs="Times New Roman"/>
        </w:rPr>
        <w:t>stently enhanced biomass accumulation across all plant parts.</w:t>
      </w:r>
    </w:p>
    <w:p w14:paraId="45FF852D" w14:textId="77777777" w:rsidR="00F15FD7" w:rsidRDefault="00563E74">
      <w:pPr>
        <w:pStyle w:val="Caption"/>
        <w:spacing w:line="276" w:lineRule="auto"/>
        <w:ind w:left="110" w:hangingChars="50" w:hanging="110"/>
        <w:rPr>
          <w:rFonts w:cs="Times New Roman"/>
          <w:b w:val="0"/>
          <w:sz w:val="22"/>
          <w:szCs w:val="22"/>
        </w:rPr>
      </w:pPr>
      <w:bookmarkStart w:id="2" w:name="_Toc208713647"/>
      <w:r>
        <w:rPr>
          <w:rFonts w:cs="Times New Roman"/>
          <w:sz w:val="22"/>
          <w:szCs w:val="22"/>
        </w:rPr>
        <w:t>Table 3.:</w:t>
      </w:r>
      <w:r>
        <w:rPr>
          <w:rFonts w:cs="Times New Roman"/>
          <w:b w:val="0"/>
          <w:sz w:val="22"/>
          <w:szCs w:val="22"/>
        </w:rPr>
        <w:t xml:space="preserve"> Effects of Biochar and </w:t>
      </w:r>
      <w:r>
        <w:rPr>
          <w:rFonts w:cs="Times New Roman"/>
          <w:b w:val="0"/>
          <w:i/>
          <w:sz w:val="22"/>
          <w:szCs w:val="22"/>
        </w:rPr>
        <w:t>Trichoderma</w:t>
      </w:r>
      <w:r>
        <w:rPr>
          <w:rFonts w:cs="Times New Roman"/>
          <w:b w:val="0"/>
          <w:sz w:val="22"/>
          <w:szCs w:val="22"/>
        </w:rPr>
        <w:t xml:space="preserve"> </w:t>
      </w:r>
      <w:r>
        <w:rPr>
          <w:rFonts w:cs="Times New Roman"/>
          <w:b w:val="0"/>
          <w:sz w:val="22"/>
          <w:szCs w:val="22"/>
          <w:lang w:val="en-US"/>
        </w:rPr>
        <w:t>and</w:t>
      </w:r>
      <w:r>
        <w:rPr>
          <w:rFonts w:cs="Times New Roman"/>
          <w:b w:val="0"/>
          <w:i/>
          <w:sz w:val="22"/>
          <w:szCs w:val="22"/>
        </w:rPr>
        <w:t>Trichoderma</w:t>
      </w:r>
      <w:r>
        <w:rPr>
          <w:rFonts w:cs="Times New Roman"/>
          <w:b w:val="0"/>
          <w:sz w:val="22"/>
          <w:szCs w:val="22"/>
        </w:rPr>
        <w:t xml:space="preserve"> </w:t>
      </w:r>
      <w:proofErr w:type="spellStart"/>
      <w:r>
        <w:rPr>
          <w:rFonts w:cs="Times New Roman"/>
          <w:b w:val="0"/>
          <w:i/>
          <w:sz w:val="22"/>
          <w:szCs w:val="22"/>
        </w:rPr>
        <w:t>harzianum</w:t>
      </w:r>
      <w:proofErr w:type="spellEnd"/>
      <w:r>
        <w:rPr>
          <w:rFonts w:cs="Times New Roman"/>
          <w:b w:val="0"/>
          <w:sz w:val="22"/>
          <w:szCs w:val="22"/>
        </w:rPr>
        <w:t xml:space="preserve"> on </w:t>
      </w:r>
      <w:r>
        <w:rPr>
          <w:rFonts w:cs="Times New Roman"/>
          <w:b w:val="0"/>
          <w:sz w:val="22"/>
          <w:szCs w:val="22"/>
          <w:lang w:val="en-US"/>
        </w:rPr>
        <w:t>p</w:t>
      </w:r>
      <w:proofErr w:type="spellStart"/>
      <w:r>
        <w:rPr>
          <w:rFonts w:cs="Times New Roman"/>
          <w:b w:val="0"/>
          <w:sz w:val="22"/>
          <w:szCs w:val="22"/>
        </w:rPr>
        <w:t>epper</w:t>
      </w:r>
      <w:proofErr w:type="spellEnd"/>
      <w:r>
        <w:rPr>
          <w:rFonts w:cs="Times New Roman"/>
          <w:b w:val="0"/>
          <w:sz w:val="22"/>
          <w:szCs w:val="22"/>
        </w:rPr>
        <w:t xml:space="preserve"> </w:t>
      </w:r>
      <w:r>
        <w:rPr>
          <w:rFonts w:cs="Times New Roman"/>
          <w:b w:val="0"/>
          <w:sz w:val="22"/>
          <w:szCs w:val="22"/>
          <w:lang w:val="en-US"/>
        </w:rPr>
        <w:t xml:space="preserve">biomass yields under differential </w:t>
      </w:r>
      <w:r>
        <w:rPr>
          <w:rFonts w:cs="Times New Roman"/>
          <w:b w:val="0"/>
          <w:sz w:val="22"/>
          <w:szCs w:val="22"/>
        </w:rPr>
        <w:t xml:space="preserve">watering </w:t>
      </w:r>
      <w:bookmarkEnd w:id="2"/>
    </w:p>
    <w:tbl>
      <w:tblPr>
        <w:tblStyle w:val="ListTable6Colorful1"/>
        <w:tblW w:w="10170" w:type="dxa"/>
        <w:tblLook w:val="04A0" w:firstRow="1" w:lastRow="0" w:firstColumn="1" w:lastColumn="0" w:noHBand="0" w:noVBand="1"/>
      </w:tblPr>
      <w:tblGrid>
        <w:gridCol w:w="1763"/>
        <w:gridCol w:w="1440"/>
        <w:gridCol w:w="1355"/>
        <w:gridCol w:w="1458"/>
        <w:gridCol w:w="1374"/>
        <w:gridCol w:w="1374"/>
        <w:gridCol w:w="1406"/>
      </w:tblGrid>
      <w:tr w:rsidR="00F15FD7" w14:paraId="20EA2370" w14:textId="77777777" w:rsidTr="00F15FD7">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763" w:type="dxa"/>
            <w:vMerge w:val="restart"/>
            <w:noWrap/>
          </w:tcPr>
          <w:p w14:paraId="76A4DF98" w14:textId="77777777" w:rsidR="00F15FD7" w:rsidRDefault="00F15FD7">
            <w:pPr>
              <w:spacing w:after="0" w:line="276" w:lineRule="auto"/>
              <w:rPr>
                <w:rFonts w:ascii="Times New Roman" w:hAnsi="Times New Roman" w:cs="Times New Roman"/>
                <w:b w:val="0"/>
                <w:color w:val="auto"/>
              </w:rPr>
            </w:pPr>
          </w:p>
          <w:p w14:paraId="2E22B8AA" w14:textId="77777777" w:rsidR="00F15FD7" w:rsidRDefault="00F15FD7">
            <w:pPr>
              <w:spacing w:after="0" w:line="276" w:lineRule="auto"/>
              <w:rPr>
                <w:rFonts w:ascii="Times New Roman" w:hAnsi="Times New Roman" w:cs="Times New Roman"/>
                <w:b w:val="0"/>
                <w:color w:val="auto"/>
              </w:rPr>
            </w:pPr>
          </w:p>
          <w:p w14:paraId="051321B6" w14:textId="77777777" w:rsidR="00F15FD7" w:rsidRDefault="00563E74">
            <w:pPr>
              <w:spacing w:after="0" w:line="276" w:lineRule="auto"/>
              <w:rPr>
                <w:rFonts w:ascii="Times New Roman" w:hAnsi="Times New Roman" w:cs="Times New Roman"/>
              </w:rPr>
            </w:pPr>
            <w:r>
              <w:rPr>
                <w:rFonts w:ascii="Times New Roman" w:hAnsi="Times New Roman" w:cs="Times New Roman"/>
                <w:color w:val="auto"/>
              </w:rPr>
              <w:t>TREATMENT</w:t>
            </w:r>
          </w:p>
        </w:tc>
        <w:tc>
          <w:tcPr>
            <w:tcW w:w="8407" w:type="dxa"/>
            <w:gridSpan w:val="6"/>
            <w:noWrap/>
          </w:tcPr>
          <w:p w14:paraId="4A00EF53"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Pepper biomass yields  </w:t>
            </w:r>
          </w:p>
        </w:tc>
      </w:tr>
      <w:tr w:rsidR="00F15FD7" w14:paraId="2F4082EE" w14:textId="77777777" w:rsidTr="00F15FD7">
        <w:trPr>
          <w:trHeight w:val="898"/>
        </w:trPr>
        <w:tc>
          <w:tcPr>
            <w:cnfStyle w:val="001000000000" w:firstRow="0" w:lastRow="0" w:firstColumn="1" w:lastColumn="0" w:oddVBand="0" w:evenVBand="0" w:oddHBand="0" w:evenHBand="0" w:firstRowFirstColumn="0" w:firstRowLastColumn="0" w:lastRowFirstColumn="0" w:lastRowLastColumn="0"/>
            <w:tcW w:w="1763" w:type="dxa"/>
            <w:vMerge/>
            <w:tcBorders>
              <w:bottom w:val="single" w:sz="4" w:space="0" w:color="auto"/>
            </w:tcBorders>
            <w:noWrap/>
          </w:tcPr>
          <w:p w14:paraId="515E42D3" w14:textId="77777777" w:rsidR="00F15FD7" w:rsidRDefault="00F15FD7">
            <w:pPr>
              <w:spacing w:after="0" w:line="276" w:lineRule="auto"/>
              <w:rPr>
                <w:rFonts w:ascii="Times New Roman" w:hAnsi="Times New Roman" w:cs="Times New Roman"/>
                <w:b w:val="0"/>
                <w:color w:val="auto"/>
              </w:rPr>
            </w:pPr>
          </w:p>
        </w:tc>
        <w:tc>
          <w:tcPr>
            <w:tcW w:w="1440" w:type="dxa"/>
            <w:tcBorders>
              <w:top w:val="single" w:sz="4" w:space="0" w:color="auto"/>
              <w:bottom w:val="single" w:sz="4" w:space="0" w:color="auto"/>
            </w:tcBorders>
            <w:noWrap/>
          </w:tcPr>
          <w:p w14:paraId="283668E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Root fresh weight (g)</w:t>
            </w:r>
          </w:p>
        </w:tc>
        <w:tc>
          <w:tcPr>
            <w:tcW w:w="1355" w:type="dxa"/>
            <w:tcBorders>
              <w:top w:val="single" w:sz="4" w:space="0" w:color="auto"/>
              <w:bottom w:val="single" w:sz="4" w:space="0" w:color="auto"/>
            </w:tcBorders>
            <w:noWrap/>
          </w:tcPr>
          <w:p w14:paraId="4A632E0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rPr>
              <w:t>Leaf</w:t>
            </w:r>
            <w:r>
              <w:rPr>
                <w:rFonts w:ascii="Times New Roman" w:hAnsi="Times New Roman" w:cs="Times New Roman"/>
                <w:b/>
                <w:color w:val="auto"/>
              </w:rPr>
              <w:t xml:space="preserve"> fresh weight (g)</w:t>
            </w:r>
          </w:p>
        </w:tc>
        <w:tc>
          <w:tcPr>
            <w:tcW w:w="1458" w:type="dxa"/>
            <w:tcBorders>
              <w:top w:val="single" w:sz="4" w:space="0" w:color="auto"/>
              <w:bottom w:val="single" w:sz="4" w:space="0" w:color="auto"/>
            </w:tcBorders>
            <w:noWrap/>
          </w:tcPr>
          <w:p w14:paraId="59E885C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Stem fresh weight (g)</w:t>
            </w:r>
          </w:p>
        </w:tc>
        <w:tc>
          <w:tcPr>
            <w:tcW w:w="1374" w:type="dxa"/>
            <w:tcBorders>
              <w:top w:val="single" w:sz="4" w:space="0" w:color="auto"/>
              <w:bottom w:val="single" w:sz="4" w:space="0" w:color="auto"/>
            </w:tcBorders>
            <w:noWrap/>
          </w:tcPr>
          <w:p w14:paraId="4861CE1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Root dry weight (g)</w:t>
            </w:r>
          </w:p>
        </w:tc>
        <w:tc>
          <w:tcPr>
            <w:tcW w:w="1374" w:type="dxa"/>
            <w:tcBorders>
              <w:top w:val="single" w:sz="4" w:space="0" w:color="auto"/>
              <w:bottom w:val="single" w:sz="4" w:space="0" w:color="auto"/>
            </w:tcBorders>
            <w:noWrap/>
          </w:tcPr>
          <w:p w14:paraId="6B2CCA5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rPr>
              <w:t>Leaf</w:t>
            </w:r>
            <w:r>
              <w:rPr>
                <w:rFonts w:ascii="Times New Roman" w:hAnsi="Times New Roman" w:cs="Times New Roman"/>
                <w:b/>
                <w:color w:val="auto"/>
              </w:rPr>
              <w:t xml:space="preserve"> dry weight (g)</w:t>
            </w:r>
          </w:p>
        </w:tc>
        <w:tc>
          <w:tcPr>
            <w:tcW w:w="1406" w:type="dxa"/>
            <w:tcBorders>
              <w:top w:val="single" w:sz="4" w:space="0" w:color="auto"/>
              <w:bottom w:val="single" w:sz="4" w:space="0" w:color="auto"/>
            </w:tcBorders>
          </w:tcPr>
          <w:p w14:paraId="305B07A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b/>
                <w:color w:val="auto"/>
              </w:rPr>
              <w:t>Stem dry weight (g)</w:t>
            </w:r>
          </w:p>
        </w:tc>
      </w:tr>
      <w:tr w:rsidR="00F15FD7" w14:paraId="10B4C4BA"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tcBorders>
              <w:top w:val="single" w:sz="4" w:space="0" w:color="auto"/>
            </w:tcBorders>
            <w:noWrap/>
          </w:tcPr>
          <w:p w14:paraId="58EBBD5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 xml:space="preserve">Biochar </w:t>
            </w:r>
          </w:p>
        </w:tc>
        <w:tc>
          <w:tcPr>
            <w:tcW w:w="1440" w:type="dxa"/>
            <w:tcBorders>
              <w:top w:val="single" w:sz="4" w:space="0" w:color="auto"/>
            </w:tcBorders>
            <w:noWrap/>
          </w:tcPr>
          <w:p w14:paraId="66CB035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14.93</w:t>
            </w:r>
            <w:r>
              <w:rPr>
                <w:rFonts w:ascii="Times New Roman" w:hAnsi="Times New Roman" w:cs="Times New Roman"/>
                <w:color w:val="auto"/>
                <w:vertAlign w:val="superscript"/>
              </w:rPr>
              <w:t>e</w:t>
            </w:r>
          </w:p>
        </w:tc>
        <w:tc>
          <w:tcPr>
            <w:tcW w:w="1355" w:type="dxa"/>
            <w:tcBorders>
              <w:top w:val="single" w:sz="4" w:space="0" w:color="auto"/>
            </w:tcBorders>
            <w:noWrap/>
          </w:tcPr>
          <w:p w14:paraId="154B6F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20.76</w:t>
            </w:r>
            <w:r>
              <w:rPr>
                <w:rFonts w:ascii="Times New Roman" w:hAnsi="Times New Roman" w:cs="Times New Roman"/>
                <w:color w:val="auto"/>
                <w:vertAlign w:val="superscript"/>
              </w:rPr>
              <w:t>e</w:t>
            </w:r>
          </w:p>
        </w:tc>
        <w:tc>
          <w:tcPr>
            <w:tcW w:w="1458" w:type="dxa"/>
            <w:tcBorders>
              <w:top w:val="single" w:sz="4" w:space="0" w:color="auto"/>
            </w:tcBorders>
            <w:noWrap/>
          </w:tcPr>
          <w:p w14:paraId="0A0B087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25.17</w:t>
            </w:r>
            <w:r>
              <w:rPr>
                <w:rFonts w:ascii="Times New Roman" w:hAnsi="Times New Roman" w:cs="Times New Roman"/>
                <w:color w:val="auto"/>
                <w:vertAlign w:val="superscript"/>
              </w:rPr>
              <w:t>c</w:t>
            </w:r>
          </w:p>
        </w:tc>
        <w:tc>
          <w:tcPr>
            <w:tcW w:w="1374" w:type="dxa"/>
            <w:tcBorders>
              <w:top w:val="single" w:sz="4" w:space="0" w:color="auto"/>
            </w:tcBorders>
            <w:noWrap/>
          </w:tcPr>
          <w:p w14:paraId="6450B6C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4.77</w:t>
            </w:r>
            <w:r>
              <w:rPr>
                <w:rFonts w:ascii="Times New Roman" w:hAnsi="Times New Roman" w:cs="Times New Roman"/>
                <w:color w:val="auto"/>
                <w:vertAlign w:val="superscript"/>
              </w:rPr>
              <w:t>c</w:t>
            </w:r>
          </w:p>
        </w:tc>
        <w:tc>
          <w:tcPr>
            <w:tcW w:w="1374" w:type="dxa"/>
            <w:tcBorders>
              <w:top w:val="single" w:sz="4" w:space="0" w:color="auto"/>
            </w:tcBorders>
            <w:noWrap/>
          </w:tcPr>
          <w:p w14:paraId="0780488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5.41</w:t>
            </w:r>
            <w:r>
              <w:rPr>
                <w:rFonts w:ascii="Times New Roman" w:hAnsi="Times New Roman" w:cs="Times New Roman"/>
                <w:color w:val="auto"/>
                <w:vertAlign w:val="superscript"/>
              </w:rPr>
              <w:t>c</w:t>
            </w:r>
          </w:p>
        </w:tc>
        <w:tc>
          <w:tcPr>
            <w:tcW w:w="1406" w:type="dxa"/>
            <w:tcBorders>
              <w:top w:val="single" w:sz="4" w:space="0" w:color="auto"/>
            </w:tcBorders>
          </w:tcPr>
          <w:p w14:paraId="5F6A6BC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6.44</w:t>
            </w:r>
            <w:r>
              <w:rPr>
                <w:rFonts w:ascii="Times New Roman" w:hAnsi="Times New Roman" w:cs="Times New Roman"/>
                <w:color w:val="auto"/>
                <w:vertAlign w:val="superscript"/>
              </w:rPr>
              <w:t>c</w:t>
            </w:r>
          </w:p>
        </w:tc>
      </w:tr>
      <w:tr w:rsidR="00F15FD7" w14:paraId="0C674271" w14:textId="77777777" w:rsidTr="00F15FD7">
        <w:trPr>
          <w:trHeight w:val="412"/>
        </w:trPr>
        <w:tc>
          <w:tcPr>
            <w:cnfStyle w:val="001000000000" w:firstRow="0" w:lastRow="0" w:firstColumn="1" w:lastColumn="0" w:oddVBand="0" w:evenVBand="0" w:oddHBand="0" w:evenHBand="0" w:firstRowFirstColumn="0" w:firstRowLastColumn="0" w:lastRowFirstColumn="0" w:lastRowLastColumn="0"/>
            <w:tcW w:w="1763" w:type="dxa"/>
            <w:noWrap/>
          </w:tcPr>
          <w:p w14:paraId="01EBBF7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440" w:type="dxa"/>
            <w:noWrap/>
          </w:tcPr>
          <w:p w14:paraId="4C1D9618"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12.20</w:t>
            </w:r>
            <w:r>
              <w:rPr>
                <w:rFonts w:ascii="Times New Roman" w:hAnsi="Times New Roman" w:cs="Times New Roman"/>
                <w:color w:val="auto"/>
                <w:vertAlign w:val="superscript"/>
              </w:rPr>
              <w:t>cd</w:t>
            </w:r>
          </w:p>
        </w:tc>
        <w:tc>
          <w:tcPr>
            <w:tcW w:w="1355" w:type="dxa"/>
            <w:noWrap/>
          </w:tcPr>
          <w:p w14:paraId="2613EA5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19.72</w:t>
            </w:r>
            <w:r>
              <w:rPr>
                <w:rFonts w:ascii="Times New Roman" w:hAnsi="Times New Roman" w:cs="Times New Roman"/>
                <w:color w:val="auto"/>
                <w:vertAlign w:val="superscript"/>
              </w:rPr>
              <w:t>de</w:t>
            </w:r>
          </w:p>
        </w:tc>
        <w:tc>
          <w:tcPr>
            <w:tcW w:w="1458" w:type="dxa"/>
            <w:noWrap/>
          </w:tcPr>
          <w:p w14:paraId="6511F15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24.56</w:t>
            </w:r>
            <w:r>
              <w:rPr>
                <w:rFonts w:ascii="Times New Roman" w:hAnsi="Times New Roman" w:cs="Times New Roman"/>
                <w:color w:val="auto"/>
                <w:vertAlign w:val="superscript"/>
              </w:rPr>
              <w:t>c</w:t>
            </w:r>
          </w:p>
        </w:tc>
        <w:tc>
          <w:tcPr>
            <w:tcW w:w="1374" w:type="dxa"/>
            <w:noWrap/>
          </w:tcPr>
          <w:p w14:paraId="7C652385"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3.68</w:t>
            </w:r>
            <w:r>
              <w:rPr>
                <w:rFonts w:ascii="Times New Roman" w:hAnsi="Times New Roman" w:cs="Times New Roman"/>
                <w:color w:val="auto"/>
                <w:vertAlign w:val="superscript"/>
              </w:rPr>
              <w:t>bc</w:t>
            </w:r>
          </w:p>
        </w:tc>
        <w:tc>
          <w:tcPr>
            <w:tcW w:w="1374" w:type="dxa"/>
            <w:noWrap/>
          </w:tcPr>
          <w:p w14:paraId="4F10A1F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3.16</w:t>
            </w:r>
            <w:r>
              <w:rPr>
                <w:rFonts w:ascii="Times New Roman" w:hAnsi="Times New Roman" w:cs="Times New Roman"/>
                <w:color w:val="auto"/>
                <w:vertAlign w:val="superscript"/>
              </w:rPr>
              <w:t>a</w:t>
            </w:r>
          </w:p>
        </w:tc>
        <w:tc>
          <w:tcPr>
            <w:tcW w:w="1406" w:type="dxa"/>
          </w:tcPr>
          <w:p w14:paraId="4C23971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4.25</w:t>
            </w:r>
            <w:r>
              <w:rPr>
                <w:rFonts w:ascii="Times New Roman" w:hAnsi="Times New Roman" w:cs="Times New Roman"/>
                <w:color w:val="auto"/>
                <w:vertAlign w:val="superscript"/>
              </w:rPr>
              <w:t>b</w:t>
            </w:r>
          </w:p>
        </w:tc>
      </w:tr>
      <w:tr w:rsidR="00F15FD7" w14:paraId="3F1F1619"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06CA5AA"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440" w:type="dxa"/>
            <w:noWrap/>
          </w:tcPr>
          <w:p w14:paraId="131C68F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9.86</w:t>
            </w:r>
            <w:r>
              <w:rPr>
                <w:rFonts w:ascii="Times New Roman" w:hAnsi="Times New Roman" w:cs="Times New Roman"/>
                <w:color w:val="auto"/>
                <w:vertAlign w:val="superscript"/>
              </w:rPr>
              <w:t>b</w:t>
            </w:r>
          </w:p>
        </w:tc>
        <w:tc>
          <w:tcPr>
            <w:tcW w:w="1355" w:type="dxa"/>
            <w:noWrap/>
          </w:tcPr>
          <w:p w14:paraId="43F2948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7.92</w:t>
            </w:r>
            <w:r>
              <w:rPr>
                <w:rFonts w:ascii="Times New Roman" w:hAnsi="Times New Roman" w:cs="Times New Roman"/>
                <w:color w:val="auto"/>
                <w:vertAlign w:val="superscript"/>
              </w:rPr>
              <w:t>a</w:t>
            </w:r>
          </w:p>
        </w:tc>
        <w:tc>
          <w:tcPr>
            <w:tcW w:w="1458" w:type="dxa"/>
            <w:noWrap/>
          </w:tcPr>
          <w:p w14:paraId="4C38FAF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14.03</w:t>
            </w:r>
            <w:r>
              <w:rPr>
                <w:rFonts w:ascii="Times New Roman" w:hAnsi="Times New Roman" w:cs="Times New Roman"/>
                <w:color w:val="auto"/>
                <w:vertAlign w:val="superscript"/>
              </w:rPr>
              <w:t>a</w:t>
            </w:r>
          </w:p>
        </w:tc>
        <w:tc>
          <w:tcPr>
            <w:tcW w:w="1374" w:type="dxa"/>
            <w:noWrap/>
          </w:tcPr>
          <w:p w14:paraId="41010CE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2.24</w:t>
            </w:r>
            <w:r>
              <w:rPr>
                <w:rFonts w:ascii="Times New Roman" w:hAnsi="Times New Roman" w:cs="Times New Roman"/>
                <w:color w:val="auto"/>
                <w:vertAlign w:val="superscript"/>
              </w:rPr>
              <w:t>a</w:t>
            </w:r>
          </w:p>
        </w:tc>
        <w:tc>
          <w:tcPr>
            <w:tcW w:w="1374" w:type="dxa"/>
            <w:noWrap/>
          </w:tcPr>
          <w:p w14:paraId="6059E49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3.56</w:t>
            </w:r>
            <w:r>
              <w:rPr>
                <w:rFonts w:ascii="Times New Roman" w:hAnsi="Times New Roman" w:cs="Times New Roman"/>
                <w:color w:val="auto"/>
                <w:vertAlign w:val="superscript"/>
              </w:rPr>
              <w:t>a</w:t>
            </w:r>
          </w:p>
        </w:tc>
        <w:tc>
          <w:tcPr>
            <w:tcW w:w="1406" w:type="dxa"/>
          </w:tcPr>
          <w:p w14:paraId="73A29445"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4.10</w:t>
            </w:r>
            <w:r>
              <w:rPr>
                <w:rFonts w:ascii="Times New Roman" w:hAnsi="Times New Roman" w:cs="Times New Roman"/>
                <w:color w:val="auto"/>
                <w:vertAlign w:val="superscript"/>
              </w:rPr>
              <w:t>b</w:t>
            </w:r>
          </w:p>
        </w:tc>
      </w:tr>
      <w:tr w:rsidR="00F15FD7" w14:paraId="28F5F682"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269FA0D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440" w:type="dxa"/>
            <w:noWrap/>
          </w:tcPr>
          <w:p w14:paraId="54E91C56"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9.82</w:t>
            </w:r>
            <w:r>
              <w:rPr>
                <w:rFonts w:ascii="Times New Roman" w:hAnsi="Times New Roman" w:cs="Times New Roman"/>
                <w:color w:val="auto"/>
                <w:vertAlign w:val="superscript"/>
              </w:rPr>
              <w:t>b</w:t>
            </w:r>
          </w:p>
        </w:tc>
        <w:tc>
          <w:tcPr>
            <w:tcW w:w="1355" w:type="dxa"/>
            <w:noWrap/>
          </w:tcPr>
          <w:p w14:paraId="0DF0E1B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12.13</w:t>
            </w:r>
            <w:r>
              <w:rPr>
                <w:rFonts w:ascii="Times New Roman" w:hAnsi="Times New Roman" w:cs="Times New Roman"/>
                <w:color w:val="auto"/>
                <w:vertAlign w:val="superscript"/>
              </w:rPr>
              <w:t>b</w:t>
            </w:r>
          </w:p>
        </w:tc>
        <w:tc>
          <w:tcPr>
            <w:tcW w:w="1458" w:type="dxa"/>
            <w:noWrap/>
          </w:tcPr>
          <w:p w14:paraId="6D10E8F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18.65</w:t>
            </w:r>
            <w:r>
              <w:rPr>
                <w:rFonts w:ascii="Times New Roman" w:hAnsi="Times New Roman" w:cs="Times New Roman"/>
                <w:color w:val="auto"/>
                <w:vertAlign w:val="superscript"/>
              </w:rPr>
              <w:t>b</w:t>
            </w:r>
          </w:p>
        </w:tc>
        <w:tc>
          <w:tcPr>
            <w:tcW w:w="1374" w:type="dxa"/>
            <w:noWrap/>
          </w:tcPr>
          <w:p w14:paraId="3CC68614"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2.74</w:t>
            </w:r>
            <w:r>
              <w:rPr>
                <w:rFonts w:ascii="Times New Roman" w:hAnsi="Times New Roman" w:cs="Times New Roman"/>
                <w:color w:val="auto"/>
                <w:vertAlign w:val="superscript"/>
              </w:rPr>
              <w:t>a</w:t>
            </w:r>
          </w:p>
        </w:tc>
        <w:tc>
          <w:tcPr>
            <w:tcW w:w="1374" w:type="dxa"/>
            <w:noWrap/>
          </w:tcPr>
          <w:p w14:paraId="27127D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3.09</w:t>
            </w:r>
            <w:r>
              <w:rPr>
                <w:rFonts w:ascii="Times New Roman" w:hAnsi="Times New Roman" w:cs="Times New Roman"/>
                <w:color w:val="auto"/>
                <w:vertAlign w:val="superscript"/>
              </w:rPr>
              <w:t>a</w:t>
            </w:r>
          </w:p>
        </w:tc>
        <w:tc>
          <w:tcPr>
            <w:tcW w:w="1406" w:type="dxa"/>
          </w:tcPr>
          <w:p w14:paraId="0B5A798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4.30</w:t>
            </w:r>
            <w:r>
              <w:rPr>
                <w:rFonts w:ascii="Times New Roman" w:hAnsi="Times New Roman" w:cs="Times New Roman"/>
                <w:color w:val="auto"/>
                <w:vertAlign w:val="superscript"/>
              </w:rPr>
              <w:t>b</w:t>
            </w:r>
          </w:p>
        </w:tc>
      </w:tr>
      <w:tr w:rsidR="00F15FD7" w14:paraId="1708546A"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EFE9C5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440" w:type="dxa"/>
            <w:noWrap/>
          </w:tcPr>
          <w:p w14:paraId="08C16C09"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9.82</w:t>
            </w:r>
            <w:r>
              <w:rPr>
                <w:rFonts w:ascii="Times New Roman" w:hAnsi="Times New Roman" w:cs="Times New Roman"/>
                <w:color w:val="auto"/>
                <w:vertAlign w:val="superscript"/>
              </w:rPr>
              <w:t>b</w:t>
            </w:r>
          </w:p>
        </w:tc>
        <w:tc>
          <w:tcPr>
            <w:tcW w:w="1355" w:type="dxa"/>
            <w:noWrap/>
          </w:tcPr>
          <w:p w14:paraId="7F5A5D6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20.04</w:t>
            </w:r>
            <w:r>
              <w:rPr>
                <w:rFonts w:ascii="Times New Roman" w:hAnsi="Times New Roman" w:cs="Times New Roman"/>
                <w:color w:val="auto"/>
                <w:vertAlign w:val="superscript"/>
              </w:rPr>
              <w:t>e</w:t>
            </w:r>
          </w:p>
        </w:tc>
        <w:tc>
          <w:tcPr>
            <w:tcW w:w="1458" w:type="dxa"/>
            <w:noWrap/>
          </w:tcPr>
          <w:p w14:paraId="48BEF55D"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24.66</w:t>
            </w:r>
            <w:r>
              <w:rPr>
                <w:rFonts w:ascii="Times New Roman" w:hAnsi="Times New Roman" w:cs="Times New Roman"/>
                <w:color w:val="auto"/>
                <w:vertAlign w:val="superscript"/>
              </w:rPr>
              <w:t>c</w:t>
            </w:r>
          </w:p>
        </w:tc>
        <w:tc>
          <w:tcPr>
            <w:tcW w:w="1374" w:type="dxa"/>
            <w:noWrap/>
          </w:tcPr>
          <w:p w14:paraId="60D7D7C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2.25</w:t>
            </w:r>
            <w:r>
              <w:rPr>
                <w:rFonts w:ascii="Times New Roman" w:hAnsi="Times New Roman" w:cs="Times New Roman"/>
                <w:color w:val="auto"/>
                <w:vertAlign w:val="superscript"/>
              </w:rPr>
              <w:t>a</w:t>
            </w:r>
          </w:p>
        </w:tc>
        <w:tc>
          <w:tcPr>
            <w:tcW w:w="1374" w:type="dxa"/>
            <w:noWrap/>
          </w:tcPr>
          <w:p w14:paraId="537F17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4.05</w:t>
            </w:r>
            <w:r>
              <w:rPr>
                <w:rFonts w:ascii="Times New Roman" w:hAnsi="Times New Roman" w:cs="Times New Roman"/>
                <w:color w:val="auto"/>
                <w:vertAlign w:val="superscript"/>
              </w:rPr>
              <w:t>ab</w:t>
            </w:r>
          </w:p>
        </w:tc>
        <w:tc>
          <w:tcPr>
            <w:tcW w:w="1406" w:type="dxa"/>
          </w:tcPr>
          <w:p w14:paraId="4DA3914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5.06</w:t>
            </w:r>
            <w:r>
              <w:rPr>
                <w:rFonts w:ascii="Times New Roman" w:hAnsi="Times New Roman" w:cs="Times New Roman"/>
                <w:color w:val="auto"/>
                <w:vertAlign w:val="superscript"/>
              </w:rPr>
              <w:t>bc</w:t>
            </w:r>
          </w:p>
        </w:tc>
      </w:tr>
      <w:tr w:rsidR="00F15FD7" w14:paraId="6FE82E13"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359B2C4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440" w:type="dxa"/>
            <w:noWrap/>
          </w:tcPr>
          <w:p w14:paraId="1CFE0AA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11.25</w:t>
            </w:r>
            <w:r>
              <w:rPr>
                <w:rFonts w:ascii="Times New Roman" w:hAnsi="Times New Roman" w:cs="Times New Roman"/>
                <w:color w:val="auto"/>
                <w:vertAlign w:val="superscript"/>
              </w:rPr>
              <w:t>c</w:t>
            </w:r>
          </w:p>
        </w:tc>
        <w:tc>
          <w:tcPr>
            <w:tcW w:w="1355" w:type="dxa"/>
            <w:noWrap/>
          </w:tcPr>
          <w:p w14:paraId="58EBED0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18.37</w:t>
            </w:r>
            <w:r>
              <w:rPr>
                <w:rFonts w:ascii="Times New Roman" w:hAnsi="Times New Roman" w:cs="Times New Roman"/>
                <w:color w:val="auto"/>
                <w:vertAlign w:val="superscript"/>
              </w:rPr>
              <w:t>d</w:t>
            </w:r>
          </w:p>
        </w:tc>
        <w:tc>
          <w:tcPr>
            <w:tcW w:w="1458" w:type="dxa"/>
            <w:noWrap/>
          </w:tcPr>
          <w:p w14:paraId="6DF20EF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23.83</w:t>
            </w:r>
            <w:r>
              <w:rPr>
                <w:rFonts w:ascii="Times New Roman" w:hAnsi="Times New Roman" w:cs="Times New Roman"/>
                <w:color w:val="auto"/>
                <w:vertAlign w:val="superscript"/>
              </w:rPr>
              <w:t>c</w:t>
            </w:r>
          </w:p>
        </w:tc>
        <w:tc>
          <w:tcPr>
            <w:tcW w:w="1374" w:type="dxa"/>
            <w:noWrap/>
          </w:tcPr>
          <w:p w14:paraId="7A362F77"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3.58</w:t>
            </w:r>
            <w:r>
              <w:rPr>
                <w:rFonts w:ascii="Times New Roman" w:hAnsi="Times New Roman" w:cs="Times New Roman"/>
                <w:color w:val="auto"/>
                <w:vertAlign w:val="superscript"/>
              </w:rPr>
              <w:t>bc</w:t>
            </w:r>
          </w:p>
        </w:tc>
        <w:tc>
          <w:tcPr>
            <w:tcW w:w="1374" w:type="dxa"/>
            <w:noWrap/>
          </w:tcPr>
          <w:p w14:paraId="0BC7D8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3.09</w:t>
            </w:r>
            <w:r>
              <w:rPr>
                <w:rFonts w:ascii="Times New Roman" w:hAnsi="Times New Roman" w:cs="Times New Roman"/>
                <w:color w:val="auto"/>
                <w:vertAlign w:val="superscript"/>
              </w:rPr>
              <w:t>a</w:t>
            </w:r>
          </w:p>
        </w:tc>
        <w:tc>
          <w:tcPr>
            <w:tcW w:w="1406" w:type="dxa"/>
          </w:tcPr>
          <w:p w14:paraId="0CCB577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2.23</w:t>
            </w:r>
            <w:r>
              <w:rPr>
                <w:rFonts w:ascii="Times New Roman" w:hAnsi="Times New Roman" w:cs="Times New Roman"/>
                <w:color w:val="auto"/>
                <w:vertAlign w:val="superscript"/>
              </w:rPr>
              <w:t>a</w:t>
            </w:r>
          </w:p>
        </w:tc>
      </w:tr>
      <w:tr w:rsidR="00F15FD7" w14:paraId="7695D4B0"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393C7CA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440" w:type="dxa"/>
            <w:noWrap/>
          </w:tcPr>
          <w:p w14:paraId="6087B05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12.36</w:t>
            </w:r>
            <w:r>
              <w:rPr>
                <w:rFonts w:ascii="Times New Roman" w:hAnsi="Times New Roman" w:cs="Times New Roman"/>
                <w:color w:val="auto"/>
                <w:vertAlign w:val="superscript"/>
              </w:rPr>
              <w:t>cd</w:t>
            </w:r>
          </w:p>
        </w:tc>
        <w:tc>
          <w:tcPr>
            <w:tcW w:w="1355" w:type="dxa"/>
            <w:noWrap/>
          </w:tcPr>
          <w:p w14:paraId="5085F6D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21.29</w:t>
            </w:r>
            <w:r>
              <w:rPr>
                <w:rFonts w:ascii="Times New Roman" w:hAnsi="Times New Roman" w:cs="Times New Roman"/>
                <w:color w:val="auto"/>
                <w:vertAlign w:val="superscript"/>
              </w:rPr>
              <w:t>ef</w:t>
            </w:r>
          </w:p>
        </w:tc>
        <w:tc>
          <w:tcPr>
            <w:tcW w:w="1458" w:type="dxa"/>
            <w:noWrap/>
          </w:tcPr>
          <w:p w14:paraId="3E5B772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25.88</w:t>
            </w:r>
            <w:r>
              <w:rPr>
                <w:rFonts w:ascii="Times New Roman" w:hAnsi="Times New Roman" w:cs="Times New Roman"/>
                <w:color w:val="auto"/>
                <w:vertAlign w:val="superscript"/>
              </w:rPr>
              <w:t>c</w:t>
            </w:r>
          </w:p>
        </w:tc>
        <w:tc>
          <w:tcPr>
            <w:tcW w:w="1374" w:type="dxa"/>
            <w:noWrap/>
          </w:tcPr>
          <w:p w14:paraId="55F65C2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3.12</w:t>
            </w:r>
            <w:r>
              <w:rPr>
                <w:rFonts w:ascii="Times New Roman" w:hAnsi="Times New Roman" w:cs="Times New Roman"/>
                <w:color w:val="auto"/>
                <w:vertAlign w:val="superscript"/>
              </w:rPr>
              <w:t>bc</w:t>
            </w:r>
          </w:p>
        </w:tc>
        <w:tc>
          <w:tcPr>
            <w:tcW w:w="1374" w:type="dxa"/>
            <w:noWrap/>
          </w:tcPr>
          <w:p w14:paraId="673AD16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5.61</w:t>
            </w:r>
            <w:r>
              <w:rPr>
                <w:rFonts w:ascii="Times New Roman" w:hAnsi="Times New Roman" w:cs="Times New Roman"/>
                <w:color w:val="auto"/>
                <w:vertAlign w:val="superscript"/>
              </w:rPr>
              <w:t>ab</w:t>
            </w:r>
          </w:p>
        </w:tc>
        <w:tc>
          <w:tcPr>
            <w:tcW w:w="1406" w:type="dxa"/>
          </w:tcPr>
          <w:p w14:paraId="567F8EC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6.56</w:t>
            </w:r>
            <w:r>
              <w:rPr>
                <w:rFonts w:ascii="Times New Roman" w:hAnsi="Times New Roman" w:cs="Times New Roman"/>
                <w:color w:val="auto"/>
                <w:vertAlign w:val="superscript"/>
              </w:rPr>
              <w:t>c</w:t>
            </w:r>
          </w:p>
        </w:tc>
      </w:tr>
      <w:tr w:rsidR="00F15FD7" w14:paraId="71E39BA6"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6D0D670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440" w:type="dxa"/>
            <w:noWrap/>
          </w:tcPr>
          <w:p w14:paraId="3637A5D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13.58</w:t>
            </w:r>
            <w:r>
              <w:rPr>
                <w:rFonts w:ascii="Times New Roman" w:hAnsi="Times New Roman" w:cs="Times New Roman"/>
                <w:color w:val="auto"/>
                <w:vertAlign w:val="superscript"/>
              </w:rPr>
              <w:t>a</w:t>
            </w:r>
          </w:p>
        </w:tc>
        <w:tc>
          <w:tcPr>
            <w:tcW w:w="1355" w:type="dxa"/>
            <w:noWrap/>
          </w:tcPr>
          <w:p w14:paraId="0FE2A2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21.48</w:t>
            </w:r>
            <w:r>
              <w:rPr>
                <w:rFonts w:ascii="Times New Roman" w:hAnsi="Times New Roman" w:cs="Times New Roman"/>
                <w:color w:val="auto"/>
                <w:vertAlign w:val="superscript"/>
              </w:rPr>
              <w:t>ef</w:t>
            </w:r>
          </w:p>
        </w:tc>
        <w:tc>
          <w:tcPr>
            <w:tcW w:w="1458" w:type="dxa"/>
            <w:noWrap/>
          </w:tcPr>
          <w:p w14:paraId="04883BD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25.89</w:t>
            </w:r>
            <w:r>
              <w:rPr>
                <w:rFonts w:ascii="Times New Roman" w:hAnsi="Times New Roman" w:cs="Times New Roman"/>
                <w:color w:val="auto"/>
                <w:vertAlign w:val="superscript"/>
              </w:rPr>
              <w:t>c</w:t>
            </w:r>
          </w:p>
        </w:tc>
        <w:tc>
          <w:tcPr>
            <w:tcW w:w="1374" w:type="dxa"/>
            <w:noWrap/>
          </w:tcPr>
          <w:p w14:paraId="796D65C6"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3.89</w:t>
            </w:r>
            <w:r>
              <w:rPr>
                <w:rFonts w:ascii="Times New Roman" w:hAnsi="Times New Roman" w:cs="Times New Roman"/>
                <w:color w:val="auto"/>
                <w:vertAlign w:val="superscript"/>
              </w:rPr>
              <w:t>bc</w:t>
            </w:r>
          </w:p>
        </w:tc>
        <w:tc>
          <w:tcPr>
            <w:tcW w:w="1374" w:type="dxa"/>
            <w:noWrap/>
          </w:tcPr>
          <w:p w14:paraId="74E64A9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5.42</w:t>
            </w:r>
            <w:r>
              <w:rPr>
                <w:rFonts w:ascii="Times New Roman" w:hAnsi="Times New Roman" w:cs="Times New Roman"/>
                <w:color w:val="auto"/>
                <w:vertAlign w:val="superscript"/>
              </w:rPr>
              <w:t>ab</w:t>
            </w:r>
          </w:p>
        </w:tc>
        <w:tc>
          <w:tcPr>
            <w:tcW w:w="1406" w:type="dxa"/>
          </w:tcPr>
          <w:p w14:paraId="41C9B2F8"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6.74</w:t>
            </w:r>
            <w:r>
              <w:rPr>
                <w:rFonts w:ascii="Times New Roman" w:hAnsi="Times New Roman" w:cs="Times New Roman"/>
                <w:color w:val="auto"/>
                <w:vertAlign w:val="superscript"/>
              </w:rPr>
              <w:t>c</w:t>
            </w:r>
          </w:p>
        </w:tc>
      </w:tr>
      <w:tr w:rsidR="00F15FD7" w14:paraId="4FB5293E"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43D71B0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440" w:type="dxa"/>
            <w:noWrap/>
          </w:tcPr>
          <w:p w14:paraId="2E35A35B"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12.99</w:t>
            </w:r>
            <w:r>
              <w:rPr>
                <w:rFonts w:ascii="Times New Roman" w:hAnsi="Times New Roman" w:cs="Times New Roman"/>
                <w:color w:val="auto"/>
                <w:vertAlign w:val="superscript"/>
              </w:rPr>
              <w:t>a</w:t>
            </w:r>
          </w:p>
        </w:tc>
        <w:tc>
          <w:tcPr>
            <w:tcW w:w="1355" w:type="dxa"/>
            <w:noWrap/>
          </w:tcPr>
          <w:p w14:paraId="5AC8A78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24.06</w:t>
            </w:r>
            <w:r>
              <w:rPr>
                <w:rFonts w:ascii="Times New Roman" w:hAnsi="Times New Roman" w:cs="Times New Roman"/>
                <w:color w:val="auto"/>
                <w:vertAlign w:val="superscript"/>
              </w:rPr>
              <w:t>fg</w:t>
            </w:r>
          </w:p>
        </w:tc>
        <w:tc>
          <w:tcPr>
            <w:tcW w:w="1458" w:type="dxa"/>
            <w:noWrap/>
          </w:tcPr>
          <w:p w14:paraId="5ED00590"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20.46</w:t>
            </w:r>
            <w:r>
              <w:rPr>
                <w:rFonts w:ascii="Times New Roman" w:hAnsi="Times New Roman" w:cs="Times New Roman"/>
                <w:color w:val="auto"/>
                <w:vertAlign w:val="superscript"/>
              </w:rPr>
              <w:t>bc</w:t>
            </w:r>
          </w:p>
        </w:tc>
        <w:tc>
          <w:tcPr>
            <w:tcW w:w="1374" w:type="dxa"/>
            <w:noWrap/>
          </w:tcPr>
          <w:p w14:paraId="6D725A7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3.88</w:t>
            </w:r>
            <w:r>
              <w:rPr>
                <w:rFonts w:ascii="Times New Roman" w:hAnsi="Times New Roman" w:cs="Times New Roman"/>
                <w:color w:val="auto"/>
                <w:vertAlign w:val="superscript"/>
              </w:rPr>
              <w:t>bc</w:t>
            </w:r>
          </w:p>
        </w:tc>
        <w:tc>
          <w:tcPr>
            <w:tcW w:w="1374" w:type="dxa"/>
            <w:noWrap/>
          </w:tcPr>
          <w:p w14:paraId="5706BDA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5.07</w:t>
            </w:r>
            <w:r>
              <w:rPr>
                <w:rFonts w:ascii="Times New Roman" w:hAnsi="Times New Roman" w:cs="Times New Roman"/>
                <w:color w:val="auto"/>
                <w:vertAlign w:val="superscript"/>
              </w:rPr>
              <w:t>b</w:t>
            </w:r>
          </w:p>
        </w:tc>
        <w:tc>
          <w:tcPr>
            <w:tcW w:w="1406" w:type="dxa"/>
          </w:tcPr>
          <w:p w14:paraId="38A5E7A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6.90</w:t>
            </w:r>
            <w:r>
              <w:rPr>
                <w:rFonts w:ascii="Times New Roman" w:hAnsi="Times New Roman" w:cs="Times New Roman"/>
                <w:color w:val="auto"/>
                <w:vertAlign w:val="superscript"/>
              </w:rPr>
              <w:t>c</w:t>
            </w:r>
          </w:p>
        </w:tc>
      </w:tr>
      <w:tr w:rsidR="00F15FD7" w14:paraId="269D6645"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3FC0A1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440" w:type="dxa"/>
            <w:noWrap/>
          </w:tcPr>
          <w:p w14:paraId="271CC52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10.15</w:t>
            </w:r>
            <w:r>
              <w:rPr>
                <w:rFonts w:ascii="Times New Roman" w:hAnsi="Times New Roman" w:cs="Times New Roman"/>
                <w:color w:val="auto"/>
                <w:vertAlign w:val="superscript"/>
              </w:rPr>
              <w:t>bc</w:t>
            </w:r>
          </w:p>
        </w:tc>
        <w:tc>
          <w:tcPr>
            <w:tcW w:w="1355" w:type="dxa"/>
            <w:noWrap/>
          </w:tcPr>
          <w:p w14:paraId="15C4B2C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23.76</w:t>
            </w:r>
            <w:r>
              <w:rPr>
                <w:rFonts w:ascii="Times New Roman" w:hAnsi="Times New Roman" w:cs="Times New Roman"/>
                <w:color w:val="auto"/>
                <w:vertAlign w:val="superscript"/>
              </w:rPr>
              <w:t>fg</w:t>
            </w:r>
          </w:p>
        </w:tc>
        <w:tc>
          <w:tcPr>
            <w:tcW w:w="1458" w:type="dxa"/>
            <w:noWrap/>
          </w:tcPr>
          <w:p w14:paraId="360C3472"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26.87</w:t>
            </w:r>
            <w:r>
              <w:rPr>
                <w:rFonts w:ascii="Times New Roman" w:hAnsi="Times New Roman" w:cs="Times New Roman"/>
                <w:color w:val="auto"/>
                <w:vertAlign w:val="superscript"/>
              </w:rPr>
              <w:t>a</w:t>
            </w:r>
          </w:p>
        </w:tc>
        <w:tc>
          <w:tcPr>
            <w:tcW w:w="1374" w:type="dxa"/>
            <w:noWrap/>
          </w:tcPr>
          <w:p w14:paraId="0D44C85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2.93</w:t>
            </w:r>
            <w:r>
              <w:rPr>
                <w:rFonts w:ascii="Times New Roman" w:hAnsi="Times New Roman" w:cs="Times New Roman"/>
                <w:color w:val="auto"/>
                <w:vertAlign w:val="superscript"/>
              </w:rPr>
              <w:t>a</w:t>
            </w:r>
          </w:p>
        </w:tc>
        <w:tc>
          <w:tcPr>
            <w:tcW w:w="1374" w:type="dxa"/>
            <w:noWrap/>
          </w:tcPr>
          <w:p w14:paraId="22C5892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5.99</w:t>
            </w:r>
            <w:r>
              <w:rPr>
                <w:rFonts w:ascii="Times New Roman" w:hAnsi="Times New Roman" w:cs="Times New Roman"/>
                <w:color w:val="auto"/>
                <w:vertAlign w:val="superscript"/>
              </w:rPr>
              <w:t>ab</w:t>
            </w:r>
          </w:p>
        </w:tc>
        <w:tc>
          <w:tcPr>
            <w:tcW w:w="1406" w:type="dxa"/>
          </w:tcPr>
          <w:p w14:paraId="0F2C03E0"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6.73</w:t>
            </w:r>
            <w:r>
              <w:rPr>
                <w:rFonts w:ascii="Times New Roman" w:hAnsi="Times New Roman" w:cs="Times New Roman"/>
                <w:color w:val="auto"/>
                <w:vertAlign w:val="superscript"/>
              </w:rPr>
              <w:t>c</w:t>
            </w:r>
          </w:p>
        </w:tc>
      </w:tr>
      <w:tr w:rsidR="00F15FD7" w14:paraId="125D15CC"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7F6919E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440" w:type="dxa"/>
            <w:noWrap/>
          </w:tcPr>
          <w:p w14:paraId="7E131BD6"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11.44</w:t>
            </w:r>
            <w:r>
              <w:rPr>
                <w:rFonts w:ascii="Times New Roman" w:hAnsi="Times New Roman" w:cs="Times New Roman"/>
                <w:color w:val="auto"/>
                <w:vertAlign w:val="superscript"/>
              </w:rPr>
              <w:t>c</w:t>
            </w:r>
          </w:p>
        </w:tc>
        <w:tc>
          <w:tcPr>
            <w:tcW w:w="1355" w:type="dxa"/>
            <w:noWrap/>
          </w:tcPr>
          <w:p w14:paraId="3E1FE30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15.16</w:t>
            </w:r>
            <w:r>
              <w:rPr>
                <w:rFonts w:ascii="Times New Roman" w:hAnsi="Times New Roman" w:cs="Times New Roman"/>
                <w:color w:val="auto"/>
                <w:vertAlign w:val="superscript"/>
              </w:rPr>
              <w:t>c</w:t>
            </w:r>
          </w:p>
        </w:tc>
        <w:tc>
          <w:tcPr>
            <w:tcW w:w="1458" w:type="dxa"/>
            <w:noWrap/>
          </w:tcPr>
          <w:p w14:paraId="6855F20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19.47</w:t>
            </w:r>
            <w:r>
              <w:rPr>
                <w:rFonts w:ascii="Times New Roman" w:hAnsi="Times New Roman" w:cs="Times New Roman"/>
                <w:color w:val="auto"/>
                <w:vertAlign w:val="superscript"/>
              </w:rPr>
              <w:t>b</w:t>
            </w:r>
          </w:p>
        </w:tc>
        <w:tc>
          <w:tcPr>
            <w:tcW w:w="1374" w:type="dxa"/>
            <w:noWrap/>
          </w:tcPr>
          <w:p w14:paraId="443349B1"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3.59</w:t>
            </w:r>
            <w:r>
              <w:rPr>
                <w:rFonts w:ascii="Times New Roman" w:hAnsi="Times New Roman" w:cs="Times New Roman"/>
                <w:color w:val="auto"/>
                <w:vertAlign w:val="superscript"/>
              </w:rPr>
              <w:t>bc</w:t>
            </w:r>
          </w:p>
        </w:tc>
        <w:tc>
          <w:tcPr>
            <w:tcW w:w="1374" w:type="dxa"/>
            <w:noWrap/>
          </w:tcPr>
          <w:p w14:paraId="7E9EDFE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3.95</w:t>
            </w:r>
            <w:r>
              <w:rPr>
                <w:rFonts w:ascii="Times New Roman" w:hAnsi="Times New Roman" w:cs="Times New Roman"/>
                <w:color w:val="auto"/>
                <w:vertAlign w:val="superscript"/>
              </w:rPr>
              <w:t>a</w:t>
            </w:r>
          </w:p>
        </w:tc>
        <w:tc>
          <w:tcPr>
            <w:tcW w:w="1406" w:type="dxa"/>
          </w:tcPr>
          <w:p w14:paraId="300030CE"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4.69</w:t>
            </w:r>
            <w:r>
              <w:rPr>
                <w:rFonts w:ascii="Times New Roman" w:hAnsi="Times New Roman" w:cs="Times New Roman"/>
                <w:color w:val="auto"/>
                <w:vertAlign w:val="superscript"/>
              </w:rPr>
              <w:t>b</w:t>
            </w:r>
          </w:p>
        </w:tc>
      </w:tr>
      <w:tr w:rsidR="00F15FD7" w14:paraId="30A61C2C"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1819E71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440" w:type="dxa"/>
            <w:noWrap/>
          </w:tcPr>
          <w:p w14:paraId="34C3F942"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7.31</w:t>
            </w:r>
            <w:r>
              <w:rPr>
                <w:rFonts w:ascii="Times New Roman" w:hAnsi="Times New Roman" w:cs="Times New Roman"/>
                <w:color w:val="auto"/>
                <w:vertAlign w:val="superscript"/>
              </w:rPr>
              <w:t>a</w:t>
            </w:r>
          </w:p>
        </w:tc>
        <w:tc>
          <w:tcPr>
            <w:tcW w:w="1355" w:type="dxa"/>
            <w:noWrap/>
          </w:tcPr>
          <w:p w14:paraId="5D3E3B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17.52</w:t>
            </w:r>
            <w:r>
              <w:rPr>
                <w:rFonts w:ascii="Times New Roman" w:hAnsi="Times New Roman" w:cs="Times New Roman"/>
                <w:color w:val="auto"/>
                <w:vertAlign w:val="superscript"/>
              </w:rPr>
              <w:t>cd</w:t>
            </w:r>
          </w:p>
        </w:tc>
        <w:tc>
          <w:tcPr>
            <w:tcW w:w="1458" w:type="dxa"/>
            <w:noWrap/>
          </w:tcPr>
          <w:p w14:paraId="378C1DF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22.22</w:t>
            </w:r>
            <w:r>
              <w:rPr>
                <w:rFonts w:ascii="Times New Roman" w:hAnsi="Times New Roman" w:cs="Times New Roman"/>
                <w:color w:val="auto"/>
                <w:vertAlign w:val="superscript"/>
              </w:rPr>
              <w:t>bc</w:t>
            </w:r>
          </w:p>
        </w:tc>
        <w:tc>
          <w:tcPr>
            <w:tcW w:w="1374" w:type="dxa"/>
            <w:noWrap/>
          </w:tcPr>
          <w:p w14:paraId="1565CCB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2.31</w:t>
            </w:r>
            <w:r>
              <w:rPr>
                <w:rFonts w:ascii="Times New Roman" w:hAnsi="Times New Roman" w:cs="Times New Roman"/>
                <w:color w:val="auto"/>
                <w:vertAlign w:val="superscript"/>
              </w:rPr>
              <w:t>a</w:t>
            </w:r>
          </w:p>
        </w:tc>
        <w:tc>
          <w:tcPr>
            <w:tcW w:w="1374" w:type="dxa"/>
            <w:noWrap/>
          </w:tcPr>
          <w:p w14:paraId="7D6C6A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4.06</w:t>
            </w:r>
            <w:r>
              <w:rPr>
                <w:rFonts w:ascii="Times New Roman" w:hAnsi="Times New Roman" w:cs="Times New Roman"/>
                <w:color w:val="auto"/>
                <w:vertAlign w:val="superscript"/>
              </w:rPr>
              <w:t>ab</w:t>
            </w:r>
          </w:p>
        </w:tc>
        <w:tc>
          <w:tcPr>
            <w:tcW w:w="1406" w:type="dxa"/>
          </w:tcPr>
          <w:p w14:paraId="4333ADF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5.79</w:t>
            </w:r>
            <w:r>
              <w:rPr>
                <w:rFonts w:ascii="Times New Roman" w:hAnsi="Times New Roman" w:cs="Times New Roman"/>
                <w:color w:val="auto"/>
                <w:vertAlign w:val="superscript"/>
              </w:rPr>
              <w:t>a</w:t>
            </w:r>
          </w:p>
        </w:tc>
      </w:tr>
      <w:tr w:rsidR="00F15FD7" w14:paraId="41CDA8E6"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6F93A15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1440" w:type="dxa"/>
            <w:noWrap/>
          </w:tcPr>
          <w:p w14:paraId="0DA19340"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13.10</w:t>
            </w:r>
            <w:r>
              <w:rPr>
                <w:rFonts w:ascii="Times New Roman" w:hAnsi="Times New Roman" w:cs="Times New Roman"/>
                <w:color w:val="auto"/>
                <w:vertAlign w:val="superscript"/>
              </w:rPr>
              <w:t>d</w:t>
            </w:r>
          </w:p>
        </w:tc>
        <w:tc>
          <w:tcPr>
            <w:tcW w:w="1355" w:type="dxa"/>
            <w:noWrap/>
          </w:tcPr>
          <w:p w14:paraId="0A9AAF7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21.05</w:t>
            </w:r>
            <w:r>
              <w:rPr>
                <w:rFonts w:ascii="Times New Roman" w:hAnsi="Times New Roman" w:cs="Times New Roman"/>
                <w:color w:val="auto"/>
                <w:vertAlign w:val="superscript"/>
              </w:rPr>
              <w:t>ef</w:t>
            </w:r>
          </w:p>
        </w:tc>
        <w:tc>
          <w:tcPr>
            <w:tcW w:w="1458" w:type="dxa"/>
            <w:noWrap/>
          </w:tcPr>
          <w:p w14:paraId="6B4AC21F"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26.97</w:t>
            </w:r>
            <w:r>
              <w:rPr>
                <w:rFonts w:ascii="Times New Roman" w:hAnsi="Times New Roman" w:cs="Times New Roman"/>
                <w:color w:val="auto"/>
                <w:vertAlign w:val="superscript"/>
              </w:rPr>
              <w:t>c</w:t>
            </w:r>
          </w:p>
        </w:tc>
        <w:tc>
          <w:tcPr>
            <w:tcW w:w="1374" w:type="dxa"/>
            <w:noWrap/>
          </w:tcPr>
          <w:p w14:paraId="2E060132"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3.95</w:t>
            </w:r>
            <w:r>
              <w:rPr>
                <w:rFonts w:ascii="Times New Roman" w:hAnsi="Times New Roman" w:cs="Times New Roman"/>
                <w:color w:val="auto"/>
                <w:vertAlign w:val="superscript"/>
              </w:rPr>
              <w:t>bc</w:t>
            </w:r>
          </w:p>
        </w:tc>
        <w:tc>
          <w:tcPr>
            <w:tcW w:w="1374" w:type="dxa"/>
            <w:noWrap/>
          </w:tcPr>
          <w:p w14:paraId="37689E3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5.66</w:t>
            </w:r>
            <w:r>
              <w:rPr>
                <w:rFonts w:ascii="Times New Roman" w:hAnsi="Times New Roman" w:cs="Times New Roman"/>
                <w:color w:val="auto"/>
                <w:vertAlign w:val="superscript"/>
              </w:rPr>
              <w:t>bc</w:t>
            </w:r>
          </w:p>
        </w:tc>
        <w:tc>
          <w:tcPr>
            <w:tcW w:w="1406" w:type="dxa"/>
          </w:tcPr>
          <w:p w14:paraId="438AE05A"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6.54</w:t>
            </w:r>
            <w:r>
              <w:rPr>
                <w:rFonts w:ascii="Times New Roman" w:hAnsi="Times New Roman" w:cs="Times New Roman"/>
                <w:color w:val="auto"/>
                <w:vertAlign w:val="superscript"/>
              </w:rPr>
              <w:t>c</w:t>
            </w:r>
          </w:p>
        </w:tc>
      </w:tr>
      <w:tr w:rsidR="00F15FD7" w14:paraId="1D03C962" w14:textId="77777777" w:rsidTr="00F15FD7">
        <w:trPr>
          <w:trHeight w:val="566"/>
        </w:trPr>
        <w:tc>
          <w:tcPr>
            <w:cnfStyle w:val="001000000000" w:firstRow="0" w:lastRow="0" w:firstColumn="1" w:lastColumn="0" w:oddVBand="0" w:evenVBand="0" w:oddHBand="0" w:evenHBand="0" w:firstRowFirstColumn="0" w:firstRowLastColumn="0" w:lastRowFirstColumn="0" w:lastRowLastColumn="0"/>
            <w:tcW w:w="1763" w:type="dxa"/>
            <w:noWrap/>
          </w:tcPr>
          <w:p w14:paraId="09D54EF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440" w:type="dxa"/>
            <w:noWrap/>
          </w:tcPr>
          <w:p w14:paraId="5743BB57"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14.31</w:t>
            </w:r>
            <w:r>
              <w:rPr>
                <w:rFonts w:ascii="Times New Roman" w:hAnsi="Times New Roman" w:cs="Times New Roman"/>
                <w:color w:val="auto"/>
                <w:vertAlign w:val="superscript"/>
              </w:rPr>
              <w:t>e</w:t>
            </w:r>
          </w:p>
        </w:tc>
        <w:tc>
          <w:tcPr>
            <w:tcW w:w="1355" w:type="dxa"/>
            <w:noWrap/>
          </w:tcPr>
          <w:p w14:paraId="5C76CF5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20.74</w:t>
            </w:r>
            <w:r>
              <w:rPr>
                <w:rFonts w:ascii="Times New Roman" w:hAnsi="Times New Roman" w:cs="Times New Roman"/>
                <w:color w:val="auto"/>
                <w:vertAlign w:val="superscript"/>
              </w:rPr>
              <w:t>a</w:t>
            </w:r>
          </w:p>
        </w:tc>
        <w:tc>
          <w:tcPr>
            <w:tcW w:w="1458" w:type="dxa"/>
            <w:noWrap/>
          </w:tcPr>
          <w:p w14:paraId="54FE5663"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25.49</w:t>
            </w:r>
            <w:r>
              <w:rPr>
                <w:rFonts w:ascii="Times New Roman" w:hAnsi="Times New Roman" w:cs="Times New Roman"/>
                <w:color w:val="auto"/>
                <w:vertAlign w:val="superscript"/>
              </w:rPr>
              <w:t>a</w:t>
            </w:r>
          </w:p>
        </w:tc>
        <w:tc>
          <w:tcPr>
            <w:tcW w:w="1374" w:type="dxa"/>
            <w:noWrap/>
          </w:tcPr>
          <w:p w14:paraId="3C44FCDD"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4.02</w:t>
            </w:r>
            <w:r>
              <w:rPr>
                <w:rFonts w:ascii="Times New Roman" w:hAnsi="Times New Roman" w:cs="Times New Roman"/>
                <w:color w:val="auto"/>
                <w:vertAlign w:val="superscript"/>
              </w:rPr>
              <w:t>a</w:t>
            </w:r>
          </w:p>
        </w:tc>
        <w:tc>
          <w:tcPr>
            <w:tcW w:w="1374" w:type="dxa"/>
            <w:noWrap/>
          </w:tcPr>
          <w:p w14:paraId="3DA58F8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5.30</w:t>
            </w:r>
            <w:r>
              <w:rPr>
                <w:rFonts w:ascii="Times New Roman" w:hAnsi="Times New Roman" w:cs="Times New Roman"/>
                <w:color w:val="auto"/>
                <w:vertAlign w:val="superscript"/>
              </w:rPr>
              <w:t>c</w:t>
            </w:r>
          </w:p>
        </w:tc>
        <w:tc>
          <w:tcPr>
            <w:tcW w:w="1406" w:type="dxa"/>
          </w:tcPr>
          <w:p w14:paraId="137F7DA4" w14:textId="77777777" w:rsidR="00F15FD7" w:rsidRDefault="00563E74">
            <w:pPr>
              <w:spacing w:after="24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6.44</w:t>
            </w:r>
            <w:r>
              <w:rPr>
                <w:rFonts w:ascii="Times New Roman" w:hAnsi="Times New Roman" w:cs="Times New Roman"/>
                <w:color w:val="auto"/>
                <w:vertAlign w:val="superscript"/>
              </w:rPr>
              <w:t>c</w:t>
            </w:r>
          </w:p>
        </w:tc>
      </w:tr>
    </w:tbl>
    <w:p w14:paraId="35516F0C"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101DECEA" w14:textId="77777777" w:rsidR="00F15FD7" w:rsidRDefault="00F15FD7">
      <w:pPr>
        <w:pStyle w:val="Caption"/>
        <w:spacing w:line="276" w:lineRule="auto"/>
        <w:rPr>
          <w:rFonts w:cs="Times New Roman"/>
          <w:sz w:val="22"/>
          <w:szCs w:val="22"/>
        </w:rPr>
      </w:pPr>
      <w:bookmarkStart w:id="3" w:name="_Toc208713646"/>
    </w:p>
    <w:p w14:paraId="67168068" w14:textId="77777777" w:rsidR="00F15FD7" w:rsidRDefault="00F15FD7"/>
    <w:bookmarkEnd w:id="3"/>
    <w:p w14:paraId="654906D9" w14:textId="77777777" w:rsidR="00F15FD7" w:rsidRDefault="00563E74">
      <w:pPr>
        <w:spacing w:line="360" w:lineRule="auto"/>
        <w:jc w:val="both"/>
        <w:rPr>
          <w:rFonts w:ascii="Times New Roman" w:hAnsi="Times New Roman" w:cs="Times New Roman"/>
          <w:b/>
          <w:bCs/>
        </w:rPr>
      </w:pPr>
      <w:r>
        <w:rPr>
          <w:rFonts w:ascii="Times New Roman" w:hAnsi="Times New Roman" w:cs="Times New Roman"/>
          <w:b/>
          <w:bCs/>
        </w:rPr>
        <w:t xml:space="preserve">3.4 Effects on fruit </w:t>
      </w:r>
      <w:r>
        <w:rPr>
          <w:rFonts w:ascii="Times New Roman" w:hAnsi="Times New Roman" w:cs="Times New Roman"/>
          <w:b/>
          <w:bCs/>
        </w:rPr>
        <w:t>yield variables</w:t>
      </w:r>
    </w:p>
    <w:p w14:paraId="3D989058" w14:textId="77777777" w:rsidR="00F15FD7" w:rsidRDefault="00563E74">
      <w:pPr>
        <w:spacing w:line="360" w:lineRule="auto"/>
        <w:jc w:val="both"/>
        <w:rPr>
          <w:rFonts w:ascii="Times New Roman" w:hAnsi="Times New Roman" w:cs="Times New Roman"/>
        </w:rPr>
      </w:pPr>
      <w:r>
        <w:rPr>
          <w:rFonts w:ascii="Times New Roman" w:hAnsi="Times New Roman" w:cs="Times New Roman"/>
        </w:rPr>
        <w:t xml:space="preserve">Table 4 shows that the combination of biochar and Trichoderma </w:t>
      </w:r>
      <w:proofErr w:type="spellStart"/>
      <w:r>
        <w:rPr>
          <w:rFonts w:ascii="Times New Roman" w:hAnsi="Times New Roman" w:cs="Times New Roman"/>
        </w:rPr>
        <w:t>harzianum</w:t>
      </w:r>
      <w:proofErr w:type="spellEnd"/>
      <w:r>
        <w:rPr>
          <w:rFonts w:ascii="Times New Roman" w:hAnsi="Times New Roman" w:cs="Times New Roman"/>
        </w:rPr>
        <w:t xml:space="preserve"> produced the highest pepper yield. B+T at 100% FC had the most fruits per plant (36.93), highest fruit fresh weight (150.00 g), and greatest fruit dry weight (25.00 g).</w:t>
      </w:r>
      <w:r>
        <w:rPr>
          <w:rFonts w:ascii="Times New Roman" w:hAnsi="Times New Roman" w:cs="Times New Roman"/>
        </w:rPr>
        <w:t xml:space="preserve"> Single applications of biochar or Trichoderma improved yield compared </w:t>
      </w:r>
      <w:r>
        <w:rPr>
          <w:rFonts w:ascii="Times New Roman" w:hAnsi="Times New Roman" w:cs="Times New Roman"/>
        </w:rPr>
        <w:lastRenderedPageBreak/>
        <w:t xml:space="preserve">to untreated plants, while low water availability (40% FC) reduced fruit number and weight. Overall, the results highlight that B+T under adequate or moderate watering maximizes pepper </w:t>
      </w:r>
      <w:r>
        <w:rPr>
          <w:rFonts w:ascii="Times New Roman" w:hAnsi="Times New Roman" w:cs="Times New Roman"/>
        </w:rPr>
        <w:t>yield.</w:t>
      </w:r>
    </w:p>
    <w:p w14:paraId="20E64DD2" w14:textId="77777777" w:rsidR="00F15FD7" w:rsidRDefault="00F15FD7">
      <w:pPr>
        <w:pStyle w:val="Caption"/>
        <w:spacing w:line="276" w:lineRule="auto"/>
        <w:rPr>
          <w:rFonts w:cs="Times New Roman"/>
          <w:sz w:val="22"/>
          <w:szCs w:val="22"/>
        </w:rPr>
      </w:pPr>
    </w:p>
    <w:p w14:paraId="3E444090" w14:textId="77777777" w:rsidR="00F15FD7" w:rsidRDefault="00563E74">
      <w:pPr>
        <w:pStyle w:val="Caption"/>
        <w:spacing w:line="276" w:lineRule="auto"/>
        <w:rPr>
          <w:rFonts w:cs="Times New Roman"/>
          <w:b w:val="0"/>
          <w:sz w:val="22"/>
          <w:szCs w:val="22"/>
        </w:rPr>
      </w:pPr>
      <w:r>
        <w:rPr>
          <w:rFonts w:cs="Times New Roman"/>
          <w:sz w:val="22"/>
          <w:szCs w:val="22"/>
        </w:rPr>
        <w:t xml:space="preserve">Table 4.: </w:t>
      </w:r>
      <w:r>
        <w:rPr>
          <w:rFonts w:cs="Times New Roman"/>
          <w:b w:val="0"/>
          <w:sz w:val="22"/>
          <w:szCs w:val="22"/>
        </w:rPr>
        <w:t xml:space="preserve">Effects of application of Biochar and </w:t>
      </w:r>
      <w:r>
        <w:rPr>
          <w:rFonts w:cs="Times New Roman"/>
          <w:b w:val="0"/>
          <w:i/>
          <w:sz w:val="22"/>
          <w:szCs w:val="22"/>
        </w:rPr>
        <w:t>Trichoderma</w:t>
      </w:r>
      <w:r>
        <w:rPr>
          <w:rFonts w:cs="Times New Roman"/>
          <w:b w:val="0"/>
          <w:sz w:val="22"/>
          <w:szCs w:val="22"/>
        </w:rPr>
        <w:t xml:space="preserve"> </w:t>
      </w:r>
      <w:proofErr w:type="spellStart"/>
      <w:r>
        <w:rPr>
          <w:rFonts w:cs="Times New Roman"/>
          <w:b w:val="0"/>
          <w:i/>
          <w:sz w:val="22"/>
          <w:szCs w:val="22"/>
        </w:rPr>
        <w:t>harzianum</w:t>
      </w:r>
      <w:proofErr w:type="spellEnd"/>
      <w:r>
        <w:rPr>
          <w:rFonts w:cs="Times New Roman"/>
          <w:b w:val="0"/>
          <w:sz w:val="22"/>
          <w:szCs w:val="22"/>
        </w:rPr>
        <w:t xml:space="preserve"> on yield of pepper subjected to varied watering regimes</w:t>
      </w:r>
    </w:p>
    <w:tbl>
      <w:tblPr>
        <w:tblStyle w:val="ListTable6Colorful1"/>
        <w:tblW w:w="0" w:type="auto"/>
        <w:tblLook w:val="04A0" w:firstRow="1" w:lastRow="0" w:firstColumn="1" w:lastColumn="0" w:noHBand="0" w:noVBand="1"/>
      </w:tblPr>
      <w:tblGrid>
        <w:gridCol w:w="2465"/>
        <w:gridCol w:w="2476"/>
        <w:gridCol w:w="2191"/>
        <w:gridCol w:w="1831"/>
      </w:tblGrid>
      <w:tr w:rsidR="00F15FD7" w14:paraId="3ADCE4BF" w14:textId="77777777" w:rsidTr="00F15FD7">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465" w:type="dxa"/>
            <w:vMerge w:val="restart"/>
            <w:noWrap/>
          </w:tcPr>
          <w:p w14:paraId="5B6DB4E5" w14:textId="77777777" w:rsidR="00F15FD7" w:rsidRDefault="00F15FD7">
            <w:pPr>
              <w:spacing w:after="0" w:line="276" w:lineRule="auto"/>
              <w:rPr>
                <w:rFonts w:ascii="Times New Roman" w:hAnsi="Times New Roman" w:cs="Times New Roman"/>
                <w:b w:val="0"/>
              </w:rPr>
            </w:pPr>
          </w:p>
          <w:p w14:paraId="1AC19434" w14:textId="77777777" w:rsidR="00F15FD7" w:rsidRDefault="00F15FD7">
            <w:pPr>
              <w:spacing w:after="0" w:line="276" w:lineRule="auto"/>
              <w:rPr>
                <w:rFonts w:ascii="Times New Roman" w:hAnsi="Times New Roman" w:cs="Times New Roman"/>
                <w:b w:val="0"/>
              </w:rPr>
            </w:pPr>
          </w:p>
          <w:p w14:paraId="0F5F4EA8" w14:textId="77777777" w:rsidR="00F15FD7" w:rsidRDefault="00563E74">
            <w:pPr>
              <w:spacing w:after="0" w:line="276" w:lineRule="auto"/>
              <w:rPr>
                <w:rFonts w:ascii="Times New Roman" w:hAnsi="Times New Roman" w:cs="Times New Roman"/>
              </w:rPr>
            </w:pPr>
            <w:r>
              <w:rPr>
                <w:rFonts w:ascii="Times New Roman" w:hAnsi="Times New Roman" w:cs="Times New Roman"/>
              </w:rPr>
              <w:t>TREATMENT</w:t>
            </w:r>
          </w:p>
        </w:tc>
        <w:tc>
          <w:tcPr>
            <w:tcW w:w="6498" w:type="dxa"/>
            <w:gridSpan w:val="3"/>
          </w:tcPr>
          <w:p w14:paraId="56594C9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Pepper fruit yield characters</w:t>
            </w:r>
          </w:p>
        </w:tc>
      </w:tr>
      <w:tr w:rsidR="00F15FD7" w14:paraId="55466881" w14:textId="77777777" w:rsidTr="00F15FD7">
        <w:trPr>
          <w:trHeight w:val="716"/>
        </w:trPr>
        <w:tc>
          <w:tcPr>
            <w:cnfStyle w:val="001000000000" w:firstRow="0" w:lastRow="0" w:firstColumn="1" w:lastColumn="0" w:oddVBand="0" w:evenVBand="0" w:oddHBand="0" w:evenHBand="0" w:firstRowFirstColumn="0" w:firstRowLastColumn="0" w:lastRowFirstColumn="0" w:lastRowLastColumn="0"/>
            <w:tcW w:w="2465" w:type="dxa"/>
            <w:vMerge/>
            <w:tcBorders>
              <w:bottom w:val="single" w:sz="4" w:space="0" w:color="auto"/>
            </w:tcBorders>
            <w:noWrap/>
          </w:tcPr>
          <w:p w14:paraId="474058B1" w14:textId="77777777" w:rsidR="00F15FD7" w:rsidRDefault="00F15FD7">
            <w:pPr>
              <w:spacing w:after="0" w:line="276" w:lineRule="auto"/>
              <w:rPr>
                <w:rFonts w:ascii="Times New Roman" w:hAnsi="Times New Roman" w:cs="Times New Roman"/>
              </w:rPr>
            </w:pPr>
          </w:p>
        </w:tc>
        <w:tc>
          <w:tcPr>
            <w:tcW w:w="2476" w:type="dxa"/>
            <w:tcBorders>
              <w:bottom w:val="single" w:sz="4" w:space="0" w:color="auto"/>
            </w:tcBorders>
          </w:tcPr>
          <w:p w14:paraId="0A9747F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Number of fruit/plants</w:t>
            </w:r>
          </w:p>
        </w:tc>
        <w:tc>
          <w:tcPr>
            <w:tcW w:w="2191" w:type="dxa"/>
            <w:tcBorders>
              <w:bottom w:val="single" w:sz="4" w:space="0" w:color="auto"/>
            </w:tcBorders>
            <w:noWrap/>
          </w:tcPr>
          <w:p w14:paraId="68B04AA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Fruit Fresh weight/plant (g)</w:t>
            </w:r>
          </w:p>
        </w:tc>
        <w:tc>
          <w:tcPr>
            <w:tcW w:w="1831" w:type="dxa"/>
            <w:tcBorders>
              <w:bottom w:val="single" w:sz="4" w:space="0" w:color="auto"/>
            </w:tcBorders>
            <w:noWrap/>
          </w:tcPr>
          <w:p w14:paraId="4E2DFC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Fruit Dry weight/plant (g)</w:t>
            </w:r>
          </w:p>
        </w:tc>
      </w:tr>
      <w:tr w:rsidR="00F15FD7" w14:paraId="3BB9AEBC"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tcBorders>
              <w:top w:val="single" w:sz="4" w:space="0" w:color="auto"/>
            </w:tcBorders>
            <w:noWrap/>
          </w:tcPr>
          <w:p w14:paraId="0924086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 xml:space="preserve">Biochar </w:t>
            </w:r>
          </w:p>
        </w:tc>
        <w:tc>
          <w:tcPr>
            <w:tcW w:w="2476" w:type="dxa"/>
            <w:tcBorders>
              <w:top w:val="single" w:sz="4" w:space="0" w:color="auto"/>
            </w:tcBorders>
          </w:tcPr>
          <w:p w14:paraId="46628A8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25.70</w:t>
            </w:r>
            <w:r>
              <w:rPr>
                <w:rFonts w:ascii="Times New Roman" w:hAnsi="Times New Roman" w:cs="Times New Roman"/>
                <w:color w:val="auto"/>
                <w:vertAlign w:val="superscript"/>
              </w:rPr>
              <w:t>cd</w:t>
            </w:r>
          </w:p>
        </w:tc>
        <w:tc>
          <w:tcPr>
            <w:tcW w:w="2191" w:type="dxa"/>
            <w:tcBorders>
              <w:top w:val="single" w:sz="4" w:space="0" w:color="auto"/>
            </w:tcBorders>
            <w:noWrap/>
          </w:tcPr>
          <w:p w14:paraId="4D69C26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130.00</w:t>
            </w:r>
            <w:r>
              <w:rPr>
                <w:rFonts w:ascii="Times New Roman" w:hAnsi="Times New Roman" w:cs="Times New Roman"/>
                <w:color w:val="auto"/>
                <w:vertAlign w:val="superscript"/>
              </w:rPr>
              <w:t>d</w:t>
            </w:r>
          </w:p>
        </w:tc>
        <w:tc>
          <w:tcPr>
            <w:tcW w:w="1831" w:type="dxa"/>
            <w:tcBorders>
              <w:top w:val="single" w:sz="4" w:space="0" w:color="auto"/>
            </w:tcBorders>
            <w:noWrap/>
          </w:tcPr>
          <w:p w14:paraId="6D539CF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23.07</w:t>
            </w:r>
            <w:r>
              <w:rPr>
                <w:rFonts w:ascii="Times New Roman" w:hAnsi="Times New Roman" w:cs="Times New Roman"/>
                <w:color w:val="auto"/>
                <w:vertAlign w:val="superscript"/>
              </w:rPr>
              <w:t>c</w:t>
            </w:r>
          </w:p>
        </w:tc>
      </w:tr>
      <w:tr w:rsidR="00F15FD7" w14:paraId="49260222"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5D7137A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r>
              <w:rPr>
                <w:rFonts w:ascii="Times New Roman" w:hAnsi="Times New Roman" w:cs="Times New Roman"/>
                <w:b w:val="0"/>
                <w:color w:val="auto"/>
              </w:rPr>
              <w:t xml:space="preserve"> </w:t>
            </w:r>
          </w:p>
        </w:tc>
        <w:tc>
          <w:tcPr>
            <w:tcW w:w="2476" w:type="dxa"/>
          </w:tcPr>
          <w:p w14:paraId="5B70642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24.34</w:t>
            </w:r>
            <w:r>
              <w:rPr>
                <w:rFonts w:ascii="Times New Roman" w:hAnsi="Times New Roman" w:cs="Times New Roman"/>
                <w:color w:val="auto"/>
                <w:vertAlign w:val="superscript"/>
              </w:rPr>
              <w:t>c</w:t>
            </w:r>
          </w:p>
        </w:tc>
        <w:tc>
          <w:tcPr>
            <w:tcW w:w="2191" w:type="dxa"/>
            <w:noWrap/>
          </w:tcPr>
          <w:p w14:paraId="01BEC9E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125.33</w:t>
            </w:r>
            <w:r>
              <w:rPr>
                <w:rFonts w:ascii="Times New Roman" w:hAnsi="Times New Roman" w:cs="Times New Roman"/>
                <w:color w:val="auto"/>
                <w:vertAlign w:val="superscript"/>
              </w:rPr>
              <w:t>cd</w:t>
            </w:r>
          </w:p>
        </w:tc>
        <w:tc>
          <w:tcPr>
            <w:tcW w:w="1831" w:type="dxa"/>
            <w:noWrap/>
          </w:tcPr>
          <w:p w14:paraId="0F54F41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23.39</w:t>
            </w:r>
            <w:r>
              <w:rPr>
                <w:rFonts w:ascii="Times New Roman" w:hAnsi="Times New Roman" w:cs="Times New Roman"/>
                <w:color w:val="auto"/>
                <w:vertAlign w:val="superscript"/>
              </w:rPr>
              <w:t>c</w:t>
            </w:r>
          </w:p>
        </w:tc>
      </w:tr>
      <w:tr w:rsidR="00F15FD7" w14:paraId="103CD387"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522CBE0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2476" w:type="dxa"/>
          </w:tcPr>
          <w:p w14:paraId="1982C6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18.50</w:t>
            </w:r>
            <w:r>
              <w:rPr>
                <w:rFonts w:ascii="Times New Roman" w:hAnsi="Times New Roman" w:cs="Times New Roman"/>
                <w:color w:val="auto"/>
                <w:vertAlign w:val="superscript"/>
              </w:rPr>
              <w:t>a</w:t>
            </w:r>
          </w:p>
        </w:tc>
        <w:tc>
          <w:tcPr>
            <w:tcW w:w="2191" w:type="dxa"/>
            <w:noWrap/>
          </w:tcPr>
          <w:p w14:paraId="490D5E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81.00</w:t>
            </w:r>
            <w:r>
              <w:rPr>
                <w:rFonts w:ascii="Times New Roman" w:hAnsi="Times New Roman" w:cs="Times New Roman"/>
                <w:color w:val="auto"/>
                <w:vertAlign w:val="superscript"/>
              </w:rPr>
              <w:t>a</w:t>
            </w:r>
          </w:p>
        </w:tc>
        <w:tc>
          <w:tcPr>
            <w:tcW w:w="1831" w:type="dxa"/>
            <w:noWrap/>
          </w:tcPr>
          <w:p w14:paraId="20E870D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16.99</w:t>
            </w:r>
            <w:r>
              <w:rPr>
                <w:rFonts w:ascii="Times New Roman" w:hAnsi="Times New Roman" w:cs="Times New Roman"/>
                <w:color w:val="auto"/>
                <w:vertAlign w:val="superscript"/>
              </w:rPr>
              <w:t>a</w:t>
            </w:r>
          </w:p>
        </w:tc>
      </w:tr>
      <w:tr w:rsidR="00F15FD7" w14:paraId="1E64597E"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088B8E1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2476" w:type="dxa"/>
          </w:tcPr>
          <w:p w14:paraId="6CD74DC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19.72</w:t>
            </w:r>
            <w:r>
              <w:rPr>
                <w:rFonts w:ascii="Times New Roman" w:hAnsi="Times New Roman" w:cs="Times New Roman"/>
                <w:color w:val="auto"/>
                <w:vertAlign w:val="superscript"/>
              </w:rPr>
              <w:t>ab</w:t>
            </w:r>
          </w:p>
        </w:tc>
        <w:tc>
          <w:tcPr>
            <w:tcW w:w="2191" w:type="dxa"/>
            <w:noWrap/>
          </w:tcPr>
          <w:p w14:paraId="1AD0302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84.00</w:t>
            </w:r>
            <w:r>
              <w:rPr>
                <w:rFonts w:ascii="Times New Roman" w:hAnsi="Times New Roman" w:cs="Times New Roman"/>
                <w:color w:val="auto"/>
                <w:vertAlign w:val="superscript"/>
              </w:rPr>
              <w:t>a</w:t>
            </w:r>
          </w:p>
        </w:tc>
        <w:tc>
          <w:tcPr>
            <w:tcW w:w="1831" w:type="dxa"/>
            <w:noWrap/>
          </w:tcPr>
          <w:p w14:paraId="3FD30B4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17.33</w:t>
            </w:r>
            <w:r>
              <w:rPr>
                <w:rFonts w:ascii="Times New Roman" w:hAnsi="Times New Roman" w:cs="Times New Roman"/>
                <w:color w:val="auto"/>
                <w:vertAlign w:val="superscript"/>
              </w:rPr>
              <w:t>ab</w:t>
            </w:r>
          </w:p>
        </w:tc>
      </w:tr>
      <w:tr w:rsidR="00F15FD7" w14:paraId="00ADD2DE"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0ACA012E"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2476" w:type="dxa"/>
          </w:tcPr>
          <w:p w14:paraId="029C035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25.34</w:t>
            </w:r>
            <w:r>
              <w:rPr>
                <w:rFonts w:ascii="Times New Roman" w:hAnsi="Times New Roman" w:cs="Times New Roman"/>
                <w:color w:val="auto"/>
                <w:vertAlign w:val="superscript"/>
              </w:rPr>
              <w:t>cd</w:t>
            </w:r>
          </w:p>
        </w:tc>
        <w:tc>
          <w:tcPr>
            <w:tcW w:w="2191" w:type="dxa"/>
            <w:noWrap/>
          </w:tcPr>
          <w:p w14:paraId="36394BA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120.67</w:t>
            </w:r>
            <w:r>
              <w:rPr>
                <w:rFonts w:ascii="Times New Roman" w:hAnsi="Times New Roman" w:cs="Times New Roman"/>
                <w:color w:val="auto"/>
                <w:vertAlign w:val="superscript"/>
              </w:rPr>
              <w:t>cd</w:t>
            </w:r>
          </w:p>
        </w:tc>
        <w:tc>
          <w:tcPr>
            <w:tcW w:w="1831" w:type="dxa"/>
            <w:noWrap/>
          </w:tcPr>
          <w:p w14:paraId="4F18AC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21.05</w:t>
            </w:r>
            <w:r>
              <w:rPr>
                <w:rFonts w:ascii="Times New Roman" w:hAnsi="Times New Roman" w:cs="Times New Roman"/>
                <w:color w:val="auto"/>
                <w:vertAlign w:val="superscript"/>
              </w:rPr>
              <w:t>bc</w:t>
            </w:r>
          </w:p>
        </w:tc>
      </w:tr>
      <w:tr w:rsidR="00F15FD7" w14:paraId="252249D5"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277F43E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2476" w:type="dxa"/>
          </w:tcPr>
          <w:p w14:paraId="585D943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20.48</w:t>
            </w:r>
            <w:r>
              <w:rPr>
                <w:rFonts w:ascii="Times New Roman" w:hAnsi="Times New Roman" w:cs="Times New Roman"/>
                <w:color w:val="auto"/>
                <w:vertAlign w:val="superscript"/>
              </w:rPr>
              <w:t>abc</w:t>
            </w:r>
          </w:p>
        </w:tc>
        <w:tc>
          <w:tcPr>
            <w:tcW w:w="2191" w:type="dxa"/>
            <w:noWrap/>
          </w:tcPr>
          <w:p w14:paraId="190B10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124.00</w:t>
            </w:r>
            <w:r>
              <w:rPr>
                <w:rFonts w:ascii="Times New Roman" w:hAnsi="Times New Roman" w:cs="Times New Roman"/>
                <w:color w:val="auto"/>
                <w:vertAlign w:val="superscript"/>
              </w:rPr>
              <w:t>cd</w:t>
            </w:r>
          </w:p>
        </w:tc>
        <w:tc>
          <w:tcPr>
            <w:tcW w:w="1831" w:type="dxa"/>
            <w:noWrap/>
          </w:tcPr>
          <w:p w14:paraId="5893474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23.37</w:t>
            </w:r>
            <w:r>
              <w:rPr>
                <w:rFonts w:ascii="Times New Roman" w:hAnsi="Times New Roman" w:cs="Times New Roman"/>
                <w:color w:val="auto"/>
                <w:vertAlign w:val="superscript"/>
              </w:rPr>
              <w:t>c</w:t>
            </w:r>
          </w:p>
        </w:tc>
      </w:tr>
      <w:tr w:rsidR="00F15FD7" w14:paraId="71F0597C"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2F773E75"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2476" w:type="dxa"/>
          </w:tcPr>
          <w:p w14:paraId="0CA3CC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24.30</w:t>
            </w:r>
            <w:r>
              <w:rPr>
                <w:rFonts w:ascii="Times New Roman" w:hAnsi="Times New Roman" w:cs="Times New Roman"/>
                <w:color w:val="auto"/>
                <w:vertAlign w:val="superscript"/>
              </w:rPr>
              <w:t>c</w:t>
            </w:r>
          </w:p>
        </w:tc>
        <w:tc>
          <w:tcPr>
            <w:tcW w:w="2191" w:type="dxa"/>
            <w:noWrap/>
          </w:tcPr>
          <w:p w14:paraId="02E23A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119.33</w:t>
            </w:r>
            <w:r>
              <w:rPr>
                <w:rFonts w:ascii="Times New Roman" w:hAnsi="Times New Roman" w:cs="Times New Roman"/>
                <w:color w:val="auto"/>
                <w:vertAlign w:val="superscript"/>
              </w:rPr>
              <w:t>c</w:t>
            </w:r>
          </w:p>
        </w:tc>
        <w:tc>
          <w:tcPr>
            <w:tcW w:w="1831" w:type="dxa"/>
            <w:noWrap/>
          </w:tcPr>
          <w:p w14:paraId="3BD83E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20.71</w:t>
            </w:r>
            <w:r>
              <w:rPr>
                <w:rFonts w:ascii="Times New Roman" w:hAnsi="Times New Roman" w:cs="Times New Roman"/>
                <w:color w:val="auto"/>
                <w:vertAlign w:val="superscript"/>
              </w:rPr>
              <w:t>abc</w:t>
            </w:r>
          </w:p>
        </w:tc>
      </w:tr>
      <w:tr w:rsidR="00F15FD7" w14:paraId="76F27166"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2CA5D98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2476" w:type="dxa"/>
          </w:tcPr>
          <w:p w14:paraId="719767C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28.03</w:t>
            </w:r>
            <w:r>
              <w:rPr>
                <w:rFonts w:ascii="Times New Roman" w:hAnsi="Times New Roman" w:cs="Times New Roman"/>
                <w:color w:val="auto"/>
                <w:vertAlign w:val="superscript"/>
              </w:rPr>
              <w:t>d</w:t>
            </w:r>
          </w:p>
        </w:tc>
        <w:tc>
          <w:tcPr>
            <w:tcW w:w="2191" w:type="dxa"/>
            <w:noWrap/>
          </w:tcPr>
          <w:p w14:paraId="58747B8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129.33</w:t>
            </w:r>
            <w:r>
              <w:rPr>
                <w:rFonts w:ascii="Times New Roman" w:hAnsi="Times New Roman" w:cs="Times New Roman"/>
                <w:color w:val="auto"/>
                <w:vertAlign w:val="superscript"/>
              </w:rPr>
              <w:t>d</w:t>
            </w:r>
          </w:p>
        </w:tc>
        <w:tc>
          <w:tcPr>
            <w:tcW w:w="1831" w:type="dxa"/>
            <w:noWrap/>
          </w:tcPr>
          <w:p w14:paraId="07B2F1C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21.73</w:t>
            </w:r>
            <w:r>
              <w:rPr>
                <w:rFonts w:ascii="Times New Roman" w:hAnsi="Times New Roman" w:cs="Times New Roman"/>
                <w:color w:val="auto"/>
                <w:vertAlign w:val="superscript"/>
              </w:rPr>
              <w:t>a</w:t>
            </w:r>
          </w:p>
        </w:tc>
      </w:tr>
      <w:tr w:rsidR="00F15FD7" w14:paraId="3BF6686C"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4DF55DE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2476" w:type="dxa"/>
          </w:tcPr>
          <w:p w14:paraId="5920268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22.74</w:t>
            </w:r>
            <w:r>
              <w:rPr>
                <w:rFonts w:ascii="Times New Roman" w:hAnsi="Times New Roman" w:cs="Times New Roman"/>
                <w:color w:val="auto"/>
                <w:vertAlign w:val="superscript"/>
              </w:rPr>
              <w:t>c</w:t>
            </w:r>
          </w:p>
        </w:tc>
        <w:tc>
          <w:tcPr>
            <w:tcW w:w="2191" w:type="dxa"/>
            <w:noWrap/>
          </w:tcPr>
          <w:p w14:paraId="4173116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120.67</w:t>
            </w:r>
            <w:r>
              <w:rPr>
                <w:rFonts w:ascii="Times New Roman" w:hAnsi="Times New Roman" w:cs="Times New Roman"/>
                <w:color w:val="auto"/>
                <w:vertAlign w:val="superscript"/>
              </w:rPr>
              <w:t>cd</w:t>
            </w:r>
          </w:p>
        </w:tc>
        <w:tc>
          <w:tcPr>
            <w:tcW w:w="1831" w:type="dxa"/>
            <w:noWrap/>
          </w:tcPr>
          <w:p w14:paraId="766FD97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21.03</w:t>
            </w:r>
            <w:r>
              <w:rPr>
                <w:rFonts w:ascii="Times New Roman" w:hAnsi="Times New Roman" w:cs="Times New Roman"/>
                <w:color w:val="auto"/>
                <w:vertAlign w:val="superscript"/>
              </w:rPr>
              <w:t>a</w:t>
            </w:r>
          </w:p>
        </w:tc>
      </w:tr>
      <w:tr w:rsidR="00F15FD7" w14:paraId="4E3583B6"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710C81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2476" w:type="dxa"/>
          </w:tcPr>
          <w:p w14:paraId="59D8A71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25.83</w:t>
            </w:r>
            <w:r>
              <w:rPr>
                <w:rFonts w:ascii="Times New Roman" w:hAnsi="Times New Roman" w:cs="Times New Roman"/>
                <w:color w:val="auto"/>
                <w:vertAlign w:val="superscript"/>
              </w:rPr>
              <w:t>cd</w:t>
            </w:r>
          </w:p>
        </w:tc>
        <w:tc>
          <w:tcPr>
            <w:tcW w:w="2191" w:type="dxa"/>
            <w:noWrap/>
          </w:tcPr>
          <w:p w14:paraId="678F190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122.33</w:t>
            </w:r>
            <w:r>
              <w:rPr>
                <w:rFonts w:ascii="Times New Roman" w:hAnsi="Times New Roman" w:cs="Times New Roman"/>
                <w:color w:val="auto"/>
                <w:vertAlign w:val="superscript"/>
              </w:rPr>
              <w:t>cd</w:t>
            </w:r>
          </w:p>
        </w:tc>
        <w:tc>
          <w:tcPr>
            <w:tcW w:w="1831" w:type="dxa"/>
            <w:noWrap/>
          </w:tcPr>
          <w:p w14:paraId="77C1506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22.59</w:t>
            </w:r>
            <w:r>
              <w:rPr>
                <w:rFonts w:ascii="Times New Roman" w:hAnsi="Times New Roman" w:cs="Times New Roman"/>
                <w:color w:val="auto"/>
                <w:vertAlign w:val="superscript"/>
              </w:rPr>
              <w:t>c</w:t>
            </w:r>
          </w:p>
        </w:tc>
      </w:tr>
      <w:tr w:rsidR="00F15FD7" w14:paraId="20410B1F"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60ABB4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2476" w:type="dxa"/>
          </w:tcPr>
          <w:p w14:paraId="14C05F2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27.32</w:t>
            </w:r>
            <w:r>
              <w:rPr>
                <w:rFonts w:ascii="Times New Roman" w:hAnsi="Times New Roman" w:cs="Times New Roman"/>
                <w:color w:val="auto"/>
                <w:vertAlign w:val="superscript"/>
              </w:rPr>
              <w:t>d</w:t>
            </w:r>
          </w:p>
        </w:tc>
        <w:tc>
          <w:tcPr>
            <w:tcW w:w="2191" w:type="dxa"/>
            <w:noWrap/>
          </w:tcPr>
          <w:p w14:paraId="331011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135.33</w:t>
            </w:r>
            <w:r>
              <w:rPr>
                <w:rFonts w:ascii="Times New Roman" w:hAnsi="Times New Roman" w:cs="Times New Roman"/>
                <w:color w:val="auto"/>
                <w:vertAlign w:val="superscript"/>
              </w:rPr>
              <w:t>e</w:t>
            </w:r>
          </w:p>
        </w:tc>
        <w:tc>
          <w:tcPr>
            <w:tcW w:w="1831" w:type="dxa"/>
            <w:noWrap/>
          </w:tcPr>
          <w:p w14:paraId="0A8B622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20.55</w:t>
            </w:r>
            <w:r>
              <w:rPr>
                <w:rFonts w:ascii="Times New Roman" w:hAnsi="Times New Roman" w:cs="Times New Roman"/>
                <w:color w:val="auto"/>
                <w:vertAlign w:val="superscript"/>
              </w:rPr>
              <w:t>abc</w:t>
            </w:r>
          </w:p>
        </w:tc>
      </w:tr>
      <w:tr w:rsidR="00F15FD7" w14:paraId="5D54DFC5"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A546A6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2476" w:type="dxa"/>
          </w:tcPr>
          <w:p w14:paraId="13827F2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25.12</w:t>
            </w:r>
            <w:r>
              <w:rPr>
                <w:rFonts w:ascii="Times New Roman" w:hAnsi="Times New Roman" w:cs="Times New Roman"/>
                <w:color w:val="auto"/>
                <w:vertAlign w:val="superscript"/>
              </w:rPr>
              <w:t>cd</w:t>
            </w:r>
          </w:p>
        </w:tc>
        <w:tc>
          <w:tcPr>
            <w:tcW w:w="2191" w:type="dxa"/>
            <w:noWrap/>
          </w:tcPr>
          <w:p w14:paraId="1053F81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120.33</w:t>
            </w:r>
            <w:r>
              <w:rPr>
                <w:rFonts w:ascii="Times New Roman" w:hAnsi="Times New Roman" w:cs="Times New Roman"/>
                <w:color w:val="auto"/>
                <w:vertAlign w:val="superscript"/>
              </w:rPr>
              <w:t>cd</w:t>
            </w:r>
          </w:p>
        </w:tc>
        <w:tc>
          <w:tcPr>
            <w:tcW w:w="1831" w:type="dxa"/>
            <w:noWrap/>
          </w:tcPr>
          <w:p w14:paraId="00627CA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21.83</w:t>
            </w:r>
            <w:r>
              <w:rPr>
                <w:rFonts w:ascii="Times New Roman" w:hAnsi="Times New Roman" w:cs="Times New Roman"/>
                <w:color w:val="auto"/>
                <w:vertAlign w:val="superscript"/>
              </w:rPr>
              <w:t>bc</w:t>
            </w:r>
          </w:p>
        </w:tc>
      </w:tr>
      <w:tr w:rsidR="00F15FD7" w14:paraId="4A5A1A31"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1C195EE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2476" w:type="dxa"/>
          </w:tcPr>
          <w:p w14:paraId="1459F5E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35.23</w:t>
            </w:r>
            <w:r>
              <w:rPr>
                <w:rFonts w:ascii="Times New Roman" w:hAnsi="Times New Roman" w:cs="Times New Roman"/>
                <w:color w:val="auto"/>
                <w:vertAlign w:val="superscript"/>
              </w:rPr>
              <w:t>e</w:t>
            </w:r>
          </w:p>
        </w:tc>
        <w:tc>
          <w:tcPr>
            <w:tcW w:w="2191" w:type="dxa"/>
            <w:noWrap/>
          </w:tcPr>
          <w:p w14:paraId="5A3C0ED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146.67</w:t>
            </w:r>
            <w:r>
              <w:rPr>
                <w:rFonts w:ascii="Times New Roman" w:hAnsi="Times New Roman" w:cs="Times New Roman"/>
                <w:color w:val="auto"/>
                <w:vertAlign w:val="superscript"/>
              </w:rPr>
              <w:t>f</w:t>
            </w:r>
          </w:p>
        </w:tc>
        <w:tc>
          <w:tcPr>
            <w:tcW w:w="1831" w:type="dxa"/>
            <w:noWrap/>
          </w:tcPr>
          <w:p w14:paraId="4D12191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23.17</w:t>
            </w:r>
            <w:r>
              <w:rPr>
                <w:rFonts w:ascii="Times New Roman" w:hAnsi="Times New Roman" w:cs="Times New Roman"/>
                <w:color w:val="auto"/>
                <w:vertAlign w:val="superscript"/>
              </w:rPr>
              <w:t>c</w:t>
            </w:r>
          </w:p>
        </w:tc>
      </w:tr>
      <w:tr w:rsidR="00F15FD7" w14:paraId="3647C414" w14:textId="77777777" w:rsidTr="00F15FD7">
        <w:trPr>
          <w:trHeight w:val="460"/>
        </w:trPr>
        <w:tc>
          <w:tcPr>
            <w:cnfStyle w:val="001000000000" w:firstRow="0" w:lastRow="0" w:firstColumn="1" w:lastColumn="0" w:oddVBand="0" w:evenVBand="0" w:oddHBand="0" w:evenHBand="0" w:firstRowFirstColumn="0" w:firstRowLastColumn="0" w:lastRowFirstColumn="0" w:lastRowLastColumn="0"/>
            <w:tcW w:w="2465" w:type="dxa"/>
            <w:noWrap/>
          </w:tcPr>
          <w:p w14:paraId="7DABAD8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2476" w:type="dxa"/>
          </w:tcPr>
          <w:p w14:paraId="3E2D0B2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36.93</w:t>
            </w:r>
            <w:r>
              <w:rPr>
                <w:rFonts w:ascii="Times New Roman" w:hAnsi="Times New Roman" w:cs="Times New Roman"/>
                <w:color w:val="auto"/>
                <w:vertAlign w:val="superscript"/>
              </w:rPr>
              <w:t>f</w:t>
            </w:r>
          </w:p>
        </w:tc>
        <w:tc>
          <w:tcPr>
            <w:tcW w:w="2191" w:type="dxa"/>
            <w:noWrap/>
          </w:tcPr>
          <w:p w14:paraId="6112B65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150.00</w:t>
            </w:r>
            <w:r>
              <w:rPr>
                <w:rFonts w:ascii="Times New Roman" w:hAnsi="Times New Roman" w:cs="Times New Roman"/>
                <w:color w:val="auto"/>
                <w:vertAlign w:val="superscript"/>
              </w:rPr>
              <w:t>fg</w:t>
            </w:r>
          </w:p>
        </w:tc>
        <w:tc>
          <w:tcPr>
            <w:tcW w:w="1831" w:type="dxa"/>
            <w:noWrap/>
          </w:tcPr>
          <w:p w14:paraId="25EAA85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25.00</w:t>
            </w:r>
            <w:r>
              <w:rPr>
                <w:rFonts w:ascii="Times New Roman" w:hAnsi="Times New Roman" w:cs="Times New Roman"/>
                <w:color w:val="auto"/>
                <w:vertAlign w:val="superscript"/>
              </w:rPr>
              <w:t>d</w:t>
            </w:r>
          </w:p>
        </w:tc>
      </w:tr>
    </w:tbl>
    <w:p w14:paraId="7A3A03E3"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1EB40664" w14:textId="77777777" w:rsidR="00F15FD7" w:rsidRDefault="00F15FD7">
      <w:pPr>
        <w:tabs>
          <w:tab w:val="left" w:pos="2880"/>
        </w:tabs>
        <w:spacing w:line="276" w:lineRule="auto"/>
        <w:rPr>
          <w:rFonts w:ascii="Times New Roman" w:hAnsi="Times New Roman" w:cs="Times New Roman"/>
          <w:b/>
          <w:bCs/>
        </w:rPr>
      </w:pPr>
    </w:p>
    <w:p w14:paraId="7B65E598" w14:textId="77777777" w:rsidR="00F15FD7" w:rsidRDefault="00563E74">
      <w:pPr>
        <w:spacing w:line="276" w:lineRule="auto"/>
        <w:rPr>
          <w:rFonts w:ascii="Times New Roman" w:hAnsi="Times New Roman" w:cs="Times New Roman"/>
          <w:b/>
          <w:bCs/>
        </w:rPr>
      </w:pPr>
      <w:r>
        <w:rPr>
          <w:rFonts w:ascii="Times New Roman" w:hAnsi="Times New Roman" w:cs="Times New Roman"/>
          <w:b/>
          <w:bCs/>
        </w:rPr>
        <w:t>3.5 Effects of amendments on phytochemical constituents of pepper under differ</w:t>
      </w:r>
      <w:r>
        <w:rPr>
          <w:rFonts w:ascii="Times New Roman" w:hAnsi="Times New Roman" w:cs="Times New Roman"/>
          <w:b/>
          <w:bCs/>
        </w:rPr>
        <w:t>ential watering</w:t>
      </w:r>
    </w:p>
    <w:p w14:paraId="0F25EC10" w14:textId="77777777" w:rsidR="00F15FD7" w:rsidRDefault="00563E74">
      <w:pPr>
        <w:tabs>
          <w:tab w:val="left" w:pos="2880"/>
        </w:tabs>
        <w:spacing w:line="276" w:lineRule="auto"/>
        <w:jc w:val="both"/>
        <w:rPr>
          <w:rFonts w:ascii="Times New Roman" w:hAnsi="Times New Roman" w:cs="Times New Roman"/>
          <w:b/>
          <w:bCs/>
        </w:rPr>
      </w:pPr>
      <w:r>
        <w:rPr>
          <w:rFonts w:ascii="Times New Roman" w:hAnsi="Times New Roman" w:cs="Times New Roman"/>
          <w:b/>
          <w:bCs/>
        </w:rPr>
        <w:t>3.5.1 Effects on Chlorophyll content</w:t>
      </w:r>
    </w:p>
    <w:p w14:paraId="3CDDCE65" w14:textId="77777777" w:rsidR="00F15FD7" w:rsidRDefault="00563E74">
      <w:pPr>
        <w:tabs>
          <w:tab w:val="left" w:pos="2880"/>
        </w:tabs>
        <w:spacing w:line="276" w:lineRule="auto"/>
        <w:jc w:val="both"/>
        <w:rPr>
          <w:rFonts w:ascii="Times New Roman" w:hAnsi="Times New Roman" w:cs="Times New Roman"/>
        </w:rPr>
      </w:pPr>
      <w:r>
        <w:rPr>
          <w:rFonts w:ascii="Times New Roman" w:hAnsi="Times New Roman" w:cs="Times New Roman"/>
        </w:rPr>
        <w:t xml:space="preserve">The figure 1 below shows that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increased total chlorophyll content in pepper leaves, with the highest values observed under their combination (B+T) at 60–100% FC, around 73 mg g⁻¹ FW. Lower water regimes (40% FC) had reduced chlorophyll, while higher water availability enhanced chlorop</w:t>
      </w:r>
      <w:r>
        <w:rPr>
          <w:rFonts w:ascii="Times New Roman" w:hAnsi="Times New Roman" w:cs="Times New Roman"/>
        </w:rPr>
        <w:t>hyll accumulation. Overall, the results indicate that B+T treatments improve leaf chlorophyll, especially under adequate or moderate watering.</w:t>
      </w:r>
    </w:p>
    <w:p w14:paraId="2443D574" w14:textId="77777777" w:rsidR="00F15FD7" w:rsidRDefault="00563E74">
      <w:pPr>
        <w:tabs>
          <w:tab w:val="left" w:pos="2880"/>
        </w:tabs>
        <w:spacing w:line="276" w:lineRule="auto"/>
        <w:jc w:val="both"/>
        <w:rPr>
          <w:rFonts w:ascii="Times New Roman" w:hAnsi="Times New Roman" w:cs="Times New Roman"/>
          <w:b/>
          <w:bCs/>
        </w:rPr>
      </w:pPr>
      <w:r>
        <w:rPr>
          <w:rFonts w:ascii="Times New Roman" w:hAnsi="Times New Roman" w:cs="Times New Roman"/>
          <w:b/>
          <w:bCs/>
        </w:rPr>
        <w:t>3.5.2. Effects on Proximate compositions</w:t>
      </w:r>
    </w:p>
    <w:p w14:paraId="59609808" w14:textId="77777777" w:rsidR="00F15FD7" w:rsidRDefault="00563E74">
      <w:pPr>
        <w:tabs>
          <w:tab w:val="left" w:pos="2880"/>
        </w:tabs>
        <w:spacing w:line="276" w:lineRule="auto"/>
        <w:jc w:val="both"/>
        <w:rPr>
          <w:rFonts w:ascii="Times New Roman" w:hAnsi="Times New Roman" w:cs="Times New Roman"/>
        </w:rPr>
      </w:pPr>
      <w:r>
        <w:rPr>
          <w:rFonts w:ascii="Times New Roman" w:hAnsi="Times New Roman" w:cs="Times New Roman"/>
        </w:rPr>
        <w:t xml:space="preserve">The co-application of biochar (B) and Trichoderma </w:t>
      </w:r>
      <w:proofErr w:type="spellStart"/>
      <w:r>
        <w:rPr>
          <w:rFonts w:ascii="Times New Roman" w:hAnsi="Times New Roman" w:cs="Times New Roman"/>
        </w:rPr>
        <w:t>harzianum</w:t>
      </w:r>
      <w:proofErr w:type="spellEnd"/>
      <w:r>
        <w:rPr>
          <w:rFonts w:ascii="Times New Roman" w:hAnsi="Times New Roman" w:cs="Times New Roman"/>
        </w:rPr>
        <w:t xml:space="preserve"> (T) under va</w:t>
      </w:r>
      <w:r>
        <w:rPr>
          <w:rFonts w:ascii="Times New Roman" w:hAnsi="Times New Roman" w:cs="Times New Roman"/>
        </w:rPr>
        <w:t xml:space="preserve">ried soil moisture regimes affected the proximate composition of pepper fruits. Moisture content (7.11–7.16%) and total soluble solids (~92.85–92.89%) were largely unchanged. Biochar, particularly at 100% FC, increased ash (5.88%), crude </w:t>
      </w:r>
      <w:proofErr w:type="spellStart"/>
      <w:r>
        <w:rPr>
          <w:rFonts w:ascii="Times New Roman" w:hAnsi="Times New Roman" w:cs="Times New Roman"/>
        </w:rPr>
        <w:lastRenderedPageBreak/>
        <w:t>fibre</w:t>
      </w:r>
      <w:proofErr w:type="spellEnd"/>
      <w:r>
        <w:rPr>
          <w:rFonts w:ascii="Times New Roman" w:hAnsi="Times New Roman" w:cs="Times New Roman"/>
        </w:rPr>
        <w:t xml:space="preserve"> (38.11%), an</w:t>
      </w:r>
      <w:r>
        <w:rPr>
          <w:rFonts w:ascii="Times New Roman" w:hAnsi="Times New Roman" w:cs="Times New Roman"/>
        </w:rPr>
        <w:t>d protein (2.43%), while Trichoderma alone at 40% FC enhanced carbohydrates (65.44%) and vitamins (155.22 mg/100 g). Combined treatments (B+T) generally moderated these effects, with protein ranging from 1.52–1.59% and carbohydrates from 57.79–61.02%. Over</w:t>
      </w:r>
      <w:r>
        <w:rPr>
          <w:rFonts w:ascii="Times New Roman" w:hAnsi="Times New Roman" w:cs="Times New Roman"/>
        </w:rPr>
        <w:t>all, biochar improved mineral and protein content, whereas Trichoderma favored carbohydrate and vitamin accumulation.</w:t>
      </w:r>
    </w:p>
    <w:p w14:paraId="69B56364" w14:textId="77777777" w:rsidR="00F15FD7" w:rsidRDefault="00F15FD7">
      <w:pPr>
        <w:spacing w:line="276" w:lineRule="auto"/>
        <w:rPr>
          <w:rFonts w:ascii="Times New Roman" w:hAnsi="Times New Roman" w:cs="Times New Roman"/>
        </w:rPr>
      </w:pPr>
    </w:p>
    <w:p w14:paraId="6EB2D029" w14:textId="77777777" w:rsidR="00F15FD7" w:rsidRDefault="00563E74">
      <w:pPr>
        <w:spacing w:line="276" w:lineRule="auto"/>
        <w:rPr>
          <w:rFonts w:ascii="Times New Roman" w:hAnsi="Times New Roman" w:cs="Times New Roman"/>
        </w:rPr>
      </w:pPr>
      <w:r>
        <w:rPr>
          <w:rFonts w:ascii="Times New Roman" w:hAnsi="Times New Roman" w:cs="Times New Roman"/>
          <w:noProof/>
        </w:rPr>
        <w:drawing>
          <wp:inline distT="0" distB="0" distL="0" distR="0" wp14:anchorId="2B9D8EF4" wp14:editId="5681E9DA">
            <wp:extent cx="6251575" cy="5156200"/>
            <wp:effectExtent l="0" t="0" r="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E8B71E" w14:textId="77777777" w:rsidR="00F15FD7" w:rsidRDefault="00563E74">
      <w:pPr>
        <w:tabs>
          <w:tab w:val="left" w:pos="9000"/>
        </w:tabs>
        <w:spacing w:line="276" w:lineRule="auto"/>
        <w:jc w:val="both"/>
        <w:rPr>
          <w:rFonts w:ascii="Times New Roman" w:hAnsi="Times New Roman" w:cs="Times New Roman"/>
        </w:rPr>
      </w:pPr>
      <w:r>
        <w:rPr>
          <w:rFonts w:ascii="Times New Roman" w:hAnsi="Times New Roman" w:cs="Times New Roman"/>
          <w:b/>
        </w:rPr>
        <w:t>Figure 1:</w:t>
      </w:r>
      <w:r>
        <w:rPr>
          <w:rFonts w:ascii="Times New Roman" w:hAnsi="Times New Roman" w:cs="Times New Roman"/>
        </w:rPr>
        <w:t xml:space="preserve"> Effects of application of Biochar and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i/>
        </w:rPr>
        <w:t xml:space="preserve"> </w:t>
      </w:r>
      <w:r>
        <w:rPr>
          <w:rFonts w:ascii="Times New Roman" w:hAnsi="Times New Roman" w:cs="Times New Roman"/>
        </w:rPr>
        <w:t>on the total chlorophyll content (</w:t>
      </w:r>
      <w:r>
        <w:rPr>
          <w:rFonts w:ascii="Times New Roman" w:hAnsi="Times New Roman" w:cs="Times New Roman"/>
          <w:bCs/>
        </w:rPr>
        <w:t>mg g⁻¹ FW</w:t>
      </w:r>
      <w:r>
        <w:rPr>
          <w:rFonts w:ascii="Times New Roman" w:hAnsi="Times New Roman" w:cs="Times New Roman"/>
          <w:b/>
          <w:bCs/>
        </w:rPr>
        <w:t>)</w:t>
      </w:r>
      <w:r>
        <w:rPr>
          <w:rFonts w:ascii="Times New Roman" w:hAnsi="Times New Roman" w:cs="Times New Roman"/>
        </w:rPr>
        <w:t xml:space="preserve"> of pepper subjected to varied watering regimes.</w:t>
      </w:r>
    </w:p>
    <w:p w14:paraId="66C5EE69" w14:textId="77777777" w:rsidR="00F15FD7" w:rsidRDefault="00563E74">
      <w:pPr>
        <w:tabs>
          <w:tab w:val="left" w:pos="9000"/>
        </w:tabs>
        <w:spacing w:line="276" w:lineRule="auto"/>
        <w:jc w:val="both"/>
        <w:rPr>
          <w:rFonts w:ascii="Times New Roman" w:hAnsi="Times New Roman" w:cs="Times New Roman"/>
          <w:b/>
          <w:bCs/>
        </w:rPr>
      </w:pPr>
      <w:r>
        <w:rPr>
          <w:rFonts w:ascii="Times New Roman" w:hAnsi="Times New Roman" w:cs="Times New Roman"/>
          <w:b/>
          <w:bCs/>
        </w:rPr>
        <w:t>3.5.3 Effects on mineral compositions</w:t>
      </w:r>
    </w:p>
    <w:p w14:paraId="52581D4B" w14:textId="77777777" w:rsidR="00F15FD7" w:rsidRDefault="00563E74">
      <w:pPr>
        <w:spacing w:line="276" w:lineRule="auto"/>
        <w:rPr>
          <w:rFonts w:ascii="Times New Roman" w:hAnsi="Times New Roman" w:cs="Times New Roman"/>
        </w:rPr>
      </w:pPr>
      <w:r>
        <w:rPr>
          <w:rFonts w:ascii="Times New Roman" w:hAnsi="Times New Roman" w:cs="Times New Roman"/>
        </w:rPr>
        <w:t xml:space="preserve">The co-application of biochar (B) and Trichoderma </w:t>
      </w:r>
      <w:proofErr w:type="spellStart"/>
      <w:r>
        <w:rPr>
          <w:rFonts w:ascii="Times New Roman" w:hAnsi="Times New Roman" w:cs="Times New Roman"/>
        </w:rPr>
        <w:t>harzianum</w:t>
      </w:r>
      <w:proofErr w:type="spellEnd"/>
      <w:r>
        <w:rPr>
          <w:rFonts w:ascii="Times New Roman" w:hAnsi="Times New Roman" w:cs="Times New Roman"/>
        </w:rPr>
        <w:t xml:space="preserve"> (T) under varied moisture regimes significantly influenced mineral composition in pepper fruits. Biochar at 1</w:t>
      </w:r>
      <w:r>
        <w:rPr>
          <w:rFonts w:ascii="Times New Roman" w:hAnsi="Times New Roman" w:cs="Times New Roman"/>
        </w:rPr>
        <w:t>00% FC and B+T+100% FC recorded the highest mineral levels: Na (0.64 mg/100 g), Ca (15.64 mg/100 g), Mg (39.87 mg/100 g), Cl (0.41 mg/100 g), N (0.39 mg/100 g), P (21.24 mg/100 g), and K (224.19 mg/100 g). Trichoderma alone under low moisture (T+40% FC) ha</w:t>
      </w:r>
      <w:r>
        <w:rPr>
          <w:rFonts w:ascii="Times New Roman" w:hAnsi="Times New Roman" w:cs="Times New Roman"/>
        </w:rPr>
        <w:t xml:space="preserve">d the lowest mineral contents, e.g., Na (0.24 mg/100 g) and K (176.12 mg/100 g). Overall, biochar enhanced mineral accumulation, and combining it with Trichoderma at high moisture produced the highest nutritional gains. </w:t>
      </w:r>
    </w:p>
    <w:p w14:paraId="19689659" w14:textId="77777777" w:rsidR="00F15FD7" w:rsidRDefault="00563E74">
      <w:pPr>
        <w:spacing w:line="276" w:lineRule="auto"/>
        <w:rPr>
          <w:rFonts w:ascii="Times New Roman" w:hAnsi="Times New Roman" w:cs="Times New Roman"/>
          <w:b/>
          <w:bCs/>
        </w:rPr>
      </w:pPr>
      <w:r>
        <w:rPr>
          <w:rFonts w:ascii="Times New Roman" w:hAnsi="Times New Roman" w:cs="Times New Roman"/>
          <w:b/>
          <w:bCs/>
        </w:rPr>
        <w:t>3.6 Effects of amendments on the me</w:t>
      </w:r>
      <w:r>
        <w:rPr>
          <w:rFonts w:ascii="Times New Roman" w:hAnsi="Times New Roman" w:cs="Times New Roman"/>
          <w:b/>
          <w:bCs/>
        </w:rPr>
        <w:t>tabolites and antioxidant enzymes of pepper under differential watering</w:t>
      </w:r>
    </w:p>
    <w:p w14:paraId="5C5C8E7A" w14:textId="77777777" w:rsidR="00F15FD7" w:rsidRDefault="00563E74">
      <w:pPr>
        <w:tabs>
          <w:tab w:val="left" w:pos="2880"/>
        </w:tabs>
        <w:spacing w:after="0" w:line="360" w:lineRule="auto"/>
        <w:ind w:right="-244"/>
        <w:jc w:val="both"/>
        <w:rPr>
          <w:rFonts w:ascii="Times New Roman" w:hAnsi="Times New Roman" w:cs="Times New Roman"/>
          <w:iCs/>
        </w:rPr>
      </w:pPr>
      <w:r>
        <w:rPr>
          <w:rFonts w:ascii="Times New Roman" w:hAnsi="Times New Roman" w:cs="Times New Roman"/>
          <w:iCs/>
        </w:rPr>
        <w:lastRenderedPageBreak/>
        <w:t>Watering at 40% FC strongly increased stress metabolites and antioxidant enzyme activities in pepper fruits, with proline reaching 60 µmol g⁻¹, total phenolics 820 mg GAE/100 g DW, SOD</w:t>
      </w:r>
      <w:r>
        <w:rPr>
          <w:rFonts w:ascii="Times New Roman" w:hAnsi="Times New Roman" w:cs="Times New Roman"/>
          <w:iCs/>
        </w:rPr>
        <w:t xml:space="preserve"> 150 U mg⁻¹, CAT 60 U mg⁻¹, POD 90 U mg⁻¹, and APX 70 U mg⁻¹. Biochar and Trichoderma, alone or combined, mitigated these stress responses, reducing proline to 28–45 µmol g⁻¹ and moderating enzyme activities under moderate stress. Under optimal moisture (1</w:t>
      </w:r>
      <w:r>
        <w:rPr>
          <w:rFonts w:ascii="Times New Roman" w:hAnsi="Times New Roman" w:cs="Times New Roman"/>
          <w:iCs/>
        </w:rPr>
        <w:t>00% FC), stress metabolites and antioxidant activities were lowest (proline 6–10 µmol g⁻¹, SOD 68–75 U mg⁻¹), indicating minimal oxidative stress. Overall, biochar and Trichoderma alleviated oxidative stress in pepper under water deficit.</w:t>
      </w:r>
    </w:p>
    <w:p w14:paraId="65D2B65C" w14:textId="77777777" w:rsidR="00F15FD7" w:rsidRDefault="00F15FD7">
      <w:pPr>
        <w:tabs>
          <w:tab w:val="left" w:pos="9000"/>
        </w:tabs>
        <w:spacing w:line="360" w:lineRule="auto"/>
        <w:jc w:val="both"/>
        <w:rPr>
          <w:rFonts w:ascii="Times New Roman" w:hAnsi="Times New Roman" w:cs="Times New Roman"/>
        </w:rPr>
        <w:sectPr w:rsidR="00F15FD7">
          <w:headerReference w:type="even" r:id="rId11"/>
          <w:headerReference w:type="default" r:id="rId12"/>
          <w:footerReference w:type="even" r:id="rId13"/>
          <w:footerReference w:type="default" r:id="rId14"/>
          <w:headerReference w:type="first" r:id="rId15"/>
          <w:footerReference w:type="first" r:id="rId16"/>
          <w:pgSz w:w="11906" w:h="16838"/>
          <w:pgMar w:top="1077" w:right="1106" w:bottom="1077" w:left="1440" w:header="720" w:footer="720" w:gutter="0"/>
          <w:pgNumType w:start="1"/>
          <w:cols w:space="720"/>
          <w:docGrid w:linePitch="360"/>
        </w:sectPr>
      </w:pPr>
    </w:p>
    <w:p w14:paraId="5FAAD1AB" w14:textId="77777777" w:rsidR="00F15FD7" w:rsidRDefault="00563E74">
      <w:pPr>
        <w:tabs>
          <w:tab w:val="left" w:pos="2880"/>
        </w:tabs>
        <w:spacing w:after="0" w:line="276" w:lineRule="auto"/>
        <w:ind w:right="-244"/>
        <w:rPr>
          <w:rFonts w:ascii="Times New Roman" w:hAnsi="Times New Roman" w:cs="Times New Roman"/>
          <w:b/>
        </w:rPr>
      </w:pPr>
      <w:bookmarkStart w:id="4" w:name="_Toc208786460"/>
      <w:r>
        <w:rPr>
          <w:rFonts w:ascii="Times New Roman" w:hAnsi="Times New Roman" w:cs="Times New Roman"/>
          <w:b/>
        </w:rPr>
        <w:lastRenderedPageBreak/>
        <w:t xml:space="preserve">Table 5. </w:t>
      </w:r>
      <w:r>
        <w:rPr>
          <w:rFonts w:ascii="Times New Roman" w:hAnsi="Times New Roman" w:cs="Times New Roman"/>
        </w:rPr>
        <w:t xml:space="preserve"> Effect of co-application of biochar and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i/>
        </w:rPr>
        <w:t xml:space="preserve"> </w:t>
      </w:r>
      <w:r>
        <w:rPr>
          <w:rFonts w:ascii="Times New Roman" w:hAnsi="Times New Roman" w:cs="Times New Roman"/>
        </w:rPr>
        <w:t>on the proximate compositions of pepper subjected to varied moisture content</w:t>
      </w:r>
      <w:bookmarkEnd w:id="4"/>
    </w:p>
    <w:p w14:paraId="373A7CB1" w14:textId="77777777" w:rsidR="00F15FD7" w:rsidRDefault="00F15FD7">
      <w:pPr>
        <w:tabs>
          <w:tab w:val="left" w:pos="2880"/>
        </w:tabs>
        <w:spacing w:after="0" w:line="276" w:lineRule="auto"/>
        <w:ind w:right="-244"/>
        <w:rPr>
          <w:rFonts w:ascii="Times New Roman" w:hAnsi="Times New Roman" w:cs="Times New Roman"/>
        </w:rPr>
      </w:pPr>
    </w:p>
    <w:tbl>
      <w:tblPr>
        <w:tblStyle w:val="ListTable6Colorful1"/>
        <w:tblW w:w="13997" w:type="dxa"/>
        <w:tblLook w:val="04A0" w:firstRow="1" w:lastRow="0" w:firstColumn="1" w:lastColumn="0" w:noHBand="0" w:noVBand="1"/>
      </w:tblPr>
      <w:tblGrid>
        <w:gridCol w:w="1800"/>
        <w:gridCol w:w="1759"/>
        <w:gridCol w:w="1327"/>
        <w:gridCol w:w="1190"/>
        <w:gridCol w:w="1327"/>
        <w:gridCol w:w="1308"/>
        <w:gridCol w:w="1923"/>
        <w:gridCol w:w="1696"/>
        <w:gridCol w:w="1667"/>
      </w:tblGrid>
      <w:tr w:rsidR="00F15FD7" w14:paraId="39DB750B" w14:textId="77777777" w:rsidTr="00F15FD7">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800" w:type="dxa"/>
            <w:noWrap/>
          </w:tcPr>
          <w:p w14:paraId="59CE5789" w14:textId="77777777" w:rsidR="00F15FD7" w:rsidRDefault="00563E74">
            <w:pPr>
              <w:spacing w:after="0" w:line="276" w:lineRule="auto"/>
              <w:rPr>
                <w:rFonts w:ascii="Times New Roman" w:hAnsi="Times New Roman" w:cs="Times New Roman"/>
              </w:rPr>
            </w:pPr>
            <w:r>
              <w:rPr>
                <w:rFonts w:ascii="Times New Roman" w:hAnsi="Times New Roman" w:cs="Times New Roman"/>
              </w:rPr>
              <w:t>Treatment</w:t>
            </w:r>
          </w:p>
        </w:tc>
        <w:tc>
          <w:tcPr>
            <w:tcW w:w="1759" w:type="dxa"/>
            <w:noWrap/>
            <w:vAlign w:val="center"/>
          </w:tcPr>
          <w:p w14:paraId="5C00F650"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Moisture content </w:t>
            </w:r>
          </w:p>
          <w:p w14:paraId="2BF64935"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327" w:type="dxa"/>
            <w:noWrap/>
            <w:vAlign w:val="center"/>
          </w:tcPr>
          <w:p w14:paraId="2263508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Ash content (%)</w:t>
            </w:r>
          </w:p>
        </w:tc>
        <w:tc>
          <w:tcPr>
            <w:tcW w:w="1190" w:type="dxa"/>
            <w:noWrap/>
            <w:vAlign w:val="center"/>
          </w:tcPr>
          <w:p w14:paraId="5715B99D"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Crude </w:t>
            </w:r>
            <w:proofErr w:type="spellStart"/>
            <w:r>
              <w:rPr>
                <w:rFonts w:ascii="Times New Roman" w:hAnsi="Times New Roman" w:cs="Times New Roman"/>
              </w:rPr>
              <w:t>fibre</w:t>
            </w:r>
            <w:proofErr w:type="spellEnd"/>
            <w:r>
              <w:rPr>
                <w:rFonts w:ascii="Times New Roman" w:hAnsi="Times New Roman" w:cs="Times New Roman"/>
              </w:rPr>
              <w:t xml:space="preserve"> (%)</w:t>
            </w:r>
          </w:p>
        </w:tc>
        <w:tc>
          <w:tcPr>
            <w:tcW w:w="1327" w:type="dxa"/>
            <w:noWrap/>
            <w:vAlign w:val="center"/>
          </w:tcPr>
          <w:p w14:paraId="777EA30F"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Fat content (%)</w:t>
            </w:r>
          </w:p>
        </w:tc>
        <w:tc>
          <w:tcPr>
            <w:tcW w:w="1308" w:type="dxa"/>
            <w:noWrap/>
            <w:vAlign w:val="center"/>
          </w:tcPr>
          <w:p w14:paraId="50426D49"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Crude protein (%)</w:t>
            </w:r>
          </w:p>
        </w:tc>
        <w:tc>
          <w:tcPr>
            <w:tcW w:w="1923" w:type="dxa"/>
            <w:noWrap/>
            <w:vAlign w:val="center"/>
          </w:tcPr>
          <w:p w14:paraId="1F6766A8"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Carbohydrate (%)</w:t>
            </w:r>
          </w:p>
        </w:tc>
        <w:tc>
          <w:tcPr>
            <w:tcW w:w="1696" w:type="dxa"/>
            <w:noWrap/>
            <w:vAlign w:val="center"/>
          </w:tcPr>
          <w:p w14:paraId="5CDA0C67"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Vitamin (mg/100g)</w:t>
            </w:r>
          </w:p>
        </w:tc>
        <w:tc>
          <w:tcPr>
            <w:tcW w:w="1667" w:type="dxa"/>
            <w:noWrap/>
            <w:vAlign w:val="center"/>
          </w:tcPr>
          <w:p w14:paraId="341AAF4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Total Soluble Solid </w:t>
            </w:r>
          </w:p>
          <w:p w14:paraId="7EC3D551"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r>
      <w:tr w:rsidR="00F15FD7" w14:paraId="174CFF13"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3326012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1759" w:type="dxa"/>
            <w:noWrap/>
            <w:vAlign w:val="center"/>
          </w:tcPr>
          <w:p w14:paraId="540662E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7.14</w:t>
            </w:r>
            <w:r>
              <w:rPr>
                <w:rFonts w:ascii="Times New Roman" w:hAnsi="Times New Roman" w:cs="Times New Roman"/>
                <w:vertAlign w:val="superscript"/>
              </w:rPr>
              <w:t>bcd</w:t>
            </w:r>
          </w:p>
        </w:tc>
        <w:tc>
          <w:tcPr>
            <w:tcW w:w="1327" w:type="dxa"/>
            <w:noWrap/>
            <w:vAlign w:val="center"/>
          </w:tcPr>
          <w:p w14:paraId="140CDA7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4.02</w:t>
            </w:r>
            <w:r>
              <w:rPr>
                <w:rFonts w:ascii="Times New Roman" w:hAnsi="Times New Roman" w:cs="Times New Roman"/>
                <w:vertAlign w:val="superscript"/>
              </w:rPr>
              <w:t>d</w:t>
            </w:r>
          </w:p>
        </w:tc>
        <w:tc>
          <w:tcPr>
            <w:tcW w:w="1190" w:type="dxa"/>
            <w:noWrap/>
            <w:vAlign w:val="center"/>
          </w:tcPr>
          <w:p w14:paraId="4C25B09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25.57</w:t>
            </w:r>
            <w:r>
              <w:rPr>
                <w:rFonts w:ascii="Times New Roman" w:hAnsi="Times New Roman" w:cs="Times New Roman"/>
                <w:vertAlign w:val="superscript"/>
              </w:rPr>
              <w:t>d</w:t>
            </w:r>
          </w:p>
        </w:tc>
        <w:tc>
          <w:tcPr>
            <w:tcW w:w="1327" w:type="dxa"/>
            <w:noWrap/>
            <w:vAlign w:val="center"/>
          </w:tcPr>
          <w:p w14:paraId="5CF474E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w:t>
            </w:r>
            <w:r>
              <w:rPr>
                <w:rFonts w:ascii="Times New Roman" w:hAnsi="Times New Roman" w:cs="Times New Roman"/>
                <w:vertAlign w:val="superscript"/>
              </w:rPr>
              <w:t>c</w:t>
            </w:r>
          </w:p>
        </w:tc>
        <w:tc>
          <w:tcPr>
            <w:tcW w:w="1308" w:type="dxa"/>
            <w:noWrap/>
            <w:vAlign w:val="center"/>
          </w:tcPr>
          <w:p w14:paraId="2934EEC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1.78</w:t>
            </w:r>
            <w:r>
              <w:rPr>
                <w:rFonts w:ascii="Times New Roman" w:hAnsi="Times New Roman" w:cs="Times New Roman"/>
                <w:vertAlign w:val="superscript"/>
              </w:rPr>
              <w:t>d</w:t>
            </w:r>
          </w:p>
        </w:tc>
        <w:tc>
          <w:tcPr>
            <w:tcW w:w="1923" w:type="dxa"/>
            <w:noWrap/>
            <w:vAlign w:val="center"/>
          </w:tcPr>
          <w:p w14:paraId="6EB7FDC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61.09</w:t>
            </w:r>
            <w:r>
              <w:rPr>
                <w:rFonts w:ascii="Times New Roman" w:hAnsi="Times New Roman" w:cs="Times New Roman"/>
                <w:vertAlign w:val="superscript"/>
              </w:rPr>
              <w:t>h</w:t>
            </w:r>
          </w:p>
        </w:tc>
        <w:tc>
          <w:tcPr>
            <w:tcW w:w="1696" w:type="dxa"/>
            <w:noWrap/>
            <w:vAlign w:val="center"/>
          </w:tcPr>
          <w:p w14:paraId="238EFCA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102.76</w:t>
            </w:r>
            <w:r>
              <w:rPr>
                <w:rFonts w:ascii="Times New Roman" w:hAnsi="Times New Roman" w:cs="Times New Roman"/>
                <w:vertAlign w:val="superscript"/>
              </w:rPr>
              <w:t>d</w:t>
            </w:r>
          </w:p>
        </w:tc>
        <w:tc>
          <w:tcPr>
            <w:tcW w:w="1667" w:type="dxa"/>
            <w:noWrap/>
            <w:vAlign w:val="center"/>
          </w:tcPr>
          <w:p w14:paraId="3F7F723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01F703A0"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7FE228A2"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759" w:type="dxa"/>
            <w:noWrap/>
            <w:vAlign w:val="center"/>
          </w:tcPr>
          <w:p w14:paraId="223DB9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7.16</w:t>
            </w:r>
            <w:r>
              <w:rPr>
                <w:rFonts w:ascii="Times New Roman" w:hAnsi="Times New Roman" w:cs="Times New Roman"/>
                <w:vertAlign w:val="superscript"/>
              </w:rPr>
              <w:t>d</w:t>
            </w:r>
          </w:p>
        </w:tc>
        <w:tc>
          <w:tcPr>
            <w:tcW w:w="1327" w:type="dxa"/>
            <w:noWrap/>
            <w:vAlign w:val="center"/>
          </w:tcPr>
          <w:p w14:paraId="350422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4.17</w:t>
            </w:r>
            <w:r>
              <w:rPr>
                <w:rFonts w:ascii="Times New Roman" w:hAnsi="Times New Roman" w:cs="Times New Roman"/>
                <w:vertAlign w:val="superscript"/>
              </w:rPr>
              <w:t>e</w:t>
            </w:r>
          </w:p>
        </w:tc>
        <w:tc>
          <w:tcPr>
            <w:tcW w:w="1190" w:type="dxa"/>
            <w:noWrap/>
            <w:vAlign w:val="center"/>
          </w:tcPr>
          <w:p w14:paraId="7ABABE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29.20</w:t>
            </w:r>
            <w:r>
              <w:rPr>
                <w:rFonts w:ascii="Times New Roman" w:hAnsi="Times New Roman" w:cs="Times New Roman"/>
                <w:vertAlign w:val="superscript"/>
              </w:rPr>
              <w:t>g</w:t>
            </w:r>
          </w:p>
        </w:tc>
        <w:tc>
          <w:tcPr>
            <w:tcW w:w="1327" w:type="dxa"/>
            <w:noWrap/>
            <w:vAlign w:val="center"/>
          </w:tcPr>
          <w:p w14:paraId="69214CA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r>
              <w:rPr>
                <w:rFonts w:ascii="Times New Roman" w:hAnsi="Times New Roman" w:cs="Times New Roman"/>
                <w:vertAlign w:val="superscript"/>
              </w:rPr>
              <w:t>c</w:t>
            </w:r>
          </w:p>
        </w:tc>
        <w:tc>
          <w:tcPr>
            <w:tcW w:w="1308" w:type="dxa"/>
            <w:noWrap/>
            <w:vAlign w:val="center"/>
          </w:tcPr>
          <w:p w14:paraId="3D87884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1.84</w:t>
            </w:r>
            <w:r>
              <w:rPr>
                <w:rFonts w:ascii="Times New Roman" w:hAnsi="Times New Roman" w:cs="Times New Roman"/>
                <w:vertAlign w:val="superscript"/>
              </w:rPr>
              <w:t>e</w:t>
            </w:r>
          </w:p>
        </w:tc>
        <w:tc>
          <w:tcPr>
            <w:tcW w:w="1923" w:type="dxa"/>
            <w:noWrap/>
            <w:vAlign w:val="center"/>
          </w:tcPr>
          <w:p w14:paraId="1384CAB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61.39</w:t>
            </w:r>
            <w:r>
              <w:rPr>
                <w:rFonts w:ascii="Times New Roman" w:hAnsi="Times New Roman" w:cs="Times New Roman"/>
                <w:vertAlign w:val="superscript"/>
              </w:rPr>
              <w:t>i</w:t>
            </w:r>
          </w:p>
        </w:tc>
        <w:tc>
          <w:tcPr>
            <w:tcW w:w="1696" w:type="dxa"/>
            <w:noWrap/>
            <w:vAlign w:val="center"/>
          </w:tcPr>
          <w:p w14:paraId="68609E2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132.73</w:t>
            </w:r>
            <w:r>
              <w:rPr>
                <w:rFonts w:ascii="Times New Roman" w:hAnsi="Times New Roman" w:cs="Times New Roman"/>
                <w:vertAlign w:val="superscript"/>
              </w:rPr>
              <w:t>f</w:t>
            </w:r>
          </w:p>
        </w:tc>
        <w:tc>
          <w:tcPr>
            <w:tcW w:w="1667" w:type="dxa"/>
            <w:noWrap/>
            <w:vAlign w:val="center"/>
          </w:tcPr>
          <w:p w14:paraId="5DA0EED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92.84</w:t>
            </w:r>
            <w:r>
              <w:rPr>
                <w:rFonts w:ascii="Times New Roman" w:hAnsi="Times New Roman" w:cs="Times New Roman"/>
                <w:vertAlign w:val="superscript"/>
              </w:rPr>
              <w:t>a</w:t>
            </w:r>
          </w:p>
        </w:tc>
      </w:tr>
      <w:tr w:rsidR="00F15FD7" w14:paraId="6E7921A3"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7C52C4F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759" w:type="dxa"/>
            <w:noWrap/>
            <w:vAlign w:val="center"/>
          </w:tcPr>
          <w:p w14:paraId="0E5B78F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w:t>
            </w:r>
          </w:p>
        </w:tc>
        <w:tc>
          <w:tcPr>
            <w:tcW w:w="1327" w:type="dxa"/>
            <w:noWrap/>
            <w:vAlign w:val="center"/>
          </w:tcPr>
          <w:p w14:paraId="663CC4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4.33</w:t>
            </w:r>
            <w:r>
              <w:rPr>
                <w:rFonts w:ascii="Times New Roman" w:hAnsi="Times New Roman" w:cs="Times New Roman"/>
                <w:vertAlign w:val="superscript"/>
              </w:rPr>
              <w:t>f</w:t>
            </w:r>
          </w:p>
        </w:tc>
        <w:tc>
          <w:tcPr>
            <w:tcW w:w="1190" w:type="dxa"/>
            <w:noWrap/>
            <w:vAlign w:val="center"/>
          </w:tcPr>
          <w:p w14:paraId="44416BE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32.41j</w:t>
            </w:r>
          </w:p>
        </w:tc>
        <w:tc>
          <w:tcPr>
            <w:tcW w:w="1327" w:type="dxa"/>
            <w:noWrap/>
            <w:vAlign w:val="center"/>
          </w:tcPr>
          <w:p w14:paraId="1CD5F7B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c</w:t>
            </w:r>
          </w:p>
        </w:tc>
        <w:tc>
          <w:tcPr>
            <w:tcW w:w="1308" w:type="dxa"/>
            <w:noWrap/>
            <w:vAlign w:val="center"/>
          </w:tcPr>
          <w:p w14:paraId="578C8C5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w:t>
            </w:r>
            <w:r>
              <w:rPr>
                <w:rFonts w:ascii="Times New Roman" w:hAnsi="Times New Roman" w:cs="Times New Roman"/>
                <w:vertAlign w:val="superscript"/>
              </w:rPr>
              <w:t>f</w:t>
            </w:r>
          </w:p>
        </w:tc>
        <w:tc>
          <w:tcPr>
            <w:tcW w:w="1923" w:type="dxa"/>
            <w:noWrap/>
            <w:vAlign w:val="center"/>
          </w:tcPr>
          <w:p w14:paraId="45F1625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53.81</w:t>
            </w:r>
            <w:r>
              <w:rPr>
                <w:rFonts w:ascii="Times New Roman" w:hAnsi="Times New Roman" w:cs="Times New Roman"/>
                <w:vertAlign w:val="superscript"/>
              </w:rPr>
              <w:t>c</w:t>
            </w:r>
          </w:p>
        </w:tc>
        <w:tc>
          <w:tcPr>
            <w:tcW w:w="1696" w:type="dxa"/>
            <w:noWrap/>
            <w:vAlign w:val="center"/>
          </w:tcPr>
          <w:p w14:paraId="585670E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155.22</w:t>
            </w:r>
            <w:r>
              <w:rPr>
                <w:rFonts w:ascii="Times New Roman" w:hAnsi="Times New Roman" w:cs="Times New Roman"/>
                <w:vertAlign w:val="superscript"/>
              </w:rPr>
              <w:t>g</w:t>
            </w:r>
          </w:p>
        </w:tc>
        <w:tc>
          <w:tcPr>
            <w:tcW w:w="1667" w:type="dxa"/>
            <w:noWrap/>
            <w:vAlign w:val="center"/>
          </w:tcPr>
          <w:p w14:paraId="073745B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0037592F"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380C6CF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759" w:type="dxa"/>
            <w:noWrap/>
            <w:vAlign w:val="center"/>
          </w:tcPr>
          <w:p w14:paraId="4FBD183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bc</w:t>
            </w:r>
          </w:p>
        </w:tc>
        <w:tc>
          <w:tcPr>
            <w:tcW w:w="1327" w:type="dxa"/>
            <w:noWrap/>
            <w:vAlign w:val="center"/>
          </w:tcPr>
          <w:p w14:paraId="24570A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4.61</w:t>
            </w:r>
            <w:r>
              <w:rPr>
                <w:rFonts w:ascii="Times New Roman" w:hAnsi="Times New Roman" w:cs="Times New Roman"/>
                <w:vertAlign w:val="superscript"/>
              </w:rPr>
              <w:t>g</w:t>
            </w:r>
          </w:p>
        </w:tc>
        <w:tc>
          <w:tcPr>
            <w:tcW w:w="1190" w:type="dxa"/>
            <w:noWrap/>
            <w:vAlign w:val="center"/>
          </w:tcPr>
          <w:p w14:paraId="3A28F87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38.13</w:t>
            </w:r>
          </w:p>
        </w:tc>
        <w:tc>
          <w:tcPr>
            <w:tcW w:w="1327" w:type="dxa"/>
            <w:noWrap/>
            <w:vAlign w:val="center"/>
          </w:tcPr>
          <w:p w14:paraId="50D127C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c</w:t>
            </w:r>
          </w:p>
        </w:tc>
        <w:tc>
          <w:tcPr>
            <w:tcW w:w="1308" w:type="dxa"/>
            <w:noWrap/>
            <w:vAlign w:val="center"/>
          </w:tcPr>
          <w:p w14:paraId="02F0C84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w:t>
            </w:r>
            <w:r>
              <w:rPr>
                <w:rFonts w:ascii="Times New Roman" w:hAnsi="Times New Roman" w:cs="Times New Roman"/>
                <w:vertAlign w:val="superscript"/>
              </w:rPr>
              <w:t>g</w:t>
            </w:r>
          </w:p>
        </w:tc>
        <w:tc>
          <w:tcPr>
            <w:tcW w:w="1923" w:type="dxa"/>
            <w:noWrap/>
            <w:vAlign w:val="center"/>
          </w:tcPr>
          <w:p w14:paraId="6A3F24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47.73</w:t>
            </w:r>
            <w:r>
              <w:rPr>
                <w:rFonts w:ascii="Times New Roman" w:hAnsi="Times New Roman" w:cs="Times New Roman"/>
                <w:vertAlign w:val="superscript"/>
              </w:rPr>
              <w:t>b</w:t>
            </w:r>
          </w:p>
        </w:tc>
        <w:tc>
          <w:tcPr>
            <w:tcW w:w="1696" w:type="dxa"/>
            <w:noWrap/>
            <w:vAlign w:val="center"/>
          </w:tcPr>
          <w:p w14:paraId="1375A4B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162.05</w:t>
            </w:r>
            <w:r>
              <w:rPr>
                <w:rFonts w:ascii="Times New Roman" w:hAnsi="Times New Roman" w:cs="Times New Roman"/>
                <w:vertAlign w:val="superscript"/>
              </w:rPr>
              <w:t>hi</w:t>
            </w:r>
          </w:p>
        </w:tc>
        <w:tc>
          <w:tcPr>
            <w:tcW w:w="1667" w:type="dxa"/>
            <w:noWrap/>
            <w:vAlign w:val="center"/>
          </w:tcPr>
          <w:p w14:paraId="233D42C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411C54C9"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66651CD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759" w:type="dxa"/>
            <w:noWrap/>
            <w:vAlign w:val="center"/>
          </w:tcPr>
          <w:p w14:paraId="501049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7.12</w:t>
            </w:r>
            <w:r>
              <w:rPr>
                <w:rFonts w:ascii="Times New Roman" w:hAnsi="Times New Roman" w:cs="Times New Roman"/>
                <w:vertAlign w:val="superscript"/>
              </w:rPr>
              <w:t>ab</w:t>
            </w:r>
          </w:p>
        </w:tc>
        <w:tc>
          <w:tcPr>
            <w:tcW w:w="1327" w:type="dxa"/>
            <w:noWrap/>
            <w:vAlign w:val="center"/>
          </w:tcPr>
          <w:p w14:paraId="1BEE586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5.36</w:t>
            </w:r>
            <w:r>
              <w:rPr>
                <w:rFonts w:ascii="Times New Roman" w:hAnsi="Times New Roman" w:cs="Times New Roman"/>
                <w:vertAlign w:val="superscript"/>
              </w:rPr>
              <w:t>h</w:t>
            </w:r>
          </w:p>
        </w:tc>
        <w:tc>
          <w:tcPr>
            <w:tcW w:w="1190" w:type="dxa"/>
            <w:noWrap/>
            <w:vAlign w:val="center"/>
          </w:tcPr>
          <w:p w14:paraId="21C285A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28.71</w:t>
            </w:r>
            <w:r>
              <w:rPr>
                <w:rFonts w:ascii="Times New Roman" w:hAnsi="Times New Roman" w:cs="Times New Roman"/>
                <w:vertAlign w:val="superscript"/>
              </w:rPr>
              <w:t>f</w:t>
            </w:r>
          </w:p>
        </w:tc>
        <w:tc>
          <w:tcPr>
            <w:tcW w:w="1327" w:type="dxa"/>
            <w:noWrap/>
            <w:vAlign w:val="center"/>
          </w:tcPr>
          <w:p w14:paraId="3E8EBC9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r>
              <w:rPr>
                <w:rFonts w:ascii="Times New Roman" w:hAnsi="Times New Roman" w:cs="Times New Roman"/>
                <w:vertAlign w:val="superscript"/>
              </w:rPr>
              <w:t>c</w:t>
            </w:r>
          </w:p>
        </w:tc>
        <w:tc>
          <w:tcPr>
            <w:tcW w:w="1308" w:type="dxa"/>
            <w:noWrap/>
            <w:vAlign w:val="center"/>
          </w:tcPr>
          <w:p w14:paraId="04E529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1.98</w:t>
            </w:r>
            <w:r>
              <w:rPr>
                <w:rFonts w:ascii="Times New Roman" w:hAnsi="Times New Roman" w:cs="Times New Roman"/>
                <w:vertAlign w:val="superscript"/>
              </w:rPr>
              <w:t>g</w:t>
            </w:r>
          </w:p>
        </w:tc>
        <w:tc>
          <w:tcPr>
            <w:tcW w:w="1923" w:type="dxa"/>
            <w:noWrap/>
            <w:vAlign w:val="center"/>
          </w:tcPr>
          <w:p w14:paraId="66841B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56.42</w:t>
            </w:r>
            <w:r>
              <w:rPr>
                <w:rFonts w:ascii="Times New Roman" w:hAnsi="Times New Roman" w:cs="Times New Roman"/>
                <w:vertAlign w:val="superscript"/>
              </w:rPr>
              <w:t>e</w:t>
            </w:r>
          </w:p>
        </w:tc>
        <w:tc>
          <w:tcPr>
            <w:tcW w:w="1696" w:type="dxa"/>
            <w:noWrap/>
            <w:vAlign w:val="center"/>
          </w:tcPr>
          <w:p w14:paraId="750D3B7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97.11</w:t>
            </w:r>
            <w:r>
              <w:rPr>
                <w:rFonts w:ascii="Times New Roman" w:hAnsi="Times New Roman" w:cs="Times New Roman"/>
                <w:vertAlign w:val="superscript"/>
              </w:rPr>
              <w:t>cd</w:t>
            </w:r>
          </w:p>
        </w:tc>
        <w:tc>
          <w:tcPr>
            <w:tcW w:w="1667" w:type="dxa"/>
            <w:noWrap/>
            <w:vAlign w:val="center"/>
          </w:tcPr>
          <w:p w14:paraId="17AF74B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92.88</w:t>
            </w:r>
            <w:r>
              <w:rPr>
                <w:rFonts w:ascii="Times New Roman" w:hAnsi="Times New Roman" w:cs="Times New Roman"/>
                <w:vertAlign w:val="superscript"/>
              </w:rPr>
              <w:t>a</w:t>
            </w:r>
          </w:p>
        </w:tc>
      </w:tr>
      <w:tr w:rsidR="00F15FD7" w14:paraId="586F9AA4"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76ED7C7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759" w:type="dxa"/>
            <w:noWrap/>
            <w:vAlign w:val="center"/>
          </w:tcPr>
          <w:p w14:paraId="0FCD76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7.11</w:t>
            </w:r>
            <w:r>
              <w:rPr>
                <w:rFonts w:ascii="Times New Roman" w:hAnsi="Times New Roman" w:cs="Times New Roman"/>
                <w:vertAlign w:val="superscript"/>
              </w:rPr>
              <w:t>a</w:t>
            </w:r>
          </w:p>
        </w:tc>
        <w:tc>
          <w:tcPr>
            <w:tcW w:w="1327" w:type="dxa"/>
            <w:noWrap/>
            <w:vAlign w:val="center"/>
          </w:tcPr>
          <w:p w14:paraId="583DF03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5.46</w:t>
            </w:r>
            <w:r>
              <w:rPr>
                <w:rFonts w:ascii="Times New Roman" w:hAnsi="Times New Roman" w:cs="Times New Roman"/>
                <w:vertAlign w:val="superscript"/>
              </w:rPr>
              <w:t>i</w:t>
            </w:r>
          </w:p>
        </w:tc>
        <w:tc>
          <w:tcPr>
            <w:tcW w:w="1190" w:type="dxa"/>
            <w:noWrap/>
            <w:vAlign w:val="center"/>
          </w:tcPr>
          <w:p w14:paraId="5B35DA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30.17</w:t>
            </w:r>
            <w:r>
              <w:rPr>
                <w:rFonts w:ascii="Times New Roman" w:hAnsi="Times New Roman" w:cs="Times New Roman"/>
                <w:vertAlign w:val="superscript"/>
              </w:rPr>
              <w:t>i</w:t>
            </w:r>
          </w:p>
        </w:tc>
        <w:tc>
          <w:tcPr>
            <w:tcW w:w="1327" w:type="dxa"/>
            <w:noWrap/>
            <w:vAlign w:val="center"/>
          </w:tcPr>
          <w:p w14:paraId="3C15F75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b</w:t>
            </w:r>
          </w:p>
        </w:tc>
        <w:tc>
          <w:tcPr>
            <w:tcW w:w="1308" w:type="dxa"/>
            <w:noWrap/>
            <w:vAlign w:val="center"/>
          </w:tcPr>
          <w:p w14:paraId="31BF1E5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2.06</w:t>
            </w:r>
            <w:r>
              <w:rPr>
                <w:rFonts w:ascii="Times New Roman" w:hAnsi="Times New Roman" w:cs="Times New Roman"/>
                <w:vertAlign w:val="superscript"/>
              </w:rPr>
              <w:t>h</w:t>
            </w:r>
          </w:p>
        </w:tc>
        <w:tc>
          <w:tcPr>
            <w:tcW w:w="1923" w:type="dxa"/>
            <w:noWrap/>
            <w:vAlign w:val="center"/>
          </w:tcPr>
          <w:p w14:paraId="0BFC105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54.81</w:t>
            </w:r>
            <w:r>
              <w:rPr>
                <w:rFonts w:ascii="Times New Roman" w:hAnsi="Times New Roman" w:cs="Times New Roman"/>
                <w:vertAlign w:val="superscript"/>
              </w:rPr>
              <w:t>d</w:t>
            </w:r>
          </w:p>
        </w:tc>
        <w:tc>
          <w:tcPr>
            <w:tcW w:w="1696" w:type="dxa"/>
            <w:noWrap/>
            <w:vAlign w:val="center"/>
          </w:tcPr>
          <w:p w14:paraId="600B31B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125.27</w:t>
            </w:r>
            <w:r>
              <w:rPr>
                <w:rFonts w:ascii="Times New Roman" w:hAnsi="Times New Roman" w:cs="Times New Roman"/>
                <w:vertAlign w:val="superscript"/>
              </w:rPr>
              <w:t>e</w:t>
            </w:r>
          </w:p>
        </w:tc>
        <w:tc>
          <w:tcPr>
            <w:tcW w:w="1667" w:type="dxa"/>
            <w:noWrap/>
            <w:vAlign w:val="center"/>
          </w:tcPr>
          <w:p w14:paraId="28802D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92.89</w:t>
            </w:r>
            <w:r>
              <w:rPr>
                <w:rFonts w:ascii="Times New Roman" w:hAnsi="Times New Roman" w:cs="Times New Roman"/>
                <w:vertAlign w:val="superscript"/>
              </w:rPr>
              <w:t>a</w:t>
            </w:r>
          </w:p>
        </w:tc>
      </w:tr>
      <w:tr w:rsidR="00F15FD7" w14:paraId="42BFBCF0"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4C8C7DD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759" w:type="dxa"/>
            <w:noWrap/>
            <w:vAlign w:val="center"/>
          </w:tcPr>
          <w:p w14:paraId="44C469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7.15</w:t>
            </w:r>
            <w:r>
              <w:rPr>
                <w:rFonts w:ascii="Times New Roman" w:hAnsi="Times New Roman" w:cs="Times New Roman"/>
                <w:vertAlign w:val="superscript"/>
              </w:rPr>
              <w:t>bcd</w:t>
            </w:r>
          </w:p>
        </w:tc>
        <w:tc>
          <w:tcPr>
            <w:tcW w:w="1327" w:type="dxa"/>
            <w:noWrap/>
            <w:vAlign w:val="center"/>
          </w:tcPr>
          <w:p w14:paraId="3DFE667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5.52j</w:t>
            </w:r>
          </w:p>
        </w:tc>
        <w:tc>
          <w:tcPr>
            <w:tcW w:w="1190" w:type="dxa"/>
            <w:noWrap/>
            <w:vAlign w:val="center"/>
          </w:tcPr>
          <w:p w14:paraId="63AEE3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34.22k</w:t>
            </w:r>
          </w:p>
        </w:tc>
        <w:tc>
          <w:tcPr>
            <w:tcW w:w="1327" w:type="dxa"/>
            <w:noWrap/>
            <w:vAlign w:val="center"/>
          </w:tcPr>
          <w:p w14:paraId="4747D1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w:t>
            </w:r>
            <w:r>
              <w:rPr>
                <w:rFonts w:ascii="Times New Roman" w:hAnsi="Times New Roman" w:cs="Times New Roman"/>
                <w:vertAlign w:val="superscript"/>
              </w:rPr>
              <w:t>c</w:t>
            </w:r>
          </w:p>
        </w:tc>
        <w:tc>
          <w:tcPr>
            <w:tcW w:w="1308" w:type="dxa"/>
            <w:noWrap/>
            <w:vAlign w:val="center"/>
          </w:tcPr>
          <w:p w14:paraId="294AFB1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2.23</w:t>
            </w:r>
            <w:r>
              <w:rPr>
                <w:rFonts w:ascii="Times New Roman" w:hAnsi="Times New Roman" w:cs="Times New Roman"/>
                <w:vertAlign w:val="superscript"/>
              </w:rPr>
              <w:t>i</w:t>
            </w:r>
          </w:p>
        </w:tc>
        <w:tc>
          <w:tcPr>
            <w:tcW w:w="1923" w:type="dxa"/>
            <w:noWrap/>
            <w:vAlign w:val="center"/>
          </w:tcPr>
          <w:p w14:paraId="3C8F086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46.01</w:t>
            </w:r>
            <w:r>
              <w:rPr>
                <w:rFonts w:ascii="Times New Roman" w:hAnsi="Times New Roman" w:cs="Times New Roman"/>
                <w:vertAlign w:val="superscript"/>
              </w:rPr>
              <w:t>a</w:t>
            </w:r>
          </w:p>
        </w:tc>
        <w:tc>
          <w:tcPr>
            <w:tcW w:w="1696" w:type="dxa"/>
            <w:noWrap/>
            <w:vAlign w:val="center"/>
          </w:tcPr>
          <w:p w14:paraId="564244F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158.29</w:t>
            </w:r>
            <w:r>
              <w:rPr>
                <w:rFonts w:ascii="Times New Roman" w:hAnsi="Times New Roman" w:cs="Times New Roman"/>
                <w:vertAlign w:val="superscript"/>
              </w:rPr>
              <w:t>gh</w:t>
            </w:r>
          </w:p>
        </w:tc>
        <w:tc>
          <w:tcPr>
            <w:tcW w:w="1667" w:type="dxa"/>
            <w:noWrap/>
            <w:vAlign w:val="center"/>
          </w:tcPr>
          <w:p w14:paraId="475C80A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05797B10"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50C0273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759" w:type="dxa"/>
            <w:noWrap/>
            <w:vAlign w:val="center"/>
          </w:tcPr>
          <w:p w14:paraId="76AD55A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abcd</w:t>
            </w:r>
          </w:p>
        </w:tc>
        <w:tc>
          <w:tcPr>
            <w:tcW w:w="1327" w:type="dxa"/>
            <w:noWrap/>
            <w:vAlign w:val="center"/>
          </w:tcPr>
          <w:p w14:paraId="72BAC37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5.88k</w:t>
            </w:r>
          </w:p>
        </w:tc>
        <w:tc>
          <w:tcPr>
            <w:tcW w:w="1190" w:type="dxa"/>
            <w:noWrap/>
            <w:vAlign w:val="center"/>
          </w:tcPr>
          <w:p w14:paraId="01EAE06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38.11</w:t>
            </w:r>
          </w:p>
        </w:tc>
        <w:tc>
          <w:tcPr>
            <w:tcW w:w="1327" w:type="dxa"/>
            <w:noWrap/>
            <w:vAlign w:val="center"/>
          </w:tcPr>
          <w:p w14:paraId="2AAF1C8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0.44</w:t>
            </w:r>
            <w:r>
              <w:rPr>
                <w:rFonts w:ascii="Times New Roman" w:hAnsi="Times New Roman" w:cs="Times New Roman"/>
                <w:vertAlign w:val="superscript"/>
              </w:rPr>
              <w:t>c</w:t>
            </w:r>
          </w:p>
        </w:tc>
        <w:tc>
          <w:tcPr>
            <w:tcW w:w="1308" w:type="dxa"/>
            <w:noWrap/>
            <w:vAlign w:val="center"/>
          </w:tcPr>
          <w:p w14:paraId="1AE6CD8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2.43j</w:t>
            </w:r>
          </w:p>
        </w:tc>
        <w:tc>
          <w:tcPr>
            <w:tcW w:w="1923" w:type="dxa"/>
            <w:noWrap/>
            <w:vAlign w:val="center"/>
          </w:tcPr>
          <w:p w14:paraId="236774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46.02</w:t>
            </w:r>
            <w:r>
              <w:rPr>
                <w:rFonts w:ascii="Times New Roman" w:hAnsi="Times New Roman" w:cs="Times New Roman"/>
                <w:vertAlign w:val="superscript"/>
              </w:rPr>
              <w:t>a</w:t>
            </w:r>
          </w:p>
        </w:tc>
        <w:tc>
          <w:tcPr>
            <w:tcW w:w="1696" w:type="dxa"/>
            <w:noWrap/>
            <w:vAlign w:val="center"/>
          </w:tcPr>
          <w:p w14:paraId="52DB356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165.58</w:t>
            </w:r>
            <w:r>
              <w:rPr>
                <w:rFonts w:ascii="Times New Roman" w:hAnsi="Times New Roman" w:cs="Times New Roman"/>
                <w:vertAlign w:val="superscript"/>
              </w:rPr>
              <w:t>i</w:t>
            </w:r>
          </w:p>
        </w:tc>
        <w:tc>
          <w:tcPr>
            <w:tcW w:w="1667" w:type="dxa"/>
            <w:noWrap/>
            <w:vAlign w:val="center"/>
          </w:tcPr>
          <w:p w14:paraId="3E9C19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216B9898"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2072D3E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759" w:type="dxa"/>
            <w:noWrap/>
            <w:vAlign w:val="center"/>
          </w:tcPr>
          <w:p w14:paraId="70381C8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7.14</w:t>
            </w:r>
            <w:r>
              <w:rPr>
                <w:rFonts w:ascii="Times New Roman" w:hAnsi="Times New Roman" w:cs="Times New Roman"/>
                <w:vertAlign w:val="superscript"/>
              </w:rPr>
              <w:t>abcd</w:t>
            </w:r>
          </w:p>
        </w:tc>
        <w:tc>
          <w:tcPr>
            <w:tcW w:w="1327" w:type="dxa"/>
            <w:noWrap/>
            <w:vAlign w:val="center"/>
          </w:tcPr>
          <w:p w14:paraId="33AA8E0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3.67</w:t>
            </w:r>
            <w:r>
              <w:rPr>
                <w:rFonts w:ascii="Times New Roman" w:hAnsi="Times New Roman" w:cs="Times New Roman"/>
                <w:vertAlign w:val="superscript"/>
              </w:rPr>
              <w:t>a</w:t>
            </w:r>
          </w:p>
        </w:tc>
        <w:tc>
          <w:tcPr>
            <w:tcW w:w="1190" w:type="dxa"/>
            <w:noWrap/>
            <w:vAlign w:val="center"/>
          </w:tcPr>
          <w:p w14:paraId="3117847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22.05</w:t>
            </w:r>
            <w:r>
              <w:rPr>
                <w:rFonts w:ascii="Times New Roman" w:hAnsi="Times New Roman" w:cs="Times New Roman"/>
                <w:vertAlign w:val="superscript"/>
              </w:rPr>
              <w:t>a</w:t>
            </w:r>
          </w:p>
        </w:tc>
        <w:tc>
          <w:tcPr>
            <w:tcW w:w="1327" w:type="dxa"/>
            <w:noWrap/>
            <w:vAlign w:val="center"/>
          </w:tcPr>
          <w:p w14:paraId="6E41FF4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0.26</w:t>
            </w:r>
            <w:r>
              <w:rPr>
                <w:rFonts w:ascii="Times New Roman" w:hAnsi="Times New Roman" w:cs="Times New Roman"/>
                <w:vertAlign w:val="superscript"/>
              </w:rPr>
              <w:t>a</w:t>
            </w:r>
          </w:p>
        </w:tc>
        <w:tc>
          <w:tcPr>
            <w:tcW w:w="1308" w:type="dxa"/>
            <w:noWrap/>
            <w:vAlign w:val="center"/>
          </w:tcPr>
          <w:p w14:paraId="74EC3C0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1.46</w:t>
            </w:r>
            <w:r>
              <w:rPr>
                <w:rFonts w:ascii="Times New Roman" w:hAnsi="Times New Roman" w:cs="Times New Roman"/>
                <w:vertAlign w:val="superscript"/>
              </w:rPr>
              <w:t>a</w:t>
            </w:r>
          </w:p>
        </w:tc>
        <w:tc>
          <w:tcPr>
            <w:tcW w:w="1923" w:type="dxa"/>
            <w:noWrap/>
            <w:vAlign w:val="center"/>
          </w:tcPr>
          <w:p w14:paraId="25C70F7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65.44</w:t>
            </w:r>
          </w:p>
        </w:tc>
        <w:tc>
          <w:tcPr>
            <w:tcW w:w="1696" w:type="dxa"/>
            <w:noWrap/>
            <w:vAlign w:val="center"/>
          </w:tcPr>
          <w:p w14:paraId="60AA048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86.60</w:t>
            </w:r>
            <w:r>
              <w:rPr>
                <w:rFonts w:ascii="Times New Roman" w:hAnsi="Times New Roman" w:cs="Times New Roman"/>
                <w:vertAlign w:val="superscript"/>
              </w:rPr>
              <w:t>a</w:t>
            </w:r>
          </w:p>
        </w:tc>
        <w:tc>
          <w:tcPr>
            <w:tcW w:w="1667" w:type="dxa"/>
            <w:noWrap/>
            <w:vAlign w:val="center"/>
          </w:tcPr>
          <w:p w14:paraId="757B976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2A2D2957"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37C9BACA"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759" w:type="dxa"/>
            <w:noWrap/>
            <w:vAlign w:val="center"/>
          </w:tcPr>
          <w:p w14:paraId="510F9A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7.15</w:t>
            </w:r>
            <w:r>
              <w:rPr>
                <w:rFonts w:ascii="Times New Roman" w:hAnsi="Times New Roman" w:cs="Times New Roman"/>
                <w:vertAlign w:val="superscript"/>
              </w:rPr>
              <w:t>cd</w:t>
            </w:r>
          </w:p>
        </w:tc>
        <w:tc>
          <w:tcPr>
            <w:tcW w:w="1327" w:type="dxa"/>
            <w:noWrap/>
            <w:vAlign w:val="center"/>
          </w:tcPr>
          <w:p w14:paraId="5EA1F0D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3.84</w:t>
            </w:r>
            <w:r>
              <w:rPr>
                <w:rFonts w:ascii="Times New Roman" w:hAnsi="Times New Roman" w:cs="Times New Roman"/>
                <w:vertAlign w:val="superscript"/>
              </w:rPr>
              <w:t>b</w:t>
            </w:r>
          </w:p>
        </w:tc>
        <w:tc>
          <w:tcPr>
            <w:tcW w:w="1190" w:type="dxa"/>
            <w:noWrap/>
            <w:vAlign w:val="center"/>
          </w:tcPr>
          <w:p w14:paraId="05A09EF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24.18</w:t>
            </w:r>
            <w:r>
              <w:rPr>
                <w:rFonts w:ascii="Times New Roman" w:hAnsi="Times New Roman" w:cs="Times New Roman"/>
                <w:vertAlign w:val="superscript"/>
              </w:rPr>
              <w:t>b</w:t>
            </w:r>
          </w:p>
        </w:tc>
        <w:tc>
          <w:tcPr>
            <w:tcW w:w="1327" w:type="dxa"/>
            <w:noWrap/>
            <w:vAlign w:val="center"/>
          </w:tcPr>
          <w:p w14:paraId="7DFFAB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w:t>
            </w:r>
          </w:p>
        </w:tc>
        <w:tc>
          <w:tcPr>
            <w:tcW w:w="1308" w:type="dxa"/>
            <w:noWrap/>
            <w:vAlign w:val="center"/>
          </w:tcPr>
          <w:p w14:paraId="547155B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1.48</w:t>
            </w:r>
            <w:r>
              <w:rPr>
                <w:rFonts w:ascii="Times New Roman" w:hAnsi="Times New Roman" w:cs="Times New Roman"/>
                <w:vertAlign w:val="superscript"/>
              </w:rPr>
              <w:t>a</w:t>
            </w:r>
          </w:p>
        </w:tc>
        <w:tc>
          <w:tcPr>
            <w:tcW w:w="1923" w:type="dxa"/>
            <w:noWrap/>
            <w:vAlign w:val="center"/>
          </w:tcPr>
          <w:p w14:paraId="1AF12C7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63.08k</w:t>
            </w:r>
          </w:p>
        </w:tc>
        <w:tc>
          <w:tcPr>
            <w:tcW w:w="1696" w:type="dxa"/>
            <w:noWrap/>
            <w:vAlign w:val="center"/>
          </w:tcPr>
          <w:p w14:paraId="3143777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91.08</w:t>
            </w:r>
            <w:r>
              <w:rPr>
                <w:rFonts w:ascii="Times New Roman" w:hAnsi="Times New Roman" w:cs="Times New Roman"/>
                <w:vertAlign w:val="superscript"/>
              </w:rPr>
              <w:t>abc</w:t>
            </w:r>
          </w:p>
        </w:tc>
        <w:tc>
          <w:tcPr>
            <w:tcW w:w="1667" w:type="dxa"/>
            <w:noWrap/>
            <w:vAlign w:val="center"/>
          </w:tcPr>
          <w:p w14:paraId="044A1C5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92.86</w:t>
            </w:r>
            <w:r>
              <w:rPr>
                <w:rFonts w:ascii="Times New Roman" w:hAnsi="Times New Roman" w:cs="Times New Roman"/>
                <w:vertAlign w:val="superscript"/>
              </w:rPr>
              <w:t>a</w:t>
            </w:r>
          </w:p>
        </w:tc>
      </w:tr>
      <w:tr w:rsidR="00F15FD7" w14:paraId="5188F41A"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2197C73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759" w:type="dxa"/>
            <w:noWrap/>
            <w:vAlign w:val="center"/>
          </w:tcPr>
          <w:p w14:paraId="56C3912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7.15</w:t>
            </w:r>
            <w:r>
              <w:rPr>
                <w:rFonts w:ascii="Times New Roman" w:hAnsi="Times New Roman" w:cs="Times New Roman"/>
                <w:vertAlign w:val="superscript"/>
              </w:rPr>
              <w:t>bcd</w:t>
            </w:r>
          </w:p>
        </w:tc>
        <w:tc>
          <w:tcPr>
            <w:tcW w:w="1327" w:type="dxa"/>
            <w:noWrap/>
            <w:vAlign w:val="center"/>
          </w:tcPr>
          <w:p w14:paraId="27A47A2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3.91</w:t>
            </w:r>
            <w:r>
              <w:rPr>
                <w:rFonts w:ascii="Times New Roman" w:hAnsi="Times New Roman" w:cs="Times New Roman"/>
                <w:vertAlign w:val="superscript"/>
              </w:rPr>
              <w:t>c</w:t>
            </w:r>
          </w:p>
        </w:tc>
        <w:tc>
          <w:tcPr>
            <w:tcW w:w="1190" w:type="dxa"/>
            <w:noWrap/>
            <w:vAlign w:val="center"/>
          </w:tcPr>
          <w:p w14:paraId="6BEE329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25.22</w:t>
            </w:r>
            <w:r>
              <w:rPr>
                <w:rFonts w:ascii="Times New Roman" w:hAnsi="Times New Roman" w:cs="Times New Roman"/>
                <w:vertAlign w:val="superscript"/>
              </w:rPr>
              <w:t>c</w:t>
            </w:r>
          </w:p>
        </w:tc>
        <w:tc>
          <w:tcPr>
            <w:tcW w:w="1327" w:type="dxa"/>
            <w:noWrap/>
            <w:vAlign w:val="center"/>
          </w:tcPr>
          <w:p w14:paraId="2C175B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w:t>
            </w:r>
            <w:r>
              <w:rPr>
                <w:rFonts w:ascii="Times New Roman" w:hAnsi="Times New Roman" w:cs="Times New Roman"/>
                <w:vertAlign w:val="superscript"/>
              </w:rPr>
              <w:t>ab</w:t>
            </w:r>
          </w:p>
        </w:tc>
        <w:tc>
          <w:tcPr>
            <w:tcW w:w="1308" w:type="dxa"/>
            <w:noWrap/>
            <w:vAlign w:val="center"/>
          </w:tcPr>
          <w:p w14:paraId="172C10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1.57</w:t>
            </w:r>
            <w:r>
              <w:rPr>
                <w:rFonts w:ascii="Times New Roman" w:hAnsi="Times New Roman" w:cs="Times New Roman"/>
                <w:vertAlign w:val="superscript"/>
              </w:rPr>
              <w:t>c</w:t>
            </w:r>
          </w:p>
        </w:tc>
        <w:tc>
          <w:tcPr>
            <w:tcW w:w="1923" w:type="dxa"/>
            <w:noWrap/>
            <w:vAlign w:val="center"/>
          </w:tcPr>
          <w:p w14:paraId="107318C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61.91j</w:t>
            </w:r>
          </w:p>
        </w:tc>
        <w:tc>
          <w:tcPr>
            <w:tcW w:w="1696" w:type="dxa"/>
            <w:noWrap/>
            <w:vAlign w:val="center"/>
          </w:tcPr>
          <w:p w14:paraId="2A8A67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93.63</w:t>
            </w:r>
            <w:r>
              <w:rPr>
                <w:rFonts w:ascii="Times New Roman" w:hAnsi="Times New Roman" w:cs="Times New Roman"/>
                <w:vertAlign w:val="superscript"/>
              </w:rPr>
              <w:t>bc</w:t>
            </w:r>
          </w:p>
        </w:tc>
        <w:tc>
          <w:tcPr>
            <w:tcW w:w="1667" w:type="dxa"/>
            <w:noWrap/>
            <w:vAlign w:val="center"/>
          </w:tcPr>
          <w:p w14:paraId="1ABFF78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92.85</w:t>
            </w:r>
            <w:r>
              <w:rPr>
                <w:rFonts w:ascii="Times New Roman" w:hAnsi="Times New Roman" w:cs="Times New Roman"/>
                <w:vertAlign w:val="superscript"/>
              </w:rPr>
              <w:t>a</w:t>
            </w:r>
          </w:p>
        </w:tc>
      </w:tr>
      <w:tr w:rsidR="00F15FD7" w14:paraId="735CB738"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0E096A6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759" w:type="dxa"/>
            <w:noWrap/>
            <w:vAlign w:val="center"/>
          </w:tcPr>
          <w:p w14:paraId="1A43CCE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abcd</w:t>
            </w:r>
          </w:p>
        </w:tc>
        <w:tc>
          <w:tcPr>
            <w:tcW w:w="1327" w:type="dxa"/>
            <w:noWrap/>
            <w:vAlign w:val="center"/>
          </w:tcPr>
          <w:p w14:paraId="3618B1C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3.87</w:t>
            </w:r>
            <w:r>
              <w:rPr>
                <w:rFonts w:ascii="Times New Roman" w:hAnsi="Times New Roman" w:cs="Times New Roman"/>
                <w:vertAlign w:val="superscript"/>
              </w:rPr>
              <w:t>b</w:t>
            </w:r>
          </w:p>
        </w:tc>
        <w:tc>
          <w:tcPr>
            <w:tcW w:w="1190" w:type="dxa"/>
            <w:noWrap/>
            <w:vAlign w:val="center"/>
          </w:tcPr>
          <w:p w14:paraId="6C69F74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26.20</w:t>
            </w:r>
            <w:r>
              <w:rPr>
                <w:rFonts w:ascii="Times New Roman" w:hAnsi="Times New Roman" w:cs="Times New Roman"/>
                <w:vertAlign w:val="superscript"/>
              </w:rPr>
              <w:t>e</w:t>
            </w:r>
          </w:p>
        </w:tc>
        <w:tc>
          <w:tcPr>
            <w:tcW w:w="1327" w:type="dxa"/>
            <w:noWrap/>
            <w:vAlign w:val="center"/>
          </w:tcPr>
          <w:p w14:paraId="3840A85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w:t>
            </w:r>
            <w:r>
              <w:rPr>
                <w:rFonts w:ascii="Times New Roman" w:hAnsi="Times New Roman" w:cs="Times New Roman"/>
                <w:vertAlign w:val="superscript"/>
              </w:rPr>
              <w:t>ab</w:t>
            </w:r>
          </w:p>
        </w:tc>
        <w:tc>
          <w:tcPr>
            <w:tcW w:w="1308" w:type="dxa"/>
            <w:noWrap/>
            <w:vAlign w:val="center"/>
          </w:tcPr>
          <w:p w14:paraId="23874F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1.52</w:t>
            </w:r>
            <w:r>
              <w:rPr>
                <w:rFonts w:ascii="Times New Roman" w:hAnsi="Times New Roman" w:cs="Times New Roman"/>
                <w:vertAlign w:val="superscript"/>
              </w:rPr>
              <w:t>b</w:t>
            </w:r>
          </w:p>
        </w:tc>
        <w:tc>
          <w:tcPr>
            <w:tcW w:w="1923" w:type="dxa"/>
            <w:noWrap/>
            <w:vAlign w:val="center"/>
          </w:tcPr>
          <w:p w14:paraId="190F18C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61.02</w:t>
            </w:r>
            <w:r>
              <w:rPr>
                <w:rFonts w:ascii="Times New Roman" w:hAnsi="Times New Roman" w:cs="Times New Roman"/>
                <w:vertAlign w:val="superscript"/>
              </w:rPr>
              <w:t>g</w:t>
            </w:r>
          </w:p>
        </w:tc>
        <w:tc>
          <w:tcPr>
            <w:tcW w:w="1696" w:type="dxa"/>
            <w:noWrap/>
            <w:vAlign w:val="center"/>
          </w:tcPr>
          <w:p w14:paraId="7336D8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89.16</w:t>
            </w:r>
            <w:r>
              <w:rPr>
                <w:rFonts w:ascii="Times New Roman" w:hAnsi="Times New Roman" w:cs="Times New Roman"/>
                <w:vertAlign w:val="superscript"/>
              </w:rPr>
              <w:t>ab</w:t>
            </w:r>
          </w:p>
        </w:tc>
        <w:tc>
          <w:tcPr>
            <w:tcW w:w="1667" w:type="dxa"/>
            <w:noWrap/>
            <w:vAlign w:val="center"/>
          </w:tcPr>
          <w:p w14:paraId="1A2AB48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r w:rsidR="00F15FD7" w14:paraId="7A90E672"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46EDDC2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 xml:space="preserve">B+T+60% </w:t>
            </w:r>
          </w:p>
          <w:p w14:paraId="2E247581"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FC</w:t>
            </w:r>
          </w:p>
        </w:tc>
        <w:tc>
          <w:tcPr>
            <w:tcW w:w="1759" w:type="dxa"/>
            <w:noWrap/>
            <w:vAlign w:val="center"/>
          </w:tcPr>
          <w:p w14:paraId="47BC907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7.12</w:t>
            </w:r>
            <w:r>
              <w:rPr>
                <w:rFonts w:ascii="Times New Roman" w:hAnsi="Times New Roman" w:cs="Times New Roman"/>
                <w:vertAlign w:val="superscript"/>
              </w:rPr>
              <w:t>ab</w:t>
            </w:r>
          </w:p>
        </w:tc>
        <w:tc>
          <w:tcPr>
            <w:tcW w:w="1327" w:type="dxa"/>
            <w:noWrap/>
            <w:vAlign w:val="center"/>
          </w:tcPr>
          <w:p w14:paraId="27FEB3F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3.91</w:t>
            </w:r>
            <w:r>
              <w:rPr>
                <w:rFonts w:ascii="Times New Roman" w:hAnsi="Times New Roman" w:cs="Times New Roman"/>
                <w:vertAlign w:val="superscript"/>
              </w:rPr>
              <w:t>c</w:t>
            </w:r>
          </w:p>
        </w:tc>
        <w:tc>
          <w:tcPr>
            <w:tcW w:w="1190" w:type="dxa"/>
            <w:noWrap/>
            <w:vAlign w:val="center"/>
          </w:tcPr>
          <w:p w14:paraId="714BE8C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29.29</w:t>
            </w:r>
            <w:r>
              <w:rPr>
                <w:rFonts w:ascii="Times New Roman" w:hAnsi="Times New Roman" w:cs="Times New Roman"/>
                <w:vertAlign w:val="superscript"/>
              </w:rPr>
              <w:t>h</w:t>
            </w:r>
          </w:p>
        </w:tc>
        <w:tc>
          <w:tcPr>
            <w:tcW w:w="1327" w:type="dxa"/>
            <w:noWrap/>
            <w:vAlign w:val="center"/>
          </w:tcPr>
          <w:p w14:paraId="082EA5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w:t>
            </w:r>
            <w:r>
              <w:rPr>
                <w:rFonts w:ascii="Times New Roman" w:hAnsi="Times New Roman" w:cs="Times New Roman"/>
                <w:vertAlign w:val="superscript"/>
              </w:rPr>
              <w:t>ab</w:t>
            </w:r>
          </w:p>
        </w:tc>
        <w:tc>
          <w:tcPr>
            <w:tcW w:w="1308" w:type="dxa"/>
            <w:noWrap/>
            <w:vAlign w:val="center"/>
          </w:tcPr>
          <w:p w14:paraId="00925B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1.59</w:t>
            </w:r>
            <w:r>
              <w:rPr>
                <w:rFonts w:ascii="Times New Roman" w:hAnsi="Times New Roman" w:cs="Times New Roman"/>
                <w:vertAlign w:val="superscript"/>
              </w:rPr>
              <w:t>c</w:t>
            </w:r>
          </w:p>
        </w:tc>
        <w:tc>
          <w:tcPr>
            <w:tcW w:w="1923" w:type="dxa"/>
            <w:noWrap/>
            <w:vAlign w:val="center"/>
          </w:tcPr>
          <w:p w14:paraId="09DAB28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57.79</w:t>
            </w:r>
            <w:r>
              <w:rPr>
                <w:rFonts w:ascii="Times New Roman" w:hAnsi="Times New Roman" w:cs="Times New Roman"/>
                <w:vertAlign w:val="superscript"/>
              </w:rPr>
              <w:t>f</w:t>
            </w:r>
          </w:p>
        </w:tc>
        <w:tc>
          <w:tcPr>
            <w:tcW w:w="1696" w:type="dxa"/>
            <w:noWrap/>
            <w:vAlign w:val="center"/>
          </w:tcPr>
          <w:p w14:paraId="25FFDA4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93.23</w:t>
            </w:r>
            <w:r>
              <w:rPr>
                <w:rFonts w:ascii="Times New Roman" w:hAnsi="Times New Roman" w:cs="Times New Roman"/>
                <w:vertAlign w:val="superscript"/>
              </w:rPr>
              <w:t>bc</w:t>
            </w:r>
          </w:p>
        </w:tc>
        <w:tc>
          <w:tcPr>
            <w:tcW w:w="1667" w:type="dxa"/>
            <w:noWrap/>
            <w:vAlign w:val="center"/>
          </w:tcPr>
          <w:p w14:paraId="6366D1F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92.88</w:t>
            </w:r>
            <w:r>
              <w:rPr>
                <w:rFonts w:ascii="Times New Roman" w:hAnsi="Times New Roman" w:cs="Times New Roman"/>
                <w:vertAlign w:val="superscript"/>
              </w:rPr>
              <w:t>a</w:t>
            </w:r>
          </w:p>
        </w:tc>
      </w:tr>
      <w:tr w:rsidR="00F15FD7" w14:paraId="4A2DD9C2" w14:textId="77777777" w:rsidTr="00F15FD7">
        <w:trPr>
          <w:trHeight w:val="504"/>
        </w:trPr>
        <w:tc>
          <w:tcPr>
            <w:cnfStyle w:val="001000000000" w:firstRow="0" w:lastRow="0" w:firstColumn="1" w:lastColumn="0" w:oddVBand="0" w:evenVBand="0" w:oddHBand="0" w:evenHBand="0" w:firstRowFirstColumn="0" w:firstRowLastColumn="0" w:lastRowFirstColumn="0" w:lastRowLastColumn="0"/>
            <w:tcW w:w="1800" w:type="dxa"/>
            <w:noWrap/>
            <w:vAlign w:val="center"/>
          </w:tcPr>
          <w:p w14:paraId="23E5AE7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759" w:type="dxa"/>
            <w:noWrap/>
            <w:vAlign w:val="center"/>
          </w:tcPr>
          <w:p w14:paraId="3D63835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7.13</w:t>
            </w:r>
            <w:r>
              <w:rPr>
                <w:rFonts w:ascii="Times New Roman" w:hAnsi="Times New Roman" w:cs="Times New Roman"/>
                <w:vertAlign w:val="superscript"/>
              </w:rPr>
              <w:t>abcd</w:t>
            </w:r>
          </w:p>
        </w:tc>
        <w:tc>
          <w:tcPr>
            <w:tcW w:w="1327" w:type="dxa"/>
            <w:noWrap/>
            <w:vAlign w:val="center"/>
          </w:tcPr>
          <w:p w14:paraId="2DB1A41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3.87</w:t>
            </w:r>
            <w:r>
              <w:rPr>
                <w:rFonts w:ascii="Times New Roman" w:hAnsi="Times New Roman" w:cs="Times New Roman"/>
                <w:vertAlign w:val="superscript"/>
              </w:rPr>
              <w:t>b</w:t>
            </w:r>
          </w:p>
        </w:tc>
        <w:tc>
          <w:tcPr>
            <w:tcW w:w="1190" w:type="dxa"/>
            <w:noWrap/>
            <w:vAlign w:val="center"/>
          </w:tcPr>
          <w:p w14:paraId="12F04B1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26.20</w:t>
            </w:r>
            <w:r>
              <w:rPr>
                <w:rFonts w:ascii="Times New Roman" w:hAnsi="Times New Roman" w:cs="Times New Roman"/>
                <w:vertAlign w:val="superscript"/>
              </w:rPr>
              <w:t>e</w:t>
            </w:r>
          </w:p>
        </w:tc>
        <w:tc>
          <w:tcPr>
            <w:tcW w:w="1327" w:type="dxa"/>
            <w:noWrap/>
            <w:vAlign w:val="center"/>
          </w:tcPr>
          <w:p w14:paraId="277D713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w:t>
            </w:r>
            <w:r>
              <w:rPr>
                <w:rFonts w:ascii="Times New Roman" w:hAnsi="Times New Roman" w:cs="Times New Roman"/>
                <w:vertAlign w:val="superscript"/>
              </w:rPr>
              <w:t>ab</w:t>
            </w:r>
          </w:p>
        </w:tc>
        <w:tc>
          <w:tcPr>
            <w:tcW w:w="1308" w:type="dxa"/>
            <w:noWrap/>
            <w:vAlign w:val="center"/>
          </w:tcPr>
          <w:p w14:paraId="126C5BB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1.52</w:t>
            </w:r>
            <w:r>
              <w:rPr>
                <w:rFonts w:ascii="Times New Roman" w:hAnsi="Times New Roman" w:cs="Times New Roman"/>
                <w:vertAlign w:val="superscript"/>
              </w:rPr>
              <w:t>b</w:t>
            </w:r>
          </w:p>
        </w:tc>
        <w:tc>
          <w:tcPr>
            <w:tcW w:w="1923" w:type="dxa"/>
            <w:noWrap/>
            <w:vAlign w:val="center"/>
          </w:tcPr>
          <w:p w14:paraId="6207391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61.02</w:t>
            </w:r>
            <w:r>
              <w:rPr>
                <w:rFonts w:ascii="Times New Roman" w:hAnsi="Times New Roman" w:cs="Times New Roman"/>
                <w:vertAlign w:val="superscript"/>
              </w:rPr>
              <w:t>g</w:t>
            </w:r>
          </w:p>
        </w:tc>
        <w:tc>
          <w:tcPr>
            <w:tcW w:w="1696" w:type="dxa"/>
            <w:noWrap/>
            <w:vAlign w:val="center"/>
          </w:tcPr>
          <w:p w14:paraId="4A254D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89.16</w:t>
            </w:r>
            <w:r>
              <w:rPr>
                <w:rFonts w:ascii="Times New Roman" w:hAnsi="Times New Roman" w:cs="Times New Roman"/>
                <w:vertAlign w:val="superscript"/>
              </w:rPr>
              <w:t>ab</w:t>
            </w:r>
          </w:p>
        </w:tc>
        <w:tc>
          <w:tcPr>
            <w:tcW w:w="1667" w:type="dxa"/>
            <w:noWrap/>
            <w:vAlign w:val="center"/>
          </w:tcPr>
          <w:p w14:paraId="1410237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92.87</w:t>
            </w:r>
            <w:r>
              <w:rPr>
                <w:rFonts w:ascii="Times New Roman" w:hAnsi="Times New Roman" w:cs="Times New Roman"/>
                <w:vertAlign w:val="superscript"/>
              </w:rPr>
              <w:t>a</w:t>
            </w:r>
          </w:p>
        </w:tc>
      </w:tr>
    </w:tbl>
    <w:p w14:paraId="5C07CA88" w14:textId="77777777" w:rsidR="00F15FD7" w:rsidRDefault="00563E74">
      <w:pPr>
        <w:tabs>
          <w:tab w:val="left" w:pos="2880"/>
        </w:tabs>
        <w:spacing w:after="0" w:line="276" w:lineRule="auto"/>
        <w:ind w:right="-244"/>
        <w:rPr>
          <w:rFonts w:ascii="Times New Roman" w:hAnsi="Times New Roman" w:cs="Times New Roman"/>
        </w:rPr>
        <w:sectPr w:rsidR="00F15FD7">
          <w:pgSz w:w="16838" w:h="11906" w:orient="landscape"/>
          <w:pgMar w:top="720" w:right="1440" w:bottom="810" w:left="1440" w:header="709" w:footer="709" w:gutter="0"/>
          <w:cols w:space="708"/>
          <w:docGrid w:linePitch="360"/>
        </w:sect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31F1A231"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b/>
        </w:rPr>
        <w:lastRenderedPageBreak/>
        <w:t xml:space="preserve">Table 6. </w:t>
      </w:r>
      <w:r>
        <w:rPr>
          <w:rFonts w:ascii="Times New Roman" w:hAnsi="Times New Roman" w:cs="Times New Roman"/>
        </w:rPr>
        <w:t xml:space="preserve">Effect of co-application of biochar and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rPr>
        <w:t xml:space="preserve"> on the m</w:t>
      </w:r>
      <w:r>
        <w:rPr>
          <w:rFonts w:ascii="Times New Roman" w:hAnsi="Times New Roman" w:cs="Times New Roman"/>
        </w:rPr>
        <w:t>ineral composition of pepper subjected to varied moisture content</w:t>
      </w:r>
    </w:p>
    <w:p w14:paraId="1DE80307" w14:textId="77777777" w:rsidR="00F15FD7" w:rsidRDefault="00F15FD7">
      <w:pPr>
        <w:tabs>
          <w:tab w:val="left" w:pos="2880"/>
        </w:tabs>
        <w:spacing w:after="0" w:line="276" w:lineRule="auto"/>
        <w:ind w:right="-244"/>
        <w:rPr>
          <w:rFonts w:ascii="Times New Roman" w:hAnsi="Times New Roman" w:cs="Times New Roman"/>
        </w:rPr>
      </w:pPr>
    </w:p>
    <w:tbl>
      <w:tblPr>
        <w:tblStyle w:val="ListTable6Colorful1"/>
        <w:tblW w:w="10857" w:type="dxa"/>
        <w:tblLook w:val="04A0" w:firstRow="1" w:lastRow="0" w:firstColumn="1" w:lastColumn="0" w:noHBand="0" w:noVBand="1"/>
      </w:tblPr>
      <w:tblGrid>
        <w:gridCol w:w="1575"/>
        <w:gridCol w:w="1117"/>
        <w:gridCol w:w="1432"/>
        <w:gridCol w:w="1461"/>
        <w:gridCol w:w="1376"/>
        <w:gridCol w:w="1303"/>
        <w:gridCol w:w="1275"/>
        <w:gridCol w:w="1318"/>
      </w:tblGrid>
      <w:tr w:rsidR="00F15FD7" w14:paraId="19ECAB6F" w14:textId="77777777" w:rsidTr="00F15FD7">
        <w:trPr>
          <w:cnfStyle w:val="100000000000" w:firstRow="1" w:lastRow="0" w:firstColumn="0" w:lastColumn="0" w:oddVBand="0" w:evenVBand="0" w:oddHBand="0"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1575" w:type="dxa"/>
            <w:noWrap/>
          </w:tcPr>
          <w:p w14:paraId="68C8D31F" w14:textId="77777777" w:rsidR="00F15FD7" w:rsidRDefault="00563E74">
            <w:pPr>
              <w:spacing w:after="0" w:line="276" w:lineRule="auto"/>
              <w:rPr>
                <w:rFonts w:ascii="Times New Roman" w:hAnsi="Times New Roman" w:cs="Times New Roman"/>
              </w:rPr>
            </w:pPr>
            <w:r>
              <w:rPr>
                <w:rFonts w:ascii="Times New Roman" w:hAnsi="Times New Roman" w:cs="Times New Roman"/>
              </w:rPr>
              <w:t>Treatment</w:t>
            </w:r>
          </w:p>
        </w:tc>
        <w:tc>
          <w:tcPr>
            <w:tcW w:w="1117" w:type="dxa"/>
            <w:noWrap/>
          </w:tcPr>
          <w:p w14:paraId="7B583336"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Na (mg/100 g)</w:t>
            </w:r>
          </w:p>
        </w:tc>
        <w:tc>
          <w:tcPr>
            <w:tcW w:w="1432" w:type="dxa"/>
            <w:noWrap/>
          </w:tcPr>
          <w:p w14:paraId="01B18E7D"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Ca</w:t>
            </w:r>
          </w:p>
          <w:p w14:paraId="13B40C3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461" w:type="dxa"/>
            <w:noWrap/>
          </w:tcPr>
          <w:p w14:paraId="7D45FD76"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w:t>
            </w:r>
          </w:p>
          <w:p w14:paraId="01199A65"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376" w:type="dxa"/>
            <w:noWrap/>
          </w:tcPr>
          <w:p w14:paraId="4E44D85A"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Cl</w:t>
            </w:r>
          </w:p>
          <w:p w14:paraId="422CCF5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303" w:type="dxa"/>
            <w:noWrap/>
          </w:tcPr>
          <w:p w14:paraId="4C1BD97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w:t>
            </w:r>
          </w:p>
          <w:p w14:paraId="63733473"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275" w:type="dxa"/>
            <w:noWrap/>
          </w:tcPr>
          <w:p w14:paraId="55B007C7"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w:t>
            </w:r>
          </w:p>
          <w:p w14:paraId="5D273BA0"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c>
          <w:tcPr>
            <w:tcW w:w="1318" w:type="dxa"/>
            <w:noWrap/>
          </w:tcPr>
          <w:p w14:paraId="45275D44"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K</w:t>
            </w:r>
          </w:p>
          <w:p w14:paraId="1231C203"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(mg/100 g)</w:t>
            </w:r>
          </w:p>
        </w:tc>
      </w:tr>
      <w:tr w:rsidR="00F15FD7" w14:paraId="09DEE752"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2779799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1117" w:type="dxa"/>
            <w:noWrap/>
            <w:vAlign w:val="center"/>
          </w:tcPr>
          <w:p w14:paraId="7A3AA5D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w:t>
            </w:r>
            <w:r>
              <w:rPr>
                <w:rFonts w:ascii="Times New Roman" w:hAnsi="Times New Roman" w:cs="Times New Roman"/>
                <w:vertAlign w:val="superscript"/>
              </w:rPr>
              <w:t>b</w:t>
            </w:r>
          </w:p>
        </w:tc>
        <w:tc>
          <w:tcPr>
            <w:tcW w:w="1432" w:type="dxa"/>
            <w:noWrap/>
            <w:vAlign w:val="center"/>
          </w:tcPr>
          <w:p w14:paraId="36FA13D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12.64</w:t>
            </w:r>
            <w:r>
              <w:rPr>
                <w:rFonts w:ascii="Times New Roman" w:hAnsi="Times New Roman" w:cs="Times New Roman"/>
                <w:vertAlign w:val="superscript"/>
              </w:rPr>
              <w:t>abc</w:t>
            </w:r>
          </w:p>
        </w:tc>
        <w:tc>
          <w:tcPr>
            <w:tcW w:w="1461" w:type="dxa"/>
            <w:noWrap/>
            <w:vAlign w:val="center"/>
          </w:tcPr>
          <w:p w14:paraId="32D7B8A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32.12</w:t>
            </w:r>
            <w:r>
              <w:rPr>
                <w:rFonts w:ascii="Times New Roman" w:hAnsi="Times New Roman" w:cs="Times New Roman"/>
                <w:vertAlign w:val="superscript"/>
              </w:rPr>
              <w:t>abc</w:t>
            </w:r>
          </w:p>
        </w:tc>
        <w:tc>
          <w:tcPr>
            <w:tcW w:w="1376" w:type="dxa"/>
            <w:noWrap/>
            <w:vAlign w:val="center"/>
          </w:tcPr>
          <w:p w14:paraId="18D3DC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303" w:type="dxa"/>
            <w:noWrap/>
            <w:vAlign w:val="center"/>
          </w:tcPr>
          <w:p w14:paraId="12C0C6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w:t>
            </w:r>
            <w:r>
              <w:rPr>
                <w:rFonts w:ascii="Times New Roman" w:hAnsi="Times New Roman" w:cs="Times New Roman"/>
                <w:vertAlign w:val="superscript"/>
              </w:rPr>
              <w:t>abc</w:t>
            </w:r>
          </w:p>
        </w:tc>
        <w:tc>
          <w:tcPr>
            <w:tcW w:w="1275" w:type="dxa"/>
            <w:noWrap/>
            <w:vAlign w:val="center"/>
          </w:tcPr>
          <w:p w14:paraId="08935A5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13.12</w:t>
            </w:r>
            <w:r>
              <w:rPr>
                <w:rFonts w:ascii="Times New Roman" w:hAnsi="Times New Roman" w:cs="Times New Roman"/>
                <w:vertAlign w:val="superscript"/>
              </w:rPr>
              <w:t>ab</w:t>
            </w:r>
          </w:p>
        </w:tc>
        <w:tc>
          <w:tcPr>
            <w:tcW w:w="1318" w:type="dxa"/>
            <w:noWrap/>
            <w:vAlign w:val="center"/>
          </w:tcPr>
          <w:p w14:paraId="17FE17A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189.12</w:t>
            </w:r>
            <w:r>
              <w:rPr>
                <w:rFonts w:ascii="Times New Roman" w:hAnsi="Times New Roman" w:cs="Times New Roman"/>
                <w:vertAlign w:val="superscript"/>
              </w:rPr>
              <w:t>ab</w:t>
            </w:r>
          </w:p>
        </w:tc>
      </w:tr>
      <w:tr w:rsidR="00F15FD7" w14:paraId="44CB1145"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475CF35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117" w:type="dxa"/>
            <w:noWrap/>
            <w:vAlign w:val="center"/>
          </w:tcPr>
          <w:p w14:paraId="53F0B73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bc</w:t>
            </w:r>
          </w:p>
        </w:tc>
        <w:tc>
          <w:tcPr>
            <w:tcW w:w="1432" w:type="dxa"/>
            <w:noWrap/>
            <w:vAlign w:val="center"/>
          </w:tcPr>
          <w:p w14:paraId="54B2561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12.98</w:t>
            </w:r>
            <w:r>
              <w:rPr>
                <w:rFonts w:ascii="Times New Roman" w:hAnsi="Times New Roman" w:cs="Times New Roman"/>
                <w:vertAlign w:val="superscript"/>
              </w:rPr>
              <w:t>abc</w:t>
            </w:r>
          </w:p>
        </w:tc>
        <w:tc>
          <w:tcPr>
            <w:tcW w:w="1461" w:type="dxa"/>
            <w:noWrap/>
            <w:vAlign w:val="center"/>
          </w:tcPr>
          <w:p w14:paraId="589D42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34.64</w:t>
            </w:r>
            <w:r>
              <w:rPr>
                <w:rFonts w:ascii="Times New Roman" w:hAnsi="Times New Roman" w:cs="Times New Roman"/>
                <w:vertAlign w:val="superscript"/>
              </w:rPr>
              <w:t>abc</w:t>
            </w:r>
          </w:p>
        </w:tc>
        <w:tc>
          <w:tcPr>
            <w:tcW w:w="1376" w:type="dxa"/>
            <w:noWrap/>
            <w:vAlign w:val="center"/>
          </w:tcPr>
          <w:p w14:paraId="241DCCD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w:t>
            </w:r>
            <w:r>
              <w:rPr>
                <w:rFonts w:ascii="Times New Roman" w:hAnsi="Times New Roman" w:cs="Times New Roman"/>
                <w:vertAlign w:val="superscript"/>
              </w:rPr>
              <w:t>bc</w:t>
            </w:r>
          </w:p>
        </w:tc>
        <w:tc>
          <w:tcPr>
            <w:tcW w:w="1303" w:type="dxa"/>
            <w:noWrap/>
            <w:vAlign w:val="center"/>
          </w:tcPr>
          <w:p w14:paraId="26479A1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abc</w:t>
            </w:r>
          </w:p>
        </w:tc>
        <w:tc>
          <w:tcPr>
            <w:tcW w:w="1275" w:type="dxa"/>
            <w:noWrap/>
            <w:vAlign w:val="center"/>
          </w:tcPr>
          <w:p w14:paraId="23F00DB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14.11</w:t>
            </w:r>
            <w:r>
              <w:rPr>
                <w:rFonts w:ascii="Times New Roman" w:hAnsi="Times New Roman" w:cs="Times New Roman"/>
                <w:vertAlign w:val="superscript"/>
              </w:rPr>
              <w:t>ab</w:t>
            </w:r>
          </w:p>
        </w:tc>
        <w:tc>
          <w:tcPr>
            <w:tcW w:w="1318" w:type="dxa"/>
            <w:noWrap/>
            <w:vAlign w:val="center"/>
          </w:tcPr>
          <w:p w14:paraId="4B4C2F9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194.02</w:t>
            </w:r>
            <w:r>
              <w:rPr>
                <w:rFonts w:ascii="Times New Roman" w:hAnsi="Times New Roman" w:cs="Times New Roman"/>
                <w:vertAlign w:val="superscript"/>
              </w:rPr>
              <w:t>ab</w:t>
            </w:r>
          </w:p>
        </w:tc>
      </w:tr>
      <w:tr w:rsidR="00F15FD7" w14:paraId="6C7C58B4"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3D62543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117" w:type="dxa"/>
            <w:noWrap/>
            <w:vAlign w:val="center"/>
          </w:tcPr>
          <w:p w14:paraId="00468FA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0.48</w:t>
            </w:r>
            <w:r>
              <w:rPr>
                <w:rFonts w:ascii="Times New Roman" w:hAnsi="Times New Roman" w:cs="Times New Roman"/>
                <w:vertAlign w:val="superscript"/>
              </w:rPr>
              <w:t>c</w:t>
            </w:r>
          </w:p>
        </w:tc>
        <w:tc>
          <w:tcPr>
            <w:tcW w:w="1432" w:type="dxa"/>
            <w:noWrap/>
            <w:vAlign w:val="center"/>
          </w:tcPr>
          <w:p w14:paraId="2E01342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13.04</w:t>
            </w:r>
            <w:r>
              <w:rPr>
                <w:rFonts w:ascii="Times New Roman" w:hAnsi="Times New Roman" w:cs="Times New Roman"/>
                <w:vertAlign w:val="superscript"/>
              </w:rPr>
              <w:t>bc</w:t>
            </w:r>
          </w:p>
        </w:tc>
        <w:tc>
          <w:tcPr>
            <w:tcW w:w="1461" w:type="dxa"/>
            <w:noWrap/>
            <w:vAlign w:val="center"/>
          </w:tcPr>
          <w:p w14:paraId="7F39E6F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36.87</w:t>
            </w:r>
            <w:r>
              <w:rPr>
                <w:rFonts w:ascii="Times New Roman" w:hAnsi="Times New Roman" w:cs="Times New Roman"/>
                <w:vertAlign w:val="superscript"/>
              </w:rPr>
              <w:t>bc</w:t>
            </w:r>
          </w:p>
        </w:tc>
        <w:tc>
          <w:tcPr>
            <w:tcW w:w="1376" w:type="dxa"/>
            <w:noWrap/>
            <w:vAlign w:val="center"/>
          </w:tcPr>
          <w:p w14:paraId="6B5ED8E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c</w:t>
            </w:r>
          </w:p>
        </w:tc>
        <w:tc>
          <w:tcPr>
            <w:tcW w:w="1303" w:type="dxa"/>
            <w:noWrap/>
            <w:vAlign w:val="center"/>
          </w:tcPr>
          <w:p w14:paraId="30B3752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w:t>
            </w:r>
            <w:r>
              <w:rPr>
                <w:rFonts w:ascii="Times New Roman" w:hAnsi="Times New Roman" w:cs="Times New Roman"/>
                <w:vertAlign w:val="superscript"/>
              </w:rPr>
              <w:t>bc</w:t>
            </w:r>
          </w:p>
        </w:tc>
        <w:tc>
          <w:tcPr>
            <w:tcW w:w="1275" w:type="dxa"/>
            <w:noWrap/>
            <w:vAlign w:val="center"/>
          </w:tcPr>
          <w:p w14:paraId="6FA30AC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15.16</w:t>
            </w:r>
            <w:r>
              <w:rPr>
                <w:rFonts w:ascii="Times New Roman" w:hAnsi="Times New Roman" w:cs="Times New Roman"/>
                <w:vertAlign w:val="superscript"/>
              </w:rPr>
              <w:t>abc</w:t>
            </w:r>
          </w:p>
        </w:tc>
        <w:tc>
          <w:tcPr>
            <w:tcW w:w="1318" w:type="dxa"/>
            <w:noWrap/>
            <w:vAlign w:val="center"/>
          </w:tcPr>
          <w:p w14:paraId="5CE230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200.12</w:t>
            </w:r>
            <w:r>
              <w:rPr>
                <w:rFonts w:ascii="Times New Roman" w:hAnsi="Times New Roman" w:cs="Times New Roman"/>
                <w:vertAlign w:val="superscript"/>
              </w:rPr>
              <w:t>b</w:t>
            </w:r>
          </w:p>
        </w:tc>
      </w:tr>
      <w:tr w:rsidR="00F15FD7" w14:paraId="6177BD79"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7963D25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117" w:type="dxa"/>
            <w:noWrap/>
            <w:vAlign w:val="center"/>
          </w:tcPr>
          <w:p w14:paraId="05897BF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0.56</w:t>
            </w:r>
            <w:r>
              <w:rPr>
                <w:rFonts w:ascii="Times New Roman" w:hAnsi="Times New Roman" w:cs="Times New Roman"/>
                <w:vertAlign w:val="superscript"/>
              </w:rPr>
              <w:t>d</w:t>
            </w:r>
          </w:p>
        </w:tc>
        <w:tc>
          <w:tcPr>
            <w:tcW w:w="1432" w:type="dxa"/>
            <w:noWrap/>
            <w:vAlign w:val="center"/>
          </w:tcPr>
          <w:p w14:paraId="0665B8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13.56</w:t>
            </w:r>
            <w:r>
              <w:rPr>
                <w:rFonts w:ascii="Times New Roman" w:hAnsi="Times New Roman" w:cs="Times New Roman"/>
                <w:vertAlign w:val="superscript"/>
              </w:rPr>
              <w:t>bc</w:t>
            </w:r>
          </w:p>
        </w:tc>
        <w:tc>
          <w:tcPr>
            <w:tcW w:w="1461" w:type="dxa"/>
            <w:noWrap/>
            <w:vAlign w:val="center"/>
          </w:tcPr>
          <w:p w14:paraId="0768C2A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38.12</w:t>
            </w:r>
            <w:r>
              <w:rPr>
                <w:rFonts w:ascii="Times New Roman" w:hAnsi="Times New Roman" w:cs="Times New Roman"/>
                <w:vertAlign w:val="superscript"/>
              </w:rPr>
              <w:t>c</w:t>
            </w:r>
          </w:p>
        </w:tc>
        <w:tc>
          <w:tcPr>
            <w:tcW w:w="1376" w:type="dxa"/>
            <w:noWrap/>
            <w:vAlign w:val="center"/>
          </w:tcPr>
          <w:p w14:paraId="5900ED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w:t>
            </w:r>
            <w:r>
              <w:rPr>
                <w:rFonts w:ascii="Times New Roman" w:hAnsi="Times New Roman" w:cs="Times New Roman"/>
                <w:vertAlign w:val="superscript"/>
              </w:rPr>
              <w:t>cd</w:t>
            </w:r>
          </w:p>
        </w:tc>
        <w:tc>
          <w:tcPr>
            <w:tcW w:w="1303" w:type="dxa"/>
            <w:noWrap/>
            <w:vAlign w:val="center"/>
          </w:tcPr>
          <w:p w14:paraId="139941A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275" w:type="dxa"/>
            <w:noWrap/>
            <w:vAlign w:val="center"/>
          </w:tcPr>
          <w:p w14:paraId="79797C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17.23</w:t>
            </w:r>
            <w:r>
              <w:rPr>
                <w:rFonts w:ascii="Times New Roman" w:hAnsi="Times New Roman" w:cs="Times New Roman"/>
                <w:vertAlign w:val="superscript"/>
              </w:rPr>
              <w:t>c</w:t>
            </w:r>
          </w:p>
        </w:tc>
        <w:tc>
          <w:tcPr>
            <w:tcW w:w="1318" w:type="dxa"/>
            <w:noWrap/>
            <w:vAlign w:val="center"/>
          </w:tcPr>
          <w:p w14:paraId="44B7FD2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209.17</w:t>
            </w:r>
            <w:r>
              <w:rPr>
                <w:rFonts w:ascii="Times New Roman" w:hAnsi="Times New Roman" w:cs="Times New Roman"/>
                <w:vertAlign w:val="superscript"/>
              </w:rPr>
              <w:t>bc</w:t>
            </w:r>
          </w:p>
        </w:tc>
      </w:tr>
      <w:tr w:rsidR="00F15FD7" w14:paraId="187A058A"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49ACB1E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117" w:type="dxa"/>
            <w:noWrap/>
            <w:vAlign w:val="center"/>
          </w:tcPr>
          <w:p w14:paraId="0132012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bc</w:t>
            </w:r>
          </w:p>
        </w:tc>
        <w:tc>
          <w:tcPr>
            <w:tcW w:w="1432" w:type="dxa"/>
            <w:noWrap/>
            <w:vAlign w:val="center"/>
          </w:tcPr>
          <w:p w14:paraId="7662EFE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14.13</w:t>
            </w:r>
            <w:r>
              <w:rPr>
                <w:rFonts w:ascii="Times New Roman" w:hAnsi="Times New Roman" w:cs="Times New Roman"/>
                <w:vertAlign w:val="superscript"/>
              </w:rPr>
              <w:t>c</w:t>
            </w:r>
          </w:p>
        </w:tc>
        <w:tc>
          <w:tcPr>
            <w:tcW w:w="1461" w:type="dxa"/>
            <w:noWrap/>
            <w:vAlign w:val="center"/>
          </w:tcPr>
          <w:p w14:paraId="4C9AA71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33.37</w:t>
            </w:r>
            <w:r>
              <w:rPr>
                <w:rFonts w:ascii="Times New Roman" w:hAnsi="Times New Roman" w:cs="Times New Roman"/>
                <w:vertAlign w:val="superscript"/>
              </w:rPr>
              <w:t>abc</w:t>
            </w:r>
          </w:p>
        </w:tc>
        <w:tc>
          <w:tcPr>
            <w:tcW w:w="1376" w:type="dxa"/>
            <w:noWrap/>
            <w:vAlign w:val="center"/>
          </w:tcPr>
          <w:p w14:paraId="6408326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0.34</w:t>
            </w:r>
            <w:r>
              <w:rPr>
                <w:rFonts w:ascii="Times New Roman" w:hAnsi="Times New Roman" w:cs="Times New Roman"/>
                <w:vertAlign w:val="superscript"/>
              </w:rPr>
              <w:t>c</w:t>
            </w:r>
          </w:p>
        </w:tc>
        <w:tc>
          <w:tcPr>
            <w:tcW w:w="1303" w:type="dxa"/>
            <w:noWrap/>
            <w:vAlign w:val="center"/>
          </w:tcPr>
          <w:p w14:paraId="29839E7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275" w:type="dxa"/>
            <w:noWrap/>
            <w:vAlign w:val="center"/>
          </w:tcPr>
          <w:p w14:paraId="3962584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14.17</w:t>
            </w:r>
            <w:r>
              <w:rPr>
                <w:rFonts w:ascii="Times New Roman" w:hAnsi="Times New Roman" w:cs="Times New Roman"/>
                <w:vertAlign w:val="superscript"/>
              </w:rPr>
              <w:t>ab</w:t>
            </w:r>
          </w:p>
        </w:tc>
        <w:tc>
          <w:tcPr>
            <w:tcW w:w="1318" w:type="dxa"/>
            <w:noWrap/>
            <w:vAlign w:val="center"/>
          </w:tcPr>
          <w:p w14:paraId="0CE06B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192.23</w:t>
            </w:r>
            <w:r>
              <w:rPr>
                <w:rFonts w:ascii="Times New Roman" w:hAnsi="Times New Roman" w:cs="Times New Roman"/>
                <w:vertAlign w:val="superscript"/>
              </w:rPr>
              <w:t>ab</w:t>
            </w:r>
          </w:p>
        </w:tc>
      </w:tr>
      <w:tr w:rsidR="00F15FD7" w14:paraId="3C3B4AD2"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1C3335F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117" w:type="dxa"/>
            <w:noWrap/>
            <w:vAlign w:val="center"/>
          </w:tcPr>
          <w:p w14:paraId="73AAB68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0.48</w:t>
            </w:r>
            <w:r>
              <w:rPr>
                <w:rFonts w:ascii="Times New Roman" w:hAnsi="Times New Roman" w:cs="Times New Roman"/>
                <w:vertAlign w:val="superscript"/>
              </w:rPr>
              <w:t>c</w:t>
            </w:r>
          </w:p>
        </w:tc>
        <w:tc>
          <w:tcPr>
            <w:tcW w:w="1432" w:type="dxa"/>
            <w:noWrap/>
            <w:vAlign w:val="center"/>
          </w:tcPr>
          <w:p w14:paraId="7729126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14.48</w:t>
            </w:r>
            <w:r>
              <w:rPr>
                <w:rFonts w:ascii="Times New Roman" w:hAnsi="Times New Roman" w:cs="Times New Roman"/>
                <w:vertAlign w:val="superscript"/>
              </w:rPr>
              <w:t>c</w:t>
            </w:r>
          </w:p>
        </w:tc>
        <w:tc>
          <w:tcPr>
            <w:tcW w:w="1461" w:type="dxa"/>
            <w:noWrap/>
            <w:vAlign w:val="center"/>
          </w:tcPr>
          <w:p w14:paraId="7DB531E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34.87</w:t>
            </w:r>
            <w:r>
              <w:rPr>
                <w:rFonts w:ascii="Times New Roman" w:hAnsi="Times New Roman" w:cs="Times New Roman"/>
                <w:vertAlign w:val="superscript"/>
              </w:rPr>
              <w:t>abc</w:t>
            </w:r>
          </w:p>
        </w:tc>
        <w:tc>
          <w:tcPr>
            <w:tcW w:w="1376" w:type="dxa"/>
            <w:noWrap/>
            <w:vAlign w:val="center"/>
          </w:tcPr>
          <w:p w14:paraId="2B48FF7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c</w:t>
            </w:r>
          </w:p>
        </w:tc>
        <w:tc>
          <w:tcPr>
            <w:tcW w:w="1303" w:type="dxa"/>
            <w:noWrap/>
            <w:vAlign w:val="center"/>
          </w:tcPr>
          <w:p w14:paraId="2A7DD5F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w:t>
            </w:r>
            <w:r>
              <w:rPr>
                <w:rFonts w:ascii="Times New Roman" w:hAnsi="Times New Roman" w:cs="Times New Roman"/>
                <w:vertAlign w:val="superscript"/>
              </w:rPr>
              <w:t>bc</w:t>
            </w:r>
          </w:p>
        </w:tc>
        <w:tc>
          <w:tcPr>
            <w:tcW w:w="1275" w:type="dxa"/>
            <w:noWrap/>
            <w:vAlign w:val="center"/>
          </w:tcPr>
          <w:p w14:paraId="38856A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17.24</w:t>
            </w:r>
            <w:r>
              <w:rPr>
                <w:rFonts w:ascii="Times New Roman" w:hAnsi="Times New Roman" w:cs="Times New Roman"/>
                <w:vertAlign w:val="superscript"/>
              </w:rPr>
              <w:t>c</w:t>
            </w:r>
          </w:p>
        </w:tc>
        <w:tc>
          <w:tcPr>
            <w:tcW w:w="1318" w:type="dxa"/>
            <w:noWrap/>
            <w:vAlign w:val="center"/>
          </w:tcPr>
          <w:p w14:paraId="7157469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199.11</w:t>
            </w:r>
            <w:r>
              <w:rPr>
                <w:rFonts w:ascii="Times New Roman" w:hAnsi="Times New Roman" w:cs="Times New Roman"/>
                <w:vertAlign w:val="superscript"/>
              </w:rPr>
              <w:t>abc</w:t>
            </w:r>
          </w:p>
        </w:tc>
      </w:tr>
      <w:tr w:rsidR="00F15FD7" w14:paraId="31F4C5D8"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49B236D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117" w:type="dxa"/>
            <w:noWrap/>
            <w:vAlign w:val="center"/>
          </w:tcPr>
          <w:p w14:paraId="54EE230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0.56</w:t>
            </w:r>
            <w:r>
              <w:rPr>
                <w:rFonts w:ascii="Times New Roman" w:hAnsi="Times New Roman" w:cs="Times New Roman"/>
                <w:vertAlign w:val="superscript"/>
              </w:rPr>
              <w:t>d</w:t>
            </w:r>
          </w:p>
        </w:tc>
        <w:tc>
          <w:tcPr>
            <w:tcW w:w="1432" w:type="dxa"/>
            <w:noWrap/>
            <w:vAlign w:val="center"/>
          </w:tcPr>
          <w:p w14:paraId="4EC1BBD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14.79</w:t>
            </w:r>
            <w:r>
              <w:rPr>
                <w:rFonts w:ascii="Times New Roman" w:hAnsi="Times New Roman" w:cs="Times New Roman"/>
                <w:vertAlign w:val="superscript"/>
              </w:rPr>
              <w:t>c</w:t>
            </w:r>
          </w:p>
        </w:tc>
        <w:tc>
          <w:tcPr>
            <w:tcW w:w="1461" w:type="dxa"/>
            <w:noWrap/>
            <w:vAlign w:val="center"/>
          </w:tcPr>
          <w:p w14:paraId="79504F8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37.12</w:t>
            </w:r>
            <w:r>
              <w:rPr>
                <w:rFonts w:ascii="Times New Roman" w:hAnsi="Times New Roman" w:cs="Times New Roman"/>
                <w:vertAlign w:val="superscript"/>
              </w:rPr>
              <w:t>c</w:t>
            </w:r>
          </w:p>
        </w:tc>
        <w:tc>
          <w:tcPr>
            <w:tcW w:w="1376" w:type="dxa"/>
            <w:noWrap/>
            <w:vAlign w:val="center"/>
          </w:tcPr>
          <w:p w14:paraId="19086DE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0.38</w:t>
            </w:r>
            <w:r>
              <w:rPr>
                <w:rFonts w:ascii="Times New Roman" w:hAnsi="Times New Roman" w:cs="Times New Roman"/>
                <w:vertAlign w:val="superscript"/>
              </w:rPr>
              <w:t>cd</w:t>
            </w:r>
          </w:p>
        </w:tc>
        <w:tc>
          <w:tcPr>
            <w:tcW w:w="1303" w:type="dxa"/>
            <w:noWrap/>
            <w:vAlign w:val="center"/>
          </w:tcPr>
          <w:p w14:paraId="736DDC4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r>
              <w:rPr>
                <w:rFonts w:ascii="Times New Roman" w:hAnsi="Times New Roman" w:cs="Times New Roman"/>
                <w:vertAlign w:val="superscript"/>
              </w:rPr>
              <w:t>c</w:t>
            </w:r>
          </w:p>
        </w:tc>
        <w:tc>
          <w:tcPr>
            <w:tcW w:w="1275" w:type="dxa"/>
            <w:noWrap/>
            <w:vAlign w:val="center"/>
          </w:tcPr>
          <w:p w14:paraId="58A7D4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19.18</w:t>
            </w:r>
            <w:r>
              <w:rPr>
                <w:rFonts w:ascii="Times New Roman" w:hAnsi="Times New Roman" w:cs="Times New Roman"/>
                <w:vertAlign w:val="superscript"/>
              </w:rPr>
              <w:t>cd</w:t>
            </w:r>
          </w:p>
        </w:tc>
        <w:tc>
          <w:tcPr>
            <w:tcW w:w="1318" w:type="dxa"/>
            <w:noWrap/>
            <w:vAlign w:val="center"/>
          </w:tcPr>
          <w:p w14:paraId="399F5E6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214.15</w:t>
            </w:r>
            <w:r>
              <w:rPr>
                <w:rFonts w:ascii="Times New Roman" w:hAnsi="Times New Roman" w:cs="Times New Roman"/>
                <w:vertAlign w:val="superscript"/>
              </w:rPr>
              <w:t>c</w:t>
            </w:r>
          </w:p>
        </w:tc>
      </w:tr>
      <w:tr w:rsidR="00F15FD7" w14:paraId="0415E927"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1656CD0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117" w:type="dxa"/>
            <w:noWrap/>
            <w:vAlign w:val="center"/>
          </w:tcPr>
          <w:p w14:paraId="1B0566E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0.64</w:t>
            </w:r>
            <w:r>
              <w:rPr>
                <w:rFonts w:ascii="Times New Roman" w:hAnsi="Times New Roman" w:cs="Times New Roman"/>
                <w:vertAlign w:val="superscript"/>
              </w:rPr>
              <w:t>de</w:t>
            </w:r>
          </w:p>
        </w:tc>
        <w:tc>
          <w:tcPr>
            <w:tcW w:w="1432" w:type="dxa"/>
            <w:noWrap/>
            <w:vAlign w:val="center"/>
          </w:tcPr>
          <w:p w14:paraId="39499D6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15.64</w:t>
            </w:r>
            <w:r>
              <w:rPr>
                <w:rFonts w:ascii="Times New Roman" w:hAnsi="Times New Roman" w:cs="Times New Roman"/>
                <w:vertAlign w:val="superscript"/>
              </w:rPr>
              <w:t>cd</w:t>
            </w:r>
          </w:p>
        </w:tc>
        <w:tc>
          <w:tcPr>
            <w:tcW w:w="1461" w:type="dxa"/>
            <w:noWrap/>
            <w:vAlign w:val="center"/>
          </w:tcPr>
          <w:p w14:paraId="58298C4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r>
              <w:rPr>
                <w:rFonts w:ascii="Times New Roman" w:hAnsi="Times New Roman" w:cs="Times New Roman"/>
                <w:vertAlign w:val="superscript"/>
              </w:rPr>
              <w:t>c</w:t>
            </w:r>
          </w:p>
        </w:tc>
        <w:tc>
          <w:tcPr>
            <w:tcW w:w="1376" w:type="dxa"/>
            <w:noWrap/>
            <w:vAlign w:val="center"/>
          </w:tcPr>
          <w:p w14:paraId="4CF781A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w:t>
            </w:r>
            <w:r>
              <w:rPr>
                <w:rFonts w:ascii="Times New Roman" w:hAnsi="Times New Roman" w:cs="Times New Roman"/>
                <w:vertAlign w:val="superscript"/>
              </w:rPr>
              <w:t>e</w:t>
            </w:r>
          </w:p>
        </w:tc>
        <w:tc>
          <w:tcPr>
            <w:tcW w:w="1303" w:type="dxa"/>
            <w:noWrap/>
            <w:vAlign w:val="center"/>
          </w:tcPr>
          <w:p w14:paraId="4E35687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w:t>
            </w:r>
            <w:r>
              <w:rPr>
                <w:rFonts w:ascii="Times New Roman" w:hAnsi="Times New Roman" w:cs="Times New Roman"/>
                <w:vertAlign w:val="superscript"/>
              </w:rPr>
              <w:t>cd</w:t>
            </w:r>
          </w:p>
        </w:tc>
        <w:tc>
          <w:tcPr>
            <w:tcW w:w="1275" w:type="dxa"/>
            <w:noWrap/>
            <w:vAlign w:val="center"/>
          </w:tcPr>
          <w:p w14:paraId="71F568A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21.24</w:t>
            </w:r>
            <w:r>
              <w:rPr>
                <w:rFonts w:ascii="Times New Roman" w:hAnsi="Times New Roman" w:cs="Times New Roman"/>
                <w:vertAlign w:val="superscript"/>
              </w:rPr>
              <w:t>cde</w:t>
            </w:r>
          </w:p>
        </w:tc>
        <w:tc>
          <w:tcPr>
            <w:tcW w:w="1318" w:type="dxa"/>
            <w:noWrap/>
            <w:vAlign w:val="center"/>
          </w:tcPr>
          <w:p w14:paraId="6EBDD8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224.19</w:t>
            </w:r>
            <w:r>
              <w:rPr>
                <w:rFonts w:ascii="Times New Roman" w:hAnsi="Times New Roman" w:cs="Times New Roman"/>
                <w:vertAlign w:val="superscript"/>
              </w:rPr>
              <w:t>d</w:t>
            </w:r>
          </w:p>
        </w:tc>
      </w:tr>
      <w:tr w:rsidR="00F15FD7" w14:paraId="512C03B1"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579E37D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117" w:type="dxa"/>
            <w:noWrap/>
            <w:vAlign w:val="center"/>
          </w:tcPr>
          <w:p w14:paraId="6BD0EF3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w:t>
            </w:r>
            <w:r>
              <w:rPr>
                <w:rFonts w:ascii="Times New Roman" w:hAnsi="Times New Roman" w:cs="Times New Roman"/>
                <w:vertAlign w:val="superscript"/>
              </w:rPr>
              <w:t>a</w:t>
            </w:r>
          </w:p>
        </w:tc>
        <w:tc>
          <w:tcPr>
            <w:tcW w:w="1432" w:type="dxa"/>
            <w:noWrap/>
            <w:vAlign w:val="center"/>
          </w:tcPr>
          <w:p w14:paraId="497544E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10.21</w:t>
            </w:r>
            <w:r>
              <w:rPr>
                <w:rFonts w:ascii="Times New Roman" w:hAnsi="Times New Roman" w:cs="Times New Roman"/>
                <w:vertAlign w:val="superscript"/>
              </w:rPr>
              <w:t>a</w:t>
            </w:r>
          </w:p>
        </w:tc>
        <w:tc>
          <w:tcPr>
            <w:tcW w:w="1461" w:type="dxa"/>
            <w:noWrap/>
            <w:vAlign w:val="center"/>
          </w:tcPr>
          <w:p w14:paraId="32E22A5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29.12</w:t>
            </w:r>
            <w:r>
              <w:rPr>
                <w:rFonts w:ascii="Times New Roman" w:hAnsi="Times New Roman" w:cs="Times New Roman"/>
                <w:vertAlign w:val="superscript"/>
              </w:rPr>
              <w:t>a</w:t>
            </w:r>
          </w:p>
        </w:tc>
        <w:tc>
          <w:tcPr>
            <w:tcW w:w="1376" w:type="dxa"/>
            <w:noWrap/>
            <w:vAlign w:val="center"/>
          </w:tcPr>
          <w:p w14:paraId="29800BB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0.26</w:t>
            </w:r>
            <w:r>
              <w:rPr>
                <w:rFonts w:ascii="Times New Roman" w:hAnsi="Times New Roman" w:cs="Times New Roman"/>
                <w:vertAlign w:val="superscript"/>
              </w:rPr>
              <w:t>a</w:t>
            </w:r>
          </w:p>
        </w:tc>
        <w:tc>
          <w:tcPr>
            <w:tcW w:w="1303" w:type="dxa"/>
            <w:noWrap/>
            <w:vAlign w:val="center"/>
          </w:tcPr>
          <w:p w14:paraId="304DAAA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0.23</w:t>
            </w:r>
            <w:r>
              <w:rPr>
                <w:rFonts w:ascii="Times New Roman" w:hAnsi="Times New Roman" w:cs="Times New Roman"/>
                <w:vertAlign w:val="superscript"/>
              </w:rPr>
              <w:t>a</w:t>
            </w:r>
          </w:p>
        </w:tc>
        <w:tc>
          <w:tcPr>
            <w:tcW w:w="1275" w:type="dxa"/>
            <w:noWrap/>
            <w:vAlign w:val="center"/>
          </w:tcPr>
          <w:p w14:paraId="2E99376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11.12</w:t>
            </w:r>
            <w:r>
              <w:rPr>
                <w:rFonts w:ascii="Times New Roman" w:hAnsi="Times New Roman" w:cs="Times New Roman"/>
                <w:vertAlign w:val="superscript"/>
              </w:rPr>
              <w:t>a</w:t>
            </w:r>
          </w:p>
        </w:tc>
        <w:tc>
          <w:tcPr>
            <w:tcW w:w="1318" w:type="dxa"/>
            <w:noWrap/>
            <w:vAlign w:val="center"/>
          </w:tcPr>
          <w:p w14:paraId="46EEC5E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176.12</w:t>
            </w:r>
            <w:r>
              <w:rPr>
                <w:rFonts w:ascii="Times New Roman" w:hAnsi="Times New Roman" w:cs="Times New Roman"/>
                <w:vertAlign w:val="superscript"/>
              </w:rPr>
              <w:t>a</w:t>
            </w:r>
          </w:p>
        </w:tc>
      </w:tr>
      <w:tr w:rsidR="00F15FD7" w14:paraId="675DA7EC"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20967B0A"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117" w:type="dxa"/>
            <w:noWrap/>
            <w:vAlign w:val="center"/>
          </w:tcPr>
          <w:p w14:paraId="47FAEB0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w:t>
            </w:r>
          </w:p>
        </w:tc>
        <w:tc>
          <w:tcPr>
            <w:tcW w:w="1432" w:type="dxa"/>
            <w:noWrap/>
            <w:vAlign w:val="center"/>
          </w:tcPr>
          <w:p w14:paraId="00172E7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10.48</w:t>
            </w:r>
            <w:r>
              <w:rPr>
                <w:rFonts w:ascii="Times New Roman" w:hAnsi="Times New Roman" w:cs="Times New Roman"/>
                <w:vertAlign w:val="superscript"/>
              </w:rPr>
              <w:t>a</w:t>
            </w:r>
          </w:p>
        </w:tc>
        <w:tc>
          <w:tcPr>
            <w:tcW w:w="1461" w:type="dxa"/>
            <w:noWrap/>
            <w:vAlign w:val="center"/>
          </w:tcPr>
          <w:p w14:paraId="145DF9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29.68</w:t>
            </w:r>
            <w:r>
              <w:rPr>
                <w:rFonts w:ascii="Times New Roman" w:hAnsi="Times New Roman" w:cs="Times New Roman"/>
                <w:vertAlign w:val="superscript"/>
              </w:rPr>
              <w:t>a</w:t>
            </w:r>
          </w:p>
        </w:tc>
        <w:tc>
          <w:tcPr>
            <w:tcW w:w="1376" w:type="dxa"/>
            <w:noWrap/>
            <w:vAlign w:val="center"/>
          </w:tcPr>
          <w:p w14:paraId="7446CE4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w:t>
            </w:r>
            <w:r>
              <w:rPr>
                <w:rFonts w:ascii="Times New Roman" w:hAnsi="Times New Roman" w:cs="Times New Roman"/>
                <w:vertAlign w:val="superscript"/>
              </w:rPr>
              <w:t>ab</w:t>
            </w:r>
          </w:p>
        </w:tc>
        <w:tc>
          <w:tcPr>
            <w:tcW w:w="1303" w:type="dxa"/>
            <w:noWrap/>
            <w:vAlign w:val="center"/>
          </w:tcPr>
          <w:p w14:paraId="5B64561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w:t>
            </w:r>
            <w:r>
              <w:rPr>
                <w:rFonts w:ascii="Times New Roman" w:hAnsi="Times New Roman" w:cs="Times New Roman"/>
                <w:vertAlign w:val="superscript"/>
              </w:rPr>
              <w:t>a</w:t>
            </w:r>
          </w:p>
        </w:tc>
        <w:tc>
          <w:tcPr>
            <w:tcW w:w="1275" w:type="dxa"/>
            <w:noWrap/>
            <w:vAlign w:val="center"/>
          </w:tcPr>
          <w:p w14:paraId="3348D34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13.07</w:t>
            </w:r>
            <w:r>
              <w:rPr>
                <w:rFonts w:ascii="Times New Roman" w:hAnsi="Times New Roman" w:cs="Times New Roman"/>
                <w:vertAlign w:val="superscript"/>
              </w:rPr>
              <w:t>ab</w:t>
            </w:r>
          </w:p>
        </w:tc>
        <w:tc>
          <w:tcPr>
            <w:tcW w:w="1318" w:type="dxa"/>
            <w:noWrap/>
            <w:vAlign w:val="center"/>
          </w:tcPr>
          <w:p w14:paraId="0BDE39D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196.07</w:t>
            </w:r>
            <w:r>
              <w:rPr>
                <w:rFonts w:ascii="Times New Roman" w:hAnsi="Times New Roman" w:cs="Times New Roman"/>
                <w:vertAlign w:val="superscript"/>
              </w:rPr>
              <w:t>ab</w:t>
            </w:r>
          </w:p>
        </w:tc>
      </w:tr>
      <w:tr w:rsidR="00F15FD7" w14:paraId="7EEBF450"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0EFFF921"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117" w:type="dxa"/>
            <w:noWrap/>
            <w:vAlign w:val="center"/>
          </w:tcPr>
          <w:p w14:paraId="0D052C2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0.34</w:t>
            </w:r>
            <w:r>
              <w:rPr>
                <w:rFonts w:ascii="Times New Roman" w:hAnsi="Times New Roman" w:cs="Times New Roman"/>
                <w:vertAlign w:val="superscript"/>
              </w:rPr>
              <w:t>b</w:t>
            </w:r>
          </w:p>
        </w:tc>
        <w:tc>
          <w:tcPr>
            <w:tcW w:w="1432" w:type="dxa"/>
            <w:noWrap/>
            <w:vAlign w:val="center"/>
          </w:tcPr>
          <w:p w14:paraId="1A7B7A6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10.59</w:t>
            </w:r>
            <w:r>
              <w:rPr>
                <w:rFonts w:ascii="Times New Roman" w:hAnsi="Times New Roman" w:cs="Times New Roman"/>
                <w:vertAlign w:val="superscript"/>
              </w:rPr>
              <w:t>a</w:t>
            </w:r>
          </w:p>
        </w:tc>
        <w:tc>
          <w:tcPr>
            <w:tcW w:w="1461" w:type="dxa"/>
            <w:noWrap/>
            <w:vAlign w:val="center"/>
          </w:tcPr>
          <w:p w14:paraId="0E12CD8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30.48</w:t>
            </w:r>
            <w:r>
              <w:rPr>
                <w:rFonts w:ascii="Times New Roman" w:hAnsi="Times New Roman" w:cs="Times New Roman"/>
                <w:vertAlign w:val="superscript"/>
              </w:rPr>
              <w:t>ab</w:t>
            </w:r>
          </w:p>
        </w:tc>
        <w:tc>
          <w:tcPr>
            <w:tcW w:w="1376" w:type="dxa"/>
            <w:noWrap/>
            <w:vAlign w:val="center"/>
          </w:tcPr>
          <w:p w14:paraId="0262A7C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w:t>
            </w:r>
            <w:r>
              <w:rPr>
                <w:rFonts w:ascii="Times New Roman" w:hAnsi="Times New Roman" w:cs="Times New Roman"/>
                <w:vertAlign w:val="superscript"/>
              </w:rPr>
              <w:t>abc</w:t>
            </w:r>
          </w:p>
        </w:tc>
        <w:tc>
          <w:tcPr>
            <w:tcW w:w="1303" w:type="dxa"/>
            <w:noWrap/>
            <w:vAlign w:val="center"/>
          </w:tcPr>
          <w:p w14:paraId="1DCB55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w:t>
            </w:r>
            <w:r>
              <w:rPr>
                <w:rFonts w:ascii="Times New Roman" w:hAnsi="Times New Roman" w:cs="Times New Roman"/>
                <w:vertAlign w:val="superscript"/>
              </w:rPr>
              <w:t>a</w:t>
            </w:r>
          </w:p>
        </w:tc>
        <w:tc>
          <w:tcPr>
            <w:tcW w:w="1275" w:type="dxa"/>
            <w:noWrap/>
            <w:vAlign w:val="center"/>
          </w:tcPr>
          <w:p w14:paraId="1CAC871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16.27</w:t>
            </w:r>
            <w:r>
              <w:rPr>
                <w:rFonts w:ascii="Times New Roman" w:hAnsi="Times New Roman" w:cs="Times New Roman"/>
                <w:vertAlign w:val="superscript"/>
              </w:rPr>
              <w:t>c</w:t>
            </w:r>
          </w:p>
        </w:tc>
        <w:tc>
          <w:tcPr>
            <w:tcW w:w="1318" w:type="dxa"/>
            <w:noWrap/>
            <w:vAlign w:val="center"/>
          </w:tcPr>
          <w:p w14:paraId="21C789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206.43</w:t>
            </w:r>
            <w:r>
              <w:rPr>
                <w:rFonts w:ascii="Times New Roman" w:hAnsi="Times New Roman" w:cs="Times New Roman"/>
                <w:vertAlign w:val="superscript"/>
              </w:rPr>
              <w:t>bc</w:t>
            </w:r>
          </w:p>
        </w:tc>
      </w:tr>
      <w:tr w:rsidR="00F15FD7" w14:paraId="7A2F371D"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3D08A5F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117" w:type="dxa"/>
            <w:noWrap/>
            <w:vAlign w:val="center"/>
          </w:tcPr>
          <w:p w14:paraId="0FD4976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ab</w:t>
            </w:r>
          </w:p>
        </w:tc>
        <w:tc>
          <w:tcPr>
            <w:tcW w:w="1432" w:type="dxa"/>
            <w:noWrap/>
            <w:vAlign w:val="center"/>
          </w:tcPr>
          <w:p w14:paraId="69C02E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11.07</w:t>
            </w:r>
            <w:r>
              <w:rPr>
                <w:rFonts w:ascii="Times New Roman" w:hAnsi="Times New Roman" w:cs="Times New Roman"/>
                <w:vertAlign w:val="superscript"/>
              </w:rPr>
              <w:t>ab</w:t>
            </w:r>
          </w:p>
        </w:tc>
        <w:tc>
          <w:tcPr>
            <w:tcW w:w="1461" w:type="dxa"/>
            <w:noWrap/>
            <w:vAlign w:val="center"/>
          </w:tcPr>
          <w:p w14:paraId="0CB6127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31.12</w:t>
            </w:r>
            <w:r>
              <w:rPr>
                <w:rFonts w:ascii="Times New Roman" w:hAnsi="Times New Roman" w:cs="Times New Roman"/>
                <w:vertAlign w:val="superscript"/>
              </w:rPr>
              <w:t>ab</w:t>
            </w:r>
          </w:p>
        </w:tc>
        <w:tc>
          <w:tcPr>
            <w:tcW w:w="1376" w:type="dxa"/>
            <w:noWrap/>
            <w:vAlign w:val="center"/>
          </w:tcPr>
          <w:p w14:paraId="3FEFF3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w:t>
            </w:r>
            <w:r>
              <w:rPr>
                <w:rFonts w:ascii="Times New Roman" w:hAnsi="Times New Roman" w:cs="Times New Roman"/>
                <w:vertAlign w:val="superscript"/>
              </w:rPr>
              <w:t>abc</w:t>
            </w:r>
          </w:p>
        </w:tc>
        <w:tc>
          <w:tcPr>
            <w:tcW w:w="1303" w:type="dxa"/>
            <w:noWrap/>
            <w:vAlign w:val="center"/>
          </w:tcPr>
          <w:p w14:paraId="736B56C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r>
              <w:rPr>
                <w:rFonts w:ascii="Times New Roman" w:hAnsi="Times New Roman" w:cs="Times New Roman"/>
                <w:vertAlign w:val="superscript"/>
              </w:rPr>
              <w:t>ab</w:t>
            </w:r>
          </w:p>
        </w:tc>
        <w:tc>
          <w:tcPr>
            <w:tcW w:w="1275" w:type="dxa"/>
            <w:noWrap/>
            <w:vAlign w:val="center"/>
          </w:tcPr>
          <w:p w14:paraId="77EDD76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19.27</w:t>
            </w:r>
            <w:r>
              <w:rPr>
                <w:rFonts w:ascii="Times New Roman" w:hAnsi="Times New Roman" w:cs="Times New Roman"/>
                <w:vertAlign w:val="superscript"/>
              </w:rPr>
              <w:t>cd</w:t>
            </w:r>
          </w:p>
        </w:tc>
        <w:tc>
          <w:tcPr>
            <w:tcW w:w="1318" w:type="dxa"/>
            <w:noWrap/>
            <w:vAlign w:val="center"/>
          </w:tcPr>
          <w:p w14:paraId="7A6E729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214.34</w:t>
            </w:r>
            <w:r>
              <w:rPr>
                <w:rFonts w:ascii="Times New Roman" w:hAnsi="Times New Roman" w:cs="Times New Roman"/>
                <w:vertAlign w:val="superscript"/>
              </w:rPr>
              <w:t>c</w:t>
            </w:r>
          </w:p>
        </w:tc>
      </w:tr>
      <w:tr w:rsidR="00F15FD7" w14:paraId="6E850B5F"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vAlign w:val="center"/>
          </w:tcPr>
          <w:p w14:paraId="0062442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1117" w:type="dxa"/>
            <w:noWrap/>
            <w:vAlign w:val="center"/>
          </w:tcPr>
          <w:p w14:paraId="54DD664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w:t>
            </w:r>
            <w:r>
              <w:rPr>
                <w:rFonts w:ascii="Times New Roman" w:hAnsi="Times New Roman" w:cs="Times New Roman"/>
                <w:vertAlign w:val="superscript"/>
              </w:rPr>
              <w:t>bc</w:t>
            </w:r>
          </w:p>
        </w:tc>
        <w:tc>
          <w:tcPr>
            <w:tcW w:w="1432" w:type="dxa"/>
            <w:noWrap/>
            <w:vAlign w:val="center"/>
          </w:tcPr>
          <w:p w14:paraId="4CAAABE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11.46</w:t>
            </w:r>
            <w:r>
              <w:rPr>
                <w:rFonts w:ascii="Times New Roman" w:hAnsi="Times New Roman" w:cs="Times New Roman"/>
                <w:vertAlign w:val="superscript"/>
              </w:rPr>
              <w:t>ab</w:t>
            </w:r>
          </w:p>
        </w:tc>
        <w:tc>
          <w:tcPr>
            <w:tcW w:w="1461" w:type="dxa"/>
            <w:noWrap/>
            <w:vAlign w:val="center"/>
          </w:tcPr>
          <w:p w14:paraId="4A90D4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31.42</w:t>
            </w:r>
            <w:r>
              <w:rPr>
                <w:rFonts w:ascii="Times New Roman" w:hAnsi="Times New Roman" w:cs="Times New Roman"/>
                <w:vertAlign w:val="superscript"/>
              </w:rPr>
              <w:t>ab</w:t>
            </w:r>
          </w:p>
        </w:tc>
        <w:tc>
          <w:tcPr>
            <w:tcW w:w="1376" w:type="dxa"/>
            <w:noWrap/>
            <w:vAlign w:val="center"/>
          </w:tcPr>
          <w:p w14:paraId="3130F19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w:t>
            </w:r>
            <w:r>
              <w:rPr>
                <w:rFonts w:ascii="Times New Roman" w:hAnsi="Times New Roman" w:cs="Times New Roman"/>
                <w:vertAlign w:val="superscript"/>
              </w:rPr>
              <w:t>bc</w:t>
            </w:r>
          </w:p>
        </w:tc>
        <w:tc>
          <w:tcPr>
            <w:tcW w:w="1303" w:type="dxa"/>
            <w:noWrap/>
            <w:vAlign w:val="center"/>
          </w:tcPr>
          <w:p w14:paraId="3DB22CD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0.25</w:t>
            </w:r>
            <w:r>
              <w:rPr>
                <w:rFonts w:ascii="Times New Roman" w:hAnsi="Times New Roman" w:cs="Times New Roman"/>
                <w:vertAlign w:val="superscript"/>
              </w:rPr>
              <w:t>ab</w:t>
            </w:r>
          </w:p>
        </w:tc>
        <w:tc>
          <w:tcPr>
            <w:tcW w:w="1275" w:type="dxa"/>
            <w:noWrap/>
            <w:vAlign w:val="center"/>
          </w:tcPr>
          <w:p w14:paraId="776E0F6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21.04</w:t>
            </w:r>
            <w:r>
              <w:rPr>
                <w:rFonts w:ascii="Times New Roman" w:hAnsi="Times New Roman" w:cs="Times New Roman"/>
                <w:vertAlign w:val="superscript"/>
              </w:rPr>
              <w:t>cde</w:t>
            </w:r>
          </w:p>
        </w:tc>
        <w:tc>
          <w:tcPr>
            <w:tcW w:w="1318" w:type="dxa"/>
            <w:noWrap/>
            <w:vAlign w:val="center"/>
          </w:tcPr>
          <w:p w14:paraId="545225E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220.34</w:t>
            </w:r>
            <w:r>
              <w:rPr>
                <w:rFonts w:ascii="Times New Roman" w:hAnsi="Times New Roman" w:cs="Times New Roman"/>
                <w:vertAlign w:val="superscript"/>
              </w:rPr>
              <w:t>d</w:t>
            </w:r>
          </w:p>
        </w:tc>
      </w:tr>
      <w:tr w:rsidR="00F15FD7" w14:paraId="7659B8DD" w14:textId="77777777" w:rsidTr="00F15FD7">
        <w:trPr>
          <w:trHeight w:val="423"/>
        </w:trPr>
        <w:tc>
          <w:tcPr>
            <w:cnfStyle w:val="001000000000" w:firstRow="0" w:lastRow="0" w:firstColumn="1" w:lastColumn="0" w:oddVBand="0" w:evenVBand="0" w:oddHBand="0" w:evenHBand="0" w:firstRowFirstColumn="0" w:firstRowLastColumn="0" w:lastRowFirstColumn="0" w:lastRowLastColumn="0"/>
            <w:tcW w:w="1575" w:type="dxa"/>
            <w:noWrap/>
          </w:tcPr>
          <w:p w14:paraId="0112306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117" w:type="dxa"/>
            <w:noWrap/>
            <w:vAlign w:val="center"/>
          </w:tcPr>
          <w:p w14:paraId="31D7A0A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0.64</w:t>
            </w:r>
            <w:r>
              <w:rPr>
                <w:rFonts w:ascii="Times New Roman" w:hAnsi="Times New Roman" w:cs="Times New Roman"/>
                <w:vertAlign w:val="superscript"/>
              </w:rPr>
              <w:t>de</w:t>
            </w:r>
          </w:p>
        </w:tc>
        <w:tc>
          <w:tcPr>
            <w:tcW w:w="1432" w:type="dxa"/>
            <w:noWrap/>
            <w:vAlign w:val="center"/>
          </w:tcPr>
          <w:p w14:paraId="383C151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15.64</w:t>
            </w:r>
            <w:r>
              <w:rPr>
                <w:rFonts w:ascii="Times New Roman" w:hAnsi="Times New Roman" w:cs="Times New Roman"/>
                <w:vertAlign w:val="superscript"/>
              </w:rPr>
              <w:t>cd</w:t>
            </w:r>
          </w:p>
        </w:tc>
        <w:tc>
          <w:tcPr>
            <w:tcW w:w="1461" w:type="dxa"/>
            <w:noWrap/>
            <w:vAlign w:val="center"/>
          </w:tcPr>
          <w:p w14:paraId="74011B0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r>
              <w:rPr>
                <w:rFonts w:ascii="Times New Roman" w:hAnsi="Times New Roman" w:cs="Times New Roman"/>
                <w:vertAlign w:val="superscript"/>
              </w:rPr>
              <w:t>c</w:t>
            </w:r>
          </w:p>
        </w:tc>
        <w:tc>
          <w:tcPr>
            <w:tcW w:w="1376" w:type="dxa"/>
            <w:noWrap/>
            <w:vAlign w:val="center"/>
          </w:tcPr>
          <w:p w14:paraId="6977E3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w:t>
            </w:r>
            <w:r>
              <w:rPr>
                <w:rFonts w:ascii="Times New Roman" w:hAnsi="Times New Roman" w:cs="Times New Roman"/>
                <w:vertAlign w:val="superscript"/>
              </w:rPr>
              <w:t>e</w:t>
            </w:r>
          </w:p>
        </w:tc>
        <w:tc>
          <w:tcPr>
            <w:tcW w:w="1303" w:type="dxa"/>
            <w:noWrap/>
            <w:vAlign w:val="center"/>
          </w:tcPr>
          <w:p w14:paraId="376218B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0.39</w:t>
            </w:r>
            <w:r>
              <w:rPr>
                <w:rFonts w:ascii="Times New Roman" w:hAnsi="Times New Roman" w:cs="Times New Roman"/>
                <w:vertAlign w:val="superscript"/>
              </w:rPr>
              <w:t>cd</w:t>
            </w:r>
          </w:p>
        </w:tc>
        <w:tc>
          <w:tcPr>
            <w:tcW w:w="1275" w:type="dxa"/>
            <w:noWrap/>
            <w:vAlign w:val="center"/>
          </w:tcPr>
          <w:p w14:paraId="495A81D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21.24</w:t>
            </w:r>
            <w:r>
              <w:rPr>
                <w:rFonts w:ascii="Times New Roman" w:hAnsi="Times New Roman" w:cs="Times New Roman"/>
                <w:vertAlign w:val="superscript"/>
              </w:rPr>
              <w:t>de</w:t>
            </w:r>
          </w:p>
        </w:tc>
        <w:tc>
          <w:tcPr>
            <w:tcW w:w="1318" w:type="dxa"/>
            <w:noWrap/>
            <w:vAlign w:val="center"/>
          </w:tcPr>
          <w:p w14:paraId="3034D84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224.19</w:t>
            </w:r>
            <w:r>
              <w:rPr>
                <w:rFonts w:ascii="Times New Roman" w:hAnsi="Times New Roman" w:cs="Times New Roman"/>
                <w:vertAlign w:val="superscript"/>
              </w:rPr>
              <w:t>d</w:t>
            </w:r>
          </w:p>
        </w:tc>
      </w:tr>
    </w:tbl>
    <w:p w14:paraId="6B15E268" w14:textId="77777777" w:rsidR="00F15FD7" w:rsidRDefault="00563E74">
      <w:pPr>
        <w:tabs>
          <w:tab w:val="left" w:pos="2880"/>
        </w:tabs>
        <w:spacing w:after="0" w:line="276" w:lineRule="auto"/>
        <w:ind w:right="-244"/>
        <w:rPr>
          <w:rFonts w:ascii="Times New Roman" w:hAnsi="Times New Roman" w:cs="Times New Roman"/>
          <w:i/>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419B8DD1" w14:textId="77777777" w:rsidR="00F15FD7" w:rsidRDefault="00F15FD7">
      <w:pPr>
        <w:tabs>
          <w:tab w:val="left" w:pos="2880"/>
        </w:tabs>
        <w:spacing w:after="0" w:line="276" w:lineRule="auto"/>
        <w:ind w:right="-244"/>
        <w:rPr>
          <w:rFonts w:ascii="Times New Roman" w:hAnsi="Times New Roman" w:cs="Times New Roman"/>
          <w:i/>
        </w:rPr>
      </w:pPr>
    </w:p>
    <w:p w14:paraId="079C6345" w14:textId="77777777" w:rsidR="00F15FD7" w:rsidRDefault="00F15FD7">
      <w:pPr>
        <w:tabs>
          <w:tab w:val="left" w:pos="2880"/>
        </w:tabs>
        <w:spacing w:after="0" w:line="276" w:lineRule="auto"/>
        <w:ind w:right="-244"/>
        <w:rPr>
          <w:rFonts w:ascii="Times New Roman" w:hAnsi="Times New Roman" w:cs="Times New Roman"/>
          <w:iCs/>
        </w:rPr>
      </w:pPr>
    </w:p>
    <w:p w14:paraId="15990777" w14:textId="77777777" w:rsidR="00F15FD7" w:rsidRDefault="00F15FD7">
      <w:pPr>
        <w:spacing w:line="276" w:lineRule="auto"/>
        <w:rPr>
          <w:rStyle w:val="Strong"/>
          <w:rFonts w:ascii="Times New Roman" w:hAnsi="Times New Roman" w:cs="Times New Roman"/>
        </w:rPr>
      </w:pPr>
    </w:p>
    <w:p w14:paraId="2AC018F4" w14:textId="77777777" w:rsidR="00F15FD7" w:rsidRDefault="00F15FD7">
      <w:pPr>
        <w:spacing w:line="276" w:lineRule="auto"/>
        <w:rPr>
          <w:rStyle w:val="Strong"/>
          <w:rFonts w:ascii="Times New Roman" w:hAnsi="Times New Roman" w:cs="Times New Roman"/>
        </w:rPr>
      </w:pPr>
    </w:p>
    <w:p w14:paraId="268A0F60" w14:textId="77777777" w:rsidR="00F15FD7" w:rsidRDefault="00F15FD7">
      <w:pPr>
        <w:spacing w:line="276" w:lineRule="auto"/>
        <w:rPr>
          <w:rStyle w:val="Strong"/>
          <w:rFonts w:ascii="Times New Roman" w:hAnsi="Times New Roman" w:cs="Times New Roman"/>
        </w:rPr>
        <w:sectPr w:rsidR="00F15FD7">
          <w:pgSz w:w="12240" w:h="15840"/>
          <w:pgMar w:top="1440" w:right="810" w:bottom="1440" w:left="900" w:header="720" w:footer="720" w:gutter="0"/>
          <w:cols w:space="720"/>
          <w:docGrid w:linePitch="360"/>
        </w:sectPr>
      </w:pPr>
    </w:p>
    <w:p w14:paraId="197C9B56" w14:textId="77777777" w:rsidR="00F15FD7" w:rsidRDefault="00563E74">
      <w:pPr>
        <w:spacing w:line="276" w:lineRule="auto"/>
        <w:rPr>
          <w:rFonts w:ascii="Times New Roman" w:hAnsi="Times New Roman" w:cs="Times New Roman"/>
        </w:rPr>
      </w:pPr>
      <w:r>
        <w:rPr>
          <w:rStyle w:val="Strong"/>
          <w:rFonts w:ascii="Times New Roman" w:hAnsi="Times New Roman" w:cs="Times New Roman"/>
        </w:rPr>
        <w:lastRenderedPageBreak/>
        <w:t>Table 7.</w:t>
      </w:r>
      <w:r>
        <w:rPr>
          <w:rFonts w:ascii="Times New Roman" w:hAnsi="Times New Roman" w:cs="Times New Roman"/>
        </w:rPr>
        <w:t xml:space="preserve"> </w:t>
      </w:r>
      <w:r>
        <w:rPr>
          <w:rStyle w:val="Emphasis"/>
          <w:rFonts w:ascii="Times New Roman" w:hAnsi="Times New Roman" w:cs="Times New Roman"/>
        </w:rPr>
        <w:t xml:space="preserve">Levels of stress metabolites </w:t>
      </w:r>
      <w:r>
        <w:rPr>
          <w:rStyle w:val="Emphasis"/>
          <w:rFonts w:ascii="Times New Roman" w:hAnsi="Times New Roman" w:cs="Times New Roman"/>
        </w:rPr>
        <w:t>(proline, total phenolics) and antioxidant enzyme activities (SOD, CAT, POD, and APX) in pepper (</w:t>
      </w:r>
      <w:r>
        <w:rPr>
          <w:rStyle w:val="Emphasis"/>
          <w:rFonts w:ascii="Times New Roman" w:hAnsi="Times New Roman" w:cs="Times New Roman"/>
          <w:b/>
        </w:rPr>
        <w:t xml:space="preserve">Capsicum </w:t>
      </w:r>
      <w:proofErr w:type="spellStart"/>
      <w:r>
        <w:rPr>
          <w:rStyle w:val="Emphasis"/>
          <w:rFonts w:ascii="Times New Roman" w:hAnsi="Times New Roman" w:cs="Times New Roman"/>
          <w:b/>
        </w:rPr>
        <w:t>chinense</w:t>
      </w:r>
      <w:proofErr w:type="spellEnd"/>
      <w:r>
        <w:rPr>
          <w:rFonts w:ascii="Times New Roman" w:hAnsi="Times New Roman" w:cs="Times New Roman"/>
          <w:b/>
        </w:rPr>
        <w:t>)</w:t>
      </w:r>
      <w:r>
        <w:rPr>
          <w:rStyle w:val="Emphasis"/>
          <w:rFonts w:ascii="Times New Roman" w:hAnsi="Times New Roman" w:cs="Times New Roman"/>
        </w:rPr>
        <w:t xml:space="preserve"> fruits subjected to biochar, Trichoderma inoculation, and varying watering regimes.</w:t>
      </w:r>
      <w:r>
        <w:rPr>
          <w:rFonts w:ascii="Times New Roman" w:hAnsi="Times New Roman" w:cs="Times New Roman"/>
        </w:rPr>
        <w:t xml:space="preserve"> </w:t>
      </w:r>
    </w:p>
    <w:tbl>
      <w:tblPr>
        <w:tblStyle w:val="LightShading2"/>
        <w:tblW w:w="13314" w:type="dxa"/>
        <w:tblLook w:val="04A0" w:firstRow="1" w:lastRow="0" w:firstColumn="1" w:lastColumn="0" w:noHBand="0" w:noVBand="1"/>
      </w:tblPr>
      <w:tblGrid>
        <w:gridCol w:w="1830"/>
        <w:gridCol w:w="1534"/>
        <w:gridCol w:w="1784"/>
        <w:gridCol w:w="2800"/>
        <w:gridCol w:w="1791"/>
        <w:gridCol w:w="1791"/>
        <w:gridCol w:w="1784"/>
      </w:tblGrid>
      <w:tr w:rsidR="00F15FD7" w14:paraId="122EF19D" w14:textId="77777777" w:rsidTr="00F15FD7">
        <w:trPr>
          <w:cnfStyle w:val="100000000000" w:firstRow="1" w:lastRow="0" w:firstColumn="0" w:lastColumn="0" w:oddVBand="0" w:evenVBand="0" w:oddHBand="0" w:evenHBand="0" w:firstRowFirstColumn="0" w:firstRowLastColumn="0" w:lastRowFirstColumn="0" w:lastRowLastColumn="0"/>
          <w:trHeight w:val="861"/>
        </w:trPr>
        <w:tc>
          <w:tcPr>
            <w:cnfStyle w:val="001000000000" w:firstRow="0" w:lastRow="0" w:firstColumn="1" w:lastColumn="0" w:oddVBand="0" w:evenVBand="0" w:oddHBand="0" w:evenHBand="0" w:firstRowFirstColumn="0" w:firstRowLastColumn="0" w:lastRowFirstColumn="0" w:lastRowLastColumn="0"/>
            <w:tcW w:w="1830" w:type="dxa"/>
          </w:tcPr>
          <w:p w14:paraId="5C5FF454" w14:textId="77777777" w:rsidR="00F15FD7" w:rsidRDefault="00563E74">
            <w:pPr>
              <w:spacing w:after="0" w:line="276" w:lineRule="auto"/>
              <w:rPr>
                <w:rFonts w:ascii="Times New Roman" w:eastAsia="Times New Roman" w:hAnsi="Times New Roman" w:cs="Times New Roman"/>
                <w:color w:val="auto"/>
              </w:rPr>
            </w:pPr>
            <w:r>
              <w:rPr>
                <w:rFonts w:ascii="Times New Roman" w:eastAsia="Times New Roman" w:hAnsi="Times New Roman" w:cs="Times New Roman"/>
                <w:color w:val="auto"/>
              </w:rPr>
              <w:t>Treatment</w:t>
            </w:r>
          </w:p>
        </w:tc>
        <w:tc>
          <w:tcPr>
            <w:tcW w:w="1534" w:type="dxa"/>
          </w:tcPr>
          <w:p w14:paraId="682D1C4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Pr>
                <w:rFonts w:ascii="Times New Roman" w:eastAsia="Times New Roman" w:hAnsi="Times New Roman" w:cs="Times New Roman"/>
                <w:color w:val="auto"/>
              </w:rPr>
              <w:t xml:space="preserve">Proline </w:t>
            </w:r>
          </w:p>
          <w:p w14:paraId="25A36B06"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(µmol g⁻¹ DW)</w:t>
            </w:r>
          </w:p>
        </w:tc>
        <w:tc>
          <w:tcPr>
            <w:tcW w:w="0" w:type="auto"/>
          </w:tcPr>
          <w:p w14:paraId="094D8FBD"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SOD (U mg⁻¹ protein)</w:t>
            </w:r>
          </w:p>
        </w:tc>
        <w:tc>
          <w:tcPr>
            <w:tcW w:w="0" w:type="auto"/>
          </w:tcPr>
          <w:p w14:paraId="7F8FEEDE"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Total phenolics (mg GAE / 100 g DW)</w:t>
            </w:r>
          </w:p>
        </w:tc>
        <w:tc>
          <w:tcPr>
            <w:tcW w:w="0" w:type="auto"/>
          </w:tcPr>
          <w:p w14:paraId="4FCBB71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CAT (U mg⁻¹ protein)</w:t>
            </w:r>
          </w:p>
        </w:tc>
        <w:tc>
          <w:tcPr>
            <w:tcW w:w="0" w:type="auto"/>
          </w:tcPr>
          <w:p w14:paraId="553C5568"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POD (U mg⁻¹ protein)</w:t>
            </w:r>
          </w:p>
        </w:tc>
        <w:tc>
          <w:tcPr>
            <w:tcW w:w="0" w:type="auto"/>
          </w:tcPr>
          <w:p w14:paraId="06A56561"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APX (U mg⁻¹ protein)</w:t>
            </w:r>
          </w:p>
        </w:tc>
      </w:tr>
      <w:tr w:rsidR="00F15FD7" w14:paraId="132B2DC9"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2DF7D06E"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 xml:space="preserve">Biochar </w:t>
            </w:r>
          </w:p>
        </w:tc>
        <w:tc>
          <w:tcPr>
            <w:tcW w:w="1534" w:type="dxa"/>
            <w:tcBorders>
              <w:right w:val="nil"/>
            </w:tcBorders>
          </w:tcPr>
          <w:p w14:paraId="1703CE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9.00</w:t>
            </w:r>
            <w:r>
              <w:rPr>
                <w:rFonts w:ascii="Times New Roman" w:eastAsia="Times New Roman" w:hAnsi="Times New Roman" w:cs="Times New Roman"/>
                <w:color w:val="auto"/>
                <w:vertAlign w:val="superscript"/>
              </w:rPr>
              <w:t>a</w:t>
            </w:r>
          </w:p>
        </w:tc>
        <w:tc>
          <w:tcPr>
            <w:tcW w:w="0" w:type="auto"/>
            <w:tcBorders>
              <w:right w:val="nil"/>
            </w:tcBorders>
          </w:tcPr>
          <w:p w14:paraId="082422B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70.00</w:t>
            </w:r>
            <w:r>
              <w:rPr>
                <w:rFonts w:ascii="Times New Roman" w:eastAsia="Times New Roman" w:hAnsi="Times New Roman" w:cs="Times New Roman"/>
                <w:color w:val="auto"/>
                <w:vertAlign w:val="superscript"/>
              </w:rPr>
              <w:t>a</w:t>
            </w:r>
          </w:p>
        </w:tc>
        <w:tc>
          <w:tcPr>
            <w:tcW w:w="0" w:type="auto"/>
            <w:tcBorders>
              <w:right w:val="nil"/>
            </w:tcBorders>
          </w:tcPr>
          <w:p w14:paraId="6D54C14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480.00</w:t>
            </w:r>
            <w:r>
              <w:rPr>
                <w:rFonts w:ascii="Times New Roman" w:eastAsia="Times New Roman" w:hAnsi="Times New Roman" w:cs="Times New Roman"/>
                <w:color w:val="auto"/>
                <w:vertAlign w:val="superscript"/>
              </w:rPr>
              <w:t>a</w:t>
            </w:r>
          </w:p>
        </w:tc>
        <w:tc>
          <w:tcPr>
            <w:tcW w:w="0" w:type="auto"/>
            <w:tcBorders>
              <w:right w:val="nil"/>
            </w:tcBorders>
          </w:tcPr>
          <w:p w14:paraId="6788028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22.00</w:t>
            </w:r>
            <w:r>
              <w:rPr>
                <w:rFonts w:ascii="Times New Roman" w:eastAsia="Times New Roman" w:hAnsi="Times New Roman" w:cs="Times New Roman"/>
                <w:color w:val="auto"/>
                <w:vertAlign w:val="superscript"/>
              </w:rPr>
              <w:t>a</w:t>
            </w:r>
          </w:p>
        </w:tc>
        <w:tc>
          <w:tcPr>
            <w:tcW w:w="0" w:type="auto"/>
            <w:tcBorders>
              <w:right w:val="nil"/>
            </w:tcBorders>
          </w:tcPr>
          <w:p w14:paraId="67D6F74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35.00</w:t>
            </w:r>
            <w:r>
              <w:rPr>
                <w:rFonts w:ascii="Times New Roman" w:eastAsia="Times New Roman" w:hAnsi="Times New Roman" w:cs="Times New Roman"/>
                <w:color w:val="auto"/>
                <w:vertAlign w:val="superscript"/>
              </w:rPr>
              <w:t>a</w:t>
            </w:r>
          </w:p>
        </w:tc>
        <w:tc>
          <w:tcPr>
            <w:tcW w:w="0" w:type="auto"/>
            <w:tcBorders>
              <w:right w:val="nil"/>
            </w:tcBorders>
          </w:tcPr>
          <w:p w14:paraId="3CDA062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26.00</w:t>
            </w:r>
            <w:r>
              <w:rPr>
                <w:rFonts w:ascii="Times New Roman" w:eastAsia="Times New Roman" w:hAnsi="Times New Roman" w:cs="Times New Roman"/>
                <w:color w:val="auto"/>
                <w:vertAlign w:val="superscript"/>
              </w:rPr>
              <w:t>a</w:t>
            </w:r>
          </w:p>
        </w:tc>
      </w:tr>
      <w:tr w:rsidR="00F15FD7" w14:paraId="58C75ACF"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30" w:type="dxa"/>
          </w:tcPr>
          <w:p w14:paraId="7A883828"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Trichoderma</w:t>
            </w:r>
          </w:p>
        </w:tc>
        <w:tc>
          <w:tcPr>
            <w:tcW w:w="1534" w:type="dxa"/>
          </w:tcPr>
          <w:p w14:paraId="56DF42F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w:t>
            </w:r>
            <w:r>
              <w:rPr>
                <w:rFonts w:ascii="Times New Roman" w:eastAsia="Times New Roman" w:hAnsi="Times New Roman" w:cs="Times New Roman"/>
                <w:color w:val="auto"/>
                <w:vertAlign w:val="superscript"/>
              </w:rPr>
              <w:t>a</w:t>
            </w:r>
          </w:p>
        </w:tc>
        <w:tc>
          <w:tcPr>
            <w:tcW w:w="0" w:type="auto"/>
          </w:tcPr>
          <w:p w14:paraId="4E185E2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75.00</w:t>
            </w:r>
            <w:r>
              <w:rPr>
                <w:rFonts w:ascii="Times New Roman" w:eastAsia="Times New Roman" w:hAnsi="Times New Roman" w:cs="Times New Roman"/>
                <w:color w:val="auto"/>
                <w:vertAlign w:val="superscript"/>
              </w:rPr>
              <w:t>a</w:t>
            </w:r>
          </w:p>
        </w:tc>
        <w:tc>
          <w:tcPr>
            <w:tcW w:w="0" w:type="auto"/>
          </w:tcPr>
          <w:p w14:paraId="17E21F3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520.00</w:t>
            </w:r>
            <w:r>
              <w:rPr>
                <w:rFonts w:ascii="Times New Roman" w:eastAsia="Times New Roman" w:hAnsi="Times New Roman" w:cs="Times New Roman"/>
                <w:color w:val="auto"/>
                <w:vertAlign w:val="superscript"/>
              </w:rPr>
              <w:t>b</w:t>
            </w:r>
          </w:p>
        </w:tc>
        <w:tc>
          <w:tcPr>
            <w:tcW w:w="0" w:type="auto"/>
          </w:tcPr>
          <w:p w14:paraId="58D481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23.00</w:t>
            </w:r>
            <w:r>
              <w:rPr>
                <w:rFonts w:ascii="Times New Roman" w:eastAsia="Times New Roman" w:hAnsi="Times New Roman" w:cs="Times New Roman"/>
                <w:color w:val="auto"/>
                <w:vertAlign w:val="superscript"/>
              </w:rPr>
              <w:t>a</w:t>
            </w:r>
          </w:p>
        </w:tc>
        <w:tc>
          <w:tcPr>
            <w:tcW w:w="0" w:type="auto"/>
          </w:tcPr>
          <w:p w14:paraId="6B7DF8F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38.00</w:t>
            </w:r>
            <w:r>
              <w:rPr>
                <w:rFonts w:ascii="Times New Roman" w:eastAsia="Times New Roman" w:hAnsi="Times New Roman" w:cs="Times New Roman"/>
                <w:color w:val="auto"/>
                <w:vertAlign w:val="superscript"/>
              </w:rPr>
              <w:t>a</w:t>
            </w:r>
          </w:p>
        </w:tc>
        <w:tc>
          <w:tcPr>
            <w:tcW w:w="0" w:type="auto"/>
          </w:tcPr>
          <w:p w14:paraId="5AC529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w:t>
            </w:r>
          </w:p>
        </w:tc>
      </w:tr>
      <w:tr w:rsidR="00F15FD7" w14:paraId="6E5D5C91"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72F39B27"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40% FC</w:t>
            </w:r>
          </w:p>
        </w:tc>
        <w:tc>
          <w:tcPr>
            <w:tcW w:w="1534" w:type="dxa"/>
            <w:tcBorders>
              <w:right w:val="nil"/>
            </w:tcBorders>
          </w:tcPr>
          <w:p w14:paraId="06940CD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w:t>
            </w:r>
            <w:r>
              <w:rPr>
                <w:rFonts w:ascii="Times New Roman" w:eastAsia="Times New Roman" w:hAnsi="Times New Roman" w:cs="Times New Roman"/>
                <w:color w:val="auto"/>
                <w:vertAlign w:val="superscript"/>
              </w:rPr>
              <w:t>g</w:t>
            </w:r>
          </w:p>
        </w:tc>
        <w:tc>
          <w:tcPr>
            <w:tcW w:w="0" w:type="auto"/>
            <w:tcBorders>
              <w:right w:val="nil"/>
            </w:tcBorders>
          </w:tcPr>
          <w:p w14:paraId="78BDA7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150.00</w:t>
            </w:r>
            <w:r>
              <w:rPr>
                <w:rFonts w:ascii="Times New Roman" w:eastAsia="Times New Roman" w:hAnsi="Times New Roman" w:cs="Times New Roman"/>
                <w:color w:val="auto"/>
                <w:vertAlign w:val="superscript"/>
              </w:rPr>
              <w:t>e</w:t>
            </w:r>
          </w:p>
        </w:tc>
        <w:tc>
          <w:tcPr>
            <w:tcW w:w="0" w:type="auto"/>
            <w:tcBorders>
              <w:right w:val="nil"/>
            </w:tcBorders>
          </w:tcPr>
          <w:p w14:paraId="1EBE0C0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820.00</w:t>
            </w:r>
            <w:r>
              <w:rPr>
                <w:rFonts w:ascii="Times New Roman" w:eastAsia="Times New Roman" w:hAnsi="Times New Roman" w:cs="Times New Roman"/>
                <w:color w:val="auto"/>
                <w:vertAlign w:val="superscript"/>
              </w:rPr>
              <w:t>d</w:t>
            </w:r>
          </w:p>
        </w:tc>
        <w:tc>
          <w:tcPr>
            <w:tcW w:w="0" w:type="auto"/>
            <w:tcBorders>
              <w:right w:val="nil"/>
            </w:tcBorders>
          </w:tcPr>
          <w:p w14:paraId="7BE0BA9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w:t>
            </w:r>
            <w:r>
              <w:rPr>
                <w:rFonts w:ascii="Times New Roman" w:eastAsia="Times New Roman" w:hAnsi="Times New Roman" w:cs="Times New Roman"/>
                <w:color w:val="auto"/>
                <w:vertAlign w:val="superscript"/>
              </w:rPr>
              <w:t>e</w:t>
            </w:r>
          </w:p>
        </w:tc>
        <w:tc>
          <w:tcPr>
            <w:tcW w:w="0" w:type="auto"/>
            <w:tcBorders>
              <w:right w:val="nil"/>
            </w:tcBorders>
          </w:tcPr>
          <w:p w14:paraId="77622BD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90.00</w:t>
            </w:r>
            <w:r>
              <w:rPr>
                <w:rFonts w:ascii="Times New Roman" w:eastAsia="Times New Roman" w:hAnsi="Times New Roman" w:cs="Times New Roman"/>
                <w:color w:val="auto"/>
                <w:vertAlign w:val="superscript"/>
              </w:rPr>
              <w:t>d</w:t>
            </w:r>
          </w:p>
        </w:tc>
        <w:tc>
          <w:tcPr>
            <w:tcW w:w="0" w:type="auto"/>
            <w:tcBorders>
              <w:right w:val="nil"/>
            </w:tcBorders>
          </w:tcPr>
          <w:p w14:paraId="0C387E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70.00</w:t>
            </w:r>
            <w:r>
              <w:rPr>
                <w:rFonts w:ascii="Times New Roman" w:eastAsia="Times New Roman" w:hAnsi="Times New Roman" w:cs="Times New Roman"/>
                <w:color w:val="auto"/>
                <w:vertAlign w:val="superscript"/>
              </w:rPr>
              <w:t>e</w:t>
            </w:r>
          </w:p>
        </w:tc>
      </w:tr>
      <w:tr w:rsidR="00F15FD7" w14:paraId="6E52F157"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Pr>
          <w:p w14:paraId="0EB50E3B"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60% FC</w:t>
            </w:r>
          </w:p>
        </w:tc>
        <w:tc>
          <w:tcPr>
            <w:tcW w:w="1534" w:type="dxa"/>
          </w:tcPr>
          <w:p w14:paraId="52EFA21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25.00</w:t>
            </w:r>
            <w:r>
              <w:rPr>
                <w:rFonts w:ascii="Times New Roman" w:eastAsia="Times New Roman" w:hAnsi="Times New Roman" w:cs="Times New Roman"/>
                <w:color w:val="auto"/>
                <w:vertAlign w:val="superscript"/>
              </w:rPr>
              <w:t>abc</w:t>
            </w:r>
          </w:p>
        </w:tc>
        <w:tc>
          <w:tcPr>
            <w:tcW w:w="0" w:type="auto"/>
          </w:tcPr>
          <w:p w14:paraId="4E2ADA3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110.00</w:t>
            </w:r>
            <w:r>
              <w:rPr>
                <w:rFonts w:ascii="Times New Roman" w:eastAsia="Times New Roman" w:hAnsi="Times New Roman" w:cs="Times New Roman"/>
                <w:color w:val="auto"/>
                <w:vertAlign w:val="superscript"/>
              </w:rPr>
              <w:t>c</w:t>
            </w:r>
          </w:p>
        </w:tc>
        <w:tc>
          <w:tcPr>
            <w:tcW w:w="0" w:type="auto"/>
          </w:tcPr>
          <w:p w14:paraId="5D03871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620.00</w:t>
            </w:r>
            <w:r>
              <w:rPr>
                <w:rFonts w:ascii="Times New Roman" w:eastAsia="Times New Roman" w:hAnsi="Times New Roman" w:cs="Times New Roman"/>
                <w:color w:val="auto"/>
                <w:vertAlign w:val="superscript"/>
              </w:rPr>
              <w:t>bc</w:t>
            </w:r>
          </w:p>
        </w:tc>
        <w:tc>
          <w:tcPr>
            <w:tcW w:w="0" w:type="auto"/>
          </w:tcPr>
          <w:p w14:paraId="6B616B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40.00</w:t>
            </w:r>
            <w:r>
              <w:rPr>
                <w:rFonts w:ascii="Times New Roman" w:eastAsia="Times New Roman" w:hAnsi="Times New Roman" w:cs="Times New Roman"/>
                <w:color w:val="auto"/>
                <w:vertAlign w:val="superscript"/>
              </w:rPr>
              <w:t>d</w:t>
            </w:r>
          </w:p>
        </w:tc>
        <w:tc>
          <w:tcPr>
            <w:tcW w:w="0" w:type="auto"/>
          </w:tcPr>
          <w:p w14:paraId="1361E1D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65.00</w:t>
            </w:r>
            <w:r>
              <w:rPr>
                <w:rFonts w:ascii="Times New Roman" w:eastAsia="Times New Roman" w:hAnsi="Times New Roman" w:cs="Times New Roman"/>
                <w:color w:val="auto"/>
                <w:vertAlign w:val="superscript"/>
              </w:rPr>
              <w:t>b</w:t>
            </w:r>
          </w:p>
        </w:tc>
        <w:tc>
          <w:tcPr>
            <w:tcW w:w="0" w:type="auto"/>
          </w:tcPr>
          <w:p w14:paraId="2D21374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cd</w:t>
            </w:r>
          </w:p>
        </w:tc>
      </w:tr>
      <w:tr w:rsidR="00F15FD7" w14:paraId="0EB9490B"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7F01802D"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100% FC</w:t>
            </w:r>
          </w:p>
        </w:tc>
        <w:tc>
          <w:tcPr>
            <w:tcW w:w="1534" w:type="dxa"/>
            <w:tcBorders>
              <w:right w:val="nil"/>
            </w:tcBorders>
          </w:tcPr>
          <w:p w14:paraId="779F3C0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10.00</w:t>
            </w:r>
            <w:r>
              <w:rPr>
                <w:rFonts w:ascii="Times New Roman" w:eastAsia="Times New Roman" w:hAnsi="Times New Roman" w:cs="Times New Roman"/>
                <w:color w:val="auto"/>
                <w:vertAlign w:val="superscript"/>
              </w:rPr>
              <w:t>a</w:t>
            </w:r>
          </w:p>
        </w:tc>
        <w:tc>
          <w:tcPr>
            <w:tcW w:w="0" w:type="auto"/>
            <w:tcBorders>
              <w:right w:val="nil"/>
            </w:tcBorders>
          </w:tcPr>
          <w:p w14:paraId="32CDBD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w:t>
            </w:r>
            <w:r>
              <w:rPr>
                <w:rFonts w:ascii="Times New Roman" w:eastAsia="Times New Roman" w:hAnsi="Times New Roman" w:cs="Times New Roman"/>
                <w:color w:val="auto"/>
                <w:vertAlign w:val="superscript"/>
              </w:rPr>
              <w:t>a</w:t>
            </w:r>
          </w:p>
        </w:tc>
        <w:tc>
          <w:tcPr>
            <w:tcW w:w="0" w:type="auto"/>
            <w:tcBorders>
              <w:right w:val="nil"/>
            </w:tcBorders>
          </w:tcPr>
          <w:p w14:paraId="19E6923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420.00</w:t>
            </w:r>
            <w:r>
              <w:rPr>
                <w:rFonts w:ascii="Times New Roman" w:eastAsia="Times New Roman" w:hAnsi="Times New Roman" w:cs="Times New Roman"/>
                <w:color w:val="auto"/>
                <w:vertAlign w:val="superscript"/>
              </w:rPr>
              <w:t>a</w:t>
            </w:r>
          </w:p>
        </w:tc>
        <w:tc>
          <w:tcPr>
            <w:tcW w:w="0" w:type="auto"/>
            <w:tcBorders>
              <w:right w:val="nil"/>
            </w:tcBorders>
          </w:tcPr>
          <w:p w14:paraId="3D853F3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20.00</w:t>
            </w:r>
            <w:r>
              <w:rPr>
                <w:rFonts w:ascii="Times New Roman" w:eastAsia="Times New Roman" w:hAnsi="Times New Roman" w:cs="Times New Roman"/>
                <w:color w:val="auto"/>
                <w:vertAlign w:val="superscript"/>
              </w:rPr>
              <w:t>a</w:t>
            </w:r>
          </w:p>
        </w:tc>
        <w:tc>
          <w:tcPr>
            <w:tcW w:w="0" w:type="auto"/>
            <w:tcBorders>
              <w:right w:val="nil"/>
            </w:tcBorders>
          </w:tcPr>
          <w:p w14:paraId="3BD73A5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30.00</w:t>
            </w:r>
            <w:r>
              <w:rPr>
                <w:rFonts w:ascii="Times New Roman" w:eastAsia="Times New Roman" w:hAnsi="Times New Roman" w:cs="Times New Roman"/>
                <w:color w:val="auto"/>
                <w:vertAlign w:val="superscript"/>
              </w:rPr>
              <w:t>a</w:t>
            </w:r>
          </w:p>
        </w:tc>
        <w:tc>
          <w:tcPr>
            <w:tcW w:w="0" w:type="auto"/>
            <w:tcBorders>
              <w:right w:val="nil"/>
            </w:tcBorders>
          </w:tcPr>
          <w:p w14:paraId="4AE6AE4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24.00</w:t>
            </w:r>
            <w:r>
              <w:rPr>
                <w:rFonts w:ascii="Times New Roman" w:eastAsia="Times New Roman" w:hAnsi="Times New Roman" w:cs="Times New Roman"/>
                <w:color w:val="auto"/>
                <w:vertAlign w:val="superscript"/>
              </w:rPr>
              <w:t>a</w:t>
            </w:r>
          </w:p>
        </w:tc>
      </w:tr>
      <w:tr w:rsidR="00F15FD7" w14:paraId="25129916"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Pr>
          <w:p w14:paraId="7533DDA5"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+ 40% FC</w:t>
            </w:r>
          </w:p>
        </w:tc>
        <w:tc>
          <w:tcPr>
            <w:tcW w:w="1534" w:type="dxa"/>
          </w:tcPr>
          <w:p w14:paraId="61CAFB0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cd</w:t>
            </w:r>
          </w:p>
        </w:tc>
        <w:tc>
          <w:tcPr>
            <w:tcW w:w="0" w:type="auto"/>
          </w:tcPr>
          <w:p w14:paraId="430E022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110.00</w:t>
            </w:r>
            <w:r>
              <w:rPr>
                <w:rFonts w:ascii="Times New Roman" w:eastAsia="Times New Roman" w:hAnsi="Times New Roman" w:cs="Times New Roman"/>
                <w:color w:val="auto"/>
                <w:vertAlign w:val="superscript"/>
              </w:rPr>
              <w:t>c</w:t>
            </w:r>
          </w:p>
        </w:tc>
        <w:tc>
          <w:tcPr>
            <w:tcW w:w="0" w:type="auto"/>
          </w:tcPr>
          <w:p w14:paraId="0B75899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780.00c</w:t>
            </w:r>
          </w:p>
        </w:tc>
        <w:tc>
          <w:tcPr>
            <w:tcW w:w="0" w:type="auto"/>
          </w:tcPr>
          <w:p w14:paraId="372CC75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d</w:t>
            </w:r>
          </w:p>
        </w:tc>
        <w:tc>
          <w:tcPr>
            <w:tcW w:w="0" w:type="auto"/>
          </w:tcPr>
          <w:p w14:paraId="4BE7374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80.00</w:t>
            </w:r>
            <w:r>
              <w:rPr>
                <w:rFonts w:ascii="Times New Roman" w:eastAsia="Times New Roman" w:hAnsi="Times New Roman" w:cs="Times New Roman"/>
                <w:color w:val="auto"/>
                <w:vertAlign w:val="superscript"/>
              </w:rPr>
              <w:t>d</w:t>
            </w:r>
          </w:p>
        </w:tc>
        <w:tc>
          <w:tcPr>
            <w:tcW w:w="0" w:type="auto"/>
          </w:tcPr>
          <w:p w14:paraId="003FA7B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52.00</w:t>
            </w:r>
            <w:r>
              <w:rPr>
                <w:rFonts w:ascii="Times New Roman" w:eastAsia="Times New Roman" w:hAnsi="Times New Roman" w:cs="Times New Roman"/>
                <w:color w:val="auto"/>
                <w:vertAlign w:val="superscript"/>
              </w:rPr>
              <w:t>c</w:t>
            </w:r>
          </w:p>
        </w:tc>
      </w:tr>
      <w:tr w:rsidR="00F15FD7" w14:paraId="1980ABFE"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5587A6E7"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+ 60% FC</w:t>
            </w:r>
          </w:p>
        </w:tc>
        <w:tc>
          <w:tcPr>
            <w:tcW w:w="1534" w:type="dxa"/>
            <w:tcBorders>
              <w:right w:val="nil"/>
            </w:tcBorders>
          </w:tcPr>
          <w:p w14:paraId="501ABFD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16.00</w:t>
            </w:r>
            <w:r>
              <w:rPr>
                <w:rFonts w:ascii="Times New Roman" w:eastAsia="Times New Roman" w:hAnsi="Times New Roman" w:cs="Times New Roman"/>
                <w:color w:val="auto"/>
                <w:vertAlign w:val="superscript"/>
              </w:rPr>
              <w:t>a</w:t>
            </w:r>
          </w:p>
        </w:tc>
        <w:tc>
          <w:tcPr>
            <w:tcW w:w="0" w:type="auto"/>
            <w:tcBorders>
              <w:right w:val="nil"/>
            </w:tcBorders>
          </w:tcPr>
          <w:p w14:paraId="2D3E5F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85.00</w:t>
            </w:r>
            <w:r>
              <w:rPr>
                <w:rFonts w:ascii="Times New Roman" w:eastAsia="Times New Roman" w:hAnsi="Times New Roman" w:cs="Times New Roman"/>
                <w:color w:val="auto"/>
                <w:vertAlign w:val="superscript"/>
              </w:rPr>
              <w:t>b</w:t>
            </w:r>
          </w:p>
        </w:tc>
        <w:tc>
          <w:tcPr>
            <w:tcW w:w="0" w:type="auto"/>
            <w:tcBorders>
              <w:right w:val="nil"/>
            </w:tcBorders>
          </w:tcPr>
          <w:p w14:paraId="4CDD5ED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580.00</w:t>
            </w:r>
            <w:r>
              <w:rPr>
                <w:rFonts w:ascii="Times New Roman" w:eastAsia="Times New Roman" w:hAnsi="Times New Roman" w:cs="Times New Roman"/>
                <w:color w:val="auto"/>
                <w:vertAlign w:val="superscript"/>
              </w:rPr>
              <w:t>b</w:t>
            </w:r>
          </w:p>
        </w:tc>
        <w:tc>
          <w:tcPr>
            <w:tcW w:w="0" w:type="auto"/>
            <w:tcBorders>
              <w:right w:val="nil"/>
            </w:tcBorders>
          </w:tcPr>
          <w:p w14:paraId="638BE8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30.00</w:t>
            </w:r>
            <w:r>
              <w:rPr>
                <w:rFonts w:ascii="Times New Roman" w:eastAsia="Times New Roman" w:hAnsi="Times New Roman" w:cs="Times New Roman"/>
                <w:color w:val="auto"/>
                <w:vertAlign w:val="superscript"/>
              </w:rPr>
              <w:t>ab</w:t>
            </w:r>
          </w:p>
        </w:tc>
        <w:tc>
          <w:tcPr>
            <w:tcW w:w="0" w:type="auto"/>
            <w:tcBorders>
              <w:right w:val="nil"/>
            </w:tcBorders>
          </w:tcPr>
          <w:p w14:paraId="095E59E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55.00</w:t>
            </w:r>
            <w:r>
              <w:rPr>
                <w:rFonts w:ascii="Times New Roman" w:eastAsia="Times New Roman" w:hAnsi="Times New Roman" w:cs="Times New Roman"/>
                <w:color w:val="auto"/>
                <w:vertAlign w:val="superscript"/>
              </w:rPr>
              <w:t>b</w:t>
            </w:r>
          </w:p>
        </w:tc>
        <w:tc>
          <w:tcPr>
            <w:tcW w:w="0" w:type="auto"/>
            <w:tcBorders>
              <w:right w:val="nil"/>
            </w:tcBorders>
          </w:tcPr>
          <w:p w14:paraId="03ACDC0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35.00</w:t>
            </w:r>
            <w:r>
              <w:rPr>
                <w:rFonts w:ascii="Times New Roman" w:eastAsia="Times New Roman" w:hAnsi="Times New Roman" w:cs="Times New Roman"/>
                <w:color w:val="auto"/>
                <w:vertAlign w:val="superscript"/>
              </w:rPr>
              <w:t>ab</w:t>
            </w:r>
          </w:p>
        </w:tc>
      </w:tr>
      <w:tr w:rsidR="00F15FD7" w14:paraId="1A81E864"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Pr>
          <w:p w14:paraId="7852E764"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+ 100% FC</w:t>
            </w:r>
          </w:p>
        </w:tc>
        <w:tc>
          <w:tcPr>
            <w:tcW w:w="1534" w:type="dxa"/>
          </w:tcPr>
          <w:p w14:paraId="1F83E96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w:t>
            </w:r>
            <w:r>
              <w:rPr>
                <w:rFonts w:ascii="Times New Roman" w:eastAsia="Times New Roman" w:hAnsi="Times New Roman" w:cs="Times New Roman"/>
                <w:color w:val="auto"/>
                <w:vertAlign w:val="superscript"/>
              </w:rPr>
              <w:t>a</w:t>
            </w:r>
          </w:p>
        </w:tc>
        <w:tc>
          <w:tcPr>
            <w:tcW w:w="0" w:type="auto"/>
          </w:tcPr>
          <w:p w14:paraId="229DFAD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68.00</w:t>
            </w:r>
            <w:r>
              <w:rPr>
                <w:rFonts w:ascii="Times New Roman" w:eastAsia="Times New Roman" w:hAnsi="Times New Roman" w:cs="Times New Roman"/>
                <w:color w:val="auto"/>
                <w:vertAlign w:val="superscript"/>
              </w:rPr>
              <w:t>a</w:t>
            </w:r>
          </w:p>
        </w:tc>
        <w:tc>
          <w:tcPr>
            <w:tcW w:w="0" w:type="auto"/>
          </w:tcPr>
          <w:p w14:paraId="21AD15E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500.00</w:t>
            </w:r>
            <w:r>
              <w:rPr>
                <w:rFonts w:ascii="Times New Roman" w:eastAsia="Times New Roman" w:hAnsi="Times New Roman" w:cs="Times New Roman"/>
                <w:color w:val="auto"/>
                <w:vertAlign w:val="superscript"/>
              </w:rPr>
              <w:t>b</w:t>
            </w:r>
          </w:p>
        </w:tc>
        <w:tc>
          <w:tcPr>
            <w:tcW w:w="0" w:type="auto"/>
          </w:tcPr>
          <w:p w14:paraId="082ED65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22.00</w:t>
            </w:r>
            <w:r>
              <w:rPr>
                <w:rFonts w:ascii="Times New Roman" w:eastAsia="Times New Roman" w:hAnsi="Times New Roman" w:cs="Times New Roman"/>
                <w:color w:val="auto"/>
                <w:vertAlign w:val="superscript"/>
              </w:rPr>
              <w:t>a</w:t>
            </w:r>
          </w:p>
        </w:tc>
        <w:tc>
          <w:tcPr>
            <w:tcW w:w="0" w:type="auto"/>
          </w:tcPr>
          <w:p w14:paraId="07E114F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36.00</w:t>
            </w:r>
            <w:r>
              <w:rPr>
                <w:rFonts w:ascii="Times New Roman" w:eastAsia="Times New Roman" w:hAnsi="Times New Roman" w:cs="Times New Roman"/>
                <w:color w:val="auto"/>
                <w:vertAlign w:val="superscript"/>
              </w:rPr>
              <w:t>a</w:t>
            </w:r>
          </w:p>
        </w:tc>
        <w:tc>
          <w:tcPr>
            <w:tcW w:w="0" w:type="auto"/>
          </w:tcPr>
          <w:p w14:paraId="60EDB69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27.00</w:t>
            </w:r>
            <w:r>
              <w:rPr>
                <w:rFonts w:ascii="Times New Roman" w:eastAsia="Times New Roman" w:hAnsi="Times New Roman" w:cs="Times New Roman"/>
                <w:color w:val="auto"/>
                <w:vertAlign w:val="superscript"/>
              </w:rPr>
              <w:t>a</w:t>
            </w:r>
          </w:p>
        </w:tc>
      </w:tr>
      <w:tr w:rsidR="00F15FD7" w14:paraId="047B4A61"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04BD06A5"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 + 40% FC</w:t>
            </w:r>
          </w:p>
        </w:tc>
        <w:tc>
          <w:tcPr>
            <w:tcW w:w="1534" w:type="dxa"/>
            <w:tcBorders>
              <w:right w:val="nil"/>
            </w:tcBorders>
          </w:tcPr>
          <w:p w14:paraId="62B491E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38.00</w:t>
            </w:r>
            <w:r>
              <w:rPr>
                <w:rFonts w:ascii="Times New Roman" w:eastAsia="Times New Roman" w:hAnsi="Times New Roman" w:cs="Times New Roman"/>
                <w:color w:val="auto"/>
                <w:vertAlign w:val="superscript"/>
              </w:rPr>
              <w:t>c</w:t>
            </w:r>
          </w:p>
        </w:tc>
        <w:tc>
          <w:tcPr>
            <w:tcW w:w="0" w:type="auto"/>
            <w:tcBorders>
              <w:right w:val="nil"/>
            </w:tcBorders>
          </w:tcPr>
          <w:p w14:paraId="444E19F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105.00</w:t>
            </w:r>
            <w:r>
              <w:rPr>
                <w:rFonts w:ascii="Times New Roman" w:eastAsia="Times New Roman" w:hAnsi="Times New Roman" w:cs="Times New Roman"/>
                <w:color w:val="auto"/>
                <w:vertAlign w:val="superscript"/>
              </w:rPr>
              <w:t>c</w:t>
            </w:r>
          </w:p>
        </w:tc>
        <w:tc>
          <w:tcPr>
            <w:tcW w:w="0" w:type="auto"/>
            <w:tcBorders>
              <w:right w:val="nil"/>
            </w:tcBorders>
          </w:tcPr>
          <w:p w14:paraId="03470AC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800.00</w:t>
            </w:r>
            <w:r>
              <w:rPr>
                <w:rFonts w:ascii="Times New Roman" w:eastAsia="Times New Roman" w:hAnsi="Times New Roman" w:cs="Times New Roman"/>
                <w:color w:val="auto"/>
                <w:vertAlign w:val="superscript"/>
              </w:rPr>
              <w:t>d</w:t>
            </w:r>
          </w:p>
        </w:tc>
        <w:tc>
          <w:tcPr>
            <w:tcW w:w="0" w:type="auto"/>
            <w:tcBorders>
              <w:right w:val="nil"/>
            </w:tcBorders>
          </w:tcPr>
          <w:p w14:paraId="577512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44.00</w:t>
            </w:r>
            <w:r>
              <w:rPr>
                <w:rFonts w:ascii="Times New Roman" w:eastAsia="Times New Roman" w:hAnsi="Times New Roman" w:cs="Times New Roman"/>
                <w:color w:val="auto"/>
                <w:vertAlign w:val="superscript"/>
              </w:rPr>
              <w:t>d</w:t>
            </w:r>
          </w:p>
        </w:tc>
        <w:tc>
          <w:tcPr>
            <w:tcW w:w="0" w:type="auto"/>
            <w:tcBorders>
              <w:right w:val="nil"/>
            </w:tcBorders>
          </w:tcPr>
          <w:p w14:paraId="4164663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78.00</w:t>
            </w:r>
            <w:r>
              <w:rPr>
                <w:rFonts w:ascii="Times New Roman" w:eastAsia="Times New Roman" w:hAnsi="Times New Roman" w:cs="Times New Roman"/>
                <w:color w:val="auto"/>
                <w:vertAlign w:val="superscript"/>
              </w:rPr>
              <w:t>c</w:t>
            </w:r>
          </w:p>
        </w:tc>
        <w:tc>
          <w:tcPr>
            <w:tcW w:w="0" w:type="auto"/>
            <w:tcBorders>
              <w:right w:val="nil"/>
            </w:tcBorders>
          </w:tcPr>
          <w:p w14:paraId="43B150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50.00</w:t>
            </w:r>
            <w:r>
              <w:rPr>
                <w:rFonts w:ascii="Times New Roman" w:eastAsia="Times New Roman" w:hAnsi="Times New Roman" w:cs="Times New Roman"/>
                <w:color w:val="auto"/>
                <w:vertAlign w:val="superscript"/>
              </w:rPr>
              <w:t>c</w:t>
            </w:r>
          </w:p>
        </w:tc>
      </w:tr>
      <w:tr w:rsidR="00F15FD7" w14:paraId="4FD549B9" w14:textId="77777777" w:rsidTr="00F15FD7">
        <w:trPr>
          <w:trHeight w:val="441"/>
        </w:trPr>
        <w:tc>
          <w:tcPr>
            <w:cnfStyle w:val="001000000000" w:firstRow="0" w:lastRow="0" w:firstColumn="1" w:lastColumn="0" w:oddVBand="0" w:evenVBand="0" w:oddHBand="0" w:evenHBand="0" w:firstRowFirstColumn="0" w:firstRowLastColumn="0" w:lastRowFirstColumn="0" w:lastRowLastColumn="0"/>
            <w:tcW w:w="1830" w:type="dxa"/>
          </w:tcPr>
          <w:p w14:paraId="08E12563"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 + 60% FC</w:t>
            </w:r>
          </w:p>
        </w:tc>
        <w:tc>
          <w:tcPr>
            <w:tcW w:w="1534" w:type="dxa"/>
          </w:tcPr>
          <w:p w14:paraId="4063F8A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14.00</w:t>
            </w:r>
            <w:r>
              <w:rPr>
                <w:rFonts w:ascii="Times New Roman" w:eastAsia="Times New Roman" w:hAnsi="Times New Roman" w:cs="Times New Roman"/>
                <w:color w:val="auto"/>
                <w:vertAlign w:val="superscript"/>
              </w:rPr>
              <w:t>ab</w:t>
            </w:r>
          </w:p>
        </w:tc>
        <w:tc>
          <w:tcPr>
            <w:tcW w:w="0" w:type="auto"/>
          </w:tcPr>
          <w:p w14:paraId="564695D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82.00</w:t>
            </w:r>
            <w:r>
              <w:rPr>
                <w:rFonts w:ascii="Times New Roman" w:eastAsia="Times New Roman" w:hAnsi="Times New Roman" w:cs="Times New Roman"/>
                <w:color w:val="auto"/>
                <w:vertAlign w:val="superscript"/>
              </w:rPr>
              <w:t>ab</w:t>
            </w:r>
          </w:p>
        </w:tc>
        <w:tc>
          <w:tcPr>
            <w:tcW w:w="0" w:type="auto"/>
          </w:tcPr>
          <w:p w14:paraId="6CEEAF3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600.00</w:t>
            </w:r>
            <w:r>
              <w:rPr>
                <w:rFonts w:ascii="Times New Roman" w:eastAsia="Times New Roman" w:hAnsi="Times New Roman" w:cs="Times New Roman"/>
                <w:color w:val="auto"/>
                <w:vertAlign w:val="superscript"/>
              </w:rPr>
              <w:t>bc</w:t>
            </w:r>
          </w:p>
        </w:tc>
        <w:tc>
          <w:tcPr>
            <w:tcW w:w="0" w:type="auto"/>
          </w:tcPr>
          <w:p w14:paraId="1BC4E2F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ab</w:t>
            </w:r>
          </w:p>
        </w:tc>
        <w:tc>
          <w:tcPr>
            <w:tcW w:w="0" w:type="auto"/>
          </w:tcPr>
          <w:p w14:paraId="6B430B1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53.00</w:t>
            </w:r>
            <w:r>
              <w:rPr>
                <w:rFonts w:ascii="Times New Roman" w:eastAsia="Times New Roman" w:hAnsi="Times New Roman" w:cs="Times New Roman"/>
                <w:color w:val="auto"/>
                <w:vertAlign w:val="superscript"/>
              </w:rPr>
              <w:t>b</w:t>
            </w:r>
          </w:p>
        </w:tc>
        <w:tc>
          <w:tcPr>
            <w:tcW w:w="0" w:type="auto"/>
          </w:tcPr>
          <w:p w14:paraId="060D85D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33.00</w:t>
            </w:r>
            <w:r>
              <w:rPr>
                <w:rFonts w:ascii="Times New Roman" w:eastAsia="Times New Roman" w:hAnsi="Times New Roman" w:cs="Times New Roman"/>
                <w:color w:val="auto"/>
                <w:vertAlign w:val="superscript"/>
              </w:rPr>
              <w:t>abc</w:t>
            </w:r>
          </w:p>
        </w:tc>
      </w:tr>
      <w:tr w:rsidR="00F15FD7" w14:paraId="27EACFCE" w14:textId="77777777" w:rsidTr="00F15FD7">
        <w:trPr>
          <w:trHeight w:val="415"/>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447A2143"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T + 100% FC</w:t>
            </w:r>
          </w:p>
        </w:tc>
        <w:tc>
          <w:tcPr>
            <w:tcW w:w="1534" w:type="dxa"/>
            <w:tcBorders>
              <w:right w:val="nil"/>
            </w:tcBorders>
          </w:tcPr>
          <w:p w14:paraId="1C5AE62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w:t>
            </w:r>
            <w:r>
              <w:rPr>
                <w:rFonts w:ascii="Times New Roman" w:eastAsia="Times New Roman" w:hAnsi="Times New Roman" w:cs="Times New Roman"/>
                <w:color w:val="auto"/>
                <w:vertAlign w:val="superscript"/>
              </w:rPr>
              <w:t>a</w:t>
            </w:r>
          </w:p>
        </w:tc>
        <w:tc>
          <w:tcPr>
            <w:tcW w:w="0" w:type="auto"/>
            <w:tcBorders>
              <w:right w:val="nil"/>
            </w:tcBorders>
          </w:tcPr>
          <w:p w14:paraId="663B2AD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72.00</w:t>
            </w:r>
            <w:r>
              <w:rPr>
                <w:rFonts w:ascii="Times New Roman" w:eastAsia="Times New Roman" w:hAnsi="Times New Roman" w:cs="Times New Roman"/>
                <w:color w:val="auto"/>
                <w:vertAlign w:val="superscript"/>
              </w:rPr>
              <w:t>a</w:t>
            </w:r>
          </w:p>
        </w:tc>
        <w:tc>
          <w:tcPr>
            <w:tcW w:w="0" w:type="auto"/>
            <w:tcBorders>
              <w:right w:val="nil"/>
            </w:tcBorders>
          </w:tcPr>
          <w:p w14:paraId="06E79CC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540.00</w:t>
            </w:r>
            <w:r>
              <w:rPr>
                <w:rFonts w:ascii="Times New Roman" w:eastAsia="Times New Roman" w:hAnsi="Times New Roman" w:cs="Times New Roman"/>
                <w:color w:val="auto"/>
                <w:vertAlign w:val="superscript"/>
              </w:rPr>
              <w:t>b</w:t>
            </w:r>
          </w:p>
        </w:tc>
        <w:tc>
          <w:tcPr>
            <w:tcW w:w="0" w:type="auto"/>
            <w:tcBorders>
              <w:right w:val="nil"/>
            </w:tcBorders>
          </w:tcPr>
          <w:p w14:paraId="7E763E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23.00</w:t>
            </w:r>
            <w:r>
              <w:rPr>
                <w:rFonts w:ascii="Times New Roman" w:eastAsia="Times New Roman" w:hAnsi="Times New Roman" w:cs="Times New Roman"/>
                <w:color w:val="auto"/>
                <w:vertAlign w:val="superscript"/>
              </w:rPr>
              <w:t>a</w:t>
            </w:r>
          </w:p>
        </w:tc>
        <w:tc>
          <w:tcPr>
            <w:tcW w:w="0" w:type="auto"/>
            <w:tcBorders>
              <w:right w:val="nil"/>
            </w:tcBorders>
          </w:tcPr>
          <w:p w14:paraId="19572D9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39.00</w:t>
            </w:r>
            <w:r>
              <w:rPr>
                <w:rFonts w:ascii="Times New Roman" w:eastAsia="Times New Roman" w:hAnsi="Times New Roman" w:cs="Times New Roman"/>
                <w:color w:val="auto"/>
                <w:vertAlign w:val="superscript"/>
              </w:rPr>
              <w:t>a</w:t>
            </w:r>
          </w:p>
        </w:tc>
        <w:tc>
          <w:tcPr>
            <w:tcW w:w="0" w:type="auto"/>
            <w:tcBorders>
              <w:right w:val="nil"/>
            </w:tcBorders>
          </w:tcPr>
          <w:p w14:paraId="407D747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29.00</w:t>
            </w:r>
            <w:r>
              <w:rPr>
                <w:rFonts w:ascii="Times New Roman" w:eastAsia="Times New Roman" w:hAnsi="Times New Roman" w:cs="Times New Roman"/>
                <w:color w:val="auto"/>
                <w:vertAlign w:val="superscript"/>
              </w:rPr>
              <w:t>a</w:t>
            </w:r>
          </w:p>
        </w:tc>
      </w:tr>
      <w:tr w:rsidR="00F15FD7" w14:paraId="723DFCA2" w14:textId="77777777" w:rsidTr="00F15FD7">
        <w:trPr>
          <w:trHeight w:val="466"/>
        </w:trPr>
        <w:tc>
          <w:tcPr>
            <w:cnfStyle w:val="001000000000" w:firstRow="0" w:lastRow="0" w:firstColumn="1" w:lastColumn="0" w:oddVBand="0" w:evenVBand="0" w:oddHBand="0" w:evenHBand="0" w:firstRowFirstColumn="0" w:firstRowLastColumn="0" w:lastRowFirstColumn="0" w:lastRowLastColumn="0"/>
            <w:tcW w:w="1830" w:type="dxa"/>
          </w:tcPr>
          <w:p w14:paraId="7632D6FE"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T + 40% FC</w:t>
            </w:r>
          </w:p>
        </w:tc>
        <w:tc>
          <w:tcPr>
            <w:tcW w:w="1534" w:type="dxa"/>
          </w:tcPr>
          <w:p w14:paraId="176EC13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abc</w:t>
            </w:r>
          </w:p>
        </w:tc>
        <w:tc>
          <w:tcPr>
            <w:tcW w:w="0" w:type="auto"/>
          </w:tcPr>
          <w:p w14:paraId="0EF7270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95.00</w:t>
            </w:r>
            <w:r>
              <w:rPr>
                <w:rFonts w:ascii="Times New Roman" w:eastAsia="Times New Roman" w:hAnsi="Times New Roman" w:cs="Times New Roman"/>
                <w:color w:val="auto"/>
                <w:vertAlign w:val="superscript"/>
              </w:rPr>
              <w:t>b</w:t>
            </w:r>
          </w:p>
        </w:tc>
        <w:tc>
          <w:tcPr>
            <w:tcW w:w="0" w:type="auto"/>
          </w:tcPr>
          <w:p w14:paraId="3AA145C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760.00</w:t>
            </w:r>
            <w:r>
              <w:rPr>
                <w:rFonts w:ascii="Times New Roman" w:eastAsia="Times New Roman" w:hAnsi="Times New Roman" w:cs="Times New Roman"/>
                <w:color w:val="auto"/>
                <w:vertAlign w:val="superscript"/>
              </w:rPr>
              <w:t>c</w:t>
            </w:r>
          </w:p>
        </w:tc>
        <w:tc>
          <w:tcPr>
            <w:tcW w:w="0" w:type="auto"/>
          </w:tcPr>
          <w:p w14:paraId="57FDF3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38.00</w:t>
            </w:r>
            <w:r>
              <w:rPr>
                <w:rFonts w:ascii="Times New Roman" w:eastAsia="Times New Roman" w:hAnsi="Times New Roman" w:cs="Times New Roman"/>
                <w:color w:val="auto"/>
                <w:vertAlign w:val="superscript"/>
              </w:rPr>
              <w:t>b</w:t>
            </w:r>
          </w:p>
        </w:tc>
        <w:tc>
          <w:tcPr>
            <w:tcW w:w="0" w:type="auto"/>
          </w:tcPr>
          <w:p w14:paraId="4481AE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72.00</w:t>
            </w:r>
            <w:r>
              <w:rPr>
                <w:rFonts w:ascii="Times New Roman" w:eastAsia="Times New Roman" w:hAnsi="Times New Roman" w:cs="Times New Roman"/>
                <w:color w:val="auto"/>
                <w:vertAlign w:val="superscript"/>
              </w:rPr>
              <w:t>c</w:t>
            </w:r>
          </w:p>
        </w:tc>
        <w:tc>
          <w:tcPr>
            <w:tcW w:w="0" w:type="auto"/>
          </w:tcPr>
          <w:p w14:paraId="3E0C204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45.00</w:t>
            </w:r>
            <w:r>
              <w:rPr>
                <w:rFonts w:ascii="Times New Roman" w:eastAsia="Times New Roman" w:hAnsi="Times New Roman" w:cs="Times New Roman"/>
                <w:color w:val="auto"/>
                <w:vertAlign w:val="superscript"/>
              </w:rPr>
              <w:t>cd</w:t>
            </w:r>
          </w:p>
        </w:tc>
      </w:tr>
      <w:tr w:rsidR="00F15FD7" w14:paraId="5F847D1B" w14:textId="77777777" w:rsidTr="00F15FD7">
        <w:trPr>
          <w:trHeight w:val="398"/>
        </w:trPr>
        <w:tc>
          <w:tcPr>
            <w:cnfStyle w:val="001000000000" w:firstRow="0" w:lastRow="0" w:firstColumn="1" w:lastColumn="0" w:oddVBand="0" w:evenVBand="0" w:oddHBand="0" w:evenHBand="0" w:firstRowFirstColumn="0" w:firstRowLastColumn="0" w:lastRowFirstColumn="0" w:lastRowLastColumn="0"/>
            <w:tcW w:w="1830" w:type="dxa"/>
            <w:tcBorders>
              <w:left w:val="nil"/>
              <w:right w:val="nil"/>
            </w:tcBorders>
          </w:tcPr>
          <w:p w14:paraId="4F11B455"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T + 60% FC</w:t>
            </w:r>
          </w:p>
        </w:tc>
        <w:tc>
          <w:tcPr>
            <w:tcW w:w="1534" w:type="dxa"/>
            <w:tcBorders>
              <w:right w:val="nil"/>
            </w:tcBorders>
          </w:tcPr>
          <w:p w14:paraId="754006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11.00</w:t>
            </w:r>
            <w:r>
              <w:rPr>
                <w:rFonts w:ascii="Times New Roman" w:eastAsia="Times New Roman" w:hAnsi="Times New Roman" w:cs="Times New Roman"/>
                <w:color w:val="auto"/>
                <w:vertAlign w:val="superscript"/>
              </w:rPr>
              <w:t>a</w:t>
            </w:r>
          </w:p>
        </w:tc>
        <w:tc>
          <w:tcPr>
            <w:tcW w:w="0" w:type="auto"/>
            <w:tcBorders>
              <w:right w:val="nil"/>
            </w:tcBorders>
          </w:tcPr>
          <w:p w14:paraId="3453E1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78.00</w:t>
            </w:r>
            <w:r>
              <w:rPr>
                <w:rFonts w:ascii="Times New Roman" w:eastAsia="Times New Roman" w:hAnsi="Times New Roman" w:cs="Times New Roman"/>
                <w:color w:val="auto"/>
                <w:vertAlign w:val="superscript"/>
              </w:rPr>
              <w:t>ab</w:t>
            </w:r>
          </w:p>
        </w:tc>
        <w:tc>
          <w:tcPr>
            <w:tcW w:w="0" w:type="auto"/>
            <w:tcBorders>
              <w:right w:val="nil"/>
            </w:tcBorders>
          </w:tcPr>
          <w:p w14:paraId="110141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570.00</w:t>
            </w:r>
            <w:r>
              <w:rPr>
                <w:rFonts w:ascii="Times New Roman" w:eastAsia="Times New Roman" w:hAnsi="Times New Roman" w:cs="Times New Roman"/>
                <w:color w:val="auto"/>
                <w:vertAlign w:val="superscript"/>
              </w:rPr>
              <w:t>b</w:t>
            </w:r>
          </w:p>
        </w:tc>
        <w:tc>
          <w:tcPr>
            <w:tcW w:w="0" w:type="auto"/>
            <w:tcBorders>
              <w:right w:val="nil"/>
            </w:tcBorders>
          </w:tcPr>
          <w:p w14:paraId="783FA20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26.00</w:t>
            </w:r>
            <w:r>
              <w:rPr>
                <w:rFonts w:ascii="Times New Roman" w:eastAsia="Times New Roman" w:hAnsi="Times New Roman" w:cs="Times New Roman"/>
                <w:color w:val="auto"/>
                <w:vertAlign w:val="superscript"/>
              </w:rPr>
              <w:t>a</w:t>
            </w:r>
          </w:p>
        </w:tc>
        <w:tc>
          <w:tcPr>
            <w:tcW w:w="0" w:type="auto"/>
            <w:tcBorders>
              <w:right w:val="nil"/>
            </w:tcBorders>
          </w:tcPr>
          <w:p w14:paraId="3C3850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50.00</w:t>
            </w:r>
            <w:r>
              <w:rPr>
                <w:rFonts w:ascii="Times New Roman" w:eastAsia="Times New Roman" w:hAnsi="Times New Roman" w:cs="Times New Roman"/>
                <w:color w:val="auto"/>
                <w:vertAlign w:val="superscript"/>
              </w:rPr>
              <w:t>b</w:t>
            </w:r>
          </w:p>
        </w:tc>
        <w:tc>
          <w:tcPr>
            <w:tcW w:w="0" w:type="auto"/>
            <w:tcBorders>
              <w:right w:val="nil"/>
            </w:tcBorders>
          </w:tcPr>
          <w:p w14:paraId="577C884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32.00</w:t>
            </w:r>
            <w:r>
              <w:rPr>
                <w:rFonts w:ascii="Times New Roman" w:eastAsia="Times New Roman" w:hAnsi="Times New Roman" w:cs="Times New Roman"/>
                <w:color w:val="auto"/>
                <w:vertAlign w:val="superscript"/>
              </w:rPr>
              <w:t>abc</w:t>
            </w:r>
          </w:p>
        </w:tc>
      </w:tr>
      <w:tr w:rsidR="00F15FD7" w14:paraId="6AE48D4B" w14:textId="77777777" w:rsidTr="00F15FD7">
        <w:trPr>
          <w:trHeight w:val="398"/>
        </w:trPr>
        <w:tc>
          <w:tcPr>
            <w:cnfStyle w:val="001000000000" w:firstRow="0" w:lastRow="0" w:firstColumn="1" w:lastColumn="0" w:oddVBand="0" w:evenVBand="0" w:oddHBand="0" w:evenHBand="0" w:firstRowFirstColumn="0" w:firstRowLastColumn="0" w:lastRowFirstColumn="0" w:lastRowLastColumn="0"/>
            <w:tcW w:w="1830" w:type="dxa"/>
          </w:tcPr>
          <w:p w14:paraId="78C05DEE" w14:textId="77777777" w:rsidR="00F15FD7" w:rsidRDefault="00563E74">
            <w:pPr>
              <w:spacing w:after="0" w:line="276" w:lineRule="auto"/>
              <w:rPr>
                <w:rFonts w:ascii="Times New Roman" w:eastAsia="Times New Roman" w:hAnsi="Times New Roman" w:cs="Times New Roman"/>
                <w:b w:val="0"/>
                <w:color w:val="auto"/>
              </w:rPr>
            </w:pPr>
            <w:r>
              <w:rPr>
                <w:rFonts w:ascii="Times New Roman" w:eastAsia="Times New Roman" w:hAnsi="Times New Roman" w:cs="Times New Roman"/>
                <w:b w:val="0"/>
                <w:color w:val="auto"/>
              </w:rPr>
              <w:t>B + T + 100% FC</w:t>
            </w:r>
          </w:p>
        </w:tc>
        <w:tc>
          <w:tcPr>
            <w:tcW w:w="1534" w:type="dxa"/>
          </w:tcPr>
          <w:p w14:paraId="06E06D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6.00</w:t>
            </w:r>
            <w:r>
              <w:rPr>
                <w:rFonts w:ascii="Times New Roman" w:eastAsia="Times New Roman" w:hAnsi="Times New Roman" w:cs="Times New Roman"/>
                <w:color w:val="auto"/>
                <w:vertAlign w:val="superscript"/>
              </w:rPr>
              <w:t>a</w:t>
            </w:r>
          </w:p>
        </w:tc>
        <w:tc>
          <w:tcPr>
            <w:tcW w:w="0" w:type="auto"/>
          </w:tcPr>
          <w:p w14:paraId="6AD93D0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70.00</w:t>
            </w:r>
            <w:r>
              <w:rPr>
                <w:rFonts w:ascii="Times New Roman" w:eastAsia="Times New Roman" w:hAnsi="Times New Roman" w:cs="Times New Roman"/>
                <w:color w:val="auto"/>
                <w:vertAlign w:val="superscript"/>
              </w:rPr>
              <w:t>a</w:t>
            </w:r>
          </w:p>
        </w:tc>
        <w:tc>
          <w:tcPr>
            <w:tcW w:w="0" w:type="auto"/>
          </w:tcPr>
          <w:p w14:paraId="2B081D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550.00</w:t>
            </w:r>
            <w:r>
              <w:rPr>
                <w:rFonts w:ascii="Times New Roman" w:eastAsia="Times New Roman" w:hAnsi="Times New Roman" w:cs="Times New Roman"/>
                <w:color w:val="auto"/>
                <w:vertAlign w:val="superscript"/>
              </w:rPr>
              <w:t>b</w:t>
            </w:r>
          </w:p>
        </w:tc>
        <w:tc>
          <w:tcPr>
            <w:tcW w:w="0" w:type="auto"/>
          </w:tcPr>
          <w:p w14:paraId="7171C16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22.00</w:t>
            </w:r>
            <w:r>
              <w:rPr>
                <w:rFonts w:ascii="Times New Roman" w:eastAsia="Times New Roman" w:hAnsi="Times New Roman" w:cs="Times New Roman"/>
                <w:color w:val="auto"/>
                <w:vertAlign w:val="superscript"/>
              </w:rPr>
              <w:t>a</w:t>
            </w:r>
          </w:p>
        </w:tc>
        <w:tc>
          <w:tcPr>
            <w:tcW w:w="0" w:type="auto"/>
          </w:tcPr>
          <w:p w14:paraId="34165DB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37.00</w:t>
            </w:r>
            <w:r>
              <w:rPr>
                <w:rFonts w:ascii="Times New Roman" w:eastAsia="Times New Roman" w:hAnsi="Times New Roman" w:cs="Times New Roman"/>
                <w:color w:val="auto"/>
                <w:vertAlign w:val="superscript"/>
              </w:rPr>
              <w:t>a</w:t>
            </w:r>
          </w:p>
        </w:tc>
        <w:tc>
          <w:tcPr>
            <w:tcW w:w="0" w:type="auto"/>
          </w:tcPr>
          <w:p w14:paraId="591738A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Pr>
                <w:rFonts w:ascii="Times New Roman" w:eastAsia="Times New Roman" w:hAnsi="Times New Roman" w:cs="Times New Roman"/>
                <w:color w:val="auto"/>
              </w:rPr>
              <w:t>28.00</w:t>
            </w:r>
            <w:r>
              <w:rPr>
                <w:rFonts w:ascii="Times New Roman" w:eastAsia="Times New Roman" w:hAnsi="Times New Roman" w:cs="Times New Roman"/>
                <w:color w:val="auto"/>
                <w:vertAlign w:val="superscript"/>
              </w:rPr>
              <w:t>a</w:t>
            </w:r>
          </w:p>
        </w:tc>
      </w:tr>
    </w:tbl>
    <w:p w14:paraId="5D0D6C68" w14:textId="77777777" w:rsidR="00F15FD7" w:rsidRDefault="00563E74">
      <w:pPr>
        <w:tabs>
          <w:tab w:val="left" w:pos="2880"/>
        </w:tabs>
        <w:spacing w:after="0" w:line="276" w:lineRule="auto"/>
        <w:ind w:right="-244"/>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r>
        <w:rPr>
          <w:rFonts w:ascii="Times New Roman" w:hAnsi="Times New Roman" w:cs="Times New Roman"/>
        </w:rPr>
        <w:t xml:space="preserve">; </w:t>
      </w:r>
      <w:r>
        <w:rPr>
          <w:rFonts w:ascii="Times New Roman" w:eastAsia="Times New Roman" w:hAnsi="Times New Roman" w:cs="Times New Roman"/>
        </w:rPr>
        <w:t xml:space="preserve">SOD = superoxide dismutase; CAT = catalase; POD = peroxidase; APX = ascorbate </w:t>
      </w:r>
      <w:r>
        <w:rPr>
          <w:rFonts w:ascii="Times New Roman" w:eastAsia="Times New Roman" w:hAnsi="Times New Roman" w:cs="Times New Roman"/>
        </w:rPr>
        <w:t>peroxidase</w:t>
      </w:r>
    </w:p>
    <w:p w14:paraId="6704BCDA" w14:textId="77777777" w:rsidR="00F15FD7" w:rsidRDefault="00F15FD7">
      <w:pPr>
        <w:spacing w:line="276" w:lineRule="auto"/>
        <w:rPr>
          <w:rFonts w:ascii="Times New Roman" w:eastAsiaTheme="majorEastAsia" w:hAnsi="Times New Roman" w:cs="Times New Roman"/>
          <w:b/>
        </w:rPr>
      </w:pPr>
    </w:p>
    <w:p w14:paraId="3BCDE6B0" w14:textId="77777777" w:rsidR="00F15FD7" w:rsidRDefault="00F15FD7">
      <w:pPr>
        <w:tabs>
          <w:tab w:val="left" w:pos="2880"/>
        </w:tabs>
        <w:spacing w:after="0" w:line="276" w:lineRule="auto"/>
        <w:ind w:right="-244"/>
        <w:rPr>
          <w:rFonts w:ascii="Times New Roman" w:hAnsi="Times New Roman" w:cs="Times New Roman"/>
          <w:i/>
        </w:rPr>
      </w:pPr>
    </w:p>
    <w:p w14:paraId="6517D290" w14:textId="77777777" w:rsidR="00F15FD7" w:rsidRDefault="00F15FD7">
      <w:pPr>
        <w:spacing w:line="276" w:lineRule="auto"/>
        <w:rPr>
          <w:rFonts w:ascii="Times New Roman" w:hAnsi="Times New Roman" w:cs="Times New Roman"/>
          <w:b/>
        </w:rPr>
      </w:pPr>
    </w:p>
    <w:p w14:paraId="5DF5DC57" w14:textId="77777777" w:rsidR="00F15FD7" w:rsidRDefault="00F15FD7">
      <w:pPr>
        <w:spacing w:line="276" w:lineRule="auto"/>
        <w:rPr>
          <w:rFonts w:ascii="Times New Roman" w:hAnsi="Times New Roman" w:cs="Times New Roman"/>
        </w:rPr>
        <w:sectPr w:rsidR="00F15FD7">
          <w:pgSz w:w="15840" w:h="12240" w:orient="landscape"/>
          <w:pgMar w:top="900" w:right="1440" w:bottom="810" w:left="1440" w:header="720" w:footer="720" w:gutter="0"/>
          <w:cols w:space="720"/>
          <w:docGrid w:linePitch="360"/>
        </w:sectPr>
      </w:pPr>
    </w:p>
    <w:p w14:paraId="3C12E360" w14:textId="77777777" w:rsidR="00F15FD7" w:rsidRDefault="00F15FD7">
      <w:pPr>
        <w:spacing w:line="276" w:lineRule="auto"/>
        <w:rPr>
          <w:rFonts w:ascii="Times New Roman" w:hAnsi="Times New Roman" w:cs="Times New Roman"/>
          <w:b/>
          <w:bCs/>
        </w:rPr>
      </w:pPr>
    </w:p>
    <w:p w14:paraId="3BA9B7B0" w14:textId="77777777" w:rsidR="00F15FD7" w:rsidRDefault="00563E74">
      <w:pPr>
        <w:spacing w:line="276" w:lineRule="auto"/>
        <w:rPr>
          <w:rFonts w:ascii="Times New Roman" w:hAnsi="Times New Roman" w:cs="Times New Roman"/>
          <w:b/>
        </w:rPr>
      </w:pPr>
      <w:r>
        <w:rPr>
          <w:rFonts w:ascii="Times New Roman" w:hAnsi="Times New Roman" w:cs="Times New Roman"/>
          <w:b/>
        </w:rPr>
        <w:t>Table 8a: watering regime and biochar effects on the physical properties of experimental soil</w:t>
      </w:r>
    </w:p>
    <w:tbl>
      <w:tblPr>
        <w:tblStyle w:val="LightShading2"/>
        <w:tblpPr w:leftFromText="180" w:rightFromText="180" w:vertAnchor="text" w:horzAnchor="margin" w:tblpXSpec="center" w:tblpY="271"/>
        <w:tblW w:w="9742" w:type="dxa"/>
        <w:tblLook w:val="04A0" w:firstRow="1" w:lastRow="0" w:firstColumn="1" w:lastColumn="0" w:noHBand="0" w:noVBand="1"/>
      </w:tblPr>
      <w:tblGrid>
        <w:gridCol w:w="2520"/>
        <w:gridCol w:w="1798"/>
        <w:gridCol w:w="1440"/>
        <w:gridCol w:w="2143"/>
        <w:gridCol w:w="1841"/>
      </w:tblGrid>
      <w:tr w:rsidR="00F15FD7" w14:paraId="16A4B0F8" w14:textId="77777777" w:rsidTr="00F15FD7">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2520" w:type="dxa"/>
            <w:noWrap/>
          </w:tcPr>
          <w:p w14:paraId="78F89E4B" w14:textId="77777777" w:rsidR="00F15FD7" w:rsidRDefault="00F15FD7">
            <w:pPr>
              <w:spacing w:after="0" w:line="276" w:lineRule="auto"/>
              <w:rPr>
                <w:rFonts w:ascii="Times New Roman" w:hAnsi="Times New Roman" w:cs="Times New Roman"/>
                <w:color w:val="auto"/>
              </w:rPr>
            </w:pPr>
          </w:p>
          <w:p w14:paraId="74DDAEC2" w14:textId="77777777" w:rsidR="00F15FD7" w:rsidRDefault="00563E74">
            <w:pPr>
              <w:spacing w:after="0" w:line="276" w:lineRule="auto"/>
              <w:rPr>
                <w:rFonts w:ascii="Times New Roman" w:hAnsi="Times New Roman" w:cs="Times New Roman"/>
                <w:color w:val="auto"/>
              </w:rPr>
            </w:pPr>
            <w:r>
              <w:rPr>
                <w:rFonts w:ascii="Times New Roman" w:hAnsi="Times New Roman" w:cs="Times New Roman"/>
                <w:color w:val="auto"/>
              </w:rPr>
              <w:t>TREATMENTS</w:t>
            </w:r>
          </w:p>
          <w:p w14:paraId="77865111" w14:textId="77777777" w:rsidR="00F15FD7" w:rsidRDefault="00F15FD7">
            <w:pPr>
              <w:spacing w:after="0" w:line="276" w:lineRule="auto"/>
              <w:rPr>
                <w:rFonts w:ascii="Times New Roman" w:hAnsi="Times New Roman" w:cs="Times New Roman"/>
                <w:color w:val="auto"/>
              </w:rPr>
            </w:pPr>
          </w:p>
        </w:tc>
        <w:tc>
          <w:tcPr>
            <w:tcW w:w="1798" w:type="dxa"/>
          </w:tcPr>
          <w:p w14:paraId="76E0FE78" w14:textId="77777777" w:rsidR="00F15FD7" w:rsidRDefault="00F15FD7">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p w14:paraId="308F4731"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Bulk density</w:t>
            </w:r>
          </w:p>
          <w:p w14:paraId="03AAF78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w:t>
            </w:r>
            <w:r>
              <w:rPr>
                <w:rFonts w:ascii="Times New Roman" w:hAnsi="Times New Roman" w:cs="Times New Roman"/>
                <w:vertAlign w:val="superscript"/>
              </w:rPr>
              <w:t>3</w:t>
            </w:r>
            <w:r>
              <w:rPr>
                <w:rFonts w:ascii="Times New Roman" w:hAnsi="Times New Roman" w:cs="Times New Roman"/>
              </w:rPr>
              <w:t>)</w:t>
            </w:r>
          </w:p>
        </w:tc>
        <w:tc>
          <w:tcPr>
            <w:tcW w:w="1440" w:type="dxa"/>
            <w:noWrap/>
          </w:tcPr>
          <w:p w14:paraId="50E77A0B"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5B41DD13"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Porosity </w:t>
            </w:r>
          </w:p>
          <w:p w14:paraId="08CAFD05"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w:t>
            </w:r>
          </w:p>
        </w:tc>
        <w:tc>
          <w:tcPr>
            <w:tcW w:w="2143" w:type="dxa"/>
            <w:noWrap/>
          </w:tcPr>
          <w:p w14:paraId="6E59577F"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747E8331"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Water holding capacity (%)</w:t>
            </w:r>
          </w:p>
        </w:tc>
        <w:tc>
          <w:tcPr>
            <w:tcW w:w="1841" w:type="dxa"/>
            <w:noWrap/>
          </w:tcPr>
          <w:p w14:paraId="347BE9E9"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10C953E8"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Moisture contents (%)</w:t>
            </w:r>
          </w:p>
        </w:tc>
      </w:tr>
      <w:tr w:rsidR="00F15FD7" w14:paraId="0A664E78" w14:textId="77777777" w:rsidTr="00F15FD7">
        <w:trPr>
          <w:trHeight w:val="349"/>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il"/>
            </w:tcBorders>
            <w:noWrap/>
          </w:tcPr>
          <w:p w14:paraId="4725CAB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1798" w:type="dxa"/>
            <w:tcBorders>
              <w:right w:val="nil"/>
            </w:tcBorders>
          </w:tcPr>
          <w:p w14:paraId="0FDEF0A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440" w:type="dxa"/>
            <w:tcBorders>
              <w:right w:val="nil"/>
            </w:tcBorders>
            <w:noWrap/>
          </w:tcPr>
          <w:p w14:paraId="76C206A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34.00</w:t>
            </w:r>
            <w:r>
              <w:rPr>
                <w:rFonts w:ascii="Times New Roman" w:hAnsi="Times New Roman" w:cs="Times New Roman"/>
                <w:vertAlign w:val="superscript"/>
              </w:rPr>
              <w:t xml:space="preserve"> a</w:t>
            </w:r>
          </w:p>
        </w:tc>
        <w:tc>
          <w:tcPr>
            <w:tcW w:w="2143" w:type="dxa"/>
            <w:tcBorders>
              <w:right w:val="nil"/>
            </w:tcBorders>
            <w:noWrap/>
          </w:tcPr>
          <w:p w14:paraId="0C8667C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25.06</w:t>
            </w:r>
            <w:r>
              <w:rPr>
                <w:rFonts w:ascii="Times New Roman" w:hAnsi="Times New Roman" w:cs="Times New Roman"/>
                <w:vertAlign w:val="superscript"/>
              </w:rPr>
              <w:t>a</w:t>
            </w:r>
          </w:p>
        </w:tc>
        <w:tc>
          <w:tcPr>
            <w:tcW w:w="1841" w:type="dxa"/>
            <w:tcBorders>
              <w:right w:val="nil"/>
            </w:tcBorders>
            <w:noWrap/>
          </w:tcPr>
          <w:p w14:paraId="1B46E90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9.35</w:t>
            </w:r>
            <w:r>
              <w:rPr>
                <w:rFonts w:ascii="Times New Roman" w:hAnsi="Times New Roman" w:cs="Times New Roman"/>
                <w:vertAlign w:val="superscript"/>
              </w:rPr>
              <w:t>c</w:t>
            </w:r>
          </w:p>
        </w:tc>
      </w:tr>
      <w:tr w:rsidR="00F15FD7" w14:paraId="221A073F"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noWrap/>
          </w:tcPr>
          <w:p w14:paraId="11DD096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798" w:type="dxa"/>
          </w:tcPr>
          <w:p w14:paraId="67BF0DB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1.04</w:t>
            </w:r>
            <w:r>
              <w:rPr>
                <w:rFonts w:ascii="Times New Roman" w:hAnsi="Times New Roman" w:cs="Times New Roman"/>
                <w:vertAlign w:val="superscript"/>
              </w:rPr>
              <w:t>a</w:t>
            </w:r>
          </w:p>
        </w:tc>
        <w:tc>
          <w:tcPr>
            <w:tcW w:w="1440" w:type="dxa"/>
            <w:noWrap/>
          </w:tcPr>
          <w:p w14:paraId="277DCFA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32.85</w:t>
            </w:r>
            <w:r>
              <w:rPr>
                <w:rFonts w:ascii="Times New Roman" w:hAnsi="Times New Roman" w:cs="Times New Roman"/>
                <w:vertAlign w:val="superscript"/>
              </w:rPr>
              <w:t xml:space="preserve"> a</w:t>
            </w:r>
          </w:p>
        </w:tc>
        <w:tc>
          <w:tcPr>
            <w:tcW w:w="2143" w:type="dxa"/>
            <w:noWrap/>
          </w:tcPr>
          <w:p w14:paraId="209490B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26.85</w:t>
            </w:r>
            <w:r>
              <w:rPr>
                <w:rFonts w:ascii="Times New Roman" w:hAnsi="Times New Roman" w:cs="Times New Roman"/>
                <w:vertAlign w:val="superscript"/>
              </w:rPr>
              <w:t>a</w:t>
            </w:r>
          </w:p>
        </w:tc>
        <w:tc>
          <w:tcPr>
            <w:tcW w:w="1841" w:type="dxa"/>
            <w:noWrap/>
          </w:tcPr>
          <w:p w14:paraId="7E807BC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9.25</w:t>
            </w:r>
            <w:r>
              <w:rPr>
                <w:rFonts w:ascii="Times New Roman" w:hAnsi="Times New Roman" w:cs="Times New Roman"/>
                <w:vertAlign w:val="superscript"/>
              </w:rPr>
              <w:t>c</w:t>
            </w:r>
          </w:p>
        </w:tc>
      </w:tr>
      <w:tr w:rsidR="00F15FD7" w14:paraId="56791B3E"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il"/>
            </w:tcBorders>
            <w:noWrap/>
          </w:tcPr>
          <w:p w14:paraId="5B94AFF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798" w:type="dxa"/>
            <w:tcBorders>
              <w:right w:val="nil"/>
            </w:tcBorders>
          </w:tcPr>
          <w:p w14:paraId="722F536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1.25</w:t>
            </w:r>
            <w:r>
              <w:rPr>
                <w:rFonts w:ascii="Times New Roman" w:hAnsi="Times New Roman" w:cs="Times New Roman"/>
                <w:vertAlign w:val="superscript"/>
              </w:rPr>
              <w:t>a</w:t>
            </w:r>
          </w:p>
        </w:tc>
        <w:tc>
          <w:tcPr>
            <w:tcW w:w="1440" w:type="dxa"/>
            <w:tcBorders>
              <w:right w:val="nil"/>
            </w:tcBorders>
            <w:noWrap/>
          </w:tcPr>
          <w:p w14:paraId="1CA0350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35.00</w:t>
            </w:r>
            <w:r>
              <w:rPr>
                <w:rFonts w:ascii="Times New Roman" w:hAnsi="Times New Roman" w:cs="Times New Roman"/>
                <w:vertAlign w:val="superscript"/>
              </w:rPr>
              <w:t xml:space="preserve"> a</w:t>
            </w:r>
          </w:p>
        </w:tc>
        <w:tc>
          <w:tcPr>
            <w:tcW w:w="2143" w:type="dxa"/>
            <w:tcBorders>
              <w:right w:val="nil"/>
            </w:tcBorders>
            <w:noWrap/>
          </w:tcPr>
          <w:p w14:paraId="491ED21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28.08</w:t>
            </w:r>
            <w:r>
              <w:rPr>
                <w:rFonts w:ascii="Times New Roman" w:hAnsi="Times New Roman" w:cs="Times New Roman"/>
                <w:vertAlign w:val="superscript"/>
              </w:rPr>
              <w:t>a</w:t>
            </w:r>
          </w:p>
        </w:tc>
        <w:tc>
          <w:tcPr>
            <w:tcW w:w="1841" w:type="dxa"/>
            <w:tcBorders>
              <w:right w:val="nil"/>
            </w:tcBorders>
            <w:noWrap/>
          </w:tcPr>
          <w:p w14:paraId="3E6F7F7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6.27</w:t>
            </w:r>
            <w:r>
              <w:rPr>
                <w:rFonts w:ascii="Times New Roman" w:hAnsi="Times New Roman" w:cs="Times New Roman"/>
                <w:vertAlign w:val="superscript"/>
              </w:rPr>
              <w:t>b</w:t>
            </w:r>
          </w:p>
        </w:tc>
      </w:tr>
      <w:tr w:rsidR="00F15FD7" w14:paraId="79460354"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noWrap/>
          </w:tcPr>
          <w:p w14:paraId="7F1709C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798" w:type="dxa"/>
          </w:tcPr>
          <w:p w14:paraId="31DE81C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1.60</w:t>
            </w:r>
            <w:r>
              <w:rPr>
                <w:rFonts w:ascii="Times New Roman" w:hAnsi="Times New Roman" w:cs="Times New Roman"/>
                <w:vertAlign w:val="superscript"/>
              </w:rPr>
              <w:t>a</w:t>
            </w:r>
          </w:p>
        </w:tc>
        <w:tc>
          <w:tcPr>
            <w:tcW w:w="1440" w:type="dxa"/>
            <w:noWrap/>
          </w:tcPr>
          <w:p w14:paraId="4025F74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28.68</w:t>
            </w:r>
            <w:r>
              <w:rPr>
                <w:rFonts w:ascii="Times New Roman" w:hAnsi="Times New Roman" w:cs="Times New Roman"/>
                <w:vertAlign w:val="superscript"/>
              </w:rPr>
              <w:t xml:space="preserve"> a</w:t>
            </w:r>
          </w:p>
        </w:tc>
        <w:tc>
          <w:tcPr>
            <w:tcW w:w="2143" w:type="dxa"/>
            <w:noWrap/>
          </w:tcPr>
          <w:p w14:paraId="0B8C30E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rPr>
            </w:pPr>
            <w:r>
              <w:rPr>
                <w:rFonts w:ascii="Times New Roman" w:hAnsi="Times New Roman" w:cs="Times New Roman"/>
                <w:color w:val="auto"/>
              </w:rPr>
              <w:t>31.42</w:t>
            </w:r>
            <w:r>
              <w:rPr>
                <w:rFonts w:ascii="Times New Roman" w:hAnsi="Times New Roman" w:cs="Times New Roman"/>
                <w:color w:val="auto"/>
                <w:vertAlign w:val="superscript"/>
              </w:rPr>
              <w:t>ab</w:t>
            </w:r>
          </w:p>
        </w:tc>
        <w:tc>
          <w:tcPr>
            <w:tcW w:w="1841" w:type="dxa"/>
            <w:noWrap/>
          </w:tcPr>
          <w:p w14:paraId="1C3D5DD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6.00</w:t>
            </w:r>
            <w:r>
              <w:rPr>
                <w:rFonts w:ascii="Times New Roman" w:hAnsi="Times New Roman" w:cs="Times New Roman"/>
                <w:vertAlign w:val="superscript"/>
              </w:rPr>
              <w:t>b</w:t>
            </w:r>
          </w:p>
        </w:tc>
      </w:tr>
      <w:tr w:rsidR="00F15FD7" w14:paraId="08957481"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il"/>
            </w:tcBorders>
            <w:noWrap/>
          </w:tcPr>
          <w:p w14:paraId="0DFAA1E2"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798" w:type="dxa"/>
            <w:tcBorders>
              <w:right w:val="nil"/>
            </w:tcBorders>
          </w:tcPr>
          <w:p w14:paraId="6321120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1.16a</w:t>
            </w:r>
            <w:r>
              <w:rPr>
                <w:rFonts w:ascii="Times New Roman" w:hAnsi="Times New Roman" w:cs="Times New Roman"/>
                <w:vertAlign w:val="superscript"/>
              </w:rPr>
              <w:t>a</w:t>
            </w:r>
          </w:p>
        </w:tc>
        <w:tc>
          <w:tcPr>
            <w:tcW w:w="1440" w:type="dxa"/>
            <w:tcBorders>
              <w:right w:val="nil"/>
            </w:tcBorders>
            <w:noWrap/>
          </w:tcPr>
          <w:p w14:paraId="06BD4F7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31.42</w:t>
            </w:r>
            <w:r>
              <w:rPr>
                <w:rFonts w:ascii="Times New Roman" w:hAnsi="Times New Roman" w:cs="Times New Roman"/>
                <w:vertAlign w:val="superscript"/>
              </w:rPr>
              <w:t xml:space="preserve"> a</w:t>
            </w:r>
          </w:p>
        </w:tc>
        <w:tc>
          <w:tcPr>
            <w:tcW w:w="2143" w:type="dxa"/>
            <w:tcBorders>
              <w:right w:val="nil"/>
            </w:tcBorders>
            <w:noWrap/>
          </w:tcPr>
          <w:p w14:paraId="279F4A0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30.75</w:t>
            </w:r>
            <w:r>
              <w:rPr>
                <w:rFonts w:ascii="Times New Roman" w:hAnsi="Times New Roman" w:cs="Times New Roman"/>
                <w:color w:val="auto"/>
                <w:vertAlign w:val="superscript"/>
              </w:rPr>
              <w:t>ab</w:t>
            </w:r>
          </w:p>
        </w:tc>
        <w:tc>
          <w:tcPr>
            <w:tcW w:w="1841" w:type="dxa"/>
            <w:tcBorders>
              <w:right w:val="nil"/>
            </w:tcBorders>
            <w:noWrap/>
          </w:tcPr>
          <w:p w14:paraId="24E88DD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4.73</w:t>
            </w:r>
            <w:r>
              <w:rPr>
                <w:rFonts w:ascii="Times New Roman" w:hAnsi="Times New Roman" w:cs="Times New Roman"/>
                <w:vertAlign w:val="superscript"/>
              </w:rPr>
              <w:t>a</w:t>
            </w:r>
          </w:p>
        </w:tc>
      </w:tr>
      <w:tr w:rsidR="00F15FD7" w14:paraId="6522BFD2"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noWrap/>
          </w:tcPr>
          <w:p w14:paraId="68A329B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798" w:type="dxa"/>
          </w:tcPr>
          <w:p w14:paraId="56843BC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noWrap/>
          </w:tcPr>
          <w:p w14:paraId="29F71E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noWrap/>
          </w:tcPr>
          <w:p w14:paraId="08471A3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noWrap/>
          </w:tcPr>
          <w:p w14:paraId="2AC510D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5.64</w:t>
            </w:r>
            <w:r>
              <w:rPr>
                <w:rFonts w:ascii="Times New Roman" w:hAnsi="Times New Roman" w:cs="Times New Roman"/>
                <w:vertAlign w:val="superscript"/>
              </w:rPr>
              <w:t>ab</w:t>
            </w:r>
          </w:p>
        </w:tc>
      </w:tr>
      <w:tr w:rsidR="00F15FD7" w14:paraId="7400E0FF"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il"/>
            </w:tcBorders>
            <w:noWrap/>
          </w:tcPr>
          <w:p w14:paraId="0125C75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798" w:type="dxa"/>
            <w:tcBorders>
              <w:right w:val="nil"/>
            </w:tcBorders>
          </w:tcPr>
          <w:p w14:paraId="215D053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tcBorders>
              <w:right w:val="nil"/>
            </w:tcBorders>
            <w:noWrap/>
          </w:tcPr>
          <w:p w14:paraId="089EA43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tcBorders>
              <w:right w:val="nil"/>
            </w:tcBorders>
            <w:noWrap/>
          </w:tcPr>
          <w:p w14:paraId="490EBA0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tcBorders>
              <w:right w:val="nil"/>
            </w:tcBorders>
            <w:noWrap/>
          </w:tcPr>
          <w:p w14:paraId="5503207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r w:rsidR="00F15FD7" w14:paraId="3D1A957A"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noWrap/>
          </w:tcPr>
          <w:p w14:paraId="60C4953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798" w:type="dxa"/>
          </w:tcPr>
          <w:p w14:paraId="709C4AB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noWrap/>
          </w:tcPr>
          <w:p w14:paraId="36EA7CF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noWrap/>
          </w:tcPr>
          <w:p w14:paraId="5CC8AB3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noWrap/>
          </w:tcPr>
          <w:p w14:paraId="195DC35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r w:rsidR="00F15FD7" w14:paraId="01500175"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il"/>
            </w:tcBorders>
            <w:noWrap/>
          </w:tcPr>
          <w:p w14:paraId="3FE532C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798" w:type="dxa"/>
            <w:tcBorders>
              <w:right w:val="nil"/>
            </w:tcBorders>
          </w:tcPr>
          <w:p w14:paraId="56D8C9E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tcBorders>
              <w:right w:val="nil"/>
            </w:tcBorders>
            <w:noWrap/>
          </w:tcPr>
          <w:p w14:paraId="55C5F70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tcBorders>
              <w:right w:val="nil"/>
            </w:tcBorders>
            <w:noWrap/>
          </w:tcPr>
          <w:p w14:paraId="26A1F6F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tcBorders>
              <w:right w:val="nil"/>
            </w:tcBorders>
            <w:noWrap/>
          </w:tcPr>
          <w:p w14:paraId="2E8D645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r w:rsidR="00F15FD7" w14:paraId="0192423A"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noWrap/>
          </w:tcPr>
          <w:p w14:paraId="7554856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798" w:type="dxa"/>
          </w:tcPr>
          <w:p w14:paraId="468F689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noWrap/>
          </w:tcPr>
          <w:p w14:paraId="06AD0F1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noWrap/>
          </w:tcPr>
          <w:p w14:paraId="3829178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noWrap/>
          </w:tcPr>
          <w:p w14:paraId="1B78BA5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r w:rsidR="00F15FD7" w14:paraId="53D17588"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il"/>
            </w:tcBorders>
            <w:noWrap/>
          </w:tcPr>
          <w:p w14:paraId="630366A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798" w:type="dxa"/>
            <w:tcBorders>
              <w:right w:val="nil"/>
            </w:tcBorders>
          </w:tcPr>
          <w:p w14:paraId="148564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tcBorders>
              <w:right w:val="nil"/>
            </w:tcBorders>
            <w:noWrap/>
          </w:tcPr>
          <w:p w14:paraId="5C6FDC7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tcBorders>
              <w:right w:val="nil"/>
            </w:tcBorders>
            <w:noWrap/>
          </w:tcPr>
          <w:p w14:paraId="4A69167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tcBorders>
              <w:right w:val="nil"/>
            </w:tcBorders>
            <w:noWrap/>
          </w:tcPr>
          <w:p w14:paraId="3C8EF8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r w:rsidR="00F15FD7" w14:paraId="7A41A496" w14:textId="77777777" w:rsidTr="00F15FD7">
        <w:trPr>
          <w:trHeight w:val="372"/>
        </w:trPr>
        <w:tc>
          <w:tcPr>
            <w:cnfStyle w:val="001000000000" w:firstRow="0" w:lastRow="0" w:firstColumn="1" w:lastColumn="0" w:oddVBand="0" w:evenVBand="0" w:oddHBand="0" w:evenHBand="0" w:firstRowFirstColumn="0" w:firstRowLastColumn="0" w:lastRowFirstColumn="0" w:lastRowLastColumn="0"/>
            <w:tcW w:w="2520" w:type="dxa"/>
            <w:noWrap/>
          </w:tcPr>
          <w:p w14:paraId="2596CC0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798" w:type="dxa"/>
          </w:tcPr>
          <w:p w14:paraId="251F134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noWrap/>
          </w:tcPr>
          <w:p w14:paraId="3433244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noWrap/>
          </w:tcPr>
          <w:p w14:paraId="29033B9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noWrap/>
          </w:tcPr>
          <w:p w14:paraId="7C12D9F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r w:rsidR="00F15FD7" w14:paraId="09ECA5AE"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tcBorders>
              <w:left w:val="nil"/>
              <w:right w:val="nil"/>
            </w:tcBorders>
            <w:noWrap/>
          </w:tcPr>
          <w:p w14:paraId="4353FB1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1798" w:type="dxa"/>
            <w:tcBorders>
              <w:right w:val="nil"/>
            </w:tcBorders>
          </w:tcPr>
          <w:p w14:paraId="07D3764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tcBorders>
              <w:right w:val="nil"/>
            </w:tcBorders>
            <w:noWrap/>
          </w:tcPr>
          <w:p w14:paraId="566E012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tcBorders>
              <w:right w:val="nil"/>
            </w:tcBorders>
            <w:noWrap/>
          </w:tcPr>
          <w:p w14:paraId="552EE9D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tcBorders>
              <w:right w:val="nil"/>
            </w:tcBorders>
            <w:noWrap/>
          </w:tcPr>
          <w:p w14:paraId="03CDD18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r w:rsidR="00F15FD7" w14:paraId="7701A8F5" w14:textId="77777777" w:rsidTr="00F15FD7">
        <w:trPr>
          <w:trHeight w:val="343"/>
        </w:trPr>
        <w:tc>
          <w:tcPr>
            <w:cnfStyle w:val="001000000000" w:firstRow="0" w:lastRow="0" w:firstColumn="1" w:lastColumn="0" w:oddVBand="0" w:evenVBand="0" w:oddHBand="0" w:evenHBand="0" w:firstRowFirstColumn="0" w:firstRowLastColumn="0" w:lastRowFirstColumn="0" w:lastRowLastColumn="0"/>
            <w:tcW w:w="2520" w:type="dxa"/>
            <w:noWrap/>
          </w:tcPr>
          <w:p w14:paraId="569CB211"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798" w:type="dxa"/>
          </w:tcPr>
          <w:p w14:paraId="5468164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w:t>
            </w:r>
            <w:r>
              <w:rPr>
                <w:rFonts w:ascii="Times New Roman" w:hAnsi="Times New Roman" w:cs="Times New Roman"/>
                <w:vertAlign w:val="superscript"/>
              </w:rPr>
              <w:t>a</w:t>
            </w:r>
          </w:p>
        </w:tc>
        <w:tc>
          <w:tcPr>
            <w:tcW w:w="1440" w:type="dxa"/>
            <w:noWrap/>
          </w:tcPr>
          <w:p w14:paraId="382CB04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30.75</w:t>
            </w:r>
            <w:r>
              <w:rPr>
                <w:rFonts w:ascii="Times New Roman" w:hAnsi="Times New Roman" w:cs="Times New Roman"/>
                <w:vertAlign w:val="superscript"/>
              </w:rPr>
              <w:t xml:space="preserve"> a</w:t>
            </w:r>
          </w:p>
        </w:tc>
        <w:tc>
          <w:tcPr>
            <w:tcW w:w="2143" w:type="dxa"/>
            <w:noWrap/>
          </w:tcPr>
          <w:p w14:paraId="2572D2D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auto"/>
              </w:rPr>
              <w:t>30.20</w:t>
            </w:r>
            <w:r>
              <w:rPr>
                <w:rFonts w:ascii="Times New Roman" w:hAnsi="Times New Roman" w:cs="Times New Roman"/>
                <w:color w:val="auto"/>
                <w:vertAlign w:val="superscript"/>
              </w:rPr>
              <w:t>ab</w:t>
            </w:r>
          </w:p>
        </w:tc>
        <w:tc>
          <w:tcPr>
            <w:tcW w:w="1841" w:type="dxa"/>
            <w:noWrap/>
          </w:tcPr>
          <w:p w14:paraId="410EFCB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5.64</w:t>
            </w:r>
            <w:r>
              <w:rPr>
                <w:rFonts w:ascii="Times New Roman" w:hAnsi="Times New Roman" w:cs="Times New Roman"/>
                <w:vertAlign w:val="superscript"/>
              </w:rPr>
              <w:t>ab</w:t>
            </w:r>
          </w:p>
        </w:tc>
      </w:tr>
    </w:tbl>
    <w:p w14:paraId="15BBACDA" w14:textId="77777777" w:rsidR="00F15FD7" w:rsidRDefault="00F15FD7">
      <w:pPr>
        <w:pStyle w:val="NoSpacing"/>
        <w:spacing w:line="276" w:lineRule="auto"/>
        <w:jc w:val="both"/>
        <w:rPr>
          <w:rFonts w:ascii="Times New Roman" w:hAnsi="Times New Roman" w:cs="Times New Roman"/>
        </w:rPr>
      </w:pPr>
    </w:p>
    <w:p w14:paraId="5BE2E5C2" w14:textId="77777777" w:rsidR="00F15FD7" w:rsidRDefault="00563E74">
      <w:pPr>
        <w:tabs>
          <w:tab w:val="left" w:pos="2880"/>
        </w:tabs>
        <w:spacing w:after="0" w:line="276" w:lineRule="auto"/>
        <w:ind w:left="360" w:right="360"/>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2A953705" w14:textId="77777777" w:rsidR="00F15FD7" w:rsidRDefault="00F15FD7">
      <w:pPr>
        <w:pStyle w:val="NoSpacing"/>
        <w:spacing w:line="276" w:lineRule="auto"/>
        <w:jc w:val="both"/>
        <w:rPr>
          <w:rFonts w:ascii="Times New Roman" w:hAnsi="Times New Roman" w:cs="Times New Roman"/>
        </w:rPr>
      </w:pPr>
    </w:p>
    <w:p w14:paraId="396C71BD" w14:textId="77777777" w:rsidR="00F15FD7" w:rsidRDefault="00F15FD7">
      <w:pPr>
        <w:pStyle w:val="NoSpacing"/>
        <w:spacing w:line="276" w:lineRule="auto"/>
        <w:jc w:val="both"/>
        <w:rPr>
          <w:rFonts w:ascii="Times New Roman" w:hAnsi="Times New Roman" w:cs="Times New Roman"/>
        </w:rPr>
      </w:pPr>
    </w:p>
    <w:p w14:paraId="10543EF9" w14:textId="77777777" w:rsidR="00F15FD7" w:rsidRDefault="00563E74">
      <w:pPr>
        <w:spacing w:line="276" w:lineRule="auto"/>
        <w:jc w:val="both"/>
        <w:rPr>
          <w:rFonts w:ascii="Times New Roman" w:hAnsi="Times New Roman" w:cs="Times New Roman"/>
          <w:b/>
        </w:rPr>
      </w:pPr>
      <w:r>
        <w:rPr>
          <w:rFonts w:ascii="Times New Roman" w:hAnsi="Times New Roman" w:cs="Times New Roman"/>
          <w:b/>
        </w:rPr>
        <w:t xml:space="preserve">3.7. Organic amendment and watering regime effects on soil physical and chemical properties at termination of experiment  </w:t>
      </w:r>
    </w:p>
    <w:p w14:paraId="0B008BBC" w14:textId="77777777" w:rsidR="00F15FD7" w:rsidRDefault="00563E74">
      <w:pPr>
        <w:spacing w:line="360" w:lineRule="auto"/>
        <w:jc w:val="both"/>
        <w:rPr>
          <w:rFonts w:ascii="Times New Roman" w:hAnsi="Times New Roman" w:cs="Times New Roman"/>
          <w:bCs/>
        </w:rPr>
      </w:pPr>
      <w:r>
        <w:rPr>
          <w:rFonts w:ascii="Times New Roman" w:hAnsi="Times New Roman" w:cs="Times New Roman"/>
          <w:bCs/>
        </w:rPr>
        <w:t xml:space="preserve">Application of biochar and </w:t>
      </w:r>
      <w:r>
        <w:rPr>
          <w:rFonts w:ascii="Times New Roman" w:hAnsi="Times New Roman" w:cs="Times New Roman"/>
          <w:bCs/>
          <w:i/>
          <w:iCs/>
        </w:rPr>
        <w:t xml:space="preserve">Trichoderma </w:t>
      </w:r>
      <w:proofErr w:type="spellStart"/>
      <w:r>
        <w:rPr>
          <w:rFonts w:ascii="Times New Roman" w:hAnsi="Times New Roman" w:cs="Times New Roman"/>
          <w:bCs/>
          <w:i/>
          <w:iCs/>
        </w:rPr>
        <w:t>harzianum</w:t>
      </w:r>
      <w:proofErr w:type="spellEnd"/>
      <w:r>
        <w:rPr>
          <w:rFonts w:ascii="Times New Roman" w:hAnsi="Times New Roman" w:cs="Times New Roman"/>
          <w:bCs/>
        </w:rPr>
        <w:t xml:space="preserve"> improved soil physical and chemical properties subjected to differential watering. B</w:t>
      </w:r>
      <w:r>
        <w:rPr>
          <w:rFonts w:ascii="Times New Roman" w:hAnsi="Times New Roman" w:cs="Times New Roman"/>
          <w:bCs/>
        </w:rPr>
        <w:t>ulk density remained low (1.04–1.60 cm³), porosity stable (~28–35%), and water holding capacity increased (25–31%), enhancing moisture retention. Soil texture remained sandy loam across treatments. Soil pH was slightly alkaline (7.4–7.8) with stable CEC (1</w:t>
      </w:r>
      <w:r>
        <w:rPr>
          <w:rFonts w:ascii="Times New Roman" w:hAnsi="Times New Roman" w:cs="Times New Roman"/>
          <w:bCs/>
        </w:rPr>
        <w:t xml:space="preserve">3.12–13.87 </w:t>
      </w:r>
      <w:proofErr w:type="spellStart"/>
      <w:r>
        <w:rPr>
          <w:rFonts w:ascii="Times New Roman" w:hAnsi="Times New Roman" w:cs="Times New Roman"/>
          <w:bCs/>
        </w:rPr>
        <w:t>cmol</w:t>
      </w:r>
      <w:proofErr w:type="spellEnd"/>
      <w:r>
        <w:rPr>
          <w:rFonts w:ascii="Times New Roman" w:hAnsi="Times New Roman" w:cs="Times New Roman"/>
          <w:bCs/>
        </w:rPr>
        <w:t>/kg), other nutrient elements improved, particularly K, Ca, Mg, and organic matter, while N and P were adequate. Overall, B and T maintained soil fertility and structure, creating a favorable environment for pepper growth under varied wateri</w:t>
      </w:r>
      <w:r>
        <w:rPr>
          <w:rFonts w:ascii="Times New Roman" w:hAnsi="Times New Roman" w:cs="Times New Roman"/>
          <w:bCs/>
        </w:rPr>
        <w:t>ng regimes.</w:t>
      </w:r>
    </w:p>
    <w:p w14:paraId="2EFD6465" w14:textId="77777777" w:rsidR="00F15FD7" w:rsidRDefault="00F15FD7">
      <w:pPr>
        <w:pStyle w:val="NoSpacing"/>
        <w:spacing w:line="276" w:lineRule="auto"/>
        <w:jc w:val="both"/>
        <w:rPr>
          <w:rFonts w:ascii="Times New Roman" w:hAnsi="Times New Roman" w:cs="Times New Roman"/>
        </w:rPr>
      </w:pPr>
    </w:p>
    <w:p w14:paraId="4A0139E7" w14:textId="77777777" w:rsidR="00F15FD7" w:rsidRDefault="00F15FD7">
      <w:pPr>
        <w:pStyle w:val="NoSpacing"/>
        <w:spacing w:line="276" w:lineRule="auto"/>
        <w:jc w:val="both"/>
        <w:rPr>
          <w:rFonts w:ascii="Times New Roman" w:hAnsi="Times New Roman" w:cs="Times New Roman"/>
        </w:rPr>
      </w:pPr>
    </w:p>
    <w:p w14:paraId="2C172A23" w14:textId="77777777" w:rsidR="00F15FD7" w:rsidRDefault="00F15FD7">
      <w:pPr>
        <w:spacing w:line="276" w:lineRule="auto"/>
        <w:rPr>
          <w:rFonts w:ascii="Times New Roman" w:hAnsi="Times New Roman" w:cs="Times New Roman"/>
          <w:b/>
        </w:rPr>
      </w:pPr>
    </w:p>
    <w:p w14:paraId="0FB844AE" w14:textId="77777777" w:rsidR="00F15FD7" w:rsidRDefault="00F15FD7">
      <w:pPr>
        <w:spacing w:line="276" w:lineRule="auto"/>
        <w:ind w:firstLine="720"/>
        <w:rPr>
          <w:rFonts w:ascii="Times New Roman" w:hAnsi="Times New Roman" w:cs="Times New Roman"/>
          <w:b/>
        </w:rPr>
      </w:pPr>
    </w:p>
    <w:p w14:paraId="2B2F7106" w14:textId="77777777" w:rsidR="00F15FD7" w:rsidRDefault="00F15FD7">
      <w:pPr>
        <w:spacing w:line="276" w:lineRule="auto"/>
        <w:ind w:firstLine="720"/>
        <w:rPr>
          <w:rFonts w:ascii="Times New Roman" w:hAnsi="Times New Roman" w:cs="Times New Roman"/>
          <w:b/>
        </w:rPr>
      </w:pPr>
    </w:p>
    <w:p w14:paraId="560FB44B" w14:textId="77777777" w:rsidR="00F15FD7" w:rsidRDefault="00563E74">
      <w:pPr>
        <w:spacing w:line="276" w:lineRule="auto"/>
        <w:ind w:firstLine="720"/>
        <w:rPr>
          <w:rFonts w:ascii="Times New Roman" w:hAnsi="Times New Roman" w:cs="Times New Roman"/>
          <w:b/>
        </w:rPr>
      </w:pPr>
      <w:r>
        <w:rPr>
          <w:rFonts w:ascii="Times New Roman" w:hAnsi="Times New Roman" w:cs="Times New Roman"/>
          <w:b/>
        </w:rPr>
        <w:t xml:space="preserve">Table 8b: Soil physical </w:t>
      </w:r>
      <w:proofErr w:type="gramStart"/>
      <w:r>
        <w:rPr>
          <w:rFonts w:ascii="Times New Roman" w:hAnsi="Times New Roman" w:cs="Times New Roman"/>
          <w:b/>
        </w:rPr>
        <w:t>properties  at</w:t>
      </w:r>
      <w:proofErr w:type="gramEnd"/>
      <w:r>
        <w:rPr>
          <w:rFonts w:ascii="Times New Roman" w:hAnsi="Times New Roman" w:cs="Times New Roman"/>
          <w:b/>
        </w:rPr>
        <w:t xml:space="preserve"> termination of experiment</w:t>
      </w:r>
    </w:p>
    <w:tbl>
      <w:tblPr>
        <w:tblStyle w:val="LightShading2"/>
        <w:tblpPr w:leftFromText="180" w:rightFromText="180" w:vertAnchor="text" w:horzAnchor="margin" w:tblpXSpec="center" w:tblpY="271"/>
        <w:tblW w:w="9786" w:type="dxa"/>
        <w:tblLook w:val="04A0" w:firstRow="1" w:lastRow="0" w:firstColumn="1" w:lastColumn="0" w:noHBand="0" w:noVBand="1"/>
      </w:tblPr>
      <w:tblGrid>
        <w:gridCol w:w="2333"/>
        <w:gridCol w:w="2333"/>
        <w:gridCol w:w="1706"/>
        <w:gridCol w:w="1706"/>
        <w:gridCol w:w="1708"/>
      </w:tblGrid>
      <w:tr w:rsidR="00F15FD7" w14:paraId="5D6441AC" w14:textId="77777777" w:rsidTr="00F15FD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333" w:type="dxa"/>
          </w:tcPr>
          <w:p w14:paraId="3384752B" w14:textId="77777777" w:rsidR="00F15FD7" w:rsidRDefault="00563E74">
            <w:pPr>
              <w:spacing w:after="0" w:line="276" w:lineRule="auto"/>
              <w:rPr>
                <w:rFonts w:ascii="Times New Roman" w:hAnsi="Times New Roman" w:cs="Times New Roman"/>
                <w:color w:val="auto"/>
              </w:rPr>
            </w:pPr>
            <w:r>
              <w:rPr>
                <w:rFonts w:ascii="Times New Roman" w:hAnsi="Times New Roman" w:cs="Times New Roman"/>
                <w:color w:val="auto"/>
              </w:rPr>
              <w:t>TREATMENTS</w:t>
            </w:r>
          </w:p>
          <w:p w14:paraId="7B8FB6E1" w14:textId="77777777" w:rsidR="00F15FD7" w:rsidRDefault="00F15FD7">
            <w:pPr>
              <w:spacing w:after="0" w:line="276" w:lineRule="auto"/>
              <w:rPr>
                <w:rFonts w:ascii="Times New Roman" w:hAnsi="Times New Roman" w:cs="Times New Roman"/>
                <w:color w:val="auto"/>
              </w:rPr>
            </w:pPr>
          </w:p>
        </w:tc>
        <w:tc>
          <w:tcPr>
            <w:tcW w:w="2333" w:type="dxa"/>
            <w:noWrap/>
          </w:tcPr>
          <w:p w14:paraId="5367C1C9"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Sand (%)</w:t>
            </w:r>
          </w:p>
        </w:tc>
        <w:tc>
          <w:tcPr>
            <w:tcW w:w="1706" w:type="dxa"/>
          </w:tcPr>
          <w:p w14:paraId="4E821329"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Clay (%)</w:t>
            </w:r>
          </w:p>
        </w:tc>
        <w:tc>
          <w:tcPr>
            <w:tcW w:w="1706" w:type="dxa"/>
          </w:tcPr>
          <w:p w14:paraId="6F25EF3F"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Silt (%)</w:t>
            </w:r>
          </w:p>
        </w:tc>
        <w:tc>
          <w:tcPr>
            <w:tcW w:w="1708" w:type="dxa"/>
          </w:tcPr>
          <w:p w14:paraId="1D583E8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Textural class</w:t>
            </w:r>
          </w:p>
        </w:tc>
      </w:tr>
      <w:tr w:rsidR="00F15FD7" w14:paraId="023DA024" w14:textId="77777777" w:rsidTr="00F15FD7">
        <w:trPr>
          <w:trHeight w:val="372"/>
        </w:trPr>
        <w:tc>
          <w:tcPr>
            <w:cnfStyle w:val="001000000000" w:firstRow="0" w:lastRow="0" w:firstColumn="1" w:lastColumn="0" w:oddVBand="0" w:evenVBand="0" w:oddHBand="0" w:evenHBand="0" w:firstRowFirstColumn="0" w:firstRowLastColumn="0" w:lastRowFirstColumn="0" w:lastRowLastColumn="0"/>
            <w:tcW w:w="2333" w:type="dxa"/>
            <w:tcBorders>
              <w:left w:val="nil"/>
              <w:right w:val="nil"/>
            </w:tcBorders>
            <w:vAlign w:val="center"/>
          </w:tcPr>
          <w:p w14:paraId="6A3841E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2333" w:type="dxa"/>
            <w:tcBorders>
              <w:right w:val="nil"/>
            </w:tcBorders>
            <w:noWrap/>
            <w:vAlign w:val="center"/>
          </w:tcPr>
          <w:p w14:paraId="0B44C2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74.96</w:t>
            </w:r>
            <w:r>
              <w:rPr>
                <w:rFonts w:ascii="Times New Roman" w:hAnsi="Times New Roman" w:cs="Times New Roman"/>
                <w:vertAlign w:val="superscript"/>
              </w:rPr>
              <w:t>a</w:t>
            </w:r>
          </w:p>
        </w:tc>
        <w:tc>
          <w:tcPr>
            <w:tcW w:w="1706" w:type="dxa"/>
            <w:tcBorders>
              <w:right w:val="nil"/>
            </w:tcBorders>
            <w:vAlign w:val="center"/>
          </w:tcPr>
          <w:p w14:paraId="67F7355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8.32</w:t>
            </w:r>
            <w:r>
              <w:rPr>
                <w:rFonts w:ascii="Times New Roman" w:hAnsi="Times New Roman" w:cs="Times New Roman"/>
                <w:vertAlign w:val="superscript"/>
              </w:rPr>
              <w:t>a</w:t>
            </w:r>
          </w:p>
        </w:tc>
        <w:tc>
          <w:tcPr>
            <w:tcW w:w="1706" w:type="dxa"/>
            <w:tcBorders>
              <w:right w:val="nil"/>
            </w:tcBorders>
            <w:vAlign w:val="center"/>
          </w:tcPr>
          <w:p w14:paraId="11C7629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16.72</w:t>
            </w:r>
            <w:r>
              <w:rPr>
                <w:rFonts w:ascii="Times New Roman" w:hAnsi="Times New Roman" w:cs="Times New Roman"/>
                <w:vertAlign w:val="superscript"/>
              </w:rPr>
              <w:t>ab</w:t>
            </w:r>
          </w:p>
        </w:tc>
        <w:tc>
          <w:tcPr>
            <w:tcW w:w="1708" w:type="dxa"/>
            <w:tcBorders>
              <w:right w:val="nil"/>
            </w:tcBorders>
            <w:vAlign w:val="center"/>
          </w:tcPr>
          <w:p w14:paraId="291E15F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4D5977F3"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11353EC7"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2333" w:type="dxa"/>
            <w:noWrap/>
            <w:vAlign w:val="center"/>
          </w:tcPr>
          <w:p w14:paraId="42B6068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74.96</w:t>
            </w:r>
            <w:r>
              <w:rPr>
                <w:rFonts w:ascii="Times New Roman" w:hAnsi="Times New Roman" w:cs="Times New Roman"/>
                <w:vertAlign w:val="superscript"/>
              </w:rPr>
              <w:t>a</w:t>
            </w:r>
          </w:p>
        </w:tc>
        <w:tc>
          <w:tcPr>
            <w:tcW w:w="1706" w:type="dxa"/>
            <w:vAlign w:val="center"/>
          </w:tcPr>
          <w:p w14:paraId="5C25364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8.32</w:t>
            </w:r>
            <w:r>
              <w:rPr>
                <w:rFonts w:ascii="Times New Roman" w:hAnsi="Times New Roman" w:cs="Times New Roman"/>
                <w:vertAlign w:val="superscript"/>
              </w:rPr>
              <w:t>a</w:t>
            </w:r>
          </w:p>
        </w:tc>
        <w:tc>
          <w:tcPr>
            <w:tcW w:w="1706" w:type="dxa"/>
            <w:vAlign w:val="center"/>
          </w:tcPr>
          <w:p w14:paraId="1AA0BF8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16.72</w:t>
            </w:r>
            <w:r>
              <w:rPr>
                <w:rFonts w:ascii="Times New Roman" w:hAnsi="Times New Roman" w:cs="Times New Roman"/>
                <w:vertAlign w:val="superscript"/>
              </w:rPr>
              <w:t>ab</w:t>
            </w:r>
          </w:p>
        </w:tc>
        <w:tc>
          <w:tcPr>
            <w:tcW w:w="1708" w:type="dxa"/>
            <w:vAlign w:val="center"/>
          </w:tcPr>
          <w:p w14:paraId="23DF6CB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25969D91"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tcBorders>
              <w:left w:val="nil"/>
              <w:right w:val="nil"/>
            </w:tcBorders>
            <w:vAlign w:val="center"/>
          </w:tcPr>
          <w:p w14:paraId="7C5B813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2333" w:type="dxa"/>
            <w:tcBorders>
              <w:right w:val="nil"/>
            </w:tcBorders>
            <w:noWrap/>
            <w:vAlign w:val="center"/>
          </w:tcPr>
          <w:p w14:paraId="5D78EF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78.96</w:t>
            </w:r>
            <w:r>
              <w:rPr>
                <w:rFonts w:ascii="Times New Roman" w:hAnsi="Times New Roman" w:cs="Times New Roman"/>
                <w:vertAlign w:val="superscript"/>
              </w:rPr>
              <w:t>ab</w:t>
            </w:r>
          </w:p>
        </w:tc>
        <w:tc>
          <w:tcPr>
            <w:tcW w:w="1706" w:type="dxa"/>
            <w:tcBorders>
              <w:right w:val="nil"/>
            </w:tcBorders>
            <w:vAlign w:val="center"/>
          </w:tcPr>
          <w:p w14:paraId="039A168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8.32</w:t>
            </w:r>
            <w:r>
              <w:rPr>
                <w:rFonts w:ascii="Times New Roman" w:hAnsi="Times New Roman" w:cs="Times New Roman"/>
                <w:vertAlign w:val="superscript"/>
              </w:rPr>
              <w:t>a</w:t>
            </w:r>
          </w:p>
        </w:tc>
        <w:tc>
          <w:tcPr>
            <w:tcW w:w="1706" w:type="dxa"/>
            <w:tcBorders>
              <w:right w:val="nil"/>
            </w:tcBorders>
            <w:vAlign w:val="center"/>
          </w:tcPr>
          <w:p w14:paraId="495EAC9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12.72</w:t>
            </w:r>
            <w:r>
              <w:rPr>
                <w:rFonts w:ascii="Times New Roman" w:hAnsi="Times New Roman" w:cs="Times New Roman"/>
                <w:vertAlign w:val="superscript"/>
              </w:rPr>
              <w:t>a</w:t>
            </w:r>
          </w:p>
        </w:tc>
        <w:tc>
          <w:tcPr>
            <w:tcW w:w="1708" w:type="dxa"/>
            <w:tcBorders>
              <w:right w:val="nil"/>
            </w:tcBorders>
            <w:vAlign w:val="center"/>
          </w:tcPr>
          <w:p w14:paraId="50108A4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w:t>
            </w:r>
            <w:r>
              <w:rPr>
                <w:rFonts w:ascii="Times New Roman" w:hAnsi="Times New Roman" w:cs="Times New Roman"/>
              </w:rPr>
              <w:t xml:space="preserve"> loam</w:t>
            </w:r>
          </w:p>
        </w:tc>
      </w:tr>
      <w:tr w:rsidR="00F15FD7" w14:paraId="40477469"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1E27853E"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2333" w:type="dxa"/>
            <w:noWrap/>
            <w:vAlign w:val="center"/>
          </w:tcPr>
          <w:p w14:paraId="6D2F4C8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78.96</w:t>
            </w:r>
            <w:r>
              <w:rPr>
                <w:rFonts w:ascii="Times New Roman" w:hAnsi="Times New Roman" w:cs="Times New Roman"/>
                <w:vertAlign w:val="superscript"/>
              </w:rPr>
              <w:t>ab</w:t>
            </w:r>
          </w:p>
        </w:tc>
        <w:tc>
          <w:tcPr>
            <w:tcW w:w="1706" w:type="dxa"/>
            <w:vAlign w:val="center"/>
          </w:tcPr>
          <w:p w14:paraId="4A97A8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9.04</w:t>
            </w:r>
            <w:r>
              <w:rPr>
                <w:rFonts w:ascii="Times New Roman" w:hAnsi="Times New Roman" w:cs="Times New Roman"/>
                <w:vertAlign w:val="superscript"/>
              </w:rPr>
              <w:t>ab</w:t>
            </w:r>
          </w:p>
        </w:tc>
        <w:tc>
          <w:tcPr>
            <w:tcW w:w="1706" w:type="dxa"/>
            <w:vAlign w:val="center"/>
          </w:tcPr>
          <w:p w14:paraId="3738ED8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12.00</w:t>
            </w:r>
            <w:r>
              <w:rPr>
                <w:rFonts w:ascii="Times New Roman" w:hAnsi="Times New Roman" w:cs="Times New Roman"/>
                <w:vertAlign w:val="superscript"/>
              </w:rPr>
              <w:t>a</w:t>
            </w:r>
          </w:p>
        </w:tc>
        <w:tc>
          <w:tcPr>
            <w:tcW w:w="1708" w:type="dxa"/>
            <w:vAlign w:val="center"/>
          </w:tcPr>
          <w:p w14:paraId="1DFE4FC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7FC61E6E"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tcBorders>
              <w:left w:val="nil"/>
              <w:right w:val="nil"/>
            </w:tcBorders>
            <w:vAlign w:val="center"/>
          </w:tcPr>
          <w:p w14:paraId="1049C84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2333" w:type="dxa"/>
            <w:tcBorders>
              <w:right w:val="nil"/>
            </w:tcBorders>
            <w:noWrap/>
            <w:vAlign w:val="center"/>
          </w:tcPr>
          <w:p w14:paraId="7995D18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78.96</w:t>
            </w:r>
            <w:r>
              <w:rPr>
                <w:rFonts w:ascii="Times New Roman" w:hAnsi="Times New Roman" w:cs="Times New Roman"/>
                <w:vertAlign w:val="superscript"/>
              </w:rPr>
              <w:t>ab</w:t>
            </w:r>
          </w:p>
        </w:tc>
        <w:tc>
          <w:tcPr>
            <w:tcW w:w="1706" w:type="dxa"/>
            <w:tcBorders>
              <w:right w:val="nil"/>
            </w:tcBorders>
            <w:vAlign w:val="center"/>
          </w:tcPr>
          <w:p w14:paraId="0393A0D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9.04</w:t>
            </w:r>
            <w:r>
              <w:rPr>
                <w:rFonts w:ascii="Times New Roman" w:hAnsi="Times New Roman" w:cs="Times New Roman"/>
                <w:vertAlign w:val="superscript"/>
              </w:rPr>
              <w:t>ab</w:t>
            </w:r>
          </w:p>
        </w:tc>
        <w:tc>
          <w:tcPr>
            <w:tcW w:w="1706" w:type="dxa"/>
            <w:tcBorders>
              <w:right w:val="nil"/>
            </w:tcBorders>
            <w:vAlign w:val="center"/>
          </w:tcPr>
          <w:p w14:paraId="518E944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tcBorders>
              <w:right w:val="nil"/>
            </w:tcBorders>
            <w:vAlign w:val="center"/>
          </w:tcPr>
          <w:p w14:paraId="65DA38E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3D246493"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6E8A4F5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2333" w:type="dxa"/>
            <w:noWrap/>
            <w:vAlign w:val="center"/>
          </w:tcPr>
          <w:p w14:paraId="4B13376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78.96</w:t>
            </w:r>
            <w:r>
              <w:rPr>
                <w:rFonts w:ascii="Times New Roman" w:hAnsi="Times New Roman" w:cs="Times New Roman"/>
                <w:vertAlign w:val="superscript"/>
              </w:rPr>
              <w:t>ab</w:t>
            </w:r>
          </w:p>
        </w:tc>
        <w:tc>
          <w:tcPr>
            <w:tcW w:w="1706" w:type="dxa"/>
            <w:vAlign w:val="center"/>
          </w:tcPr>
          <w:p w14:paraId="3B40CF5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9.04</w:t>
            </w:r>
            <w:r>
              <w:rPr>
                <w:rFonts w:ascii="Times New Roman" w:hAnsi="Times New Roman" w:cs="Times New Roman"/>
                <w:vertAlign w:val="superscript"/>
              </w:rPr>
              <w:t>ab</w:t>
            </w:r>
          </w:p>
        </w:tc>
        <w:tc>
          <w:tcPr>
            <w:tcW w:w="1706" w:type="dxa"/>
            <w:vAlign w:val="center"/>
          </w:tcPr>
          <w:p w14:paraId="4060336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vAlign w:val="center"/>
          </w:tcPr>
          <w:p w14:paraId="45A0994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2C73D343"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tcBorders>
              <w:left w:val="nil"/>
              <w:right w:val="nil"/>
            </w:tcBorders>
            <w:vAlign w:val="center"/>
          </w:tcPr>
          <w:p w14:paraId="38332EF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2333" w:type="dxa"/>
            <w:tcBorders>
              <w:right w:val="nil"/>
            </w:tcBorders>
            <w:noWrap/>
            <w:vAlign w:val="center"/>
          </w:tcPr>
          <w:p w14:paraId="1E9CE81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tcBorders>
              <w:right w:val="nil"/>
            </w:tcBorders>
            <w:vAlign w:val="center"/>
          </w:tcPr>
          <w:p w14:paraId="047F61B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tcBorders>
              <w:right w:val="nil"/>
            </w:tcBorders>
            <w:vAlign w:val="center"/>
          </w:tcPr>
          <w:p w14:paraId="25D564C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tcBorders>
              <w:right w:val="nil"/>
            </w:tcBorders>
            <w:vAlign w:val="center"/>
          </w:tcPr>
          <w:p w14:paraId="06880D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78E99C1F"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727C8E5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2333" w:type="dxa"/>
            <w:noWrap/>
            <w:vAlign w:val="center"/>
          </w:tcPr>
          <w:p w14:paraId="2F6CEFF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vAlign w:val="center"/>
          </w:tcPr>
          <w:p w14:paraId="013E296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vAlign w:val="center"/>
          </w:tcPr>
          <w:p w14:paraId="48C70C0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vAlign w:val="center"/>
          </w:tcPr>
          <w:p w14:paraId="1724C6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66DC09E6"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tcBorders>
              <w:left w:val="nil"/>
              <w:right w:val="nil"/>
            </w:tcBorders>
            <w:vAlign w:val="center"/>
          </w:tcPr>
          <w:p w14:paraId="3517527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2333" w:type="dxa"/>
            <w:tcBorders>
              <w:right w:val="nil"/>
            </w:tcBorders>
            <w:noWrap/>
            <w:vAlign w:val="center"/>
          </w:tcPr>
          <w:p w14:paraId="5AC2723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tcBorders>
              <w:right w:val="nil"/>
            </w:tcBorders>
            <w:vAlign w:val="center"/>
          </w:tcPr>
          <w:p w14:paraId="70A4BEE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tcBorders>
              <w:right w:val="nil"/>
            </w:tcBorders>
            <w:vAlign w:val="center"/>
          </w:tcPr>
          <w:p w14:paraId="7B3BDD8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tcBorders>
              <w:right w:val="nil"/>
            </w:tcBorders>
            <w:vAlign w:val="center"/>
          </w:tcPr>
          <w:p w14:paraId="42AFA1B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w:t>
            </w:r>
            <w:r>
              <w:rPr>
                <w:rFonts w:ascii="Times New Roman" w:hAnsi="Times New Roman" w:cs="Times New Roman"/>
              </w:rPr>
              <w:t xml:space="preserve"> loam</w:t>
            </w:r>
          </w:p>
        </w:tc>
      </w:tr>
      <w:tr w:rsidR="00F15FD7" w14:paraId="5A7DAC09"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2274B8A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2333" w:type="dxa"/>
            <w:noWrap/>
            <w:vAlign w:val="center"/>
          </w:tcPr>
          <w:p w14:paraId="72DC174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vAlign w:val="center"/>
          </w:tcPr>
          <w:p w14:paraId="00753B3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vAlign w:val="center"/>
          </w:tcPr>
          <w:p w14:paraId="2C6D406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vAlign w:val="center"/>
          </w:tcPr>
          <w:p w14:paraId="764BF18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5A1E909A"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tcBorders>
              <w:left w:val="nil"/>
              <w:right w:val="nil"/>
            </w:tcBorders>
            <w:vAlign w:val="center"/>
          </w:tcPr>
          <w:p w14:paraId="223DAB5D"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2333" w:type="dxa"/>
            <w:tcBorders>
              <w:right w:val="nil"/>
            </w:tcBorders>
            <w:noWrap/>
            <w:vAlign w:val="center"/>
          </w:tcPr>
          <w:p w14:paraId="32E3DD5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tcBorders>
              <w:right w:val="nil"/>
            </w:tcBorders>
            <w:vAlign w:val="center"/>
          </w:tcPr>
          <w:p w14:paraId="6AAE075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tcBorders>
              <w:right w:val="nil"/>
            </w:tcBorders>
            <w:vAlign w:val="center"/>
          </w:tcPr>
          <w:p w14:paraId="315BDD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tcBorders>
              <w:right w:val="nil"/>
            </w:tcBorders>
            <w:vAlign w:val="center"/>
          </w:tcPr>
          <w:p w14:paraId="2C3A781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71A41488"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619E5A41"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2333" w:type="dxa"/>
            <w:noWrap/>
            <w:vAlign w:val="center"/>
          </w:tcPr>
          <w:p w14:paraId="12F968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vAlign w:val="center"/>
          </w:tcPr>
          <w:p w14:paraId="052CA32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vAlign w:val="center"/>
          </w:tcPr>
          <w:p w14:paraId="1C7B859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vAlign w:val="center"/>
          </w:tcPr>
          <w:p w14:paraId="49C04F0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6159A855"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tcBorders>
              <w:left w:val="nil"/>
              <w:right w:val="nil"/>
            </w:tcBorders>
            <w:vAlign w:val="center"/>
          </w:tcPr>
          <w:p w14:paraId="3EB49B92"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2333" w:type="dxa"/>
            <w:tcBorders>
              <w:right w:val="nil"/>
            </w:tcBorders>
            <w:noWrap/>
            <w:vAlign w:val="center"/>
          </w:tcPr>
          <w:p w14:paraId="31C0F4C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tcBorders>
              <w:right w:val="nil"/>
            </w:tcBorders>
            <w:vAlign w:val="center"/>
          </w:tcPr>
          <w:p w14:paraId="527A32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tcBorders>
              <w:right w:val="nil"/>
            </w:tcBorders>
            <w:vAlign w:val="center"/>
          </w:tcPr>
          <w:p w14:paraId="34FEC6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tcBorders>
              <w:right w:val="nil"/>
            </w:tcBorders>
            <w:vAlign w:val="center"/>
          </w:tcPr>
          <w:p w14:paraId="2D0CDBD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r w:rsidR="00F15FD7" w14:paraId="0738DF65" w14:textId="77777777" w:rsidTr="00F15FD7">
        <w:trPr>
          <w:trHeight w:val="416"/>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479BA2B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2333" w:type="dxa"/>
            <w:noWrap/>
            <w:vAlign w:val="center"/>
          </w:tcPr>
          <w:p w14:paraId="38BD23A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78.96</w:t>
            </w:r>
            <w:r>
              <w:rPr>
                <w:rFonts w:ascii="Times New Roman" w:hAnsi="Times New Roman" w:cs="Times New Roman"/>
                <w:vertAlign w:val="superscript"/>
              </w:rPr>
              <w:t>ab</w:t>
            </w:r>
          </w:p>
        </w:tc>
        <w:tc>
          <w:tcPr>
            <w:tcW w:w="1706" w:type="dxa"/>
            <w:vAlign w:val="center"/>
          </w:tcPr>
          <w:p w14:paraId="4B0DEF8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9.04</w:t>
            </w:r>
            <w:r>
              <w:rPr>
                <w:rFonts w:ascii="Times New Roman" w:hAnsi="Times New Roman" w:cs="Times New Roman"/>
                <w:vertAlign w:val="superscript"/>
              </w:rPr>
              <w:t>ab</w:t>
            </w:r>
          </w:p>
        </w:tc>
        <w:tc>
          <w:tcPr>
            <w:tcW w:w="1706" w:type="dxa"/>
            <w:vAlign w:val="center"/>
          </w:tcPr>
          <w:p w14:paraId="70ABAFF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12.00</w:t>
            </w:r>
            <w:r>
              <w:rPr>
                <w:rFonts w:ascii="Times New Roman" w:hAnsi="Times New Roman" w:cs="Times New Roman"/>
                <w:vertAlign w:val="superscript"/>
              </w:rPr>
              <w:t>a</w:t>
            </w:r>
          </w:p>
        </w:tc>
        <w:tc>
          <w:tcPr>
            <w:tcW w:w="1708" w:type="dxa"/>
            <w:vAlign w:val="center"/>
          </w:tcPr>
          <w:p w14:paraId="0589817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Sandy loam</w:t>
            </w:r>
          </w:p>
        </w:tc>
      </w:tr>
    </w:tbl>
    <w:p w14:paraId="2BDED067" w14:textId="77777777" w:rsidR="00F15FD7" w:rsidRDefault="00F15FD7">
      <w:pPr>
        <w:pStyle w:val="NoSpacing"/>
        <w:spacing w:line="276" w:lineRule="auto"/>
        <w:jc w:val="both"/>
        <w:rPr>
          <w:rFonts w:ascii="Times New Roman" w:hAnsi="Times New Roman" w:cs="Times New Roman"/>
        </w:rPr>
      </w:pPr>
    </w:p>
    <w:p w14:paraId="1DEDC76D" w14:textId="77777777" w:rsidR="00F15FD7" w:rsidRDefault="00563E74">
      <w:pPr>
        <w:pStyle w:val="NoSpacing"/>
        <w:spacing w:line="276" w:lineRule="auto"/>
        <w:ind w:left="660" w:right="450" w:hangingChars="300" w:hanging="660"/>
        <w:jc w:val="both"/>
        <w:rPr>
          <w:rFonts w:ascii="Times New Roman" w:hAnsi="Times New Roman" w:cs="Times New Roman"/>
        </w:rPr>
      </w:pPr>
      <w:r>
        <w:rPr>
          <w:rFonts w:ascii="Times New Roman" w:hAnsi="Times New Roman" w:cs="Times New Roman"/>
        </w:rPr>
        <w:t xml:space="preserve">        Mean with the same letter(s) in superscript on the same column are not significantly different at P = 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4608696E" w14:textId="77777777" w:rsidR="00F15FD7" w:rsidRDefault="00F15FD7">
      <w:pPr>
        <w:spacing w:line="276" w:lineRule="auto"/>
        <w:jc w:val="both"/>
        <w:rPr>
          <w:rFonts w:ascii="Times New Roman" w:hAnsi="Times New Roman" w:cs="Times New Roman"/>
          <w:b/>
        </w:rPr>
      </w:pPr>
    </w:p>
    <w:p w14:paraId="4BC169B7" w14:textId="77777777" w:rsidR="00F15FD7" w:rsidRDefault="00F15FD7">
      <w:pPr>
        <w:spacing w:line="276" w:lineRule="auto"/>
        <w:jc w:val="both"/>
        <w:rPr>
          <w:rFonts w:ascii="Times New Roman" w:hAnsi="Times New Roman" w:cs="Times New Roman"/>
          <w:b/>
        </w:rPr>
      </w:pPr>
    </w:p>
    <w:p w14:paraId="560179A1" w14:textId="77777777" w:rsidR="00F15FD7" w:rsidRDefault="00F15FD7">
      <w:pPr>
        <w:spacing w:line="276" w:lineRule="auto"/>
        <w:jc w:val="both"/>
        <w:rPr>
          <w:rFonts w:ascii="Times New Roman" w:hAnsi="Times New Roman" w:cs="Times New Roman"/>
          <w:b/>
        </w:rPr>
      </w:pPr>
    </w:p>
    <w:p w14:paraId="11A401C3" w14:textId="77777777" w:rsidR="00F15FD7" w:rsidRDefault="00F15FD7">
      <w:pPr>
        <w:spacing w:line="276" w:lineRule="auto"/>
        <w:jc w:val="both"/>
        <w:rPr>
          <w:rFonts w:ascii="Times New Roman" w:hAnsi="Times New Roman" w:cs="Times New Roman"/>
          <w:b/>
        </w:rPr>
      </w:pPr>
    </w:p>
    <w:p w14:paraId="5BE45B5F" w14:textId="77777777" w:rsidR="00F15FD7" w:rsidRDefault="00F15FD7">
      <w:pPr>
        <w:spacing w:line="276" w:lineRule="auto"/>
        <w:jc w:val="both"/>
        <w:rPr>
          <w:rFonts w:ascii="Times New Roman" w:hAnsi="Times New Roman" w:cs="Times New Roman"/>
          <w:b/>
        </w:rPr>
      </w:pPr>
    </w:p>
    <w:p w14:paraId="62923AEE" w14:textId="77777777" w:rsidR="00F15FD7" w:rsidRDefault="00F15FD7">
      <w:pPr>
        <w:spacing w:line="276" w:lineRule="auto"/>
        <w:jc w:val="both"/>
        <w:rPr>
          <w:rFonts w:ascii="Times New Roman" w:hAnsi="Times New Roman" w:cs="Times New Roman"/>
          <w:b/>
        </w:rPr>
      </w:pPr>
    </w:p>
    <w:p w14:paraId="1EEB9A20" w14:textId="77777777" w:rsidR="00F15FD7" w:rsidRDefault="00F15FD7">
      <w:pPr>
        <w:spacing w:line="276" w:lineRule="auto"/>
        <w:jc w:val="both"/>
        <w:rPr>
          <w:rFonts w:ascii="Times New Roman" w:hAnsi="Times New Roman" w:cs="Times New Roman"/>
          <w:b/>
        </w:rPr>
      </w:pPr>
    </w:p>
    <w:p w14:paraId="4F84730C" w14:textId="77777777" w:rsidR="00F15FD7" w:rsidRDefault="00F15FD7">
      <w:pPr>
        <w:spacing w:line="276" w:lineRule="auto"/>
        <w:jc w:val="both"/>
        <w:rPr>
          <w:rFonts w:ascii="Times New Roman" w:hAnsi="Times New Roman" w:cs="Times New Roman"/>
          <w:b/>
        </w:rPr>
      </w:pPr>
    </w:p>
    <w:p w14:paraId="273E80C2" w14:textId="77777777" w:rsidR="00F15FD7" w:rsidRDefault="00F15FD7">
      <w:pPr>
        <w:spacing w:line="276" w:lineRule="auto"/>
        <w:jc w:val="both"/>
        <w:rPr>
          <w:rFonts w:ascii="Times New Roman" w:hAnsi="Times New Roman" w:cs="Times New Roman"/>
          <w:b/>
        </w:rPr>
      </w:pPr>
    </w:p>
    <w:p w14:paraId="23DE4D72" w14:textId="77777777" w:rsidR="00F15FD7" w:rsidRDefault="00F15FD7">
      <w:pPr>
        <w:spacing w:line="276" w:lineRule="auto"/>
        <w:jc w:val="both"/>
        <w:rPr>
          <w:rFonts w:ascii="Times New Roman" w:hAnsi="Times New Roman" w:cs="Times New Roman"/>
          <w:b/>
        </w:rPr>
      </w:pPr>
    </w:p>
    <w:p w14:paraId="224DE662" w14:textId="77777777" w:rsidR="00F15FD7" w:rsidRDefault="00F15FD7">
      <w:pPr>
        <w:spacing w:line="276" w:lineRule="auto"/>
        <w:jc w:val="both"/>
        <w:rPr>
          <w:rFonts w:ascii="Times New Roman" w:hAnsi="Times New Roman" w:cs="Times New Roman"/>
          <w:b/>
        </w:rPr>
      </w:pPr>
    </w:p>
    <w:p w14:paraId="218BFA85" w14:textId="77777777" w:rsidR="00F15FD7" w:rsidRDefault="00F15FD7">
      <w:pPr>
        <w:spacing w:line="276" w:lineRule="auto"/>
        <w:jc w:val="both"/>
        <w:rPr>
          <w:rFonts w:ascii="Times New Roman" w:hAnsi="Times New Roman" w:cs="Times New Roman"/>
          <w:b/>
        </w:rPr>
      </w:pPr>
    </w:p>
    <w:p w14:paraId="12168DA5" w14:textId="77777777" w:rsidR="00F15FD7" w:rsidRDefault="00563E74">
      <w:pPr>
        <w:spacing w:line="276" w:lineRule="auto"/>
        <w:jc w:val="both"/>
        <w:rPr>
          <w:rFonts w:ascii="Times New Roman" w:hAnsi="Times New Roman" w:cs="Times New Roman"/>
          <w:b/>
        </w:rPr>
      </w:pPr>
      <w:r>
        <w:rPr>
          <w:rFonts w:ascii="Times New Roman" w:hAnsi="Times New Roman" w:cs="Times New Roman"/>
          <w:b/>
        </w:rPr>
        <w:t xml:space="preserve">Table 9a:  Soil chemical Properties at termination of experiment </w:t>
      </w:r>
    </w:p>
    <w:tbl>
      <w:tblPr>
        <w:tblStyle w:val="ListTable6Colorful1"/>
        <w:tblpPr w:leftFromText="180" w:rightFromText="180" w:vertAnchor="text" w:horzAnchor="margin" w:tblpXSpec="center" w:tblpY="271"/>
        <w:tblW w:w="9903" w:type="dxa"/>
        <w:tblLayout w:type="fixed"/>
        <w:tblLook w:val="04A0" w:firstRow="1" w:lastRow="0" w:firstColumn="1" w:lastColumn="0" w:noHBand="0" w:noVBand="1"/>
      </w:tblPr>
      <w:tblGrid>
        <w:gridCol w:w="2184"/>
        <w:gridCol w:w="1412"/>
        <w:gridCol w:w="1230"/>
        <w:gridCol w:w="1701"/>
        <w:gridCol w:w="1688"/>
        <w:gridCol w:w="1688"/>
      </w:tblGrid>
      <w:tr w:rsidR="00F15FD7" w14:paraId="781CF2EA" w14:textId="77777777" w:rsidTr="00F15FD7">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184" w:type="dxa"/>
            <w:noWrap/>
          </w:tcPr>
          <w:p w14:paraId="0644B7CE" w14:textId="77777777" w:rsidR="00F15FD7" w:rsidRDefault="00F15FD7">
            <w:pPr>
              <w:spacing w:after="0" w:line="276" w:lineRule="auto"/>
              <w:rPr>
                <w:rFonts w:ascii="Times New Roman" w:hAnsi="Times New Roman" w:cs="Times New Roman"/>
                <w:b w:val="0"/>
                <w:bCs w:val="0"/>
                <w:color w:val="auto"/>
              </w:rPr>
            </w:pPr>
          </w:p>
          <w:p w14:paraId="154C0A8B" w14:textId="77777777" w:rsidR="00F15FD7" w:rsidRDefault="00563E74">
            <w:pPr>
              <w:spacing w:after="0" w:line="276" w:lineRule="auto"/>
              <w:rPr>
                <w:rFonts w:ascii="Times New Roman" w:hAnsi="Times New Roman" w:cs="Times New Roman"/>
                <w:color w:val="auto"/>
              </w:rPr>
            </w:pPr>
            <w:r>
              <w:rPr>
                <w:rFonts w:ascii="Times New Roman" w:hAnsi="Times New Roman" w:cs="Times New Roman"/>
                <w:color w:val="auto"/>
              </w:rPr>
              <w:t>TREATMENTS</w:t>
            </w:r>
          </w:p>
          <w:p w14:paraId="213D2C86" w14:textId="77777777" w:rsidR="00F15FD7" w:rsidRDefault="00F15FD7">
            <w:pPr>
              <w:spacing w:after="0" w:line="276" w:lineRule="auto"/>
              <w:rPr>
                <w:rFonts w:ascii="Times New Roman" w:hAnsi="Times New Roman" w:cs="Times New Roman"/>
                <w:color w:val="auto"/>
              </w:rPr>
            </w:pPr>
          </w:p>
        </w:tc>
        <w:tc>
          <w:tcPr>
            <w:tcW w:w="1412" w:type="dxa"/>
          </w:tcPr>
          <w:p w14:paraId="42E1C2BB"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p w14:paraId="69F866A8"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pH (1:2 H</w:t>
            </w:r>
            <w:r>
              <w:rPr>
                <w:rFonts w:ascii="Times New Roman" w:hAnsi="Times New Roman" w:cs="Times New Roman"/>
                <w:vertAlign w:val="subscript"/>
              </w:rPr>
              <w:t>2</w:t>
            </w:r>
            <w:r>
              <w:rPr>
                <w:rFonts w:ascii="Times New Roman" w:hAnsi="Times New Roman" w:cs="Times New Roman"/>
              </w:rPr>
              <w:t>0)</w:t>
            </w:r>
          </w:p>
        </w:tc>
        <w:tc>
          <w:tcPr>
            <w:tcW w:w="1230" w:type="dxa"/>
            <w:noWrap/>
          </w:tcPr>
          <w:p w14:paraId="79873C5B"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54235C87"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EC (mm/S)</w:t>
            </w:r>
          </w:p>
        </w:tc>
        <w:tc>
          <w:tcPr>
            <w:tcW w:w="1701" w:type="dxa"/>
            <w:noWrap/>
          </w:tcPr>
          <w:p w14:paraId="6BA18F6A"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3007D6AF"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CEC</w:t>
            </w:r>
          </w:p>
          <w:p w14:paraId="37C3D71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 xml:space="preserve"> (</w:t>
            </w:r>
            <w:proofErr w:type="spellStart"/>
            <w:r>
              <w:rPr>
                <w:rFonts w:ascii="Times New Roman" w:hAnsi="Times New Roman" w:cs="Times New Roman"/>
              </w:rPr>
              <w:t>cmol</w:t>
            </w:r>
            <w:proofErr w:type="spellEnd"/>
            <w:r>
              <w:rPr>
                <w:rFonts w:ascii="Times New Roman" w:hAnsi="Times New Roman" w:cs="Times New Roman"/>
              </w:rPr>
              <w:t>/kg)</w:t>
            </w:r>
          </w:p>
        </w:tc>
        <w:tc>
          <w:tcPr>
            <w:tcW w:w="1688" w:type="dxa"/>
            <w:noWrap/>
          </w:tcPr>
          <w:p w14:paraId="6F201759"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3D2CAAC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Organic matter (%)</w:t>
            </w:r>
          </w:p>
        </w:tc>
        <w:tc>
          <w:tcPr>
            <w:tcW w:w="1688" w:type="dxa"/>
            <w:noWrap/>
          </w:tcPr>
          <w:p w14:paraId="75A0F227"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3A76BC27"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Organic carbon (%)</w:t>
            </w:r>
          </w:p>
        </w:tc>
      </w:tr>
      <w:tr w:rsidR="00F15FD7" w14:paraId="25702EC4"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099FF78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1412" w:type="dxa"/>
          </w:tcPr>
          <w:p w14:paraId="58E83EC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7.40</w:t>
            </w:r>
            <w:r>
              <w:rPr>
                <w:rFonts w:ascii="Times New Roman" w:hAnsi="Times New Roman" w:cs="Times New Roman"/>
                <w:vertAlign w:val="superscript"/>
              </w:rPr>
              <w:t>a</w:t>
            </w:r>
          </w:p>
        </w:tc>
        <w:tc>
          <w:tcPr>
            <w:tcW w:w="1230" w:type="dxa"/>
            <w:noWrap/>
          </w:tcPr>
          <w:p w14:paraId="60BD235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5302CD8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13.87</w:t>
            </w:r>
            <w:r>
              <w:rPr>
                <w:rFonts w:ascii="Times New Roman" w:hAnsi="Times New Roman" w:cs="Times New Roman"/>
                <w:vertAlign w:val="superscript"/>
              </w:rPr>
              <w:t>ab</w:t>
            </w:r>
          </w:p>
        </w:tc>
        <w:tc>
          <w:tcPr>
            <w:tcW w:w="1688" w:type="dxa"/>
            <w:noWrap/>
          </w:tcPr>
          <w:p w14:paraId="2D92871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13.14</w:t>
            </w:r>
            <w:r>
              <w:rPr>
                <w:rFonts w:ascii="Times New Roman" w:hAnsi="Times New Roman" w:cs="Times New Roman"/>
                <w:vertAlign w:val="superscript"/>
              </w:rPr>
              <w:t>ab</w:t>
            </w:r>
          </w:p>
        </w:tc>
        <w:tc>
          <w:tcPr>
            <w:tcW w:w="1688" w:type="dxa"/>
            <w:noWrap/>
          </w:tcPr>
          <w:p w14:paraId="69560E5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2.98</w:t>
            </w:r>
            <w:r>
              <w:rPr>
                <w:rFonts w:ascii="Times New Roman" w:hAnsi="Times New Roman" w:cs="Times New Roman"/>
                <w:vertAlign w:val="superscript"/>
              </w:rPr>
              <w:t>a</w:t>
            </w:r>
          </w:p>
        </w:tc>
      </w:tr>
      <w:tr w:rsidR="00F15FD7" w14:paraId="001978B3"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5BBED9E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412" w:type="dxa"/>
          </w:tcPr>
          <w:p w14:paraId="43BAAF2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7.50</w:t>
            </w:r>
            <w:r>
              <w:rPr>
                <w:rFonts w:ascii="Times New Roman" w:hAnsi="Times New Roman" w:cs="Times New Roman"/>
                <w:vertAlign w:val="superscript"/>
              </w:rPr>
              <w:t>a</w:t>
            </w:r>
          </w:p>
        </w:tc>
        <w:tc>
          <w:tcPr>
            <w:tcW w:w="1230" w:type="dxa"/>
            <w:noWrap/>
          </w:tcPr>
          <w:p w14:paraId="6BDDB65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300</w:t>
            </w:r>
            <w:r>
              <w:rPr>
                <w:rFonts w:ascii="Times New Roman" w:hAnsi="Times New Roman" w:cs="Times New Roman"/>
                <w:vertAlign w:val="superscript"/>
              </w:rPr>
              <w:t>ab</w:t>
            </w:r>
          </w:p>
        </w:tc>
        <w:tc>
          <w:tcPr>
            <w:tcW w:w="1701" w:type="dxa"/>
            <w:noWrap/>
          </w:tcPr>
          <w:p w14:paraId="33A925A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13.68</w:t>
            </w:r>
            <w:r>
              <w:rPr>
                <w:rFonts w:ascii="Times New Roman" w:hAnsi="Times New Roman" w:cs="Times New Roman"/>
                <w:vertAlign w:val="superscript"/>
              </w:rPr>
              <w:t>a</w:t>
            </w:r>
          </w:p>
        </w:tc>
        <w:tc>
          <w:tcPr>
            <w:tcW w:w="1688" w:type="dxa"/>
            <w:noWrap/>
          </w:tcPr>
          <w:p w14:paraId="7B15A5C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13.70</w:t>
            </w:r>
            <w:r>
              <w:rPr>
                <w:rFonts w:ascii="Times New Roman" w:hAnsi="Times New Roman" w:cs="Times New Roman"/>
                <w:vertAlign w:val="superscript"/>
              </w:rPr>
              <w:t>a</w:t>
            </w:r>
          </w:p>
        </w:tc>
        <w:tc>
          <w:tcPr>
            <w:tcW w:w="1688" w:type="dxa"/>
            <w:noWrap/>
          </w:tcPr>
          <w:p w14:paraId="0885625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2.73</w:t>
            </w:r>
            <w:r>
              <w:rPr>
                <w:rFonts w:ascii="Times New Roman" w:hAnsi="Times New Roman" w:cs="Times New Roman"/>
                <w:vertAlign w:val="superscript"/>
              </w:rPr>
              <w:t>a</w:t>
            </w:r>
          </w:p>
        </w:tc>
      </w:tr>
      <w:tr w:rsidR="00F15FD7" w14:paraId="4042C1AA"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6C381223"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412" w:type="dxa"/>
          </w:tcPr>
          <w:p w14:paraId="3E1CC1E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7.60</w:t>
            </w:r>
            <w:r>
              <w:rPr>
                <w:rFonts w:ascii="Times New Roman" w:hAnsi="Times New Roman" w:cs="Times New Roman"/>
                <w:vertAlign w:val="superscript"/>
              </w:rPr>
              <w:t>a</w:t>
            </w:r>
          </w:p>
        </w:tc>
        <w:tc>
          <w:tcPr>
            <w:tcW w:w="1230" w:type="dxa"/>
            <w:noWrap/>
          </w:tcPr>
          <w:p w14:paraId="70468AE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400</w:t>
            </w:r>
            <w:r>
              <w:rPr>
                <w:rFonts w:ascii="Times New Roman" w:hAnsi="Times New Roman" w:cs="Times New Roman"/>
                <w:vertAlign w:val="superscript"/>
              </w:rPr>
              <w:t>ab</w:t>
            </w:r>
          </w:p>
        </w:tc>
        <w:tc>
          <w:tcPr>
            <w:tcW w:w="1701" w:type="dxa"/>
            <w:noWrap/>
          </w:tcPr>
          <w:p w14:paraId="5D4BF2F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13.45</w:t>
            </w:r>
            <w:r>
              <w:rPr>
                <w:rFonts w:ascii="Times New Roman" w:hAnsi="Times New Roman" w:cs="Times New Roman"/>
                <w:vertAlign w:val="superscript"/>
              </w:rPr>
              <w:t>b</w:t>
            </w:r>
          </w:p>
        </w:tc>
        <w:tc>
          <w:tcPr>
            <w:tcW w:w="1688" w:type="dxa"/>
            <w:noWrap/>
          </w:tcPr>
          <w:p w14:paraId="45B5FF4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13.41</w:t>
            </w:r>
            <w:r>
              <w:rPr>
                <w:rFonts w:ascii="Times New Roman" w:hAnsi="Times New Roman" w:cs="Times New Roman"/>
                <w:vertAlign w:val="superscript"/>
              </w:rPr>
              <w:t>ab</w:t>
            </w:r>
          </w:p>
        </w:tc>
        <w:tc>
          <w:tcPr>
            <w:tcW w:w="1688" w:type="dxa"/>
            <w:noWrap/>
          </w:tcPr>
          <w:p w14:paraId="720EE3B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4.30</w:t>
            </w:r>
            <w:r>
              <w:rPr>
                <w:rFonts w:ascii="Times New Roman" w:hAnsi="Times New Roman" w:cs="Times New Roman"/>
                <w:vertAlign w:val="superscript"/>
              </w:rPr>
              <w:t>a</w:t>
            </w:r>
          </w:p>
        </w:tc>
      </w:tr>
      <w:tr w:rsidR="00F15FD7" w14:paraId="7F7AD0B2"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2184" w:type="dxa"/>
            <w:noWrap/>
          </w:tcPr>
          <w:p w14:paraId="5C0C7D0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412" w:type="dxa"/>
          </w:tcPr>
          <w:p w14:paraId="662599C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4B8993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450</w:t>
            </w:r>
            <w:r>
              <w:rPr>
                <w:rFonts w:ascii="Times New Roman" w:hAnsi="Times New Roman" w:cs="Times New Roman"/>
                <w:vertAlign w:val="superscript"/>
              </w:rPr>
              <w:t>b</w:t>
            </w:r>
          </w:p>
        </w:tc>
        <w:tc>
          <w:tcPr>
            <w:tcW w:w="1701" w:type="dxa"/>
            <w:noWrap/>
          </w:tcPr>
          <w:p w14:paraId="77F9F83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13.16</w:t>
            </w:r>
            <w:r>
              <w:rPr>
                <w:rFonts w:ascii="Times New Roman" w:hAnsi="Times New Roman" w:cs="Times New Roman"/>
                <w:vertAlign w:val="superscript"/>
              </w:rPr>
              <w:t>ab</w:t>
            </w:r>
          </w:p>
        </w:tc>
        <w:tc>
          <w:tcPr>
            <w:tcW w:w="1688" w:type="dxa"/>
            <w:noWrap/>
          </w:tcPr>
          <w:p w14:paraId="4BB571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13.55</w:t>
            </w:r>
            <w:r>
              <w:rPr>
                <w:rFonts w:ascii="Times New Roman" w:hAnsi="Times New Roman" w:cs="Times New Roman"/>
                <w:vertAlign w:val="superscript"/>
              </w:rPr>
              <w:t>a</w:t>
            </w:r>
          </w:p>
        </w:tc>
        <w:tc>
          <w:tcPr>
            <w:tcW w:w="1688" w:type="dxa"/>
            <w:noWrap/>
          </w:tcPr>
          <w:p w14:paraId="0ADDF13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2.64</w:t>
            </w:r>
            <w:r>
              <w:rPr>
                <w:rFonts w:ascii="Times New Roman" w:hAnsi="Times New Roman" w:cs="Times New Roman"/>
                <w:vertAlign w:val="superscript"/>
              </w:rPr>
              <w:t>a</w:t>
            </w:r>
          </w:p>
        </w:tc>
      </w:tr>
      <w:tr w:rsidR="00F15FD7" w14:paraId="37FE7A3C"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25A52C1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412" w:type="dxa"/>
          </w:tcPr>
          <w:p w14:paraId="4C98FF5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2489758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250</w:t>
            </w:r>
            <w:r>
              <w:rPr>
                <w:rFonts w:ascii="Times New Roman" w:hAnsi="Times New Roman" w:cs="Times New Roman"/>
                <w:vertAlign w:val="superscript"/>
              </w:rPr>
              <w:t>a</w:t>
            </w:r>
          </w:p>
        </w:tc>
        <w:tc>
          <w:tcPr>
            <w:tcW w:w="1701" w:type="dxa"/>
            <w:noWrap/>
          </w:tcPr>
          <w:p w14:paraId="486F186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13.51</w:t>
            </w:r>
            <w:r>
              <w:rPr>
                <w:rFonts w:ascii="Times New Roman" w:hAnsi="Times New Roman" w:cs="Times New Roman"/>
                <w:vertAlign w:val="superscript"/>
              </w:rPr>
              <w:t>ab</w:t>
            </w:r>
          </w:p>
        </w:tc>
        <w:tc>
          <w:tcPr>
            <w:tcW w:w="1688" w:type="dxa"/>
            <w:noWrap/>
          </w:tcPr>
          <w:p w14:paraId="69082F7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13.09</w:t>
            </w:r>
            <w:r>
              <w:rPr>
                <w:rFonts w:ascii="Times New Roman" w:hAnsi="Times New Roman" w:cs="Times New Roman"/>
                <w:vertAlign w:val="superscript"/>
              </w:rPr>
              <w:t>a</w:t>
            </w:r>
          </w:p>
        </w:tc>
        <w:tc>
          <w:tcPr>
            <w:tcW w:w="1688" w:type="dxa"/>
            <w:noWrap/>
          </w:tcPr>
          <w:p w14:paraId="7A12A2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2.96</w:t>
            </w:r>
            <w:r>
              <w:rPr>
                <w:rFonts w:ascii="Times New Roman" w:hAnsi="Times New Roman" w:cs="Times New Roman"/>
                <w:vertAlign w:val="superscript"/>
              </w:rPr>
              <w:t>a</w:t>
            </w:r>
          </w:p>
        </w:tc>
      </w:tr>
      <w:tr w:rsidR="00F15FD7" w14:paraId="4C05738A"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38A41F2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412" w:type="dxa"/>
          </w:tcPr>
          <w:p w14:paraId="0B4BB5F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7291AC2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250</w:t>
            </w:r>
            <w:r>
              <w:rPr>
                <w:rFonts w:ascii="Times New Roman" w:hAnsi="Times New Roman" w:cs="Times New Roman"/>
                <w:vertAlign w:val="superscript"/>
              </w:rPr>
              <w:t>a</w:t>
            </w:r>
          </w:p>
        </w:tc>
        <w:tc>
          <w:tcPr>
            <w:tcW w:w="1701" w:type="dxa"/>
            <w:noWrap/>
          </w:tcPr>
          <w:p w14:paraId="598687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13.29</w:t>
            </w:r>
            <w:r>
              <w:rPr>
                <w:rFonts w:ascii="Times New Roman" w:hAnsi="Times New Roman" w:cs="Times New Roman"/>
                <w:vertAlign w:val="superscript"/>
              </w:rPr>
              <w:t>a</w:t>
            </w:r>
          </w:p>
        </w:tc>
        <w:tc>
          <w:tcPr>
            <w:tcW w:w="1688" w:type="dxa"/>
            <w:noWrap/>
          </w:tcPr>
          <w:p w14:paraId="19051A1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13.22</w:t>
            </w:r>
            <w:r>
              <w:rPr>
                <w:rFonts w:ascii="Times New Roman" w:hAnsi="Times New Roman" w:cs="Times New Roman"/>
                <w:vertAlign w:val="superscript"/>
              </w:rPr>
              <w:t>c</w:t>
            </w:r>
          </w:p>
        </w:tc>
        <w:tc>
          <w:tcPr>
            <w:tcW w:w="1688" w:type="dxa"/>
            <w:noWrap/>
          </w:tcPr>
          <w:p w14:paraId="73C79E0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2.37</w:t>
            </w:r>
            <w:r>
              <w:rPr>
                <w:rFonts w:ascii="Times New Roman" w:hAnsi="Times New Roman" w:cs="Times New Roman"/>
                <w:vertAlign w:val="superscript"/>
              </w:rPr>
              <w:t>a</w:t>
            </w:r>
          </w:p>
        </w:tc>
      </w:tr>
      <w:tr w:rsidR="00F15FD7" w14:paraId="4C79523B"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082E539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412" w:type="dxa"/>
          </w:tcPr>
          <w:p w14:paraId="744AB01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705308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3C7DBB1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13.22</w:t>
            </w:r>
            <w:r>
              <w:rPr>
                <w:rFonts w:ascii="Times New Roman" w:hAnsi="Times New Roman" w:cs="Times New Roman"/>
                <w:vertAlign w:val="superscript"/>
              </w:rPr>
              <w:t>a</w:t>
            </w:r>
          </w:p>
        </w:tc>
        <w:tc>
          <w:tcPr>
            <w:tcW w:w="1688" w:type="dxa"/>
            <w:noWrap/>
          </w:tcPr>
          <w:p w14:paraId="3E7FFFC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13.24</w:t>
            </w:r>
            <w:r>
              <w:rPr>
                <w:rFonts w:ascii="Times New Roman" w:hAnsi="Times New Roman" w:cs="Times New Roman"/>
                <w:vertAlign w:val="superscript"/>
              </w:rPr>
              <w:t>c</w:t>
            </w:r>
          </w:p>
        </w:tc>
        <w:tc>
          <w:tcPr>
            <w:tcW w:w="1688" w:type="dxa"/>
            <w:noWrap/>
          </w:tcPr>
          <w:p w14:paraId="4F856B7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r w:rsidR="00F15FD7" w14:paraId="63926BF8"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655487A2"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412" w:type="dxa"/>
          </w:tcPr>
          <w:p w14:paraId="76E448C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2EC844C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5404059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13.23</w:t>
            </w:r>
            <w:r>
              <w:rPr>
                <w:rFonts w:ascii="Times New Roman" w:hAnsi="Times New Roman" w:cs="Times New Roman"/>
                <w:vertAlign w:val="superscript"/>
              </w:rPr>
              <w:t>a</w:t>
            </w:r>
          </w:p>
        </w:tc>
        <w:tc>
          <w:tcPr>
            <w:tcW w:w="1688" w:type="dxa"/>
            <w:noWrap/>
          </w:tcPr>
          <w:p w14:paraId="3956AC7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13.21</w:t>
            </w:r>
            <w:r>
              <w:rPr>
                <w:rFonts w:ascii="Times New Roman" w:hAnsi="Times New Roman" w:cs="Times New Roman"/>
                <w:vertAlign w:val="superscript"/>
              </w:rPr>
              <w:t>c</w:t>
            </w:r>
          </w:p>
        </w:tc>
        <w:tc>
          <w:tcPr>
            <w:tcW w:w="1688" w:type="dxa"/>
            <w:noWrap/>
          </w:tcPr>
          <w:p w14:paraId="4D23702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r w:rsidR="00F15FD7" w14:paraId="7E15E8DB"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0345073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412" w:type="dxa"/>
          </w:tcPr>
          <w:p w14:paraId="0A31FDE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3AE6609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33151B6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13.23</w:t>
            </w:r>
            <w:r>
              <w:rPr>
                <w:rFonts w:ascii="Times New Roman" w:hAnsi="Times New Roman" w:cs="Times New Roman"/>
                <w:vertAlign w:val="superscript"/>
              </w:rPr>
              <w:t>a</w:t>
            </w:r>
          </w:p>
        </w:tc>
        <w:tc>
          <w:tcPr>
            <w:tcW w:w="1688" w:type="dxa"/>
            <w:noWrap/>
          </w:tcPr>
          <w:p w14:paraId="4BC907B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13.29</w:t>
            </w:r>
            <w:r>
              <w:rPr>
                <w:rFonts w:ascii="Times New Roman" w:hAnsi="Times New Roman" w:cs="Times New Roman"/>
                <w:vertAlign w:val="superscript"/>
              </w:rPr>
              <w:t>c</w:t>
            </w:r>
          </w:p>
        </w:tc>
        <w:tc>
          <w:tcPr>
            <w:tcW w:w="1688" w:type="dxa"/>
            <w:noWrap/>
          </w:tcPr>
          <w:p w14:paraId="7A392A3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r w:rsidR="00F15FD7" w14:paraId="45F984A2"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29930814"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412" w:type="dxa"/>
          </w:tcPr>
          <w:p w14:paraId="08A9BE1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72EEFFA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55D28E7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13.22</w:t>
            </w:r>
            <w:r>
              <w:rPr>
                <w:rFonts w:ascii="Times New Roman" w:hAnsi="Times New Roman" w:cs="Times New Roman"/>
                <w:vertAlign w:val="superscript"/>
              </w:rPr>
              <w:t>a</w:t>
            </w:r>
          </w:p>
        </w:tc>
        <w:tc>
          <w:tcPr>
            <w:tcW w:w="1688" w:type="dxa"/>
            <w:noWrap/>
          </w:tcPr>
          <w:p w14:paraId="09AF911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13.23</w:t>
            </w:r>
            <w:r>
              <w:rPr>
                <w:rFonts w:ascii="Times New Roman" w:hAnsi="Times New Roman" w:cs="Times New Roman"/>
                <w:vertAlign w:val="superscript"/>
              </w:rPr>
              <w:t>c</w:t>
            </w:r>
          </w:p>
        </w:tc>
        <w:tc>
          <w:tcPr>
            <w:tcW w:w="1688" w:type="dxa"/>
            <w:noWrap/>
          </w:tcPr>
          <w:p w14:paraId="2F5E0BD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r w:rsidR="00F15FD7" w14:paraId="536A9A6B"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10621DE9"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412" w:type="dxa"/>
          </w:tcPr>
          <w:p w14:paraId="1F222C1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7D0159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37CF740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13.23</w:t>
            </w:r>
            <w:r>
              <w:rPr>
                <w:rFonts w:ascii="Times New Roman" w:hAnsi="Times New Roman" w:cs="Times New Roman"/>
                <w:vertAlign w:val="superscript"/>
              </w:rPr>
              <w:t>a</w:t>
            </w:r>
          </w:p>
        </w:tc>
        <w:tc>
          <w:tcPr>
            <w:tcW w:w="1688" w:type="dxa"/>
            <w:noWrap/>
          </w:tcPr>
          <w:p w14:paraId="2CA1E4A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13.24</w:t>
            </w:r>
            <w:r>
              <w:rPr>
                <w:rFonts w:ascii="Times New Roman" w:hAnsi="Times New Roman" w:cs="Times New Roman"/>
                <w:vertAlign w:val="superscript"/>
              </w:rPr>
              <w:t>c</w:t>
            </w:r>
          </w:p>
        </w:tc>
        <w:tc>
          <w:tcPr>
            <w:tcW w:w="1688" w:type="dxa"/>
            <w:noWrap/>
          </w:tcPr>
          <w:p w14:paraId="59CE1E3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r w:rsidR="00F15FD7" w14:paraId="3FEF8EEB" w14:textId="77777777" w:rsidTr="00F15FD7">
        <w:trPr>
          <w:trHeight w:val="360"/>
        </w:trPr>
        <w:tc>
          <w:tcPr>
            <w:cnfStyle w:val="001000000000" w:firstRow="0" w:lastRow="0" w:firstColumn="1" w:lastColumn="0" w:oddVBand="0" w:evenVBand="0" w:oddHBand="0" w:evenHBand="0" w:firstRowFirstColumn="0" w:firstRowLastColumn="0" w:lastRowFirstColumn="0" w:lastRowLastColumn="0"/>
            <w:tcW w:w="2184" w:type="dxa"/>
            <w:noWrap/>
          </w:tcPr>
          <w:p w14:paraId="3BB2E4AC"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412" w:type="dxa"/>
          </w:tcPr>
          <w:p w14:paraId="58FB60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3EA8087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4F5A4E5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13.23</w:t>
            </w:r>
            <w:r>
              <w:rPr>
                <w:rFonts w:ascii="Times New Roman" w:hAnsi="Times New Roman" w:cs="Times New Roman"/>
                <w:vertAlign w:val="superscript"/>
              </w:rPr>
              <w:t>a</w:t>
            </w:r>
          </w:p>
        </w:tc>
        <w:tc>
          <w:tcPr>
            <w:tcW w:w="1688" w:type="dxa"/>
            <w:noWrap/>
          </w:tcPr>
          <w:p w14:paraId="567C62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13.22</w:t>
            </w:r>
            <w:r>
              <w:rPr>
                <w:rFonts w:ascii="Times New Roman" w:hAnsi="Times New Roman" w:cs="Times New Roman"/>
                <w:vertAlign w:val="superscript"/>
              </w:rPr>
              <w:t>c</w:t>
            </w:r>
          </w:p>
        </w:tc>
        <w:tc>
          <w:tcPr>
            <w:tcW w:w="1688" w:type="dxa"/>
            <w:noWrap/>
          </w:tcPr>
          <w:p w14:paraId="7CEA34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r w:rsidR="00F15FD7" w14:paraId="063E44B4"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644AAB1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1412" w:type="dxa"/>
          </w:tcPr>
          <w:p w14:paraId="1F930D9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677C369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2346FA3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13.14</w:t>
            </w:r>
            <w:r>
              <w:rPr>
                <w:rFonts w:ascii="Times New Roman" w:hAnsi="Times New Roman" w:cs="Times New Roman"/>
                <w:vertAlign w:val="superscript"/>
              </w:rPr>
              <w:t>a</w:t>
            </w:r>
          </w:p>
        </w:tc>
        <w:tc>
          <w:tcPr>
            <w:tcW w:w="1688" w:type="dxa"/>
            <w:noWrap/>
          </w:tcPr>
          <w:p w14:paraId="74F94AF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13.26</w:t>
            </w:r>
            <w:r>
              <w:rPr>
                <w:rFonts w:ascii="Times New Roman" w:hAnsi="Times New Roman" w:cs="Times New Roman"/>
                <w:vertAlign w:val="superscript"/>
              </w:rPr>
              <w:t>c</w:t>
            </w:r>
          </w:p>
        </w:tc>
        <w:tc>
          <w:tcPr>
            <w:tcW w:w="1688" w:type="dxa"/>
            <w:noWrap/>
          </w:tcPr>
          <w:p w14:paraId="1ABE012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r w:rsidR="00F15FD7" w14:paraId="7C6A3A30" w14:textId="77777777" w:rsidTr="00F15FD7">
        <w:trPr>
          <w:trHeight w:val="385"/>
        </w:trPr>
        <w:tc>
          <w:tcPr>
            <w:cnfStyle w:val="001000000000" w:firstRow="0" w:lastRow="0" w:firstColumn="1" w:lastColumn="0" w:oddVBand="0" w:evenVBand="0" w:oddHBand="0" w:evenHBand="0" w:firstRowFirstColumn="0" w:firstRowLastColumn="0" w:lastRowFirstColumn="0" w:lastRowLastColumn="0"/>
            <w:tcW w:w="2184" w:type="dxa"/>
            <w:noWrap/>
          </w:tcPr>
          <w:p w14:paraId="1DDE6E95"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412" w:type="dxa"/>
          </w:tcPr>
          <w:p w14:paraId="7944FEA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7.80</w:t>
            </w:r>
            <w:r>
              <w:rPr>
                <w:rFonts w:ascii="Times New Roman" w:hAnsi="Times New Roman" w:cs="Times New Roman"/>
                <w:vertAlign w:val="superscript"/>
              </w:rPr>
              <w:t>a</w:t>
            </w:r>
          </w:p>
        </w:tc>
        <w:tc>
          <w:tcPr>
            <w:tcW w:w="1230" w:type="dxa"/>
            <w:noWrap/>
          </w:tcPr>
          <w:p w14:paraId="66EA332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w:t>
            </w:r>
            <w:r>
              <w:rPr>
                <w:rFonts w:ascii="Times New Roman" w:hAnsi="Times New Roman" w:cs="Times New Roman"/>
                <w:vertAlign w:val="superscript"/>
              </w:rPr>
              <w:t>b</w:t>
            </w:r>
          </w:p>
        </w:tc>
        <w:tc>
          <w:tcPr>
            <w:tcW w:w="1701" w:type="dxa"/>
            <w:noWrap/>
          </w:tcPr>
          <w:p w14:paraId="41B9E50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13.12</w:t>
            </w:r>
            <w:r>
              <w:rPr>
                <w:rFonts w:ascii="Times New Roman" w:hAnsi="Times New Roman" w:cs="Times New Roman"/>
                <w:vertAlign w:val="superscript"/>
              </w:rPr>
              <w:t>a</w:t>
            </w:r>
          </w:p>
        </w:tc>
        <w:tc>
          <w:tcPr>
            <w:tcW w:w="1688" w:type="dxa"/>
            <w:noWrap/>
          </w:tcPr>
          <w:p w14:paraId="1394AA7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13.22</w:t>
            </w:r>
            <w:r>
              <w:rPr>
                <w:rFonts w:ascii="Times New Roman" w:hAnsi="Times New Roman" w:cs="Times New Roman"/>
                <w:vertAlign w:val="superscript"/>
              </w:rPr>
              <w:t>c</w:t>
            </w:r>
          </w:p>
        </w:tc>
        <w:tc>
          <w:tcPr>
            <w:tcW w:w="1688" w:type="dxa"/>
            <w:noWrap/>
          </w:tcPr>
          <w:p w14:paraId="495C7E6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2.37</w:t>
            </w:r>
            <w:r>
              <w:rPr>
                <w:rFonts w:ascii="Times New Roman" w:hAnsi="Times New Roman" w:cs="Times New Roman"/>
                <w:vertAlign w:val="superscript"/>
              </w:rPr>
              <w:t>a</w:t>
            </w:r>
          </w:p>
        </w:tc>
      </w:tr>
    </w:tbl>
    <w:p w14:paraId="12473E8C" w14:textId="77777777" w:rsidR="00F15FD7" w:rsidRDefault="00563E74">
      <w:pPr>
        <w:tabs>
          <w:tab w:val="left" w:pos="2880"/>
        </w:tabs>
        <w:spacing w:after="0" w:line="276" w:lineRule="auto"/>
        <w:ind w:right="630"/>
        <w:rPr>
          <w:rFonts w:ascii="Times New Roman" w:hAnsi="Times New Roman" w:cs="Times New Roman"/>
        </w:rPr>
      </w:pPr>
      <w:r>
        <w:rPr>
          <w:rFonts w:ascii="Times New Roman" w:hAnsi="Times New Roman" w:cs="Times New Roman"/>
        </w:rPr>
        <w:t xml:space="preserve">     </w:t>
      </w:r>
    </w:p>
    <w:p w14:paraId="5237451E" w14:textId="77777777" w:rsidR="00F15FD7" w:rsidRDefault="00563E74">
      <w:pPr>
        <w:tabs>
          <w:tab w:val="left" w:pos="2880"/>
        </w:tabs>
        <w:spacing w:after="0" w:line="276" w:lineRule="auto"/>
        <w:ind w:right="630"/>
        <w:rPr>
          <w:rFonts w:ascii="Times New Roman" w:hAnsi="Times New Roman" w:cs="Times New Roman"/>
        </w:rPr>
      </w:pPr>
      <w:r>
        <w:rPr>
          <w:rFonts w:ascii="Times New Roman" w:hAnsi="Times New Roman" w:cs="Times New Roman"/>
        </w:rPr>
        <w:t xml:space="preserve">Mean with the same letter(s) in superscript on the same column are not significantly different at  </w:t>
      </w:r>
    </w:p>
    <w:p w14:paraId="2D637BF2" w14:textId="77777777" w:rsidR="00F15FD7" w:rsidRDefault="00563E74">
      <w:pPr>
        <w:tabs>
          <w:tab w:val="left" w:pos="2880"/>
        </w:tabs>
        <w:spacing w:after="0" w:line="276" w:lineRule="auto"/>
        <w:ind w:right="630"/>
        <w:rPr>
          <w:rFonts w:ascii="Times New Roman" w:hAnsi="Times New Roman" w:cs="Times New Roman"/>
          <w:i/>
        </w:rPr>
      </w:pPr>
      <w:r>
        <w:rPr>
          <w:rFonts w:ascii="Times New Roman" w:hAnsi="Times New Roman" w:cs="Times New Roman"/>
        </w:rPr>
        <w:t xml:space="preserve">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5C96C9E8" w14:textId="77777777" w:rsidR="00F15FD7" w:rsidRDefault="00F15FD7">
      <w:pPr>
        <w:tabs>
          <w:tab w:val="left" w:pos="2880"/>
        </w:tabs>
        <w:spacing w:after="0" w:line="276" w:lineRule="auto"/>
        <w:ind w:right="630"/>
        <w:rPr>
          <w:rFonts w:ascii="Times New Roman" w:hAnsi="Times New Roman" w:cs="Times New Roman"/>
          <w:i/>
        </w:rPr>
      </w:pPr>
    </w:p>
    <w:p w14:paraId="1FCC9EB4" w14:textId="77777777" w:rsidR="00F15FD7" w:rsidRDefault="00F15FD7">
      <w:pPr>
        <w:tabs>
          <w:tab w:val="left" w:pos="2880"/>
        </w:tabs>
        <w:spacing w:after="0" w:line="276" w:lineRule="auto"/>
        <w:ind w:right="630"/>
        <w:rPr>
          <w:rFonts w:ascii="Times New Roman" w:hAnsi="Times New Roman" w:cs="Times New Roman"/>
          <w:i/>
        </w:rPr>
      </w:pPr>
    </w:p>
    <w:p w14:paraId="07F11591" w14:textId="77777777" w:rsidR="00F15FD7" w:rsidRDefault="00F15FD7">
      <w:pPr>
        <w:tabs>
          <w:tab w:val="left" w:pos="2880"/>
        </w:tabs>
        <w:spacing w:after="0" w:line="276" w:lineRule="auto"/>
        <w:ind w:right="630"/>
        <w:rPr>
          <w:rFonts w:ascii="Times New Roman" w:hAnsi="Times New Roman" w:cs="Times New Roman"/>
          <w:i/>
        </w:rPr>
      </w:pPr>
    </w:p>
    <w:p w14:paraId="46D51BAA" w14:textId="77777777" w:rsidR="00F15FD7" w:rsidRDefault="00F15FD7">
      <w:pPr>
        <w:tabs>
          <w:tab w:val="left" w:pos="2880"/>
        </w:tabs>
        <w:spacing w:after="0" w:line="276" w:lineRule="auto"/>
        <w:ind w:right="630"/>
        <w:rPr>
          <w:rFonts w:ascii="Times New Roman" w:hAnsi="Times New Roman" w:cs="Times New Roman"/>
          <w:i/>
        </w:rPr>
      </w:pPr>
    </w:p>
    <w:p w14:paraId="7893273D" w14:textId="77777777" w:rsidR="00F15FD7" w:rsidRDefault="00F15FD7">
      <w:pPr>
        <w:tabs>
          <w:tab w:val="left" w:pos="2880"/>
        </w:tabs>
        <w:spacing w:after="0" w:line="276" w:lineRule="auto"/>
        <w:ind w:right="630"/>
        <w:rPr>
          <w:rFonts w:ascii="Times New Roman" w:hAnsi="Times New Roman" w:cs="Times New Roman"/>
          <w:i/>
        </w:rPr>
      </w:pPr>
    </w:p>
    <w:p w14:paraId="4055513C" w14:textId="77777777" w:rsidR="00F15FD7" w:rsidRDefault="00F15FD7">
      <w:pPr>
        <w:tabs>
          <w:tab w:val="left" w:pos="2880"/>
        </w:tabs>
        <w:spacing w:after="0" w:line="276" w:lineRule="auto"/>
        <w:ind w:right="630"/>
        <w:rPr>
          <w:rFonts w:ascii="Times New Roman" w:hAnsi="Times New Roman" w:cs="Times New Roman"/>
          <w:i/>
        </w:rPr>
      </w:pPr>
    </w:p>
    <w:p w14:paraId="241A513A" w14:textId="77777777" w:rsidR="00F15FD7" w:rsidRDefault="00F15FD7">
      <w:pPr>
        <w:tabs>
          <w:tab w:val="left" w:pos="2880"/>
        </w:tabs>
        <w:spacing w:after="0" w:line="276" w:lineRule="auto"/>
        <w:ind w:right="630"/>
        <w:rPr>
          <w:rFonts w:ascii="Times New Roman" w:hAnsi="Times New Roman" w:cs="Times New Roman"/>
          <w:i/>
        </w:rPr>
      </w:pPr>
    </w:p>
    <w:p w14:paraId="20AADD2A" w14:textId="77777777" w:rsidR="00F15FD7" w:rsidRDefault="00F15FD7">
      <w:pPr>
        <w:tabs>
          <w:tab w:val="left" w:pos="2880"/>
        </w:tabs>
        <w:spacing w:after="0" w:line="276" w:lineRule="auto"/>
        <w:ind w:right="630"/>
        <w:rPr>
          <w:rFonts w:ascii="Times New Roman" w:hAnsi="Times New Roman" w:cs="Times New Roman"/>
          <w:i/>
        </w:rPr>
      </w:pPr>
    </w:p>
    <w:p w14:paraId="55F3457C" w14:textId="77777777" w:rsidR="00F15FD7" w:rsidRDefault="00F15FD7">
      <w:pPr>
        <w:tabs>
          <w:tab w:val="left" w:pos="2880"/>
        </w:tabs>
        <w:spacing w:after="0" w:line="276" w:lineRule="auto"/>
        <w:ind w:right="630"/>
        <w:rPr>
          <w:rFonts w:ascii="Times New Roman" w:hAnsi="Times New Roman" w:cs="Times New Roman"/>
          <w:i/>
        </w:rPr>
      </w:pPr>
    </w:p>
    <w:p w14:paraId="70BD8CD9" w14:textId="77777777" w:rsidR="00F15FD7" w:rsidRDefault="00F15FD7">
      <w:pPr>
        <w:tabs>
          <w:tab w:val="left" w:pos="2880"/>
        </w:tabs>
        <w:spacing w:after="0" w:line="276" w:lineRule="auto"/>
        <w:ind w:right="630"/>
        <w:rPr>
          <w:rFonts w:ascii="Times New Roman" w:hAnsi="Times New Roman" w:cs="Times New Roman"/>
          <w:i/>
        </w:rPr>
      </w:pPr>
    </w:p>
    <w:p w14:paraId="32D142C4" w14:textId="77777777" w:rsidR="00F15FD7" w:rsidRDefault="00F15FD7">
      <w:pPr>
        <w:tabs>
          <w:tab w:val="left" w:pos="2880"/>
        </w:tabs>
        <w:spacing w:after="0" w:line="276" w:lineRule="auto"/>
        <w:ind w:right="630"/>
        <w:rPr>
          <w:rFonts w:ascii="Times New Roman" w:hAnsi="Times New Roman" w:cs="Times New Roman"/>
          <w:i/>
        </w:rPr>
      </w:pPr>
    </w:p>
    <w:p w14:paraId="20FB1C44" w14:textId="77777777" w:rsidR="00F15FD7" w:rsidRDefault="00F15FD7">
      <w:pPr>
        <w:tabs>
          <w:tab w:val="left" w:pos="2880"/>
        </w:tabs>
        <w:spacing w:after="0" w:line="276" w:lineRule="auto"/>
        <w:ind w:right="630"/>
        <w:rPr>
          <w:rFonts w:ascii="Times New Roman" w:hAnsi="Times New Roman" w:cs="Times New Roman"/>
          <w:i/>
        </w:rPr>
      </w:pPr>
    </w:p>
    <w:p w14:paraId="5C7825FB" w14:textId="77777777" w:rsidR="00F15FD7" w:rsidRDefault="00F15FD7">
      <w:pPr>
        <w:tabs>
          <w:tab w:val="left" w:pos="2880"/>
        </w:tabs>
        <w:spacing w:after="0" w:line="276" w:lineRule="auto"/>
        <w:ind w:right="630"/>
        <w:rPr>
          <w:rFonts w:ascii="Times New Roman" w:hAnsi="Times New Roman" w:cs="Times New Roman"/>
          <w:i/>
        </w:rPr>
      </w:pPr>
    </w:p>
    <w:p w14:paraId="085600C1" w14:textId="77777777" w:rsidR="00F15FD7" w:rsidRDefault="00F15FD7">
      <w:pPr>
        <w:tabs>
          <w:tab w:val="left" w:pos="2880"/>
        </w:tabs>
        <w:spacing w:after="0" w:line="276" w:lineRule="auto"/>
        <w:ind w:right="630"/>
        <w:rPr>
          <w:rFonts w:ascii="Times New Roman" w:hAnsi="Times New Roman" w:cs="Times New Roman"/>
          <w:i/>
        </w:rPr>
      </w:pPr>
    </w:p>
    <w:p w14:paraId="6667952C" w14:textId="77777777" w:rsidR="00F15FD7" w:rsidRDefault="00F15FD7">
      <w:pPr>
        <w:tabs>
          <w:tab w:val="left" w:pos="2880"/>
        </w:tabs>
        <w:spacing w:after="0" w:line="276" w:lineRule="auto"/>
        <w:ind w:right="630"/>
        <w:rPr>
          <w:rFonts w:ascii="Times New Roman" w:hAnsi="Times New Roman" w:cs="Times New Roman"/>
          <w:i/>
        </w:rPr>
      </w:pPr>
    </w:p>
    <w:p w14:paraId="2ED2A781" w14:textId="77777777" w:rsidR="00F15FD7" w:rsidRDefault="00F15FD7">
      <w:pPr>
        <w:tabs>
          <w:tab w:val="left" w:pos="2880"/>
        </w:tabs>
        <w:spacing w:after="0" w:line="276" w:lineRule="auto"/>
        <w:ind w:right="630"/>
        <w:rPr>
          <w:rFonts w:ascii="Times New Roman" w:hAnsi="Times New Roman" w:cs="Times New Roman"/>
          <w:i/>
        </w:rPr>
      </w:pPr>
    </w:p>
    <w:p w14:paraId="6270D6A1" w14:textId="77777777" w:rsidR="00F15FD7" w:rsidRDefault="00F15FD7">
      <w:pPr>
        <w:tabs>
          <w:tab w:val="left" w:pos="2880"/>
        </w:tabs>
        <w:spacing w:after="0" w:line="276" w:lineRule="auto"/>
        <w:ind w:right="630"/>
        <w:rPr>
          <w:rFonts w:ascii="Times New Roman" w:hAnsi="Times New Roman" w:cs="Times New Roman"/>
          <w:i/>
        </w:rPr>
      </w:pPr>
    </w:p>
    <w:tbl>
      <w:tblPr>
        <w:tblStyle w:val="LightShading2"/>
        <w:tblpPr w:leftFromText="180" w:rightFromText="180" w:vertAnchor="text" w:horzAnchor="margin" w:tblpY="556"/>
        <w:tblW w:w="9749" w:type="dxa"/>
        <w:tblLook w:val="04A0" w:firstRow="1" w:lastRow="0" w:firstColumn="1" w:lastColumn="0" w:noHBand="0" w:noVBand="1"/>
      </w:tblPr>
      <w:tblGrid>
        <w:gridCol w:w="1849"/>
        <w:gridCol w:w="1093"/>
        <w:gridCol w:w="1557"/>
        <w:gridCol w:w="1337"/>
        <w:gridCol w:w="1337"/>
        <w:gridCol w:w="1288"/>
        <w:gridCol w:w="1288"/>
      </w:tblGrid>
      <w:tr w:rsidR="00F15FD7" w14:paraId="6A881710" w14:textId="77777777" w:rsidTr="00F15FD7">
        <w:trPr>
          <w:cnfStyle w:val="100000000000" w:firstRow="1" w:lastRow="0" w:firstColumn="0" w:lastColumn="0" w:oddVBand="0" w:evenVBand="0" w:oddHBand="0"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849" w:type="dxa"/>
            <w:noWrap/>
          </w:tcPr>
          <w:p w14:paraId="1DE6C55E" w14:textId="77777777" w:rsidR="00F15FD7" w:rsidRDefault="00F15FD7">
            <w:pPr>
              <w:spacing w:after="0" w:line="276" w:lineRule="auto"/>
              <w:jc w:val="center"/>
              <w:rPr>
                <w:rFonts w:ascii="Times New Roman" w:hAnsi="Times New Roman" w:cs="Times New Roman"/>
                <w:b w:val="0"/>
                <w:bCs w:val="0"/>
                <w:color w:val="auto"/>
              </w:rPr>
            </w:pPr>
          </w:p>
          <w:p w14:paraId="392E69AF" w14:textId="77777777" w:rsidR="00F15FD7" w:rsidRDefault="00563E74">
            <w:pPr>
              <w:spacing w:after="0" w:line="276" w:lineRule="auto"/>
              <w:jc w:val="center"/>
              <w:rPr>
                <w:rFonts w:ascii="Times New Roman" w:hAnsi="Times New Roman" w:cs="Times New Roman"/>
                <w:color w:val="auto"/>
              </w:rPr>
            </w:pPr>
            <w:r>
              <w:rPr>
                <w:rFonts w:ascii="Times New Roman" w:hAnsi="Times New Roman" w:cs="Times New Roman"/>
                <w:color w:val="auto"/>
              </w:rPr>
              <w:t>TREATMENTS</w:t>
            </w:r>
          </w:p>
          <w:p w14:paraId="449943CD" w14:textId="77777777" w:rsidR="00F15FD7" w:rsidRDefault="00F15FD7">
            <w:pPr>
              <w:spacing w:after="0" w:line="276" w:lineRule="auto"/>
              <w:jc w:val="center"/>
              <w:rPr>
                <w:rFonts w:ascii="Times New Roman" w:hAnsi="Times New Roman" w:cs="Times New Roman"/>
                <w:color w:val="auto"/>
              </w:rPr>
            </w:pPr>
          </w:p>
        </w:tc>
        <w:tc>
          <w:tcPr>
            <w:tcW w:w="1093" w:type="dxa"/>
            <w:noWrap/>
          </w:tcPr>
          <w:p w14:paraId="46CAF886"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73ACF97A"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Total Nitrogen (%)</w:t>
            </w:r>
          </w:p>
        </w:tc>
        <w:tc>
          <w:tcPr>
            <w:tcW w:w="1557" w:type="dxa"/>
            <w:noWrap/>
          </w:tcPr>
          <w:p w14:paraId="4DEBC47E"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68DDE352"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P</w:t>
            </w:r>
          </w:p>
          <w:p w14:paraId="2366C0E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mg/kg</w:t>
            </w:r>
          </w:p>
        </w:tc>
        <w:tc>
          <w:tcPr>
            <w:tcW w:w="1337" w:type="dxa"/>
            <w:noWrap/>
          </w:tcPr>
          <w:p w14:paraId="3803C213"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0339306B"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K</w:t>
            </w:r>
          </w:p>
          <w:p w14:paraId="4403205C"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Pr>
                <w:rFonts w:ascii="Times New Roman" w:hAnsi="Times New Roman" w:cs="Times New Roman"/>
                <w:color w:val="auto"/>
              </w:rPr>
              <w:t>cmol</w:t>
            </w:r>
            <w:proofErr w:type="spellEnd"/>
            <w:r>
              <w:rPr>
                <w:rFonts w:ascii="Times New Roman" w:hAnsi="Times New Roman" w:cs="Times New Roman"/>
                <w:color w:val="auto"/>
              </w:rPr>
              <w:t>/100g</w:t>
            </w:r>
          </w:p>
        </w:tc>
        <w:tc>
          <w:tcPr>
            <w:tcW w:w="1337" w:type="dxa"/>
            <w:noWrap/>
          </w:tcPr>
          <w:p w14:paraId="46FD38B3"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7B74FC3F"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Ca</w:t>
            </w:r>
          </w:p>
          <w:p w14:paraId="51FDF931"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Pr>
                <w:rFonts w:ascii="Times New Roman" w:hAnsi="Times New Roman" w:cs="Times New Roman"/>
                <w:color w:val="auto"/>
              </w:rPr>
              <w:t>cmol</w:t>
            </w:r>
            <w:proofErr w:type="spellEnd"/>
            <w:r>
              <w:rPr>
                <w:rFonts w:ascii="Times New Roman" w:hAnsi="Times New Roman" w:cs="Times New Roman"/>
                <w:color w:val="auto"/>
              </w:rPr>
              <w:t>/100g</w:t>
            </w:r>
          </w:p>
        </w:tc>
        <w:tc>
          <w:tcPr>
            <w:tcW w:w="1288" w:type="dxa"/>
          </w:tcPr>
          <w:p w14:paraId="174DB3D4"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1AF89C7E"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Mg</w:t>
            </w:r>
          </w:p>
          <w:p w14:paraId="4E984465"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Pr>
                <w:rFonts w:ascii="Times New Roman" w:hAnsi="Times New Roman" w:cs="Times New Roman"/>
                <w:color w:val="auto"/>
              </w:rPr>
              <w:t>cmol</w:t>
            </w:r>
            <w:proofErr w:type="spellEnd"/>
            <w:r>
              <w:rPr>
                <w:rFonts w:ascii="Times New Roman" w:hAnsi="Times New Roman" w:cs="Times New Roman"/>
                <w:color w:val="auto"/>
              </w:rPr>
              <w:t>/100g</w:t>
            </w:r>
          </w:p>
        </w:tc>
        <w:tc>
          <w:tcPr>
            <w:tcW w:w="1288" w:type="dxa"/>
          </w:tcPr>
          <w:p w14:paraId="4284C07E"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p w14:paraId="79D96787"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Na</w:t>
            </w:r>
          </w:p>
          <w:p w14:paraId="2465AA5E" w14:textId="77777777" w:rsidR="00F15FD7" w:rsidRDefault="00563E7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Pr>
                <w:rFonts w:ascii="Times New Roman" w:hAnsi="Times New Roman" w:cs="Times New Roman"/>
                <w:color w:val="auto"/>
              </w:rPr>
              <w:t>cmol</w:t>
            </w:r>
            <w:proofErr w:type="spellEnd"/>
            <w:r>
              <w:rPr>
                <w:rFonts w:ascii="Times New Roman" w:hAnsi="Times New Roman" w:cs="Times New Roman"/>
                <w:color w:val="auto"/>
              </w:rPr>
              <w:t>/100g</w:t>
            </w:r>
          </w:p>
          <w:p w14:paraId="6B45A998" w14:textId="77777777" w:rsidR="00F15FD7" w:rsidRDefault="00F15FD7">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p>
        </w:tc>
      </w:tr>
      <w:tr w:rsidR="00F15FD7" w14:paraId="1ED873E0"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tcBorders>
              <w:left w:val="nil"/>
              <w:right w:val="nil"/>
            </w:tcBorders>
            <w:noWrap/>
          </w:tcPr>
          <w:p w14:paraId="01E9C1E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Biochar</w:t>
            </w:r>
          </w:p>
        </w:tc>
        <w:tc>
          <w:tcPr>
            <w:tcW w:w="1093" w:type="dxa"/>
            <w:tcBorders>
              <w:right w:val="nil"/>
            </w:tcBorders>
            <w:noWrap/>
          </w:tcPr>
          <w:p w14:paraId="7FC10692"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0.15</w:t>
            </w:r>
            <w:r>
              <w:rPr>
                <w:rFonts w:ascii="Times New Roman" w:hAnsi="Times New Roman" w:cs="Times New Roman"/>
                <w:vertAlign w:val="superscript"/>
              </w:rPr>
              <w:t>a</w:t>
            </w:r>
          </w:p>
        </w:tc>
        <w:tc>
          <w:tcPr>
            <w:tcW w:w="1557" w:type="dxa"/>
            <w:tcBorders>
              <w:right w:val="nil"/>
            </w:tcBorders>
            <w:noWrap/>
          </w:tcPr>
          <w:p w14:paraId="2B2603B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1.4</w:t>
            </w:r>
            <w:r>
              <w:rPr>
                <w:rFonts w:ascii="Times New Roman" w:hAnsi="Times New Roman" w:cs="Times New Roman"/>
                <w:vertAlign w:val="superscript"/>
              </w:rPr>
              <w:t xml:space="preserve"> a</w:t>
            </w:r>
          </w:p>
        </w:tc>
        <w:tc>
          <w:tcPr>
            <w:tcW w:w="1337" w:type="dxa"/>
            <w:tcBorders>
              <w:right w:val="nil"/>
            </w:tcBorders>
            <w:noWrap/>
          </w:tcPr>
          <w:p w14:paraId="6C68FA1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8.42</w:t>
            </w:r>
            <w:r>
              <w:rPr>
                <w:rFonts w:ascii="Times New Roman" w:hAnsi="Times New Roman" w:cs="Times New Roman"/>
                <w:vertAlign w:val="superscript"/>
              </w:rPr>
              <w:t>ab</w:t>
            </w:r>
          </w:p>
        </w:tc>
        <w:tc>
          <w:tcPr>
            <w:tcW w:w="1337" w:type="dxa"/>
            <w:tcBorders>
              <w:right w:val="nil"/>
            </w:tcBorders>
            <w:noWrap/>
          </w:tcPr>
          <w:p w14:paraId="12500FB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2.15</w:t>
            </w:r>
            <w:r>
              <w:rPr>
                <w:rFonts w:ascii="Times New Roman" w:hAnsi="Times New Roman" w:cs="Times New Roman"/>
                <w:vertAlign w:val="superscript"/>
              </w:rPr>
              <w:t>a</w:t>
            </w:r>
          </w:p>
        </w:tc>
        <w:tc>
          <w:tcPr>
            <w:tcW w:w="1288" w:type="dxa"/>
            <w:tcBorders>
              <w:right w:val="nil"/>
            </w:tcBorders>
          </w:tcPr>
          <w:p w14:paraId="2476B52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1.30</w:t>
            </w:r>
            <w:r>
              <w:rPr>
                <w:rFonts w:ascii="Times New Roman" w:hAnsi="Times New Roman" w:cs="Times New Roman"/>
                <w:vertAlign w:val="superscript"/>
              </w:rPr>
              <w:t>a</w:t>
            </w:r>
          </w:p>
        </w:tc>
        <w:tc>
          <w:tcPr>
            <w:tcW w:w="1288" w:type="dxa"/>
            <w:tcBorders>
              <w:right w:val="nil"/>
            </w:tcBorders>
          </w:tcPr>
          <w:p w14:paraId="7911117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0.22</w:t>
            </w:r>
            <w:r>
              <w:rPr>
                <w:rFonts w:ascii="Times New Roman" w:hAnsi="Times New Roman" w:cs="Times New Roman"/>
                <w:vertAlign w:val="superscript"/>
              </w:rPr>
              <w:t>a</w:t>
            </w:r>
          </w:p>
        </w:tc>
      </w:tr>
      <w:tr w:rsidR="00F15FD7" w14:paraId="3FFFAB12"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849" w:type="dxa"/>
            <w:noWrap/>
          </w:tcPr>
          <w:p w14:paraId="70E22A45"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i/>
                <w:color w:val="auto"/>
              </w:rPr>
              <w:t>Trichoderma</w:t>
            </w:r>
          </w:p>
        </w:tc>
        <w:tc>
          <w:tcPr>
            <w:tcW w:w="1093" w:type="dxa"/>
            <w:noWrap/>
          </w:tcPr>
          <w:p w14:paraId="2F7C875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0.14</w:t>
            </w:r>
            <w:r>
              <w:rPr>
                <w:rFonts w:ascii="Times New Roman" w:hAnsi="Times New Roman" w:cs="Times New Roman"/>
                <w:vertAlign w:val="superscript"/>
              </w:rPr>
              <w:t>a</w:t>
            </w:r>
          </w:p>
        </w:tc>
        <w:tc>
          <w:tcPr>
            <w:tcW w:w="1557" w:type="dxa"/>
            <w:noWrap/>
          </w:tcPr>
          <w:p w14:paraId="5761BCA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1.36</w:t>
            </w:r>
            <w:r>
              <w:rPr>
                <w:rFonts w:ascii="Times New Roman" w:hAnsi="Times New Roman" w:cs="Times New Roman"/>
                <w:vertAlign w:val="superscript"/>
              </w:rPr>
              <w:t>a</w:t>
            </w:r>
          </w:p>
        </w:tc>
        <w:tc>
          <w:tcPr>
            <w:tcW w:w="1337" w:type="dxa"/>
            <w:noWrap/>
          </w:tcPr>
          <w:p w14:paraId="5B8EF92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8.58</w:t>
            </w:r>
            <w:r>
              <w:rPr>
                <w:rFonts w:ascii="Times New Roman" w:hAnsi="Times New Roman" w:cs="Times New Roman"/>
                <w:vertAlign w:val="superscript"/>
              </w:rPr>
              <w:t>a</w:t>
            </w:r>
          </w:p>
        </w:tc>
        <w:tc>
          <w:tcPr>
            <w:tcW w:w="1337" w:type="dxa"/>
            <w:noWrap/>
          </w:tcPr>
          <w:p w14:paraId="16FA417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2.04</w:t>
            </w:r>
            <w:r>
              <w:rPr>
                <w:rFonts w:ascii="Times New Roman" w:hAnsi="Times New Roman" w:cs="Times New Roman"/>
                <w:vertAlign w:val="superscript"/>
              </w:rPr>
              <w:t>a</w:t>
            </w:r>
          </w:p>
        </w:tc>
        <w:tc>
          <w:tcPr>
            <w:tcW w:w="1288" w:type="dxa"/>
          </w:tcPr>
          <w:p w14:paraId="19AF21D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1.28</w:t>
            </w:r>
            <w:r>
              <w:rPr>
                <w:rFonts w:ascii="Times New Roman" w:hAnsi="Times New Roman" w:cs="Times New Roman"/>
                <w:vertAlign w:val="superscript"/>
              </w:rPr>
              <w:t>a</w:t>
            </w:r>
          </w:p>
        </w:tc>
        <w:tc>
          <w:tcPr>
            <w:tcW w:w="1288" w:type="dxa"/>
          </w:tcPr>
          <w:p w14:paraId="6EB20F3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0.22</w:t>
            </w:r>
            <w:r>
              <w:rPr>
                <w:rFonts w:ascii="Times New Roman" w:hAnsi="Times New Roman" w:cs="Times New Roman"/>
                <w:vertAlign w:val="superscript"/>
              </w:rPr>
              <w:t>a</w:t>
            </w:r>
          </w:p>
        </w:tc>
      </w:tr>
      <w:tr w:rsidR="00F15FD7" w14:paraId="5563DC96" w14:textId="77777777" w:rsidTr="00F15FD7">
        <w:trPr>
          <w:trHeight w:val="90"/>
        </w:trPr>
        <w:tc>
          <w:tcPr>
            <w:cnfStyle w:val="001000000000" w:firstRow="0" w:lastRow="0" w:firstColumn="1" w:lastColumn="0" w:oddVBand="0" w:evenVBand="0" w:oddHBand="0" w:evenHBand="0" w:firstRowFirstColumn="0" w:firstRowLastColumn="0" w:lastRowFirstColumn="0" w:lastRowLastColumn="0"/>
            <w:tcW w:w="1849" w:type="dxa"/>
            <w:tcBorders>
              <w:left w:val="nil"/>
              <w:right w:val="nil"/>
            </w:tcBorders>
            <w:noWrap/>
          </w:tcPr>
          <w:p w14:paraId="4E529A9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40% FC</w:t>
            </w:r>
          </w:p>
        </w:tc>
        <w:tc>
          <w:tcPr>
            <w:tcW w:w="1093" w:type="dxa"/>
            <w:tcBorders>
              <w:right w:val="nil"/>
            </w:tcBorders>
            <w:noWrap/>
          </w:tcPr>
          <w:p w14:paraId="520196E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0.22</w:t>
            </w:r>
            <w:r>
              <w:rPr>
                <w:rFonts w:ascii="Times New Roman" w:hAnsi="Times New Roman" w:cs="Times New Roman"/>
                <w:vertAlign w:val="superscript"/>
              </w:rPr>
              <w:t>a</w:t>
            </w:r>
          </w:p>
        </w:tc>
        <w:tc>
          <w:tcPr>
            <w:tcW w:w="1557" w:type="dxa"/>
            <w:tcBorders>
              <w:right w:val="nil"/>
            </w:tcBorders>
            <w:noWrap/>
          </w:tcPr>
          <w:p w14:paraId="2206118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2.15</w:t>
            </w:r>
            <w:r>
              <w:rPr>
                <w:rFonts w:ascii="Times New Roman" w:hAnsi="Times New Roman" w:cs="Times New Roman"/>
                <w:vertAlign w:val="superscript"/>
              </w:rPr>
              <w:t>a</w:t>
            </w:r>
          </w:p>
        </w:tc>
        <w:tc>
          <w:tcPr>
            <w:tcW w:w="1337" w:type="dxa"/>
            <w:tcBorders>
              <w:right w:val="nil"/>
            </w:tcBorders>
            <w:noWrap/>
          </w:tcPr>
          <w:p w14:paraId="5DDB2F1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8.40</w:t>
            </w:r>
            <w:r>
              <w:rPr>
                <w:rFonts w:ascii="Times New Roman" w:hAnsi="Times New Roman" w:cs="Times New Roman"/>
                <w:vertAlign w:val="superscript"/>
              </w:rPr>
              <w:t>ab</w:t>
            </w:r>
          </w:p>
        </w:tc>
        <w:tc>
          <w:tcPr>
            <w:tcW w:w="1337" w:type="dxa"/>
            <w:tcBorders>
              <w:right w:val="nil"/>
            </w:tcBorders>
            <w:noWrap/>
          </w:tcPr>
          <w:p w14:paraId="3CA9CD3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2.82</w:t>
            </w:r>
            <w:r>
              <w:rPr>
                <w:rFonts w:ascii="Times New Roman" w:hAnsi="Times New Roman" w:cs="Times New Roman"/>
                <w:vertAlign w:val="superscript"/>
              </w:rPr>
              <w:t>a</w:t>
            </w:r>
          </w:p>
        </w:tc>
        <w:tc>
          <w:tcPr>
            <w:tcW w:w="1288" w:type="dxa"/>
            <w:tcBorders>
              <w:right w:val="nil"/>
            </w:tcBorders>
          </w:tcPr>
          <w:p w14:paraId="59334EC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1.44</w:t>
            </w:r>
            <w:r>
              <w:rPr>
                <w:rFonts w:ascii="Times New Roman" w:hAnsi="Times New Roman" w:cs="Times New Roman"/>
                <w:vertAlign w:val="superscript"/>
              </w:rPr>
              <w:t>a</w:t>
            </w:r>
          </w:p>
        </w:tc>
        <w:tc>
          <w:tcPr>
            <w:tcW w:w="1288" w:type="dxa"/>
            <w:tcBorders>
              <w:right w:val="nil"/>
            </w:tcBorders>
          </w:tcPr>
          <w:p w14:paraId="2061721F"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w:t>
            </w:r>
            <w:r>
              <w:rPr>
                <w:rFonts w:ascii="Times New Roman" w:hAnsi="Times New Roman" w:cs="Times New Roman"/>
                <w:vertAlign w:val="superscript"/>
              </w:rPr>
              <w:t>a</w:t>
            </w:r>
          </w:p>
        </w:tc>
      </w:tr>
      <w:tr w:rsidR="00F15FD7" w14:paraId="4ACAEB5A"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noWrap/>
          </w:tcPr>
          <w:p w14:paraId="731251B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60% FC</w:t>
            </w:r>
          </w:p>
        </w:tc>
        <w:tc>
          <w:tcPr>
            <w:tcW w:w="1093" w:type="dxa"/>
            <w:noWrap/>
          </w:tcPr>
          <w:p w14:paraId="20D5B08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0.13</w:t>
            </w:r>
            <w:r>
              <w:rPr>
                <w:rFonts w:ascii="Times New Roman" w:hAnsi="Times New Roman" w:cs="Times New Roman"/>
                <w:vertAlign w:val="superscript"/>
              </w:rPr>
              <w:t>a</w:t>
            </w:r>
          </w:p>
        </w:tc>
        <w:tc>
          <w:tcPr>
            <w:tcW w:w="1557" w:type="dxa"/>
            <w:noWrap/>
          </w:tcPr>
          <w:p w14:paraId="40E2C7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1.32</w:t>
            </w:r>
            <w:r>
              <w:rPr>
                <w:rFonts w:ascii="Times New Roman" w:hAnsi="Times New Roman" w:cs="Times New Roman"/>
                <w:vertAlign w:val="superscript"/>
              </w:rPr>
              <w:t>a</w:t>
            </w:r>
          </w:p>
        </w:tc>
        <w:tc>
          <w:tcPr>
            <w:tcW w:w="1337" w:type="dxa"/>
            <w:noWrap/>
          </w:tcPr>
          <w:p w14:paraId="5708540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8.80</w:t>
            </w:r>
            <w:r>
              <w:rPr>
                <w:rFonts w:ascii="Times New Roman" w:hAnsi="Times New Roman" w:cs="Times New Roman"/>
                <w:vertAlign w:val="superscript"/>
              </w:rPr>
              <w:t>ab</w:t>
            </w:r>
          </w:p>
        </w:tc>
        <w:tc>
          <w:tcPr>
            <w:tcW w:w="1337" w:type="dxa"/>
            <w:noWrap/>
          </w:tcPr>
          <w:p w14:paraId="758D087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2.58</w:t>
            </w:r>
            <w:r>
              <w:rPr>
                <w:rFonts w:ascii="Times New Roman" w:hAnsi="Times New Roman" w:cs="Times New Roman"/>
                <w:vertAlign w:val="superscript"/>
              </w:rPr>
              <w:t>a</w:t>
            </w:r>
          </w:p>
        </w:tc>
        <w:tc>
          <w:tcPr>
            <w:tcW w:w="1288" w:type="dxa"/>
          </w:tcPr>
          <w:p w14:paraId="3E8B326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1.08</w:t>
            </w:r>
            <w:r>
              <w:rPr>
                <w:rFonts w:ascii="Times New Roman" w:hAnsi="Times New Roman" w:cs="Times New Roman"/>
                <w:vertAlign w:val="superscript"/>
              </w:rPr>
              <w:t>a</w:t>
            </w:r>
          </w:p>
        </w:tc>
        <w:tc>
          <w:tcPr>
            <w:tcW w:w="1288" w:type="dxa"/>
          </w:tcPr>
          <w:p w14:paraId="7D19331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0.28</w:t>
            </w:r>
            <w:r>
              <w:rPr>
                <w:rFonts w:ascii="Times New Roman" w:hAnsi="Times New Roman" w:cs="Times New Roman"/>
                <w:vertAlign w:val="superscript"/>
              </w:rPr>
              <w:t>a</w:t>
            </w:r>
          </w:p>
        </w:tc>
      </w:tr>
      <w:tr w:rsidR="00F15FD7" w14:paraId="267C6ECD"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tcBorders>
              <w:left w:val="nil"/>
              <w:right w:val="nil"/>
            </w:tcBorders>
            <w:noWrap/>
          </w:tcPr>
          <w:p w14:paraId="65B3B36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100% FC</w:t>
            </w:r>
          </w:p>
        </w:tc>
        <w:tc>
          <w:tcPr>
            <w:tcW w:w="1093" w:type="dxa"/>
            <w:tcBorders>
              <w:right w:val="nil"/>
            </w:tcBorders>
            <w:noWrap/>
          </w:tcPr>
          <w:p w14:paraId="39F79E1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0.15</w:t>
            </w:r>
            <w:r>
              <w:rPr>
                <w:rFonts w:ascii="Times New Roman" w:hAnsi="Times New Roman" w:cs="Times New Roman"/>
                <w:vertAlign w:val="superscript"/>
              </w:rPr>
              <w:t>a</w:t>
            </w:r>
          </w:p>
        </w:tc>
        <w:tc>
          <w:tcPr>
            <w:tcW w:w="1557" w:type="dxa"/>
            <w:tcBorders>
              <w:right w:val="nil"/>
            </w:tcBorders>
            <w:noWrap/>
          </w:tcPr>
          <w:p w14:paraId="6B77A58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1.48</w:t>
            </w:r>
            <w:r>
              <w:rPr>
                <w:rFonts w:ascii="Times New Roman" w:hAnsi="Times New Roman" w:cs="Times New Roman"/>
                <w:vertAlign w:val="superscript"/>
              </w:rPr>
              <w:t>a</w:t>
            </w:r>
          </w:p>
        </w:tc>
        <w:tc>
          <w:tcPr>
            <w:tcW w:w="1337" w:type="dxa"/>
            <w:tcBorders>
              <w:right w:val="nil"/>
            </w:tcBorders>
            <w:noWrap/>
          </w:tcPr>
          <w:p w14:paraId="6815099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8.37</w:t>
            </w:r>
            <w:r>
              <w:rPr>
                <w:rFonts w:ascii="Times New Roman" w:hAnsi="Times New Roman" w:cs="Times New Roman"/>
                <w:vertAlign w:val="superscript"/>
              </w:rPr>
              <w:t>ab</w:t>
            </w:r>
          </w:p>
        </w:tc>
        <w:tc>
          <w:tcPr>
            <w:tcW w:w="1337" w:type="dxa"/>
            <w:tcBorders>
              <w:right w:val="nil"/>
            </w:tcBorders>
            <w:noWrap/>
          </w:tcPr>
          <w:p w14:paraId="0A1E143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2.12</w:t>
            </w:r>
            <w:r>
              <w:rPr>
                <w:rFonts w:ascii="Times New Roman" w:hAnsi="Times New Roman" w:cs="Times New Roman"/>
                <w:vertAlign w:val="superscript"/>
              </w:rPr>
              <w:t>a</w:t>
            </w:r>
          </w:p>
        </w:tc>
        <w:tc>
          <w:tcPr>
            <w:tcW w:w="1288" w:type="dxa"/>
            <w:tcBorders>
              <w:right w:val="nil"/>
            </w:tcBorders>
          </w:tcPr>
          <w:p w14:paraId="3EFA4F7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1.06</w:t>
            </w:r>
            <w:r>
              <w:rPr>
                <w:rFonts w:ascii="Times New Roman" w:hAnsi="Times New Roman" w:cs="Times New Roman"/>
                <w:vertAlign w:val="superscript"/>
              </w:rPr>
              <w:t>a</w:t>
            </w:r>
          </w:p>
        </w:tc>
        <w:tc>
          <w:tcPr>
            <w:tcW w:w="1288" w:type="dxa"/>
            <w:tcBorders>
              <w:right w:val="nil"/>
            </w:tcBorders>
          </w:tcPr>
          <w:p w14:paraId="23C70E4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0.48</w:t>
            </w:r>
            <w:r>
              <w:rPr>
                <w:rFonts w:ascii="Times New Roman" w:hAnsi="Times New Roman" w:cs="Times New Roman"/>
                <w:vertAlign w:val="superscript"/>
              </w:rPr>
              <w:t>a</w:t>
            </w:r>
          </w:p>
        </w:tc>
      </w:tr>
      <w:tr w:rsidR="00F15FD7" w14:paraId="235C35CB"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noWrap/>
          </w:tcPr>
          <w:p w14:paraId="0EB36540"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B+40% FC</w:t>
            </w:r>
          </w:p>
        </w:tc>
        <w:tc>
          <w:tcPr>
            <w:tcW w:w="1093" w:type="dxa"/>
            <w:noWrap/>
          </w:tcPr>
          <w:p w14:paraId="133FF34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0.12</w:t>
            </w:r>
            <w:r>
              <w:rPr>
                <w:rFonts w:ascii="Times New Roman" w:hAnsi="Times New Roman" w:cs="Times New Roman"/>
                <w:vertAlign w:val="superscript"/>
              </w:rPr>
              <w:t>a</w:t>
            </w:r>
          </w:p>
        </w:tc>
        <w:tc>
          <w:tcPr>
            <w:tcW w:w="1557" w:type="dxa"/>
            <w:noWrap/>
          </w:tcPr>
          <w:p w14:paraId="17640E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1.19</w:t>
            </w:r>
            <w:r>
              <w:rPr>
                <w:rFonts w:ascii="Times New Roman" w:hAnsi="Times New Roman" w:cs="Times New Roman"/>
                <w:vertAlign w:val="superscript"/>
              </w:rPr>
              <w:t>a</w:t>
            </w:r>
          </w:p>
        </w:tc>
        <w:tc>
          <w:tcPr>
            <w:tcW w:w="1337" w:type="dxa"/>
            <w:noWrap/>
          </w:tcPr>
          <w:p w14:paraId="749AC64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8.65</w:t>
            </w:r>
            <w:r>
              <w:rPr>
                <w:rFonts w:ascii="Times New Roman" w:hAnsi="Times New Roman" w:cs="Times New Roman"/>
                <w:vertAlign w:val="superscript"/>
              </w:rPr>
              <w:t>a</w:t>
            </w:r>
          </w:p>
        </w:tc>
        <w:tc>
          <w:tcPr>
            <w:tcW w:w="1337" w:type="dxa"/>
            <w:noWrap/>
          </w:tcPr>
          <w:p w14:paraId="70B50F5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2.10</w:t>
            </w:r>
            <w:r>
              <w:rPr>
                <w:rFonts w:ascii="Times New Roman" w:hAnsi="Times New Roman" w:cs="Times New Roman"/>
                <w:vertAlign w:val="superscript"/>
              </w:rPr>
              <w:t>a</w:t>
            </w:r>
          </w:p>
        </w:tc>
        <w:tc>
          <w:tcPr>
            <w:tcW w:w="1288" w:type="dxa"/>
          </w:tcPr>
          <w:p w14:paraId="6D1996E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1.08</w:t>
            </w:r>
            <w:r>
              <w:rPr>
                <w:rFonts w:ascii="Times New Roman" w:hAnsi="Times New Roman" w:cs="Times New Roman"/>
                <w:vertAlign w:val="superscript"/>
              </w:rPr>
              <w:t>a</w:t>
            </w:r>
          </w:p>
        </w:tc>
        <w:tc>
          <w:tcPr>
            <w:tcW w:w="1288" w:type="dxa"/>
          </w:tcPr>
          <w:p w14:paraId="09BFEFB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rPr>
              <w:t>0.27</w:t>
            </w:r>
            <w:r>
              <w:rPr>
                <w:rFonts w:ascii="Times New Roman" w:hAnsi="Times New Roman" w:cs="Times New Roman"/>
                <w:vertAlign w:val="superscript"/>
              </w:rPr>
              <w:t>a</w:t>
            </w:r>
          </w:p>
        </w:tc>
      </w:tr>
      <w:tr w:rsidR="00F15FD7" w14:paraId="45BAFC2B"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tcBorders>
              <w:left w:val="nil"/>
              <w:right w:val="nil"/>
            </w:tcBorders>
            <w:noWrap/>
          </w:tcPr>
          <w:p w14:paraId="23887F52"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B+60% FC</w:t>
            </w:r>
          </w:p>
        </w:tc>
        <w:tc>
          <w:tcPr>
            <w:tcW w:w="1093" w:type="dxa"/>
            <w:tcBorders>
              <w:right w:val="nil"/>
            </w:tcBorders>
            <w:noWrap/>
          </w:tcPr>
          <w:p w14:paraId="468926B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tcBorders>
              <w:right w:val="nil"/>
            </w:tcBorders>
            <w:noWrap/>
          </w:tcPr>
          <w:p w14:paraId="169ED74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a</w:t>
            </w:r>
          </w:p>
        </w:tc>
        <w:tc>
          <w:tcPr>
            <w:tcW w:w="1337" w:type="dxa"/>
            <w:tcBorders>
              <w:right w:val="nil"/>
            </w:tcBorders>
            <w:noWrap/>
          </w:tcPr>
          <w:p w14:paraId="66B4A8D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tcBorders>
              <w:right w:val="nil"/>
            </w:tcBorders>
            <w:noWrap/>
          </w:tcPr>
          <w:p w14:paraId="3BBEEE5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Borders>
              <w:right w:val="nil"/>
            </w:tcBorders>
          </w:tcPr>
          <w:p w14:paraId="26CB5BF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Borders>
              <w:right w:val="nil"/>
            </w:tcBorders>
          </w:tcPr>
          <w:p w14:paraId="62933DE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r w:rsidR="00F15FD7" w14:paraId="3C36AFC9"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noWrap/>
          </w:tcPr>
          <w:p w14:paraId="3168E65F"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B+100% FC</w:t>
            </w:r>
          </w:p>
        </w:tc>
        <w:tc>
          <w:tcPr>
            <w:tcW w:w="1093" w:type="dxa"/>
            <w:noWrap/>
          </w:tcPr>
          <w:p w14:paraId="205AA1C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noWrap/>
          </w:tcPr>
          <w:p w14:paraId="4FFE26C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a</w:t>
            </w:r>
          </w:p>
        </w:tc>
        <w:tc>
          <w:tcPr>
            <w:tcW w:w="1337" w:type="dxa"/>
            <w:noWrap/>
          </w:tcPr>
          <w:p w14:paraId="6421F94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noWrap/>
          </w:tcPr>
          <w:p w14:paraId="06641A7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Pr>
          <w:p w14:paraId="495817A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Pr>
          <w:p w14:paraId="538F518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r w:rsidR="00F15FD7" w14:paraId="4E972272"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tcBorders>
              <w:left w:val="nil"/>
              <w:right w:val="nil"/>
            </w:tcBorders>
            <w:noWrap/>
          </w:tcPr>
          <w:p w14:paraId="1902776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T+40% FC</w:t>
            </w:r>
          </w:p>
        </w:tc>
        <w:tc>
          <w:tcPr>
            <w:tcW w:w="1093" w:type="dxa"/>
            <w:tcBorders>
              <w:right w:val="nil"/>
            </w:tcBorders>
            <w:noWrap/>
          </w:tcPr>
          <w:p w14:paraId="0EAB8BE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tcBorders>
              <w:right w:val="nil"/>
            </w:tcBorders>
            <w:noWrap/>
          </w:tcPr>
          <w:p w14:paraId="6622DC7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 xml:space="preserve"> a</w:t>
            </w:r>
          </w:p>
        </w:tc>
        <w:tc>
          <w:tcPr>
            <w:tcW w:w="1337" w:type="dxa"/>
            <w:tcBorders>
              <w:right w:val="nil"/>
            </w:tcBorders>
            <w:noWrap/>
          </w:tcPr>
          <w:p w14:paraId="62704F8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tcBorders>
              <w:right w:val="nil"/>
            </w:tcBorders>
            <w:noWrap/>
          </w:tcPr>
          <w:p w14:paraId="09A8559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Borders>
              <w:right w:val="nil"/>
            </w:tcBorders>
          </w:tcPr>
          <w:p w14:paraId="19E7A63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Borders>
              <w:right w:val="nil"/>
            </w:tcBorders>
          </w:tcPr>
          <w:p w14:paraId="66E0869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r w:rsidR="00F15FD7" w14:paraId="5F514044"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noWrap/>
          </w:tcPr>
          <w:p w14:paraId="17114AF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T+60% FC</w:t>
            </w:r>
          </w:p>
        </w:tc>
        <w:tc>
          <w:tcPr>
            <w:tcW w:w="1093" w:type="dxa"/>
            <w:noWrap/>
          </w:tcPr>
          <w:p w14:paraId="0D76315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noWrap/>
          </w:tcPr>
          <w:p w14:paraId="0A4E916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a</w:t>
            </w:r>
          </w:p>
        </w:tc>
        <w:tc>
          <w:tcPr>
            <w:tcW w:w="1337" w:type="dxa"/>
            <w:noWrap/>
          </w:tcPr>
          <w:p w14:paraId="032CA68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noWrap/>
          </w:tcPr>
          <w:p w14:paraId="62FD9D4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Pr>
          <w:p w14:paraId="3686850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Pr>
          <w:p w14:paraId="61AA5A2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r w:rsidR="00F15FD7" w14:paraId="30D9E35C"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tcBorders>
              <w:left w:val="nil"/>
              <w:right w:val="nil"/>
            </w:tcBorders>
            <w:noWrap/>
          </w:tcPr>
          <w:p w14:paraId="4B1B5016"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T+100% FC</w:t>
            </w:r>
          </w:p>
        </w:tc>
        <w:tc>
          <w:tcPr>
            <w:tcW w:w="1093" w:type="dxa"/>
            <w:tcBorders>
              <w:right w:val="nil"/>
            </w:tcBorders>
            <w:noWrap/>
          </w:tcPr>
          <w:p w14:paraId="71DC3E9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tcBorders>
              <w:right w:val="nil"/>
            </w:tcBorders>
            <w:noWrap/>
          </w:tcPr>
          <w:p w14:paraId="295A4EEC"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a</w:t>
            </w:r>
          </w:p>
        </w:tc>
        <w:tc>
          <w:tcPr>
            <w:tcW w:w="1337" w:type="dxa"/>
            <w:tcBorders>
              <w:right w:val="nil"/>
            </w:tcBorders>
            <w:noWrap/>
          </w:tcPr>
          <w:p w14:paraId="08927766"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tcBorders>
              <w:right w:val="nil"/>
            </w:tcBorders>
            <w:noWrap/>
          </w:tcPr>
          <w:p w14:paraId="75FB385A"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Borders>
              <w:right w:val="nil"/>
            </w:tcBorders>
          </w:tcPr>
          <w:p w14:paraId="41ADCCA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Borders>
              <w:right w:val="nil"/>
            </w:tcBorders>
          </w:tcPr>
          <w:p w14:paraId="43911B8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r w:rsidR="00F15FD7" w14:paraId="73025457"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noWrap/>
          </w:tcPr>
          <w:p w14:paraId="31F407AE"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B+T+40% FC</w:t>
            </w:r>
          </w:p>
        </w:tc>
        <w:tc>
          <w:tcPr>
            <w:tcW w:w="1093" w:type="dxa"/>
            <w:noWrap/>
          </w:tcPr>
          <w:p w14:paraId="79D76E1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noWrap/>
          </w:tcPr>
          <w:p w14:paraId="58A70D98"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a</w:t>
            </w:r>
          </w:p>
        </w:tc>
        <w:tc>
          <w:tcPr>
            <w:tcW w:w="1337" w:type="dxa"/>
            <w:noWrap/>
          </w:tcPr>
          <w:p w14:paraId="1BC164B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noWrap/>
          </w:tcPr>
          <w:p w14:paraId="6540F0C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Pr>
          <w:p w14:paraId="0761122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Pr>
          <w:p w14:paraId="320132B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r w:rsidR="00F15FD7" w14:paraId="026B30F7"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tcBorders>
              <w:left w:val="nil"/>
              <w:right w:val="nil"/>
            </w:tcBorders>
            <w:noWrap/>
          </w:tcPr>
          <w:p w14:paraId="3B6A759B"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B+T+60% FC</w:t>
            </w:r>
          </w:p>
        </w:tc>
        <w:tc>
          <w:tcPr>
            <w:tcW w:w="1093" w:type="dxa"/>
            <w:tcBorders>
              <w:right w:val="nil"/>
            </w:tcBorders>
            <w:noWrap/>
          </w:tcPr>
          <w:p w14:paraId="7E2E99A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tcBorders>
              <w:right w:val="nil"/>
            </w:tcBorders>
            <w:noWrap/>
          </w:tcPr>
          <w:p w14:paraId="5CC91CB7"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a</w:t>
            </w:r>
          </w:p>
        </w:tc>
        <w:tc>
          <w:tcPr>
            <w:tcW w:w="1337" w:type="dxa"/>
            <w:tcBorders>
              <w:right w:val="nil"/>
            </w:tcBorders>
            <w:noWrap/>
          </w:tcPr>
          <w:p w14:paraId="2A5F874D"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tcBorders>
              <w:right w:val="nil"/>
            </w:tcBorders>
            <w:noWrap/>
          </w:tcPr>
          <w:p w14:paraId="2DD6614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Borders>
              <w:right w:val="nil"/>
            </w:tcBorders>
          </w:tcPr>
          <w:p w14:paraId="145DAAA5"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Borders>
              <w:right w:val="nil"/>
            </w:tcBorders>
          </w:tcPr>
          <w:p w14:paraId="68683FF9"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r w:rsidR="00F15FD7" w14:paraId="27A62F28" w14:textId="77777777" w:rsidTr="00F15FD7">
        <w:trPr>
          <w:trHeight w:val="463"/>
        </w:trPr>
        <w:tc>
          <w:tcPr>
            <w:cnfStyle w:val="001000000000" w:firstRow="0" w:lastRow="0" w:firstColumn="1" w:lastColumn="0" w:oddVBand="0" w:evenVBand="0" w:oddHBand="0" w:evenHBand="0" w:firstRowFirstColumn="0" w:firstRowLastColumn="0" w:lastRowFirstColumn="0" w:lastRowLastColumn="0"/>
            <w:tcW w:w="1849" w:type="dxa"/>
            <w:noWrap/>
          </w:tcPr>
          <w:p w14:paraId="654230B8" w14:textId="77777777" w:rsidR="00F15FD7" w:rsidRDefault="00563E74">
            <w:pPr>
              <w:spacing w:after="0" w:line="276" w:lineRule="auto"/>
              <w:rPr>
                <w:rFonts w:ascii="Times New Roman" w:hAnsi="Times New Roman" w:cs="Times New Roman"/>
                <w:b w:val="0"/>
                <w:color w:val="auto"/>
              </w:rPr>
            </w:pPr>
            <w:r>
              <w:rPr>
                <w:rFonts w:ascii="Times New Roman" w:hAnsi="Times New Roman" w:cs="Times New Roman"/>
                <w:b w:val="0"/>
                <w:color w:val="auto"/>
              </w:rPr>
              <w:t>B+T+100% FC</w:t>
            </w:r>
          </w:p>
        </w:tc>
        <w:tc>
          <w:tcPr>
            <w:tcW w:w="1093" w:type="dxa"/>
            <w:noWrap/>
          </w:tcPr>
          <w:p w14:paraId="3753FD81"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w:t>
            </w:r>
            <w:r>
              <w:rPr>
                <w:rFonts w:ascii="Times New Roman" w:hAnsi="Times New Roman" w:cs="Times New Roman"/>
                <w:vertAlign w:val="superscript"/>
              </w:rPr>
              <w:t>a</w:t>
            </w:r>
          </w:p>
        </w:tc>
        <w:tc>
          <w:tcPr>
            <w:tcW w:w="1557" w:type="dxa"/>
            <w:noWrap/>
          </w:tcPr>
          <w:p w14:paraId="2C31159B"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1.19</w:t>
            </w:r>
            <w:r>
              <w:rPr>
                <w:rFonts w:ascii="Times New Roman" w:hAnsi="Times New Roman" w:cs="Times New Roman"/>
                <w:vertAlign w:val="superscript"/>
              </w:rPr>
              <w:t>a</w:t>
            </w:r>
          </w:p>
        </w:tc>
        <w:tc>
          <w:tcPr>
            <w:tcW w:w="1337" w:type="dxa"/>
            <w:noWrap/>
          </w:tcPr>
          <w:p w14:paraId="7216A9AE"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8.65</w:t>
            </w:r>
            <w:r>
              <w:rPr>
                <w:rFonts w:ascii="Times New Roman" w:hAnsi="Times New Roman" w:cs="Times New Roman"/>
                <w:vertAlign w:val="superscript"/>
              </w:rPr>
              <w:t>a</w:t>
            </w:r>
          </w:p>
        </w:tc>
        <w:tc>
          <w:tcPr>
            <w:tcW w:w="1337" w:type="dxa"/>
            <w:noWrap/>
          </w:tcPr>
          <w:p w14:paraId="6A787843"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2.10</w:t>
            </w:r>
            <w:r>
              <w:rPr>
                <w:rFonts w:ascii="Times New Roman" w:hAnsi="Times New Roman" w:cs="Times New Roman"/>
                <w:vertAlign w:val="superscript"/>
              </w:rPr>
              <w:t>a</w:t>
            </w:r>
          </w:p>
        </w:tc>
        <w:tc>
          <w:tcPr>
            <w:tcW w:w="1288" w:type="dxa"/>
          </w:tcPr>
          <w:p w14:paraId="2AAA8C84"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r>
              <w:rPr>
                <w:rFonts w:ascii="Times New Roman" w:hAnsi="Times New Roman" w:cs="Times New Roman"/>
                <w:vertAlign w:val="superscript"/>
              </w:rPr>
              <w:t>a</w:t>
            </w:r>
          </w:p>
        </w:tc>
        <w:tc>
          <w:tcPr>
            <w:tcW w:w="1288" w:type="dxa"/>
          </w:tcPr>
          <w:p w14:paraId="6BDD6630" w14:textId="77777777" w:rsidR="00F15FD7" w:rsidRDefault="00563E7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0.27</w:t>
            </w:r>
            <w:r>
              <w:rPr>
                <w:rFonts w:ascii="Times New Roman" w:hAnsi="Times New Roman" w:cs="Times New Roman"/>
                <w:vertAlign w:val="superscript"/>
              </w:rPr>
              <w:t>a</w:t>
            </w:r>
          </w:p>
        </w:tc>
      </w:tr>
    </w:tbl>
    <w:p w14:paraId="2D6BE4C7" w14:textId="77777777" w:rsidR="00F15FD7" w:rsidRDefault="00563E74">
      <w:pPr>
        <w:spacing w:line="276" w:lineRule="auto"/>
        <w:jc w:val="both"/>
        <w:rPr>
          <w:rFonts w:ascii="Times New Roman" w:hAnsi="Times New Roman" w:cs="Times New Roman"/>
          <w:b/>
        </w:rPr>
      </w:pPr>
      <w:r>
        <w:rPr>
          <w:rFonts w:ascii="Times New Roman" w:hAnsi="Times New Roman" w:cs="Times New Roman"/>
          <w:b/>
        </w:rPr>
        <w:t xml:space="preserve">Table 9b: </w:t>
      </w:r>
      <w:r>
        <w:rPr>
          <w:rFonts w:ascii="Times New Roman" w:hAnsi="Times New Roman" w:cs="Times New Roman"/>
        </w:rPr>
        <w:t>Chemical Properties of at termination of experiment</w:t>
      </w:r>
    </w:p>
    <w:p w14:paraId="1F347891" w14:textId="77777777" w:rsidR="00F15FD7" w:rsidRDefault="00563E74">
      <w:pPr>
        <w:tabs>
          <w:tab w:val="left" w:pos="2880"/>
        </w:tabs>
        <w:spacing w:after="0" w:line="276" w:lineRule="auto"/>
        <w:ind w:right="630"/>
        <w:rPr>
          <w:rFonts w:ascii="Times New Roman" w:hAnsi="Times New Roman" w:cs="Times New Roman"/>
          <w:i/>
        </w:rPr>
      </w:pPr>
      <w:r>
        <w:rPr>
          <w:rFonts w:ascii="Times New Roman" w:hAnsi="Times New Roman" w:cs="Times New Roman"/>
        </w:rPr>
        <w:t xml:space="preserve">Mean with the same letter(s) in superscript on the same column are not significantly different at p=0.05(Tukey HSD). FC = Field capacity; B = Biochar; T = </w:t>
      </w:r>
      <w:r>
        <w:rPr>
          <w:rFonts w:ascii="Times New Roman" w:hAnsi="Times New Roman" w:cs="Times New Roman"/>
          <w:i/>
        </w:rPr>
        <w:t xml:space="preserve">Trichoderma </w:t>
      </w:r>
      <w:proofErr w:type="spellStart"/>
      <w:r>
        <w:rPr>
          <w:rFonts w:ascii="Times New Roman" w:hAnsi="Times New Roman" w:cs="Times New Roman"/>
          <w:i/>
        </w:rPr>
        <w:t>harzianum</w:t>
      </w:r>
      <w:proofErr w:type="spellEnd"/>
    </w:p>
    <w:p w14:paraId="3B021716" w14:textId="77777777" w:rsidR="00F15FD7" w:rsidRDefault="00F15FD7">
      <w:pPr>
        <w:spacing w:line="276" w:lineRule="auto"/>
        <w:jc w:val="both"/>
        <w:rPr>
          <w:rFonts w:ascii="Times New Roman" w:hAnsi="Times New Roman" w:cs="Times New Roman"/>
        </w:rPr>
      </w:pPr>
    </w:p>
    <w:p w14:paraId="5A3C7A9C" w14:textId="77777777" w:rsidR="00F15FD7" w:rsidRDefault="00563E74">
      <w:pPr>
        <w:spacing w:line="276" w:lineRule="auto"/>
        <w:jc w:val="both"/>
        <w:rPr>
          <w:rFonts w:ascii="Times New Roman" w:hAnsi="Times New Roman" w:cs="Times New Roman"/>
          <w:b/>
          <w:bCs/>
        </w:rPr>
      </w:pPr>
      <w:r>
        <w:rPr>
          <w:rFonts w:ascii="Times New Roman" w:hAnsi="Times New Roman" w:cs="Times New Roman"/>
          <w:b/>
          <w:bCs/>
        </w:rPr>
        <w:t>DISCUSSION</w:t>
      </w:r>
    </w:p>
    <w:p w14:paraId="5D38A7C9" w14:textId="77777777" w:rsidR="00F15FD7" w:rsidRDefault="00563E74">
      <w:pPr>
        <w:pStyle w:val="Heading4"/>
        <w:spacing w:line="276" w:lineRule="auto"/>
        <w:rPr>
          <w:rFonts w:ascii="Times New Roman" w:hAnsi="Times New Roman" w:cs="Times New Roman"/>
          <w:b/>
          <w:bCs/>
          <w:i w:val="0"/>
          <w:iCs w:val="0"/>
          <w:color w:val="auto"/>
        </w:rPr>
      </w:pPr>
      <w:r>
        <w:rPr>
          <w:rFonts w:ascii="Times New Roman" w:hAnsi="Times New Roman" w:cs="Times New Roman"/>
          <w:b/>
          <w:bCs/>
          <w:i w:val="0"/>
          <w:iCs w:val="0"/>
          <w:color w:val="auto"/>
        </w:rPr>
        <w:t xml:space="preserve">Biochar effects on soil physical and chemical properties </w:t>
      </w:r>
    </w:p>
    <w:p w14:paraId="6189A02F" w14:textId="77777777" w:rsidR="00F15FD7" w:rsidRDefault="00563E74">
      <w:pPr>
        <w:tabs>
          <w:tab w:val="left" w:pos="2880"/>
        </w:tabs>
        <w:spacing w:after="0" w:line="276" w:lineRule="auto"/>
        <w:jc w:val="both"/>
        <w:rPr>
          <w:rFonts w:ascii="Times New Roman" w:hAnsi="Times New Roman" w:cs="Times New Roman"/>
        </w:rPr>
      </w:pPr>
      <w:bookmarkStart w:id="5" w:name="_Hlk226669993"/>
      <w:r>
        <w:rPr>
          <w:rFonts w:ascii="Times New Roman" w:hAnsi="Times New Roman" w:cs="Times New Roman"/>
        </w:rPr>
        <w:t>The produ</w:t>
      </w:r>
      <w:r>
        <w:rPr>
          <w:rFonts w:ascii="Times New Roman" w:hAnsi="Times New Roman" w:cs="Times New Roman"/>
        </w:rPr>
        <w:t>ced biochar exhibits physicochemical properties that support its suitability as a soil amendment for improving soil quality and mitigating drought stress. Its alkaline pH (9.50) indicates a strong potential to ameliorate soil acidity and enhance nutrient a</w:t>
      </w:r>
      <w:r>
        <w:rPr>
          <w:rFonts w:ascii="Times New Roman" w:hAnsi="Times New Roman" w:cs="Times New Roman"/>
        </w:rPr>
        <w:t xml:space="preserve">vailability. Additionally, the relatively high cation exchange capacity (35.54 </w:t>
      </w:r>
      <w:proofErr w:type="spellStart"/>
      <w:r>
        <w:rPr>
          <w:rFonts w:ascii="Times New Roman" w:hAnsi="Times New Roman" w:cs="Times New Roman"/>
        </w:rPr>
        <w:t>cmol</w:t>
      </w:r>
      <w:proofErr w:type="spellEnd"/>
      <w:r>
        <w:rPr>
          <w:rFonts w:ascii="Times New Roman" w:hAnsi="Times New Roman" w:cs="Times New Roman"/>
        </w:rPr>
        <w:t xml:space="preserve"> kg⁻¹) reflects an improved capacity for nutrient retention and soil moisture conservation under water-limited conditions; this is in accordance with earlier reports by Lair</w:t>
      </w:r>
      <w:r>
        <w:rPr>
          <w:rFonts w:ascii="Times New Roman" w:hAnsi="Times New Roman" w:cs="Times New Roman"/>
        </w:rPr>
        <w:t xml:space="preserve">d </w:t>
      </w:r>
      <w:r>
        <w:rPr>
          <w:rFonts w:ascii="Times New Roman" w:hAnsi="Times New Roman" w:cs="Times New Roman"/>
          <w:i/>
          <w:iCs/>
        </w:rPr>
        <w:t>et al.</w:t>
      </w:r>
      <w:r>
        <w:rPr>
          <w:rFonts w:ascii="Times New Roman" w:hAnsi="Times New Roman" w:cs="Times New Roman"/>
        </w:rPr>
        <w:t xml:space="preserve"> (2010) and Hossain</w:t>
      </w:r>
      <w:r>
        <w:rPr>
          <w:rFonts w:ascii="Times New Roman" w:hAnsi="Times New Roman" w:cs="Times New Roman"/>
          <w:i/>
          <w:iCs/>
        </w:rPr>
        <w:t xml:space="preserve"> et al</w:t>
      </w:r>
      <w:r>
        <w:rPr>
          <w:rFonts w:ascii="Times New Roman" w:hAnsi="Times New Roman" w:cs="Times New Roman"/>
        </w:rPr>
        <w:t xml:space="preserve">. (2020), as well as recent findings (Mao </w:t>
      </w:r>
      <w:r>
        <w:rPr>
          <w:rFonts w:ascii="Times New Roman" w:hAnsi="Times New Roman" w:cs="Times New Roman"/>
          <w:i/>
          <w:iCs/>
        </w:rPr>
        <w:t xml:space="preserve">et al., </w:t>
      </w:r>
      <w:r>
        <w:rPr>
          <w:rFonts w:ascii="Times New Roman" w:hAnsi="Times New Roman" w:cs="Times New Roman"/>
        </w:rPr>
        <w:t xml:space="preserve">2024; Kumar </w:t>
      </w:r>
      <w:r>
        <w:rPr>
          <w:rFonts w:ascii="Times New Roman" w:hAnsi="Times New Roman" w:cs="Times New Roman"/>
          <w:i/>
          <w:iCs/>
        </w:rPr>
        <w:t>et al.,</w:t>
      </w:r>
      <w:r>
        <w:rPr>
          <w:rFonts w:ascii="Times New Roman" w:hAnsi="Times New Roman" w:cs="Times New Roman"/>
        </w:rPr>
        <w:t xml:space="preserve"> 2025).</w:t>
      </w:r>
    </w:p>
    <w:p w14:paraId="77D326ED"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t>The carbon content (33.18 g kg⁻¹) and high C:N ratio (150:1) indicate a stable, recalcitrant carbon matrix capable of improving soil structure and</w:t>
      </w:r>
      <w:r>
        <w:rPr>
          <w:rFonts w:ascii="Times New Roman" w:hAnsi="Times New Roman" w:cs="Times New Roman"/>
        </w:rPr>
        <w:t xml:space="preserve"> water-holding capacity, thereby supporting plant performance under drought stress, in accordance with the earlier report of Jeffery et al. (2017). Recent studies further confirm the role of biochar in enhancing soil water dynamics and carbon stability (Ac</w:t>
      </w:r>
      <w:r>
        <w:rPr>
          <w:rFonts w:ascii="Times New Roman" w:hAnsi="Times New Roman" w:cs="Times New Roman"/>
        </w:rPr>
        <w:t>harya et al., 2024; Ernest et al., 2024).</w:t>
      </w:r>
    </w:p>
    <w:p w14:paraId="7A895BF6"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lastRenderedPageBreak/>
        <w:t>Furthermore, the presence of essential nutrients, particularly the relatively high potassium content (2.597 g kg⁻¹), may enhance plant drought tolerance through improved osmotic regulation and physiological functio</w:t>
      </w:r>
      <w:r>
        <w:rPr>
          <w:rFonts w:ascii="Times New Roman" w:hAnsi="Times New Roman" w:cs="Times New Roman"/>
        </w:rPr>
        <w:t>ning, consistent with earlier and recent reports (</w:t>
      </w:r>
      <w:proofErr w:type="spellStart"/>
      <w:r>
        <w:rPr>
          <w:rFonts w:ascii="Times New Roman" w:hAnsi="Times New Roman" w:cs="Times New Roman"/>
        </w:rPr>
        <w:t>Agegnehu</w:t>
      </w:r>
      <w:proofErr w:type="spellEnd"/>
      <w:r>
        <w:rPr>
          <w:rFonts w:ascii="Times New Roman" w:hAnsi="Times New Roman" w:cs="Times New Roman"/>
        </w:rPr>
        <w:t xml:space="preserve"> et al., 2019; Hossain et al., 2020; Malik et al., 2024; </w:t>
      </w:r>
      <w:proofErr w:type="spellStart"/>
      <w:r>
        <w:rPr>
          <w:rFonts w:ascii="Times New Roman" w:hAnsi="Times New Roman" w:cs="Times New Roman"/>
        </w:rPr>
        <w:t>Adekiya</w:t>
      </w:r>
      <w:proofErr w:type="spellEnd"/>
      <w:r>
        <w:rPr>
          <w:rFonts w:ascii="Times New Roman" w:hAnsi="Times New Roman" w:cs="Times New Roman"/>
        </w:rPr>
        <w:t xml:space="preserve"> et al., 2025).</w:t>
      </w:r>
    </w:p>
    <w:p w14:paraId="0299F4F7"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t xml:space="preserve">Overall, these findings highlight the potential of the biochar to enhance soil fertility, improve moisture retention, </w:t>
      </w:r>
      <w:r>
        <w:rPr>
          <w:rFonts w:ascii="Times New Roman" w:hAnsi="Times New Roman" w:cs="Times New Roman"/>
        </w:rPr>
        <w:t>and increase crop resilience under drought conditions, in accordance with both earlier and recent studies (Kumar et al., 2024; Su et al., 2024).</w:t>
      </w:r>
    </w:p>
    <w:p w14:paraId="6757604D" w14:textId="326522DC" w:rsidR="00F15FD7" w:rsidRDefault="00563E74">
      <w:pPr>
        <w:pStyle w:val="Caption"/>
        <w:tabs>
          <w:tab w:val="left" w:pos="2880"/>
        </w:tabs>
        <w:spacing w:line="276" w:lineRule="auto"/>
        <w:rPr>
          <w:rFonts w:cs="Times New Roman"/>
          <w:sz w:val="22"/>
          <w:szCs w:val="22"/>
          <w:lang w:val="en-US"/>
        </w:rPr>
      </w:pPr>
      <w:r>
        <w:rPr>
          <w:rFonts w:cs="Times New Roman"/>
          <w:sz w:val="22"/>
          <w:szCs w:val="22"/>
          <w:lang w:val="en-US"/>
        </w:rPr>
        <w:t xml:space="preserve">Biochar and watering regime effects </w:t>
      </w:r>
      <w:r w:rsidR="00595C83">
        <w:rPr>
          <w:rFonts w:cs="Times New Roman"/>
          <w:sz w:val="22"/>
          <w:szCs w:val="22"/>
          <w:lang w:val="en-US"/>
        </w:rPr>
        <w:t>on pepper</w:t>
      </w:r>
      <w:r>
        <w:rPr>
          <w:rFonts w:cs="Times New Roman"/>
          <w:sz w:val="22"/>
          <w:szCs w:val="22"/>
          <w:lang w:val="en-US"/>
        </w:rPr>
        <w:t xml:space="preserve"> growth characters </w:t>
      </w:r>
    </w:p>
    <w:p w14:paraId="1E164923" w14:textId="77777777" w:rsidR="00F15FD7" w:rsidRDefault="00563E74">
      <w:pPr>
        <w:jc w:val="both"/>
        <w:rPr>
          <w:rFonts w:ascii="Times New Roman" w:hAnsi="Times New Roman" w:cs="Times New Roman"/>
        </w:rPr>
      </w:pPr>
      <w:r>
        <w:rPr>
          <w:rFonts w:ascii="Times New Roman" w:hAnsi="Times New Roman" w:cs="Times New Roman"/>
        </w:rPr>
        <w:t>According to the study, the use of biochar and</w:t>
      </w:r>
      <w:r>
        <w:rPr>
          <w:rFonts w:ascii="Times New Roman" w:hAnsi="Times New Roman" w:cs="Times New Roman"/>
        </w:rPr>
        <w:t xml:space="preserve">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together had a major impact on pepper development under various watering regimes. While Trichoderma encourages plant growth through nutrient solubilization, hormone production, and improved root development (</w:t>
      </w:r>
      <w:r>
        <w:t>Zin and Badaluddin, 2020)</w:t>
      </w:r>
      <w:r>
        <w:t>,</w:t>
      </w:r>
      <w:r>
        <w:rPr>
          <w:rFonts w:ascii="Times New Roman" w:hAnsi="Times New Roman" w:cs="Times New Roman"/>
        </w:rPr>
        <w:t xml:space="preserve"> biochar's synergistic effects on soil water-holding capacity and nutrient retention are probably responsible for the increased growth under combined treatments (</w:t>
      </w:r>
      <w:r>
        <w:t>Zulfiqar</w:t>
      </w:r>
      <w:r>
        <w:rPr>
          <w:rFonts w:ascii="Times New Roman" w:hAnsi="Times New Roman" w:cs="Times New Roman"/>
        </w:rPr>
        <w:t xml:space="preserve"> et al., 2022; Sharma et al., 2025). Additionally, there was an improvement in the development of the leaves and stems, indicating greater photosynthetic capacity and structural strength that assist drought resilience. Improved soil exploration for water a</w:t>
      </w:r>
      <w:r>
        <w:rPr>
          <w:rFonts w:ascii="Times New Roman" w:hAnsi="Times New Roman" w:cs="Times New Roman"/>
        </w:rPr>
        <w:t>nd nutrients, a crucial adaptation under low moisture, as indicated by the root growth seen in plants treated with biochar and Trichoderma (Khan et al., 2024). These findings support recent reports on biochar–microbial synergism in crop stress tolerance (</w:t>
      </w:r>
      <w:proofErr w:type="spellStart"/>
      <w:r>
        <w:t>L</w:t>
      </w:r>
      <w:r>
        <w:t>alarukh</w:t>
      </w:r>
      <w:proofErr w:type="spellEnd"/>
      <w:r>
        <w:rPr>
          <w:rFonts w:ascii="Times New Roman" w:hAnsi="Times New Roman" w:cs="Times New Roman"/>
        </w:rPr>
        <w:t xml:space="preserve"> et al., 2022; Sharma et al., 2023; Khan et al., 2024) and suggest that biochar and Trichoderma </w:t>
      </w:r>
      <w:proofErr w:type="spellStart"/>
      <w:r>
        <w:rPr>
          <w:rFonts w:ascii="Times New Roman" w:hAnsi="Times New Roman" w:cs="Times New Roman"/>
        </w:rPr>
        <w:t>harzianum</w:t>
      </w:r>
      <w:proofErr w:type="spellEnd"/>
      <w:r>
        <w:rPr>
          <w:rFonts w:ascii="Times New Roman" w:hAnsi="Times New Roman" w:cs="Times New Roman"/>
        </w:rPr>
        <w:t xml:space="preserve">, particularly in combination, can reduce drought stress in pepper by improving soil physical characteristics, nutrient availability, and plant </w:t>
      </w:r>
      <w:r>
        <w:rPr>
          <w:rFonts w:ascii="Times New Roman" w:hAnsi="Times New Roman" w:cs="Times New Roman"/>
        </w:rPr>
        <w:t>physiological responses.</w:t>
      </w:r>
    </w:p>
    <w:p w14:paraId="5800820E" w14:textId="06163B18" w:rsidR="00F15FD7" w:rsidRDefault="00563E74">
      <w:pPr>
        <w:tabs>
          <w:tab w:val="left" w:pos="2880"/>
        </w:tabs>
        <w:spacing w:after="0" w:line="276" w:lineRule="auto"/>
        <w:jc w:val="both"/>
        <w:rPr>
          <w:rFonts w:ascii="Times New Roman" w:hAnsi="Times New Roman" w:cs="Times New Roman"/>
          <w:b/>
          <w:bCs/>
        </w:rPr>
      </w:pPr>
      <w:r>
        <w:rPr>
          <w:rFonts w:cs="Times New Roman"/>
          <w:b/>
          <w:bCs/>
        </w:rPr>
        <w:t>Biochar and watering regime effects on</w:t>
      </w:r>
      <w:r>
        <w:rPr>
          <w:rFonts w:ascii="Times New Roman" w:hAnsi="Times New Roman" w:cs="Times New Roman"/>
          <w:b/>
          <w:bCs/>
        </w:rPr>
        <w:t xml:space="preserve"> pepper biomass</w:t>
      </w:r>
    </w:p>
    <w:p w14:paraId="268A31B9" w14:textId="77777777" w:rsidR="00F15FD7" w:rsidRDefault="00563E74">
      <w:pPr>
        <w:tabs>
          <w:tab w:val="left" w:pos="2880"/>
        </w:tabs>
        <w:spacing w:after="0" w:line="276" w:lineRule="auto"/>
        <w:jc w:val="both"/>
        <w:rPr>
          <w:rFonts w:ascii="Times New Roman" w:hAnsi="Times New Roman" w:cs="Times New Roman"/>
        </w:rPr>
      </w:pPr>
      <w:r>
        <w:rPr>
          <w:rFonts w:ascii="Times New Roman" w:hAnsi="Times New Roman" w:cs="Times New Roman"/>
        </w:rPr>
        <w:t>The findings show that biomass accumulation in the roots, leaves, and stems was greatly impacted by both amendments and a sufficient supply of moisture. This improvement could b</w:t>
      </w:r>
      <w:r>
        <w:rPr>
          <w:rFonts w:ascii="Times New Roman" w:hAnsi="Times New Roman" w:cs="Times New Roman"/>
        </w:rPr>
        <w:t>e explained by biochar's ability to improve soil structure, nutrient retention, and water-holding capacity, all of which support biomass buildup and plant growth. According to a number of studies, biochar enhances nutrient uptake and root development, whic</w:t>
      </w:r>
      <w:r>
        <w:rPr>
          <w:rFonts w:ascii="Times New Roman" w:hAnsi="Times New Roman" w:cs="Times New Roman"/>
        </w:rPr>
        <w:t xml:space="preserve">h increases vegetative growth in vegetable crops under both ideal and water-limited circumstances (Lehmann et al., 2021; </w:t>
      </w:r>
      <w:proofErr w:type="spellStart"/>
      <w:r>
        <w:rPr>
          <w:rFonts w:ascii="Times New Roman" w:hAnsi="Times New Roman" w:cs="Times New Roman"/>
        </w:rPr>
        <w:t>Agegnehu</w:t>
      </w:r>
      <w:proofErr w:type="spellEnd"/>
      <w:r>
        <w:rPr>
          <w:rFonts w:ascii="Times New Roman" w:hAnsi="Times New Roman" w:cs="Times New Roman"/>
        </w:rPr>
        <w:t xml:space="preserve"> et al., 2022). Compared </w:t>
      </w:r>
      <w:proofErr w:type="gramStart"/>
      <w:r>
        <w:rPr>
          <w:rFonts w:ascii="Times New Roman" w:hAnsi="Times New Roman" w:cs="Times New Roman"/>
        </w:rPr>
        <w:t>to  watering</w:t>
      </w:r>
      <w:proofErr w:type="gramEnd"/>
      <w:r>
        <w:rPr>
          <w:rFonts w:ascii="Times New Roman" w:hAnsi="Times New Roman" w:cs="Times New Roman"/>
        </w:rPr>
        <w:t xml:space="preserve"> regime alone, </w:t>
      </w:r>
      <w:proofErr w:type="spellStart"/>
      <w:r>
        <w:rPr>
          <w:rFonts w:ascii="Times New Roman" w:hAnsi="Times New Roman" w:cs="Times New Roman"/>
        </w:rPr>
        <w:t>Trichodermal</w:t>
      </w:r>
      <w:proofErr w:type="spellEnd"/>
      <w:r>
        <w:rPr>
          <w:rFonts w:ascii="Times New Roman" w:hAnsi="Times New Roman" w:cs="Times New Roman"/>
        </w:rPr>
        <w:t xml:space="preserve"> inoculation increased plant biomass. According to Contreras-Co</w:t>
      </w:r>
      <w:r>
        <w:rPr>
          <w:rFonts w:ascii="Times New Roman" w:hAnsi="Times New Roman" w:cs="Times New Roman"/>
        </w:rPr>
        <w:t xml:space="preserve">rnejo et al. (2020) and Harman et al. (2021), Trichoderma species are well known for their ability to stimulate root growth, promote nutrient solubilization, and increase plant resistance to abiotic stresses like drought. The higher root and shoot biomass </w:t>
      </w:r>
      <w:r>
        <w:rPr>
          <w:rFonts w:ascii="Times New Roman" w:hAnsi="Times New Roman" w:cs="Times New Roman"/>
        </w:rPr>
        <w:t>seen in this study was probably caused by these mechanisms. Plant growth was also significantly impacted by the availability of water. Fresh weights of leaves and stems were often higher in plants kept at 100% field capacity than in those kept at 40% or 60</w:t>
      </w:r>
      <w:r>
        <w:rPr>
          <w:rFonts w:ascii="Times New Roman" w:hAnsi="Times New Roman" w:cs="Times New Roman"/>
        </w:rPr>
        <w:t>% field capacity. On the other hand, the lowest biomass values were primarily found at 40% field capacity, especially for stem fresh weight (14.03 g) and leaf fresh weight (7.92 g), suggesting that a severe water deficit severely limited biomass production</w:t>
      </w:r>
      <w:r>
        <w:rPr>
          <w:rFonts w:ascii="Times New Roman" w:hAnsi="Times New Roman" w:cs="Times New Roman"/>
        </w:rPr>
        <w:t>. It is well established that water stress reduces plant growth and dry matter buildup by limiting cell expansion, photosynthesis, and nutrient uptake (Farooq et al., 2022</w:t>
      </w:r>
      <w:proofErr w:type="gramStart"/>
      <w:r>
        <w:rPr>
          <w:rFonts w:ascii="Times New Roman" w:hAnsi="Times New Roman" w:cs="Times New Roman"/>
        </w:rPr>
        <w:t>).The</w:t>
      </w:r>
      <w:proofErr w:type="gramEnd"/>
      <w:r>
        <w:rPr>
          <w:rFonts w:ascii="Times New Roman" w:hAnsi="Times New Roman" w:cs="Times New Roman"/>
        </w:rPr>
        <w:t xml:space="preserve"> highest biomass values were often obtained from the combination treatments of b</w:t>
      </w:r>
      <w:r>
        <w:rPr>
          <w:rFonts w:ascii="Times New Roman" w:hAnsi="Times New Roman" w:cs="Times New Roman"/>
        </w:rPr>
        <w:t xml:space="preserve">iochar and Trichoderma under suitable moisture conditions. Significantly, high root fresh weight (14.31 g) and root dry weight (4.02 g) were produced when biochar and Trichoderma were combined at 100% field capacity, suggesting a strong synergistic effect </w:t>
      </w:r>
      <w:r>
        <w:rPr>
          <w:rFonts w:ascii="Times New Roman" w:hAnsi="Times New Roman" w:cs="Times New Roman"/>
        </w:rPr>
        <w:t>between the amendments under ideal moisture conditions. Similarly, treatments like Trichoderma + 60% FC and biochar + Trichoderma + 60% FC produced high stem fresh weights (26.87 g and 26.97 g, respectively), indicating that by enhancing soil microbial act</w:t>
      </w:r>
      <w:r>
        <w:rPr>
          <w:rFonts w:ascii="Times New Roman" w:hAnsi="Times New Roman" w:cs="Times New Roman"/>
        </w:rPr>
        <w:t>ivity and root function, these amendments may lessen moderate water stress. Additionally, prior research has shown that beneficial microbes and biochar work in concert to improve plant growth, nitrogen uptake, and stress tolerance (</w:t>
      </w:r>
      <w:proofErr w:type="spellStart"/>
      <w:r>
        <w:rPr>
          <w:rFonts w:ascii="Times New Roman" w:hAnsi="Times New Roman" w:cs="Times New Roman"/>
        </w:rPr>
        <w:t>Palansooriya</w:t>
      </w:r>
      <w:proofErr w:type="spellEnd"/>
      <w:r>
        <w:rPr>
          <w:rFonts w:ascii="Times New Roman" w:hAnsi="Times New Roman" w:cs="Times New Roman"/>
        </w:rPr>
        <w:t xml:space="preserve"> et al., 202</w:t>
      </w:r>
      <w:r>
        <w:rPr>
          <w:rFonts w:ascii="Times New Roman" w:hAnsi="Times New Roman" w:cs="Times New Roman"/>
        </w:rPr>
        <w:t>2; Kumar et al., 2023).</w:t>
      </w:r>
    </w:p>
    <w:p w14:paraId="1EA2497F" w14:textId="77777777" w:rsidR="00F15FD7" w:rsidRDefault="00563E74">
      <w:pPr>
        <w:tabs>
          <w:tab w:val="left" w:pos="2880"/>
        </w:tabs>
        <w:spacing w:after="0" w:line="276" w:lineRule="auto"/>
        <w:jc w:val="both"/>
        <w:rPr>
          <w:rFonts w:ascii="Times New Roman" w:hAnsi="Times New Roman" w:cs="Times New Roman"/>
          <w:b/>
          <w:bCs/>
        </w:rPr>
      </w:pPr>
      <w:r>
        <w:rPr>
          <w:rFonts w:ascii="Times New Roman" w:hAnsi="Times New Roman" w:cs="Times New Roman"/>
        </w:rPr>
        <w:t xml:space="preserve">Overall, the findings show that Trichoderma </w:t>
      </w:r>
      <w:proofErr w:type="spellStart"/>
      <w:r>
        <w:rPr>
          <w:rFonts w:ascii="Times New Roman" w:hAnsi="Times New Roman" w:cs="Times New Roman"/>
        </w:rPr>
        <w:t>harzianum</w:t>
      </w:r>
      <w:proofErr w:type="spellEnd"/>
      <w:r>
        <w:rPr>
          <w:rFonts w:ascii="Times New Roman" w:hAnsi="Times New Roman" w:cs="Times New Roman"/>
        </w:rPr>
        <w:t xml:space="preserve"> and biochar both had a good impact on pepper biomass, especially when paired with sufficient soil moisture. By improving soil physical conditions, microbial activity, and </w:t>
      </w:r>
      <w:r>
        <w:rPr>
          <w:rFonts w:ascii="Times New Roman" w:hAnsi="Times New Roman" w:cs="Times New Roman"/>
        </w:rPr>
        <w:lastRenderedPageBreak/>
        <w:t>nutrient availability, the incorporation of these amendments seems to enhance plant development and enable increased biomass accumulation even under mild water stress.</w:t>
      </w:r>
    </w:p>
    <w:p w14:paraId="52EA44F5" w14:textId="78FA4D76" w:rsidR="00F15FD7" w:rsidRDefault="00563E74">
      <w:pPr>
        <w:tabs>
          <w:tab w:val="left" w:pos="2880"/>
        </w:tabs>
        <w:spacing w:line="276" w:lineRule="auto"/>
        <w:rPr>
          <w:rFonts w:ascii="Times New Roman" w:hAnsi="Times New Roman" w:cs="Times New Roman"/>
          <w:b/>
          <w:bCs/>
        </w:rPr>
      </w:pPr>
      <w:r>
        <w:rPr>
          <w:rFonts w:cs="Times New Roman"/>
          <w:b/>
          <w:bCs/>
        </w:rPr>
        <w:t xml:space="preserve">Biochar and watering regime effects </w:t>
      </w:r>
      <w:r w:rsidR="00595C83">
        <w:rPr>
          <w:rFonts w:cs="Times New Roman"/>
          <w:b/>
          <w:bCs/>
        </w:rPr>
        <w:t xml:space="preserve">on </w:t>
      </w:r>
      <w:r w:rsidR="00595C83">
        <w:rPr>
          <w:rFonts w:ascii="Times New Roman" w:hAnsi="Times New Roman" w:cs="Times New Roman"/>
          <w:b/>
          <w:bCs/>
        </w:rPr>
        <w:t>yield</w:t>
      </w:r>
      <w:r>
        <w:rPr>
          <w:rFonts w:ascii="Times New Roman" w:hAnsi="Times New Roman" w:cs="Times New Roman"/>
          <w:b/>
          <w:bCs/>
        </w:rPr>
        <w:t xml:space="preserve"> of Pepper</w:t>
      </w:r>
    </w:p>
    <w:bookmarkEnd w:id="5"/>
    <w:p w14:paraId="00645136" w14:textId="77777777" w:rsidR="00F15FD7" w:rsidRDefault="00563E74">
      <w:pPr>
        <w:tabs>
          <w:tab w:val="left" w:pos="2880"/>
        </w:tabs>
        <w:spacing w:line="276" w:lineRule="auto"/>
        <w:jc w:val="both"/>
        <w:rPr>
          <w:rFonts w:ascii="Times New Roman" w:hAnsi="Times New Roman" w:cs="Times New Roman"/>
        </w:rPr>
      </w:pPr>
      <w:r>
        <w:rPr>
          <w:rFonts w:ascii="Times New Roman" w:hAnsi="Times New Roman" w:cs="Times New Roman"/>
        </w:rPr>
        <w:t>The results indicate that the app</w:t>
      </w:r>
      <w:r>
        <w:rPr>
          <w:rFonts w:ascii="Times New Roman" w:hAnsi="Times New Roman" w:cs="Times New Roman"/>
        </w:rPr>
        <w:t xml:space="preserve">lication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significantly improved the yield of pepper under different watering regimes. Water stress markedly reduced yield parameters, as plants grown at 40% field capacity recorded the lowest number of fruits per plant </w:t>
      </w:r>
      <w:r>
        <w:rPr>
          <w:rFonts w:ascii="Times New Roman" w:hAnsi="Times New Roman" w:cs="Times New Roman"/>
        </w:rPr>
        <w:t>(18.50), fruit fresh weight (81.00 g), and fruit dry weight (16.99 g), while higher values were observed at 100% field capacity. This reduction in yield under moisture deficit conditions has been attributed to impaired photosynthesis, reduced nutrient upta</w:t>
      </w:r>
      <w:r>
        <w:rPr>
          <w:rFonts w:ascii="Times New Roman" w:hAnsi="Times New Roman" w:cs="Times New Roman"/>
        </w:rPr>
        <w:t>ke, and limited assimilate translocation to developing fruits (</w:t>
      </w:r>
      <w:proofErr w:type="spellStart"/>
      <w:r>
        <w:rPr>
          <w:rFonts w:ascii="Times New Roman" w:hAnsi="Times New Roman" w:cs="Times New Roman"/>
        </w:rPr>
        <w:t>Barnabá</w:t>
      </w:r>
      <w:proofErr w:type="spellEnd"/>
      <w:r>
        <w:rPr>
          <w:rFonts w:ascii="Times New Roman" w:hAnsi="Times New Roman" w:cs="Times New Roman"/>
          <w:i/>
          <w:iCs/>
        </w:rPr>
        <w:t xml:space="preserve"> et al., 2008; </w:t>
      </w:r>
      <w:proofErr w:type="spellStart"/>
      <w:r>
        <w:rPr>
          <w:rFonts w:ascii="Times New Roman" w:hAnsi="Times New Roman" w:cs="Times New Roman"/>
        </w:rPr>
        <w:t>Hasanuzzaman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2020). the sole effects of biochar and </w:t>
      </w:r>
      <w:r>
        <w:rPr>
          <w:rFonts w:ascii="Times New Roman" w:hAnsi="Times New Roman" w:cs="Times New Roman"/>
          <w:i/>
          <w:iCs/>
        </w:rPr>
        <w:t>Trichoderma</w:t>
      </w:r>
      <w:r>
        <w:rPr>
          <w:rFonts w:ascii="Times New Roman" w:hAnsi="Times New Roman" w:cs="Times New Roman"/>
        </w:rPr>
        <w:t xml:space="preserve"> moderately enhanced pepper yield compared with the water-stressed treatments, with biochar producin</w:t>
      </w:r>
      <w:r>
        <w:rPr>
          <w:rFonts w:ascii="Times New Roman" w:hAnsi="Times New Roman" w:cs="Times New Roman"/>
        </w:rPr>
        <w:t xml:space="preserve">g 25.70 fruits per plant and 130.00 g fruit fresh weight, while </w:t>
      </w:r>
      <w:r>
        <w:rPr>
          <w:rFonts w:ascii="Times New Roman" w:hAnsi="Times New Roman" w:cs="Times New Roman"/>
          <w:i/>
          <w:iCs/>
        </w:rPr>
        <w:t>Trichoderma</w:t>
      </w:r>
      <w:r>
        <w:rPr>
          <w:rFonts w:ascii="Times New Roman" w:hAnsi="Times New Roman" w:cs="Times New Roman"/>
        </w:rPr>
        <w:t xml:space="preserve"> produced 24.34 fruits per plant and 125.33 g fruit fresh weight. Biochar is known to improve soil water retention, nutrient availability, and soil structure, thereby enhancing crop</w:t>
      </w:r>
      <w:r>
        <w:rPr>
          <w:rFonts w:ascii="Times New Roman" w:hAnsi="Times New Roman" w:cs="Times New Roman"/>
        </w:rPr>
        <w:t xml:space="preserve"> productivity (Sun and Lu, 2014; </w:t>
      </w:r>
      <w:proofErr w:type="spellStart"/>
      <w:r>
        <w:rPr>
          <w:rFonts w:ascii="Times New Roman" w:hAnsi="Times New Roman" w:cs="Times New Roman"/>
        </w:rPr>
        <w:t>Jien</w:t>
      </w:r>
      <w:proofErr w:type="spellEnd"/>
      <w:r>
        <w:rPr>
          <w:rFonts w:ascii="Times New Roman" w:hAnsi="Times New Roman" w:cs="Times New Roman"/>
        </w:rPr>
        <w:t xml:space="preserve"> et al., 2021). Similarly, </w:t>
      </w:r>
      <w:r>
        <w:rPr>
          <w:rFonts w:ascii="Times New Roman" w:hAnsi="Times New Roman" w:cs="Times New Roman"/>
          <w:i/>
          <w:iCs/>
        </w:rPr>
        <w:t>Trichoderma</w:t>
      </w:r>
      <w:r>
        <w:rPr>
          <w:rFonts w:ascii="Times New Roman" w:hAnsi="Times New Roman" w:cs="Times New Roman"/>
        </w:rPr>
        <w:t xml:space="preserve"> species promote plant growth and yield by improving root development, nutrient uptake, and stress tolerance (</w:t>
      </w:r>
      <w:bookmarkStart w:id="6" w:name="bbib6"/>
      <w:proofErr w:type="spellStart"/>
      <w:r>
        <w:rPr>
          <w:rFonts w:ascii="Times New Roman" w:hAnsi="Times New Roman" w:cs="Times New Roman"/>
        </w:rPr>
        <w:fldChar w:fldCharType="begin"/>
      </w:r>
      <w:r>
        <w:rPr>
          <w:rFonts w:ascii="Times New Roman" w:hAnsi="Times New Roman" w:cs="Times New Roman"/>
        </w:rPr>
        <w:instrText>HYPERLINK "https://www.sciencedirect.com/science/article/pii/S094450132</w:instrText>
      </w:r>
      <w:r>
        <w:rPr>
          <w:rFonts w:ascii="Times New Roman" w:hAnsi="Times New Roman" w:cs="Times New Roman"/>
        </w:rPr>
        <w:instrText>4000661" \l "bib6"</w:instrText>
      </w:r>
      <w:r>
        <w:rPr>
          <w:rFonts w:ascii="Times New Roman" w:hAnsi="Times New Roman" w:cs="Times New Roman"/>
        </w:rPr>
        <w:fldChar w:fldCharType="separate"/>
      </w:r>
      <w:r>
        <w:rPr>
          <w:rStyle w:val="Hyperlink"/>
          <w:rFonts w:ascii="Times New Roman" w:hAnsi="Times New Roman" w:cs="Times New Roman"/>
          <w:color w:val="auto"/>
          <w:u w:val="none"/>
        </w:rPr>
        <w:t>Basirat</w:t>
      </w:r>
      <w:proofErr w:type="spellEnd"/>
      <w:r>
        <w:rPr>
          <w:rStyle w:val="Hyperlink"/>
          <w:rFonts w:ascii="Times New Roman" w:hAnsi="Times New Roman" w:cs="Times New Roman"/>
          <w:color w:val="auto"/>
          <w:u w:val="none"/>
        </w:rPr>
        <w:t xml:space="preserve"> et al., 2019</w:t>
      </w:r>
      <w:r>
        <w:rPr>
          <w:rFonts w:ascii="Times New Roman" w:hAnsi="Times New Roman" w:cs="Times New Roman"/>
        </w:rPr>
        <w:fldChar w:fldCharType="end"/>
      </w:r>
      <w:bookmarkEnd w:id="6"/>
      <w:r>
        <w:rPr>
          <w:rFonts w:ascii="Times New Roman" w:hAnsi="Times New Roman" w:cs="Times New Roman"/>
        </w:rPr>
        <w:t xml:space="preserve">, </w:t>
      </w:r>
      <w:bookmarkStart w:id="7" w:name="bbib59"/>
      <w:r>
        <w:rPr>
          <w:rFonts w:ascii="Times New Roman" w:hAnsi="Times New Roman" w:cs="Times New Roman"/>
        </w:rPr>
        <w:fldChar w:fldCharType="begin"/>
      </w:r>
      <w:r>
        <w:rPr>
          <w:rFonts w:ascii="Times New Roman" w:hAnsi="Times New Roman" w:cs="Times New Roman"/>
        </w:rPr>
        <w:instrText>HYPERLINK "https://www.sciencedirect.com/science/article/pii/S0944501324000661" \l "bib59"</w:instrText>
      </w:r>
      <w:r>
        <w:rPr>
          <w:rFonts w:ascii="Times New Roman" w:hAnsi="Times New Roman" w:cs="Times New Roman"/>
        </w:rPr>
        <w:fldChar w:fldCharType="separate"/>
      </w:r>
      <w:r>
        <w:rPr>
          <w:rStyle w:val="Hyperlink"/>
          <w:rFonts w:ascii="Times New Roman" w:hAnsi="Times New Roman" w:cs="Times New Roman"/>
          <w:color w:val="auto"/>
          <w:u w:val="none"/>
        </w:rPr>
        <w:t>Li et al., 2022</w:t>
      </w:r>
      <w:r>
        <w:rPr>
          <w:rFonts w:ascii="Times New Roman" w:hAnsi="Times New Roman" w:cs="Times New Roman"/>
        </w:rPr>
        <w:fldChar w:fldCharType="end"/>
      </w:r>
      <w:bookmarkEnd w:id="7"/>
      <w:r>
        <w:rPr>
          <w:rFonts w:ascii="Times New Roman" w:hAnsi="Times New Roman" w:cs="Times New Roman"/>
        </w:rPr>
        <w:t xml:space="preserve">). </w:t>
      </w:r>
      <w:bookmarkStart w:id="8" w:name="bbib40"/>
      <w:r>
        <w:rPr>
          <w:rFonts w:ascii="Times New Roman" w:hAnsi="Times New Roman" w:cs="Times New Roman"/>
        </w:rPr>
        <w:fldChar w:fldCharType="begin"/>
      </w:r>
      <w:r>
        <w:rPr>
          <w:rFonts w:ascii="Times New Roman" w:hAnsi="Times New Roman" w:cs="Times New Roman"/>
        </w:rPr>
        <w:instrText>HYPERLINK "https://www.sciencedirect.com/science/article/pii/S0944501324000661" \l "bib40"</w:instrText>
      </w:r>
      <w:r>
        <w:rPr>
          <w:rFonts w:ascii="Times New Roman" w:hAnsi="Times New Roman" w:cs="Times New Roman"/>
        </w:rPr>
        <w:fldChar w:fldCharType="separate"/>
      </w:r>
      <w:r>
        <w:rPr>
          <w:rStyle w:val="Hyperlink"/>
          <w:rFonts w:ascii="Times New Roman" w:hAnsi="Times New Roman" w:cs="Times New Roman"/>
          <w:color w:val="auto"/>
          <w:u w:val="none"/>
        </w:rPr>
        <w:t>Harman et al</w:t>
      </w:r>
      <w:r>
        <w:rPr>
          <w:rStyle w:val="Hyperlink"/>
          <w:rFonts w:ascii="Times New Roman" w:hAnsi="Times New Roman" w:cs="Times New Roman"/>
          <w:color w:val="auto"/>
          <w:u w:val="none"/>
        </w:rPr>
        <w:t>. (2021</w:t>
      </w:r>
      <w:r>
        <w:rPr>
          <w:rFonts w:ascii="Times New Roman" w:hAnsi="Times New Roman" w:cs="Times New Roman"/>
        </w:rPr>
        <w:fldChar w:fldCharType="end"/>
      </w:r>
      <w:bookmarkEnd w:id="8"/>
      <w:r>
        <w:rPr>
          <w:rFonts w:ascii="Times New Roman" w:hAnsi="Times New Roman" w:cs="Times New Roman"/>
        </w:rPr>
        <w:t xml:space="preserve">) stated that Trichoderma species possess a remarkable ability to colonize roots effectively, enabling them to expand the root </w:t>
      </w:r>
      <w:hyperlink r:id="rId17" w:history="1">
        <w:r w:rsidR="00F15FD7">
          <w:rPr>
            <w:rStyle w:val="Hyperlink"/>
            <w:rFonts w:ascii="Times New Roman" w:hAnsi="Times New Roman" w:cs="Times New Roman"/>
            <w:color w:val="auto"/>
            <w:u w:val="none"/>
          </w:rPr>
          <w:t>surface area</w:t>
        </w:r>
      </w:hyperlink>
      <w:r>
        <w:rPr>
          <w:rFonts w:ascii="Times New Roman" w:hAnsi="Times New Roman" w:cs="Times New Roman"/>
        </w:rPr>
        <w:t xml:space="preserve"> in </w:t>
      </w:r>
      <w:r>
        <w:rPr>
          <w:rFonts w:ascii="Times New Roman" w:hAnsi="Times New Roman" w:cs="Times New Roman"/>
        </w:rPr>
        <w:t xml:space="preserve">direct contact with the soil.  The co-application </w:t>
      </w:r>
      <w:proofErr w:type="gramStart"/>
      <w:r>
        <w:rPr>
          <w:rFonts w:ascii="Times New Roman" w:hAnsi="Times New Roman" w:cs="Times New Roman"/>
        </w:rPr>
        <w:t>of  biochar</w:t>
      </w:r>
      <w:proofErr w:type="gramEnd"/>
      <w:r>
        <w:rPr>
          <w:rFonts w:ascii="Times New Roman" w:hAnsi="Times New Roman" w:cs="Times New Roman"/>
        </w:rPr>
        <w:t xml:space="preserve"> and </w:t>
      </w:r>
      <w:r>
        <w:rPr>
          <w:rFonts w:ascii="Times New Roman" w:hAnsi="Times New Roman" w:cs="Times New Roman"/>
          <w:i/>
          <w:iCs/>
        </w:rPr>
        <w:t>Trichoderma</w:t>
      </w:r>
      <w:r>
        <w:rPr>
          <w:rFonts w:ascii="Times New Roman" w:hAnsi="Times New Roman" w:cs="Times New Roman"/>
        </w:rPr>
        <w:t xml:space="preserve"> produced the highest yield responses, particularly under adequate and moderate moisture conditions. The treatment B + T + 100% FC recorded the highest number of fruits (36.93 fru</w:t>
      </w:r>
      <w:r>
        <w:rPr>
          <w:rFonts w:ascii="Times New Roman" w:hAnsi="Times New Roman" w:cs="Times New Roman"/>
        </w:rPr>
        <w:t>its/plant), fruit fresh weight (150.00 g), and fruit dry weight (25.00 g), followed by B + T + 60% FC. This synergistic effect may be attributed to improved soil physicochemical properties and enhanced microbial activity in the rhizosphere, which collectiv</w:t>
      </w:r>
      <w:r>
        <w:rPr>
          <w:rFonts w:ascii="Times New Roman" w:hAnsi="Times New Roman" w:cs="Times New Roman"/>
        </w:rPr>
        <w:t xml:space="preserve">ely promote plant growth and fruit production. According </w:t>
      </w:r>
      <w:proofErr w:type="spellStart"/>
      <w:r>
        <w:rPr>
          <w:rFonts w:ascii="Times New Roman" w:hAnsi="Times New Roman" w:cs="Times New Roman"/>
        </w:rPr>
        <w:t>Alkharabsheh</w:t>
      </w:r>
      <w:proofErr w:type="spellEnd"/>
      <w:r>
        <w:rPr>
          <w:rFonts w:ascii="Times New Roman" w:hAnsi="Times New Roman" w:cs="Times New Roman"/>
        </w:rPr>
        <w:t xml:space="preserve"> et al. (</w:t>
      </w:r>
      <w:hyperlink r:id="rId18" w:anchor="B6" w:history="1">
        <w:r w:rsidR="00F15FD7">
          <w:rPr>
            <w:rStyle w:val="Hyperlink"/>
            <w:rFonts w:ascii="Times New Roman" w:hAnsi="Times New Roman" w:cs="Times New Roman"/>
            <w:color w:val="auto"/>
            <w:u w:val="none"/>
          </w:rPr>
          <w:t>2021</w:t>
        </w:r>
      </w:hyperlink>
      <w:r>
        <w:rPr>
          <w:rFonts w:ascii="Times New Roman" w:hAnsi="Times New Roman" w:cs="Times New Roman"/>
        </w:rPr>
        <w:t>), Biochar is a reliable soil supplement that improves soil</w:t>
      </w:r>
      <w:r>
        <w:rPr>
          <w:rFonts w:ascii="Times New Roman" w:hAnsi="Times New Roman" w:cs="Times New Roman"/>
        </w:rPr>
        <w:t xml:space="preserve"> fertility, structure, and interactions with soil microbes. It acts as a medium for growth development, nutrient uptake, and root colonization of beneficial fungi through hyphal growth and elongation because of its larger surface area (Hussain et al., </w:t>
      </w:r>
      <w:hyperlink r:id="rId19" w:anchor="B37" w:history="1">
        <w:r w:rsidR="00F15FD7">
          <w:rPr>
            <w:rStyle w:val="Hyperlink"/>
            <w:rFonts w:ascii="Times New Roman" w:hAnsi="Times New Roman" w:cs="Times New Roman"/>
            <w:color w:val="auto"/>
            <w:u w:val="none"/>
          </w:rPr>
          <w:t>2021</w:t>
        </w:r>
      </w:hyperlink>
      <w:r>
        <w:rPr>
          <w:rFonts w:ascii="Times New Roman" w:hAnsi="Times New Roman" w:cs="Times New Roman"/>
        </w:rPr>
        <w:t>).</w:t>
      </w:r>
    </w:p>
    <w:p w14:paraId="238C2ECE" w14:textId="77777777" w:rsidR="00F15FD7" w:rsidRDefault="00563E74">
      <w:pPr>
        <w:spacing w:line="276" w:lineRule="auto"/>
        <w:rPr>
          <w:rFonts w:cs="Times New Roman"/>
          <w:b/>
          <w:bCs/>
        </w:rPr>
      </w:pPr>
      <w:r>
        <w:rPr>
          <w:rFonts w:cs="Times New Roman"/>
          <w:b/>
          <w:bCs/>
        </w:rPr>
        <w:t xml:space="preserve">Biochar and watering regime effects on mineral and proximate composition of pepper </w:t>
      </w:r>
    </w:p>
    <w:p w14:paraId="2C2313AA" w14:textId="77777777" w:rsidR="00F15FD7" w:rsidRDefault="00563E74">
      <w:pPr>
        <w:tabs>
          <w:tab w:val="left" w:pos="9000"/>
        </w:tabs>
        <w:spacing w:line="276" w:lineRule="auto"/>
        <w:jc w:val="both"/>
        <w:rPr>
          <w:rFonts w:ascii="Times New Roman" w:hAnsi="Times New Roman" w:cs="Times New Roman"/>
        </w:rPr>
      </w:pPr>
      <w:r>
        <w:rPr>
          <w:rFonts w:ascii="Times New Roman" w:hAnsi="Times New Roman" w:cs="Times New Roman"/>
        </w:rPr>
        <w:t>The proximate and mineral composition of pepper fru</w:t>
      </w:r>
      <w:r>
        <w:rPr>
          <w:rFonts w:ascii="Times New Roman" w:hAnsi="Times New Roman" w:cs="Times New Roman"/>
        </w:rPr>
        <w:t xml:space="preserve">its was significantly influenced by the co-application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under varying moisture regimes. Moisture content varied slightly among treatments (7.11–7.16%), indicating that the amendments had minimal effect on fruit moisture.</w:t>
      </w:r>
      <w:r>
        <w:rPr>
          <w:rFonts w:ascii="Times New Roman" w:hAnsi="Times New Roman" w:cs="Times New Roman"/>
        </w:rPr>
        <w:t xml:space="preserve"> However, notable variations were observed in other nutritional parameters. Ash, crude </w:t>
      </w:r>
      <w:proofErr w:type="spellStart"/>
      <w:r>
        <w:rPr>
          <w:rFonts w:ascii="Times New Roman" w:hAnsi="Times New Roman" w:cs="Times New Roman"/>
        </w:rPr>
        <w:t>fibre</w:t>
      </w:r>
      <w:proofErr w:type="spellEnd"/>
      <w:r>
        <w:rPr>
          <w:rFonts w:ascii="Times New Roman" w:hAnsi="Times New Roman" w:cs="Times New Roman"/>
        </w:rPr>
        <w:t>, crude protein, carbohydrate, and vitamin contents were generally enhanced under treatments involving biochar and adequate moisture levels. For instance, the combi</w:t>
      </w:r>
      <w:r>
        <w:rPr>
          <w:rFonts w:ascii="Times New Roman" w:hAnsi="Times New Roman" w:cs="Times New Roman"/>
        </w:rPr>
        <w:t xml:space="preserve">nation of biochar with 100% field capacity (B+100% FC) produced higher ash (5.88%) and crude protein (2.43%) contents compared with most other treatments, suggesting improved mineral accumulation and nutrient assimilation. Biochar is known to improve soil </w:t>
      </w:r>
      <w:r>
        <w:rPr>
          <w:rFonts w:ascii="Times New Roman" w:hAnsi="Times New Roman" w:cs="Times New Roman"/>
        </w:rPr>
        <w:t>nutrient availability and retention, which can enhance the nutritional quality of crops (</w:t>
      </w:r>
      <w:proofErr w:type="spellStart"/>
      <w:r>
        <w:rPr>
          <w:rFonts w:ascii="Times New Roman" w:hAnsi="Times New Roman" w:cs="Times New Roman"/>
        </w:rPr>
        <w:t>Agegnehu</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2017; Lehmann and Joseph, 2015). Water deficit treatments (40% and 60% FC) showed relatively higher crude </w:t>
      </w:r>
      <w:proofErr w:type="spellStart"/>
      <w:r>
        <w:rPr>
          <w:rFonts w:ascii="Times New Roman" w:hAnsi="Times New Roman" w:cs="Times New Roman"/>
        </w:rPr>
        <w:t>fibre</w:t>
      </w:r>
      <w:proofErr w:type="spellEnd"/>
      <w:r>
        <w:rPr>
          <w:rFonts w:ascii="Times New Roman" w:hAnsi="Times New Roman" w:cs="Times New Roman"/>
        </w:rPr>
        <w:t xml:space="preserve"> and vitamin contents, which may reflec</w:t>
      </w:r>
      <w:r>
        <w:rPr>
          <w:rFonts w:ascii="Times New Roman" w:hAnsi="Times New Roman" w:cs="Times New Roman"/>
        </w:rPr>
        <w:t>t physiological adjustments of plants under stress conditions. Similar increases in certain nutritional compounds under moderate stress have been reported as part of plant adaptive responses (</w:t>
      </w:r>
      <w:proofErr w:type="spellStart"/>
      <w:r>
        <w:rPr>
          <w:rFonts w:ascii="Times New Roman" w:hAnsi="Times New Roman" w:cs="Times New Roman"/>
        </w:rPr>
        <w:t>Hasanuzzaman</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2020). Treatments involving </w:t>
      </w:r>
      <w:r>
        <w:rPr>
          <w:rFonts w:ascii="Times New Roman" w:hAnsi="Times New Roman" w:cs="Times New Roman"/>
          <w:i/>
          <w:iCs/>
        </w:rPr>
        <w:t>Trichoderma</w:t>
      </w:r>
      <w:r>
        <w:rPr>
          <w:rFonts w:ascii="Times New Roman" w:hAnsi="Times New Roman" w:cs="Times New Roman"/>
        </w:rPr>
        <w:t xml:space="preserve"> alo</w:t>
      </w:r>
      <w:r>
        <w:rPr>
          <w:rFonts w:ascii="Times New Roman" w:hAnsi="Times New Roman" w:cs="Times New Roman"/>
        </w:rPr>
        <w:t xml:space="preserve">ne or in combination also influenced fruit composition, although values for crude protein and ash were comparatively lower in some cases. Nevertheless, </w:t>
      </w:r>
      <w:r>
        <w:rPr>
          <w:rFonts w:ascii="Times New Roman" w:hAnsi="Times New Roman" w:cs="Times New Roman"/>
          <w:i/>
          <w:iCs/>
        </w:rPr>
        <w:t>Trichoderma</w:t>
      </w:r>
      <w:r>
        <w:rPr>
          <w:rFonts w:ascii="Times New Roman" w:hAnsi="Times New Roman" w:cs="Times New Roman"/>
        </w:rPr>
        <w:t xml:space="preserve"> is widely reported to enhance plant metabolism and nutrient uptake, thereby influencing crop</w:t>
      </w:r>
      <w:r>
        <w:rPr>
          <w:rFonts w:ascii="Times New Roman" w:hAnsi="Times New Roman" w:cs="Times New Roman"/>
        </w:rPr>
        <w:t xml:space="preserve"> nutritional quality (</w:t>
      </w:r>
      <w:r>
        <w:rPr>
          <w:b/>
          <w:bCs/>
        </w:rPr>
        <w:t xml:space="preserve">Gary et al., 2021; </w:t>
      </w:r>
      <w:r>
        <w:rPr>
          <w:rFonts w:ascii="Times New Roman" w:hAnsi="Times New Roman" w:cs="Times New Roman"/>
        </w:rPr>
        <w:t xml:space="preserve">Harman </w:t>
      </w:r>
      <w:r>
        <w:rPr>
          <w:rFonts w:ascii="Times New Roman" w:hAnsi="Times New Roman" w:cs="Times New Roman"/>
          <w:i/>
          <w:iCs/>
        </w:rPr>
        <w:t>et al.,</w:t>
      </w:r>
      <w:r>
        <w:rPr>
          <w:rFonts w:ascii="Times New Roman" w:hAnsi="Times New Roman" w:cs="Times New Roman"/>
        </w:rPr>
        <w:t xml:space="preserve"> 2021; </w:t>
      </w:r>
      <w:bookmarkStart w:id="9" w:name="_Hlk227268258"/>
      <w:r>
        <w:rPr>
          <w:rFonts w:ascii="Times New Roman" w:hAnsi="Times New Roman" w:cs="Times New Roman"/>
        </w:rPr>
        <w:t xml:space="preserve">Poveda, </w:t>
      </w:r>
      <w:bookmarkEnd w:id="9"/>
      <w:r>
        <w:rPr>
          <w:rFonts w:ascii="Times New Roman" w:hAnsi="Times New Roman" w:cs="Times New Roman"/>
        </w:rPr>
        <w:t xml:space="preserve">2021). Overall, the results indicate that the integration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particularly under optimal moisture conditions, can improve the proximate and nutritional </w:t>
      </w:r>
      <w:r>
        <w:rPr>
          <w:rFonts w:ascii="Times New Roman" w:hAnsi="Times New Roman" w:cs="Times New Roman"/>
        </w:rPr>
        <w:t>quality of pepper fruits, while water stress may induce variations in certain biochemical constituents.</w:t>
      </w:r>
    </w:p>
    <w:p w14:paraId="58B62218" w14:textId="77777777" w:rsidR="00F15FD7" w:rsidRDefault="00563E74">
      <w:pPr>
        <w:tabs>
          <w:tab w:val="left" w:pos="2880"/>
        </w:tabs>
        <w:spacing w:after="0" w:line="276" w:lineRule="auto"/>
        <w:ind w:right="-244"/>
        <w:jc w:val="both"/>
        <w:rPr>
          <w:rFonts w:ascii="Times New Roman" w:hAnsi="Times New Roman" w:cs="Times New Roman"/>
          <w:b/>
          <w:bCs/>
          <w:iCs/>
        </w:rPr>
      </w:pPr>
      <w:r>
        <w:rPr>
          <w:rFonts w:ascii="Times New Roman" w:hAnsi="Times New Roman" w:cs="Times New Roman"/>
          <w:b/>
          <w:bCs/>
          <w:iCs/>
        </w:rPr>
        <w:t xml:space="preserve">Effects on mineral contents </w:t>
      </w:r>
    </w:p>
    <w:p w14:paraId="5E46DB8B" w14:textId="77777777" w:rsidR="00F15FD7" w:rsidRDefault="00563E74">
      <w:pPr>
        <w:tabs>
          <w:tab w:val="left" w:pos="2880"/>
        </w:tabs>
        <w:spacing w:after="0" w:line="276" w:lineRule="auto"/>
        <w:ind w:right="-244"/>
        <w:jc w:val="both"/>
        <w:rPr>
          <w:rFonts w:ascii="Times New Roman" w:hAnsi="Times New Roman" w:cs="Times New Roman"/>
          <w:iCs/>
        </w:rPr>
      </w:pPr>
      <w:r>
        <w:rPr>
          <w:rFonts w:ascii="Times New Roman" w:hAnsi="Times New Roman" w:cs="Times New Roman"/>
          <w:iCs/>
        </w:rPr>
        <w:lastRenderedPageBreak/>
        <w:t xml:space="preserve">Co-application of biochar and Trichoderma </w:t>
      </w:r>
      <w:proofErr w:type="spellStart"/>
      <w:r>
        <w:rPr>
          <w:rFonts w:ascii="Times New Roman" w:hAnsi="Times New Roman" w:cs="Times New Roman"/>
          <w:iCs/>
        </w:rPr>
        <w:t>harzianum</w:t>
      </w:r>
      <w:proofErr w:type="spellEnd"/>
      <w:r>
        <w:rPr>
          <w:rFonts w:ascii="Times New Roman" w:hAnsi="Times New Roman" w:cs="Times New Roman"/>
          <w:iCs/>
        </w:rPr>
        <w:t xml:space="preserve"> significantly influenced the mineral composition of pepper fruits under</w:t>
      </w:r>
      <w:r>
        <w:rPr>
          <w:rFonts w:ascii="Times New Roman" w:hAnsi="Times New Roman" w:cs="Times New Roman"/>
          <w:iCs/>
        </w:rPr>
        <w:t xml:space="preserve"> different soil moisture regimes (Table 6). Overall, treatments combining biochar and Trichoderma under higher field capacities (60% and 100% FC) generally produced the highest concentrations of Na, Ca, Mg, Cl, N, P, and K. For example, the B+T+100% FC tre</w:t>
      </w:r>
      <w:r>
        <w:rPr>
          <w:rFonts w:ascii="Times New Roman" w:hAnsi="Times New Roman" w:cs="Times New Roman"/>
          <w:iCs/>
        </w:rPr>
        <w:t>atment consistently recorded the highest values for Na (0.64 mg/100 g), Ca (15.64 mg/100 g), Mg (39.87 mg/100 g), Cl (0.41 mg/100 g), N (0.39 mg/100 g), P (21.24 mg/100 g), and K (224.19 mg/100 g).</w:t>
      </w:r>
    </w:p>
    <w:p w14:paraId="5F6141C1" w14:textId="77777777" w:rsidR="00F15FD7" w:rsidRDefault="00563E74">
      <w:pPr>
        <w:tabs>
          <w:tab w:val="left" w:pos="2880"/>
        </w:tabs>
        <w:spacing w:after="0" w:line="276" w:lineRule="auto"/>
        <w:ind w:right="-244"/>
        <w:jc w:val="both"/>
        <w:rPr>
          <w:rFonts w:ascii="Times New Roman" w:hAnsi="Times New Roman" w:cs="Times New Roman"/>
          <w:iCs/>
        </w:rPr>
      </w:pPr>
      <w:r>
        <w:rPr>
          <w:rFonts w:ascii="Times New Roman" w:hAnsi="Times New Roman" w:cs="Times New Roman"/>
          <w:iCs/>
        </w:rPr>
        <w:t>Individually, biochar or Trichoderma alone also enhanced m</w:t>
      </w:r>
      <w:r>
        <w:rPr>
          <w:rFonts w:ascii="Times New Roman" w:hAnsi="Times New Roman" w:cs="Times New Roman"/>
          <w:iCs/>
        </w:rPr>
        <w:t xml:space="preserve">ineral content relative to the control at moderate field capacities, but the magnitude was lower compared to combined applications. Notably, Trichoderma applied at 40% FC resulted in the lowest mineral concentrations, suggesting that microbial inoculation </w:t>
      </w:r>
      <w:r>
        <w:rPr>
          <w:rFonts w:ascii="Times New Roman" w:hAnsi="Times New Roman" w:cs="Times New Roman"/>
          <w:iCs/>
        </w:rPr>
        <w:t>alone may be insufficient under water-limited conditions. Conversely, biochar appears to buffer nutrient availability, particularly when combined with adequate moisture, likely due to its high cation exchange capacity and improvement of soil physicochemica</w:t>
      </w:r>
      <w:r>
        <w:rPr>
          <w:rFonts w:ascii="Times New Roman" w:hAnsi="Times New Roman" w:cs="Times New Roman"/>
          <w:iCs/>
        </w:rPr>
        <w:t xml:space="preserve">l properties (Lehmann and Joseph, 2015; Sharma </w:t>
      </w:r>
      <w:r>
        <w:rPr>
          <w:rFonts w:ascii="Times New Roman" w:hAnsi="Times New Roman" w:cs="Times New Roman"/>
          <w:i/>
        </w:rPr>
        <w:t xml:space="preserve">et al., </w:t>
      </w:r>
      <w:r>
        <w:rPr>
          <w:rFonts w:ascii="Times New Roman" w:hAnsi="Times New Roman" w:cs="Times New Roman"/>
          <w:iCs/>
        </w:rPr>
        <w:t>2022). These results indicate synergistic interactions between biochar, Trichoderma, and optimal soil moisture in enhancing pepper fruit mineral nutrition. Such improvements in nutrient content could c</w:t>
      </w:r>
      <w:r>
        <w:rPr>
          <w:rFonts w:ascii="Times New Roman" w:hAnsi="Times New Roman" w:cs="Times New Roman"/>
          <w:iCs/>
        </w:rPr>
        <w:t>ontribute to better fruit quality and yield under both controlled and field conditions, aligning with recent reports on biochar–microbe interactions improving crop nutrient uptake (Singh et al., 2021; Wu et al., 2020).</w:t>
      </w:r>
    </w:p>
    <w:p w14:paraId="31247649" w14:textId="77777777" w:rsidR="00F15FD7" w:rsidRDefault="00F15FD7">
      <w:pPr>
        <w:tabs>
          <w:tab w:val="left" w:pos="2880"/>
        </w:tabs>
        <w:spacing w:after="0" w:line="276" w:lineRule="auto"/>
        <w:ind w:right="-244"/>
        <w:rPr>
          <w:rFonts w:ascii="Times New Roman" w:hAnsi="Times New Roman" w:cs="Times New Roman"/>
          <w:b/>
        </w:rPr>
      </w:pPr>
    </w:p>
    <w:p w14:paraId="5EDA9AF2" w14:textId="77777777" w:rsidR="00F15FD7" w:rsidRDefault="00563E74">
      <w:pPr>
        <w:spacing w:line="276" w:lineRule="auto"/>
        <w:rPr>
          <w:rFonts w:ascii="Times New Roman" w:hAnsi="Times New Roman" w:cs="Times New Roman"/>
          <w:b/>
        </w:rPr>
      </w:pPr>
      <w:r>
        <w:rPr>
          <w:rFonts w:ascii="Times New Roman" w:hAnsi="Times New Roman" w:cs="Times New Roman"/>
          <w:b/>
        </w:rPr>
        <w:t xml:space="preserve">Biochar, </w:t>
      </w:r>
      <w:proofErr w:type="spellStart"/>
      <w:r>
        <w:rPr>
          <w:rFonts w:ascii="Times New Roman" w:hAnsi="Times New Roman" w:cs="Times New Roman"/>
          <w:b/>
        </w:rPr>
        <w:t>trichodermal</w:t>
      </w:r>
      <w:proofErr w:type="spellEnd"/>
      <w:r>
        <w:rPr>
          <w:rFonts w:ascii="Times New Roman" w:hAnsi="Times New Roman" w:cs="Times New Roman"/>
          <w:b/>
        </w:rPr>
        <w:t xml:space="preserve"> inoculation an</w:t>
      </w:r>
      <w:r>
        <w:rPr>
          <w:rFonts w:ascii="Times New Roman" w:hAnsi="Times New Roman" w:cs="Times New Roman"/>
          <w:b/>
        </w:rPr>
        <w:t xml:space="preserve">d </w:t>
      </w:r>
      <w:proofErr w:type="gramStart"/>
      <w:r>
        <w:rPr>
          <w:rFonts w:ascii="Times New Roman" w:hAnsi="Times New Roman" w:cs="Times New Roman"/>
          <w:b/>
        </w:rPr>
        <w:t>watering  effects</w:t>
      </w:r>
      <w:proofErr w:type="gramEnd"/>
      <w:r>
        <w:rPr>
          <w:rFonts w:ascii="Times New Roman" w:hAnsi="Times New Roman" w:cs="Times New Roman"/>
          <w:b/>
        </w:rPr>
        <w:t xml:space="preserve"> on biochemical attributes of pepper </w:t>
      </w:r>
    </w:p>
    <w:p w14:paraId="03771A3F" w14:textId="77777777" w:rsidR="00F15FD7" w:rsidRDefault="00563E74">
      <w:pPr>
        <w:spacing w:line="276" w:lineRule="auto"/>
        <w:rPr>
          <w:rFonts w:ascii="Times New Roman" w:hAnsi="Times New Roman" w:cs="Times New Roman"/>
          <w:b/>
          <w:bCs/>
        </w:rPr>
      </w:pPr>
      <w:proofErr w:type="gramStart"/>
      <w:r>
        <w:rPr>
          <w:rFonts w:ascii="Times New Roman" w:hAnsi="Times New Roman" w:cs="Times New Roman"/>
          <w:b/>
        </w:rPr>
        <w:t>Leaf</w:t>
      </w:r>
      <w:r>
        <w:rPr>
          <w:rFonts w:cs="Times New Roman"/>
          <w:b/>
          <w:bCs/>
        </w:rPr>
        <w:t xml:space="preserve"> </w:t>
      </w:r>
      <w:r>
        <w:rPr>
          <w:rFonts w:ascii="Times New Roman" w:hAnsi="Times New Roman" w:cs="Times New Roman"/>
          <w:b/>
          <w:bCs/>
        </w:rPr>
        <w:t xml:space="preserve"> chlorophyll</w:t>
      </w:r>
      <w:proofErr w:type="gramEnd"/>
      <w:r>
        <w:rPr>
          <w:rFonts w:ascii="Times New Roman" w:hAnsi="Times New Roman" w:cs="Times New Roman"/>
          <w:b/>
          <w:bCs/>
        </w:rPr>
        <w:t xml:space="preserve"> contents</w:t>
      </w:r>
    </w:p>
    <w:p w14:paraId="0B369EAF" w14:textId="77777777" w:rsidR="00F15FD7" w:rsidRDefault="00563E74">
      <w:pPr>
        <w:tabs>
          <w:tab w:val="left" w:pos="9000"/>
        </w:tabs>
        <w:spacing w:line="276" w:lineRule="auto"/>
        <w:jc w:val="both"/>
        <w:rPr>
          <w:rFonts w:ascii="Times New Roman" w:hAnsi="Times New Roman" w:cs="Times New Roman"/>
        </w:rPr>
      </w:pPr>
      <w:r>
        <w:rPr>
          <w:rFonts w:ascii="Times New Roman" w:hAnsi="Times New Roman" w:cs="Times New Roman"/>
        </w:rPr>
        <w:t xml:space="preserve">Total chlorophyll content of pepper was influenced by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under different watering regimes. Lower chlorophyll values were observed under water stress, particularly at reduced field capacity, indicating that moisture deficit negatively affects chlorophyll synthesis and photosynthetic activity. Blum (2017) inferre</w:t>
      </w:r>
      <w:r>
        <w:rPr>
          <w:rFonts w:ascii="Times New Roman" w:hAnsi="Times New Roman" w:cs="Times New Roman"/>
        </w:rPr>
        <w:t xml:space="preserve">d that a decline in the production of photosynthetic assimilates can hinder osmotic adjustment and reduce the ability of plants to withstand drought stress.  The co-application of biochar or </w:t>
      </w:r>
      <w:r>
        <w:rPr>
          <w:rFonts w:ascii="Times New Roman" w:hAnsi="Times New Roman" w:cs="Times New Roman"/>
          <w:i/>
          <w:iCs/>
        </w:rPr>
        <w:t>Trichoderma</w:t>
      </w:r>
      <w:r>
        <w:rPr>
          <w:rFonts w:ascii="Times New Roman" w:hAnsi="Times New Roman" w:cs="Times New Roman"/>
        </w:rPr>
        <w:t xml:space="preserve"> improved chlorophyll content, likely due to enhanced </w:t>
      </w:r>
      <w:r>
        <w:rPr>
          <w:rFonts w:ascii="Times New Roman" w:hAnsi="Times New Roman" w:cs="Times New Roman"/>
        </w:rPr>
        <w:t xml:space="preserve">soil moisture retention and improved nutrient uptake. It has been reported </w:t>
      </w:r>
      <w:r>
        <w:t>Biochar (BC) application can enhance plant chlorophyll content and growth rate by indirectly improving soil physicochemical properties, such as water availability, while also promot</w:t>
      </w:r>
      <w:r>
        <w:t xml:space="preserve">ing the activity of native soil microbial communities (Aubertin et al., 2021; Batool et al., 2022). </w:t>
      </w:r>
      <w:r>
        <w:rPr>
          <w:rFonts w:ascii="Times New Roman" w:hAnsi="Times New Roman" w:cs="Times New Roman"/>
        </w:rPr>
        <w:t xml:space="preserve">Similarly, Soliman et al. (2020) reported that the application of </w:t>
      </w:r>
      <w:r>
        <w:rPr>
          <w:rFonts w:ascii="Times New Roman" w:hAnsi="Times New Roman" w:cs="Times New Roman"/>
          <w:i/>
          <w:iCs/>
        </w:rPr>
        <w:t xml:space="preserve">T. </w:t>
      </w:r>
      <w:proofErr w:type="spellStart"/>
      <w:r>
        <w:rPr>
          <w:rFonts w:ascii="Times New Roman" w:hAnsi="Times New Roman" w:cs="Times New Roman"/>
          <w:i/>
          <w:iCs/>
        </w:rPr>
        <w:t>harzianum</w:t>
      </w:r>
      <w:proofErr w:type="spellEnd"/>
      <w:r>
        <w:rPr>
          <w:rFonts w:ascii="Times New Roman" w:hAnsi="Times New Roman" w:cs="Times New Roman"/>
        </w:rPr>
        <w:t xml:space="preserve"> to </w:t>
      </w:r>
      <w:r>
        <w:rPr>
          <w:rFonts w:ascii="Times New Roman" w:hAnsi="Times New Roman" w:cs="Times New Roman"/>
          <w:i/>
          <w:iCs/>
        </w:rPr>
        <w:t>Cucurbita pepo</w:t>
      </w:r>
      <w:r>
        <w:rPr>
          <w:rFonts w:ascii="Times New Roman" w:hAnsi="Times New Roman" w:cs="Times New Roman"/>
        </w:rPr>
        <w:t xml:space="preserve"> significantly increased photosynthetic pigments and metabol</w:t>
      </w:r>
      <w:r>
        <w:rPr>
          <w:rFonts w:ascii="Times New Roman" w:hAnsi="Times New Roman" w:cs="Times New Roman"/>
        </w:rPr>
        <w:t xml:space="preserve">ite accumulation under salinity stress. Highest chlorophyll </w:t>
      </w:r>
      <w:proofErr w:type="gramStart"/>
      <w:r>
        <w:rPr>
          <w:rFonts w:ascii="Times New Roman" w:hAnsi="Times New Roman" w:cs="Times New Roman"/>
        </w:rPr>
        <w:t xml:space="preserve">contents </w:t>
      </w:r>
      <w:r>
        <w:t xml:space="preserve"> recorded</w:t>
      </w:r>
      <w:proofErr w:type="gramEnd"/>
      <w:r>
        <w:t xml:space="preserve"> </w:t>
      </w:r>
      <w:r>
        <w:rPr>
          <w:rFonts w:ascii="Times New Roman" w:hAnsi="Times New Roman" w:cs="Times New Roman"/>
        </w:rPr>
        <w:t>suggest the  synergistic effect  of watering and biochar  on pepper physiological functions and  mitigation of soil moisture deficit. Similar improvements in chlorophyll content</w:t>
      </w:r>
      <w:r>
        <w:rPr>
          <w:rFonts w:ascii="Times New Roman" w:hAnsi="Times New Roman" w:cs="Times New Roman"/>
        </w:rPr>
        <w:t xml:space="preserve"> and overall plant physiological performance under the combined application of biochar and </w:t>
      </w:r>
      <w:r>
        <w:rPr>
          <w:rFonts w:ascii="Times New Roman" w:hAnsi="Times New Roman" w:cs="Times New Roman"/>
          <w:i/>
          <w:iCs/>
        </w:rPr>
        <w:t>Trichoderma</w:t>
      </w:r>
      <w:r>
        <w:rPr>
          <w:rFonts w:ascii="Times New Roman" w:hAnsi="Times New Roman" w:cs="Times New Roman"/>
        </w:rPr>
        <w:t xml:space="preserve"> have been widely reported (Danish and Zafar-ul-Hye, 2020; Li et al., 2023; Amanullah &amp; Khan, 2023).</w:t>
      </w:r>
    </w:p>
    <w:p w14:paraId="4972511A" w14:textId="77777777" w:rsidR="00F15FD7" w:rsidRDefault="00563E74">
      <w:pPr>
        <w:tabs>
          <w:tab w:val="left" w:pos="2880"/>
        </w:tabs>
        <w:spacing w:after="0" w:line="276" w:lineRule="auto"/>
        <w:ind w:right="-244"/>
        <w:rPr>
          <w:rFonts w:ascii="Times New Roman" w:hAnsi="Times New Roman" w:cs="Times New Roman"/>
          <w:b/>
        </w:rPr>
      </w:pPr>
      <w:r>
        <w:rPr>
          <w:rFonts w:ascii="Times New Roman" w:hAnsi="Times New Roman" w:cs="Times New Roman"/>
          <w:b/>
        </w:rPr>
        <w:t>M</w:t>
      </w:r>
      <w:r>
        <w:rPr>
          <w:rStyle w:val="Emphasis"/>
          <w:rFonts w:ascii="Times New Roman" w:hAnsi="Times New Roman" w:cs="Times New Roman"/>
          <w:b/>
          <w:i w:val="0"/>
          <w:iCs w:val="0"/>
        </w:rPr>
        <w:t>etabolites (proline, total phenolics) and antioxidan</w:t>
      </w:r>
      <w:r>
        <w:rPr>
          <w:rStyle w:val="Emphasis"/>
          <w:rFonts w:ascii="Times New Roman" w:hAnsi="Times New Roman" w:cs="Times New Roman"/>
          <w:b/>
          <w:i w:val="0"/>
          <w:iCs w:val="0"/>
        </w:rPr>
        <w:t xml:space="preserve">t enzyme activities of pepper </w:t>
      </w:r>
    </w:p>
    <w:p w14:paraId="419E2EC2" w14:textId="77777777" w:rsidR="00F15FD7" w:rsidRDefault="00F15FD7">
      <w:pPr>
        <w:tabs>
          <w:tab w:val="left" w:pos="2880"/>
        </w:tabs>
        <w:spacing w:after="0" w:line="276" w:lineRule="auto"/>
        <w:ind w:right="-244"/>
        <w:jc w:val="both"/>
        <w:rPr>
          <w:rFonts w:ascii="Times New Roman" w:hAnsi="Times New Roman" w:cs="Times New Roman"/>
          <w:iCs/>
        </w:rPr>
      </w:pPr>
    </w:p>
    <w:p w14:paraId="6C7499EC" w14:textId="77777777" w:rsidR="00F15FD7" w:rsidRDefault="00563E74">
      <w:pPr>
        <w:spacing w:line="278" w:lineRule="auto"/>
        <w:jc w:val="both"/>
        <w:rPr>
          <w:rFonts w:ascii="Times New Roman" w:hAnsi="Times New Roman" w:cs="Times New Roman"/>
        </w:rPr>
      </w:pPr>
      <w:r>
        <w:rPr>
          <w:rFonts w:ascii="Times New Roman" w:hAnsi="Times New Roman" w:cs="Times New Roman"/>
        </w:rPr>
        <w:t>Elevated proline and phenolic contents under drought stress are consistent with well-established osmotic adjustment and reactive oxygen species (ROS) scavenging mechanisms in plants. Proline accumulation plays a central role</w:t>
      </w:r>
      <w:r>
        <w:rPr>
          <w:rFonts w:ascii="Times New Roman" w:hAnsi="Times New Roman" w:cs="Times New Roman"/>
        </w:rPr>
        <w:t xml:space="preserve"> in maintaining cellular osmotic balance, stabilizing proteins and membranes, and protecting metabolic processes under water deficit conditions. Many experimental studies in </w:t>
      </w:r>
      <w:r>
        <w:rPr>
          <w:rFonts w:ascii="Times New Roman" w:hAnsi="Times New Roman" w:cs="Times New Roman"/>
          <w:i/>
          <w:iCs/>
        </w:rPr>
        <w:t>Capsicum frutescens</w:t>
      </w:r>
      <w:r>
        <w:rPr>
          <w:rFonts w:ascii="Times New Roman" w:hAnsi="Times New Roman" w:cs="Times New Roman"/>
        </w:rPr>
        <w:t xml:space="preserve"> and other crops have confirmed that drought stress significant</w:t>
      </w:r>
      <w:r>
        <w:rPr>
          <w:rFonts w:ascii="Times New Roman" w:hAnsi="Times New Roman" w:cs="Times New Roman"/>
        </w:rPr>
        <w:t xml:space="preserve">ly increases proline levels as part of adaptive osmotic regulation while simultaneously enhancing antioxidant defense responses (Sharma et al., 2012; Szabados &amp; </w:t>
      </w:r>
      <w:proofErr w:type="spellStart"/>
      <w:r>
        <w:rPr>
          <w:rFonts w:ascii="Times New Roman" w:hAnsi="Times New Roman" w:cs="Times New Roman"/>
        </w:rPr>
        <w:t>Savouré</w:t>
      </w:r>
      <w:proofErr w:type="spellEnd"/>
      <w:r>
        <w:rPr>
          <w:rFonts w:ascii="Times New Roman" w:hAnsi="Times New Roman" w:cs="Times New Roman"/>
        </w:rPr>
        <w:t>, 2010). Similarly, phenolic compounds function as key non-enzymatic antioxidants involv</w:t>
      </w:r>
      <w:r>
        <w:rPr>
          <w:rFonts w:ascii="Times New Roman" w:hAnsi="Times New Roman" w:cs="Times New Roman"/>
        </w:rPr>
        <w:t xml:space="preserve">ed in ROS detoxification and protection of cellular structures during abiotic stress. Their accumulation under drought conditions has been widely associated with improved oxidative stress tolerance and membrane stability, further reinforcing plant defense </w:t>
      </w:r>
      <w:r>
        <w:rPr>
          <w:rFonts w:ascii="Times New Roman" w:hAnsi="Times New Roman" w:cs="Times New Roman"/>
        </w:rPr>
        <w:t xml:space="preserve">capacity under water limitation (Dixon &amp; Paiva, 1995; Sharma </w:t>
      </w:r>
      <w:r>
        <w:rPr>
          <w:rFonts w:ascii="Times New Roman" w:hAnsi="Times New Roman" w:cs="Times New Roman"/>
        </w:rPr>
        <w:lastRenderedPageBreak/>
        <w:t xml:space="preserve">et al., 2012). Biochar and </w:t>
      </w:r>
      <w:r>
        <w:rPr>
          <w:rFonts w:ascii="Times New Roman" w:hAnsi="Times New Roman" w:cs="Times New Roman"/>
          <w:i/>
          <w:iCs/>
        </w:rPr>
        <w:t>Trichoderma</w:t>
      </w:r>
      <w:r>
        <w:rPr>
          <w:rFonts w:ascii="Times New Roman" w:hAnsi="Times New Roman" w:cs="Times New Roman"/>
        </w:rPr>
        <w:t xml:space="preserve"> co-application mitigated drought-induced stress responses relative to the untreated 40% field capacity (FC) treatment, indicating improved physiological res</w:t>
      </w:r>
      <w:r>
        <w:rPr>
          <w:rFonts w:ascii="Times New Roman" w:hAnsi="Times New Roman" w:cs="Times New Roman"/>
        </w:rPr>
        <w:t xml:space="preserve">ilience and enhanced ROS detoxification. This response is likely attributed to improved soil physical properties, increased water retention capacity, and microbially mediated regulation of plant metabolic activity. Synergistic effects of biochar and </w:t>
      </w:r>
      <w:r>
        <w:rPr>
          <w:rFonts w:ascii="Times New Roman" w:hAnsi="Times New Roman" w:cs="Times New Roman"/>
          <w:i/>
          <w:iCs/>
        </w:rPr>
        <w:t>Tricho</w:t>
      </w:r>
      <w:r>
        <w:rPr>
          <w:rFonts w:ascii="Times New Roman" w:hAnsi="Times New Roman" w:cs="Times New Roman"/>
          <w:i/>
          <w:iCs/>
        </w:rPr>
        <w:t>derma</w:t>
      </w:r>
      <w:r>
        <w:rPr>
          <w:rFonts w:ascii="Times New Roman" w:hAnsi="Times New Roman" w:cs="Times New Roman"/>
        </w:rPr>
        <w:t xml:space="preserve"> on antioxidant defense systems have been widely reported, with combined applications enhancing the activities of catalase (CAT), peroxidase (POD), and superoxide dismutase (SOD), while reducing oxidative stress markers and increasing phenolic accumul</w:t>
      </w:r>
      <w:r>
        <w:rPr>
          <w:rFonts w:ascii="Times New Roman" w:hAnsi="Times New Roman" w:cs="Times New Roman"/>
        </w:rPr>
        <w:t xml:space="preserve">ation compared with single amendments (Xu &amp; Mou, 2015; Pandey et al., 2016; Hashem et al., 2019; </w:t>
      </w:r>
      <w:proofErr w:type="spellStart"/>
      <w:r>
        <w:rPr>
          <w:rFonts w:ascii="Times New Roman" w:hAnsi="Times New Roman" w:cs="Times New Roman"/>
        </w:rPr>
        <w:t>Bashyal</w:t>
      </w:r>
      <w:proofErr w:type="spellEnd"/>
      <w:r>
        <w:rPr>
          <w:rFonts w:ascii="Times New Roman" w:hAnsi="Times New Roman" w:cs="Times New Roman"/>
        </w:rPr>
        <w:t xml:space="preserve"> et al., 2021). In addition, biochar alone has been shown to modulate plant stress physiology by improving soil moisture availability and nutrient reten</w:t>
      </w:r>
      <w:r>
        <w:rPr>
          <w:rFonts w:ascii="Times New Roman" w:hAnsi="Times New Roman" w:cs="Times New Roman"/>
        </w:rPr>
        <w:t>tion, thereby reducing the metabolic demand for excessive osmolyte synthesis under drought stress (Younis et al., 2016; Kamran et al., 2020). Biochar also enhances rhizosphere microbial activity and nutrient cycling, which indirectly supports antioxidant d</w:t>
      </w:r>
      <w:r>
        <w:rPr>
          <w:rFonts w:ascii="Times New Roman" w:hAnsi="Times New Roman" w:cs="Times New Roman"/>
        </w:rPr>
        <w:t xml:space="preserve">efense mechanisms and overall plant stress adaptation (Singh et al., 2021; Wu et al., 2020). Collectively, the integrated application of biochar and </w:t>
      </w:r>
      <w:r>
        <w:rPr>
          <w:rFonts w:ascii="Times New Roman" w:hAnsi="Times New Roman" w:cs="Times New Roman"/>
          <w:i/>
          <w:iCs/>
        </w:rPr>
        <w:t>Trichoderma</w:t>
      </w:r>
      <w:r>
        <w:rPr>
          <w:rFonts w:ascii="Times New Roman" w:hAnsi="Times New Roman" w:cs="Times New Roman"/>
        </w:rPr>
        <w:t xml:space="preserve"> enhances drought tolerance in pepper by promoting osmotic adjustment, improving nutrient uptake</w:t>
      </w:r>
      <w:r>
        <w:rPr>
          <w:rFonts w:ascii="Times New Roman" w:hAnsi="Times New Roman" w:cs="Times New Roman"/>
        </w:rPr>
        <w:t xml:space="preserve"> efficiency, and strengthening ROS scavenging capacity. These findings align with recent reports demonstrating that combined soil amendment strategies significantly improve physiological performance and stress tolerance in horticultural crops under water-l</w:t>
      </w:r>
      <w:r>
        <w:rPr>
          <w:rFonts w:ascii="Times New Roman" w:hAnsi="Times New Roman" w:cs="Times New Roman"/>
        </w:rPr>
        <w:t>imited conditions (Singh et al., 2021; Wu et al., 2020).</w:t>
      </w:r>
    </w:p>
    <w:p w14:paraId="5041DD95" w14:textId="77777777" w:rsidR="00F15FD7" w:rsidRDefault="00F15FD7">
      <w:pPr>
        <w:tabs>
          <w:tab w:val="left" w:pos="2880"/>
        </w:tabs>
        <w:spacing w:after="0" w:line="276" w:lineRule="auto"/>
        <w:ind w:right="-244"/>
        <w:jc w:val="both"/>
        <w:rPr>
          <w:rFonts w:ascii="Times New Roman" w:hAnsi="Times New Roman" w:cs="Times New Roman"/>
          <w:iCs/>
        </w:rPr>
      </w:pPr>
    </w:p>
    <w:p w14:paraId="09DE77DF" w14:textId="77777777" w:rsidR="00F15FD7" w:rsidRDefault="00563E74">
      <w:pPr>
        <w:spacing w:line="276" w:lineRule="auto"/>
        <w:rPr>
          <w:rFonts w:ascii="Times New Roman" w:hAnsi="Times New Roman" w:cs="Times New Roman"/>
          <w:b/>
        </w:rPr>
      </w:pPr>
      <w:r>
        <w:rPr>
          <w:rFonts w:ascii="Times New Roman" w:hAnsi="Times New Roman" w:cs="Times New Roman"/>
          <w:b/>
        </w:rPr>
        <w:t xml:space="preserve">Biochar, </w:t>
      </w:r>
      <w:proofErr w:type="spellStart"/>
      <w:r>
        <w:rPr>
          <w:rFonts w:ascii="Times New Roman" w:hAnsi="Times New Roman" w:cs="Times New Roman"/>
          <w:b/>
        </w:rPr>
        <w:t>trichodermal</w:t>
      </w:r>
      <w:proofErr w:type="spellEnd"/>
      <w:r>
        <w:rPr>
          <w:rFonts w:ascii="Times New Roman" w:hAnsi="Times New Roman" w:cs="Times New Roman"/>
          <w:b/>
        </w:rPr>
        <w:t xml:space="preserve"> inoculation and watering </w:t>
      </w:r>
      <w:proofErr w:type="gramStart"/>
      <w:r>
        <w:rPr>
          <w:rFonts w:ascii="Times New Roman" w:hAnsi="Times New Roman" w:cs="Times New Roman"/>
          <w:b/>
        </w:rPr>
        <w:t>level  effects</w:t>
      </w:r>
      <w:proofErr w:type="gramEnd"/>
      <w:r>
        <w:rPr>
          <w:rFonts w:ascii="Times New Roman" w:hAnsi="Times New Roman" w:cs="Times New Roman"/>
          <w:b/>
        </w:rPr>
        <w:t xml:space="preserve"> on soil properties</w:t>
      </w:r>
    </w:p>
    <w:p w14:paraId="36A95837" w14:textId="77777777" w:rsidR="00F15FD7" w:rsidRDefault="00563E74">
      <w:pPr>
        <w:spacing w:line="276" w:lineRule="auto"/>
        <w:jc w:val="both"/>
        <w:rPr>
          <w:rFonts w:ascii="Times New Roman" w:hAnsi="Times New Roman" w:cs="Times New Roman"/>
        </w:rPr>
      </w:pPr>
      <w:r>
        <w:rPr>
          <w:rFonts w:ascii="Times New Roman" w:hAnsi="Times New Roman" w:cs="Times New Roman"/>
        </w:rPr>
        <w:t xml:space="preserve">The physical and chemical properties of the soil under different treatment applications are presented in Tables 8a, 8b, 9a, and 9b. The results show that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significantly influenced soil physical properties, particularly bulk</w:t>
      </w:r>
      <w:r>
        <w:rPr>
          <w:rFonts w:ascii="Times New Roman" w:hAnsi="Times New Roman" w:cs="Times New Roman"/>
        </w:rPr>
        <w:t xml:space="preserve"> density, porosity, water-holding capacity (WHC), and moisture content. Soils amended with biochar or </w:t>
      </w:r>
      <w:r>
        <w:rPr>
          <w:rFonts w:ascii="Times New Roman" w:hAnsi="Times New Roman" w:cs="Times New Roman"/>
          <w:i/>
          <w:iCs/>
        </w:rPr>
        <w:t>Trichoderma</w:t>
      </w:r>
      <w:r>
        <w:rPr>
          <w:rFonts w:ascii="Times New Roman" w:hAnsi="Times New Roman" w:cs="Times New Roman"/>
        </w:rPr>
        <w:t xml:space="preserve"> generally exhibited lower bulk density (1.04–1.08 g cm⁻³) and higher porosity (32–34%) compared with drought-stressed soils, indicating improv</w:t>
      </w:r>
      <w:r>
        <w:rPr>
          <w:rFonts w:ascii="Times New Roman" w:hAnsi="Times New Roman" w:cs="Times New Roman"/>
        </w:rPr>
        <w:t xml:space="preserve">ed soil structure and aeration. Water-holding capacity was also enhanced by biochar and microbial inoculation, suggesting greater soil water retention, which is critical for mitigating drought stress in crops (Lehmann and Joseph, 2015; </w:t>
      </w:r>
      <w:proofErr w:type="spellStart"/>
      <w:r>
        <w:rPr>
          <w:rFonts w:ascii="Times New Roman" w:hAnsi="Times New Roman" w:cs="Times New Roman"/>
        </w:rPr>
        <w:t>Agegnehu</w:t>
      </w:r>
      <w:proofErr w:type="spellEnd"/>
      <w:r>
        <w:rPr>
          <w:rFonts w:ascii="Times New Roman" w:hAnsi="Times New Roman" w:cs="Times New Roman"/>
        </w:rPr>
        <w:t xml:space="preserve"> </w:t>
      </w:r>
      <w:r>
        <w:rPr>
          <w:rFonts w:ascii="Times New Roman" w:hAnsi="Times New Roman" w:cs="Times New Roman"/>
          <w:i/>
          <w:iCs/>
        </w:rPr>
        <w:t>et al.,</w:t>
      </w:r>
      <w:r>
        <w:rPr>
          <w:rFonts w:ascii="Times New Roman" w:hAnsi="Times New Roman" w:cs="Times New Roman"/>
        </w:rPr>
        <w:t xml:space="preserve"> 201</w:t>
      </w:r>
      <w:r>
        <w:rPr>
          <w:rFonts w:ascii="Times New Roman" w:hAnsi="Times New Roman" w:cs="Times New Roman"/>
        </w:rPr>
        <w:t xml:space="preserve">7). While moisture content varied across treatments, biochar- and </w:t>
      </w:r>
      <w:r>
        <w:rPr>
          <w:rFonts w:ascii="Times New Roman" w:hAnsi="Times New Roman" w:cs="Times New Roman"/>
          <w:i/>
          <w:iCs/>
        </w:rPr>
        <w:t>Trichoderma</w:t>
      </w:r>
      <w:r>
        <w:rPr>
          <w:rFonts w:ascii="Times New Roman" w:hAnsi="Times New Roman" w:cs="Times New Roman"/>
        </w:rPr>
        <w:t xml:space="preserve">-amended soils maintained relatively higher moisture levels, consistent with their known ability to improve soil water retention (Bui </w:t>
      </w:r>
      <w:r>
        <w:rPr>
          <w:rFonts w:ascii="Times New Roman" w:hAnsi="Times New Roman" w:cs="Times New Roman"/>
          <w:i/>
          <w:iCs/>
        </w:rPr>
        <w:t>et al.,</w:t>
      </w:r>
      <w:r>
        <w:rPr>
          <w:rFonts w:ascii="Times New Roman" w:hAnsi="Times New Roman" w:cs="Times New Roman"/>
        </w:rPr>
        <w:t xml:space="preserve"> 2024; Khan </w:t>
      </w:r>
      <w:r>
        <w:rPr>
          <w:rFonts w:ascii="Times New Roman" w:hAnsi="Times New Roman" w:cs="Times New Roman"/>
          <w:i/>
          <w:iCs/>
        </w:rPr>
        <w:t>et al.,</w:t>
      </w:r>
      <w:r>
        <w:rPr>
          <w:rFonts w:ascii="Times New Roman" w:hAnsi="Times New Roman" w:cs="Times New Roman"/>
        </w:rPr>
        <w:t xml:space="preserve"> 2024). The textura</w:t>
      </w:r>
      <w:r>
        <w:rPr>
          <w:rFonts w:ascii="Times New Roman" w:hAnsi="Times New Roman" w:cs="Times New Roman"/>
        </w:rPr>
        <w:t>l analysis (Table 8b) showed that all soils remained sandy loam, indicating that amendment applications did not alter soil texture but improved its functional physical properties.</w:t>
      </w:r>
    </w:p>
    <w:p w14:paraId="19AA0448" w14:textId="77777777" w:rsidR="00F15FD7" w:rsidRDefault="00563E74">
      <w:pPr>
        <w:spacing w:line="276" w:lineRule="auto"/>
        <w:jc w:val="both"/>
        <w:rPr>
          <w:rFonts w:ascii="Times New Roman" w:hAnsi="Times New Roman" w:cs="Times New Roman"/>
        </w:rPr>
      </w:pPr>
      <w:proofErr w:type="spellStart"/>
      <w:r>
        <w:rPr>
          <w:rFonts w:ascii="Times New Roman" w:hAnsi="Times New Roman" w:cs="Times New Roman"/>
        </w:rPr>
        <w:t>Teratment</w:t>
      </w:r>
      <w:proofErr w:type="spellEnd"/>
      <w:r>
        <w:rPr>
          <w:rFonts w:ascii="Times New Roman" w:hAnsi="Times New Roman" w:cs="Times New Roman"/>
        </w:rPr>
        <w:t xml:space="preserve"> effects on </w:t>
      </w:r>
      <w:proofErr w:type="gramStart"/>
      <w:r>
        <w:rPr>
          <w:rFonts w:ascii="Times New Roman" w:hAnsi="Times New Roman" w:cs="Times New Roman"/>
        </w:rPr>
        <w:t>soil  chemical</w:t>
      </w:r>
      <w:proofErr w:type="gramEnd"/>
      <w:r>
        <w:rPr>
          <w:rFonts w:ascii="Times New Roman" w:hAnsi="Times New Roman" w:cs="Times New Roman"/>
        </w:rPr>
        <w:t xml:space="preserve"> properties presented in Tables 9a and b </w:t>
      </w:r>
      <w:r>
        <w:rPr>
          <w:rFonts w:ascii="Times New Roman" w:hAnsi="Times New Roman" w:cs="Times New Roman"/>
        </w:rPr>
        <w:t xml:space="preserve">showed that application of biochar and </w:t>
      </w:r>
      <w:r>
        <w:rPr>
          <w:rFonts w:ascii="Times New Roman" w:hAnsi="Times New Roman" w:cs="Times New Roman"/>
          <w:i/>
          <w:iCs/>
        </w:rPr>
        <w:t>Trichoderma</w:t>
      </w:r>
      <w:r>
        <w:rPr>
          <w:rFonts w:ascii="Times New Roman" w:hAnsi="Times New Roman" w:cs="Times New Roman"/>
        </w:rPr>
        <w:t xml:space="preserve"> slightly increased soil pH (7.4–7.8) and cation exchange capacity (13–14 </w:t>
      </w:r>
      <w:proofErr w:type="spellStart"/>
      <w:r>
        <w:rPr>
          <w:rFonts w:ascii="Times New Roman" w:hAnsi="Times New Roman" w:cs="Times New Roman"/>
        </w:rPr>
        <w:t>cmol</w:t>
      </w:r>
      <w:proofErr w:type="spellEnd"/>
      <w:r>
        <w:rPr>
          <w:rFonts w:ascii="Times New Roman" w:hAnsi="Times New Roman" w:cs="Times New Roman"/>
        </w:rPr>
        <w:t xml:space="preserve">/kg), enhancing the soil’s ability to retain essential nutrients. Organic matter and organic carbon levels were slightly higher </w:t>
      </w:r>
      <w:r>
        <w:rPr>
          <w:rFonts w:ascii="Times New Roman" w:hAnsi="Times New Roman" w:cs="Times New Roman"/>
        </w:rPr>
        <w:t xml:space="preserve">in amended soils, reflecting the contribution of biochar as a stable carbon source (Hossain </w:t>
      </w:r>
      <w:r>
        <w:rPr>
          <w:rFonts w:ascii="Times New Roman" w:hAnsi="Times New Roman" w:cs="Times New Roman"/>
          <w:i/>
          <w:iCs/>
        </w:rPr>
        <w:t>et al.,</w:t>
      </w:r>
      <w:r>
        <w:rPr>
          <w:rFonts w:ascii="Times New Roman" w:hAnsi="Times New Roman" w:cs="Times New Roman"/>
        </w:rPr>
        <w:t xml:space="preserve"> 2020). Macronutrient analysis showed moderate improvements in total nitrogen, phosphorus, potassium, calcium, and magnesium in treated soils, particularly i</w:t>
      </w:r>
      <w:r>
        <w:rPr>
          <w:rFonts w:ascii="Times New Roman" w:hAnsi="Times New Roman" w:cs="Times New Roman"/>
        </w:rPr>
        <w:t xml:space="preserve">n biochar- or </w:t>
      </w:r>
      <w:r>
        <w:rPr>
          <w:rFonts w:ascii="Times New Roman" w:hAnsi="Times New Roman" w:cs="Times New Roman"/>
          <w:i/>
          <w:iCs/>
        </w:rPr>
        <w:t>Trichoderma</w:t>
      </w:r>
      <w:r>
        <w:rPr>
          <w:rFonts w:ascii="Times New Roman" w:hAnsi="Times New Roman" w:cs="Times New Roman"/>
        </w:rPr>
        <w:t>-amended soils, while sodium remained low. These results suggest that amendments improved nutrient availability without causing salinity issues. The enhanced CEC and nutrient retention are consistent with previous reports that bioc</w:t>
      </w:r>
      <w:r>
        <w:rPr>
          <w:rFonts w:ascii="Times New Roman" w:hAnsi="Times New Roman" w:cs="Times New Roman"/>
        </w:rPr>
        <w:t xml:space="preserve">har and beneficial microbes improve soil fertility and facilitate sustainable crop production under water-limited conditions (Sharma </w:t>
      </w:r>
      <w:r>
        <w:rPr>
          <w:rFonts w:ascii="Times New Roman" w:hAnsi="Times New Roman" w:cs="Times New Roman"/>
          <w:i/>
          <w:iCs/>
        </w:rPr>
        <w:t>et al.,</w:t>
      </w:r>
      <w:r>
        <w:rPr>
          <w:rFonts w:ascii="Times New Roman" w:hAnsi="Times New Roman" w:cs="Times New Roman"/>
        </w:rPr>
        <w:t xml:space="preserve"> 2023; Bui </w:t>
      </w:r>
      <w:r>
        <w:rPr>
          <w:rFonts w:ascii="Times New Roman" w:hAnsi="Times New Roman" w:cs="Times New Roman"/>
          <w:i/>
          <w:iCs/>
        </w:rPr>
        <w:t>et al.,</w:t>
      </w:r>
      <w:r>
        <w:rPr>
          <w:rFonts w:ascii="Times New Roman" w:hAnsi="Times New Roman" w:cs="Times New Roman"/>
        </w:rPr>
        <w:t xml:space="preserve"> 2024). Overall, the data indicate that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improve soil physical an</w:t>
      </w:r>
      <w:r>
        <w:rPr>
          <w:rFonts w:ascii="Times New Roman" w:hAnsi="Times New Roman" w:cs="Times New Roman"/>
        </w:rPr>
        <w:t>d chemical properties, enhancing water-holding capacity, nutrient retention, and soil structural quality, thereby providing a more favorable environment for plant growth under drought stress.</w:t>
      </w:r>
    </w:p>
    <w:p w14:paraId="2A7310E1" w14:textId="77777777" w:rsidR="00F15FD7" w:rsidRDefault="00563E74">
      <w:pPr>
        <w:spacing w:line="276" w:lineRule="auto"/>
        <w:jc w:val="both"/>
        <w:rPr>
          <w:rFonts w:ascii="Times New Roman" w:hAnsi="Times New Roman" w:cs="Times New Roman"/>
          <w:b/>
          <w:bCs/>
          <w:i/>
          <w:iCs/>
        </w:rPr>
      </w:pPr>
      <w:r>
        <w:rPr>
          <w:rFonts w:ascii="Times New Roman" w:hAnsi="Times New Roman" w:cs="Times New Roman"/>
          <w:b/>
          <w:bCs/>
          <w:i/>
          <w:iCs/>
        </w:rPr>
        <w:t>Conclusions</w:t>
      </w:r>
    </w:p>
    <w:p w14:paraId="1B5B4F99" w14:textId="77777777" w:rsidR="00F15FD7" w:rsidRDefault="00563E74">
      <w:pPr>
        <w:spacing w:line="276" w:lineRule="auto"/>
        <w:jc w:val="both"/>
        <w:rPr>
          <w:rFonts w:ascii="Times New Roman" w:hAnsi="Times New Roman" w:cs="Times New Roman"/>
        </w:rPr>
      </w:pPr>
      <w:r>
        <w:rPr>
          <w:rFonts w:ascii="Times New Roman" w:hAnsi="Times New Roman" w:cs="Times New Roman"/>
        </w:rPr>
        <w:lastRenderedPageBreak/>
        <w:t xml:space="preserve">This study demonstrated that the application of biochar and </w:t>
      </w:r>
      <w:r>
        <w:rPr>
          <w:rFonts w:ascii="Times New Roman" w:hAnsi="Times New Roman" w:cs="Times New Roman"/>
          <w:i/>
          <w:iCs/>
        </w:rPr>
        <w:t xml:space="preserve">Trichoderma </w:t>
      </w:r>
      <w:proofErr w:type="spellStart"/>
      <w:r>
        <w:rPr>
          <w:rFonts w:ascii="Times New Roman" w:hAnsi="Times New Roman" w:cs="Times New Roman"/>
          <w:i/>
          <w:iCs/>
        </w:rPr>
        <w:t>harzianum</w:t>
      </w:r>
      <w:proofErr w:type="spellEnd"/>
      <w:r>
        <w:rPr>
          <w:rFonts w:ascii="Times New Roman" w:hAnsi="Times New Roman" w:cs="Times New Roman"/>
        </w:rPr>
        <w:t xml:space="preserve"> significantly improved the growth, biomass production, and yield of </w:t>
      </w:r>
      <w:r>
        <w:rPr>
          <w:rFonts w:ascii="Times New Roman" w:hAnsi="Times New Roman" w:cs="Times New Roman"/>
          <w:i/>
          <w:iCs/>
        </w:rPr>
        <w:t xml:space="preserve">Capsicum </w:t>
      </w:r>
      <w:proofErr w:type="spellStart"/>
      <w:r>
        <w:rPr>
          <w:rFonts w:ascii="Times New Roman" w:hAnsi="Times New Roman" w:cs="Times New Roman"/>
          <w:i/>
          <w:iCs/>
        </w:rPr>
        <w:t>chinense</w:t>
      </w:r>
      <w:proofErr w:type="spellEnd"/>
      <w:r>
        <w:rPr>
          <w:rFonts w:ascii="Times New Roman" w:hAnsi="Times New Roman" w:cs="Times New Roman"/>
        </w:rPr>
        <w:t xml:space="preserve"> under different watering regimes. The combined application of biochar and </w:t>
      </w:r>
      <w:r>
        <w:rPr>
          <w:rFonts w:ascii="Times New Roman" w:hAnsi="Times New Roman" w:cs="Times New Roman"/>
          <w:i/>
          <w:iCs/>
        </w:rPr>
        <w:t>Trichoderma</w:t>
      </w:r>
      <w:r>
        <w:rPr>
          <w:rFonts w:ascii="Times New Roman" w:hAnsi="Times New Roman" w:cs="Times New Roman"/>
        </w:rPr>
        <w:t xml:space="preserve"> pr</w:t>
      </w:r>
      <w:r>
        <w:rPr>
          <w:rFonts w:ascii="Times New Roman" w:hAnsi="Times New Roman" w:cs="Times New Roman"/>
        </w:rPr>
        <w:t xml:space="preserve">oduced the best overall performance, particularly under 100% and 60% field capacity. Plants subjected to severe water deficit (40% field capacity) showed reduced growth and productivity; however, the presence of biochar and </w:t>
      </w:r>
      <w:r>
        <w:rPr>
          <w:rFonts w:ascii="Times New Roman" w:hAnsi="Times New Roman" w:cs="Times New Roman"/>
          <w:i/>
          <w:iCs/>
        </w:rPr>
        <w:t>Trichoderma</w:t>
      </w:r>
      <w:r>
        <w:rPr>
          <w:rFonts w:ascii="Times New Roman" w:hAnsi="Times New Roman" w:cs="Times New Roman"/>
        </w:rPr>
        <w:t xml:space="preserve"> mitigated some of th</w:t>
      </w:r>
      <w:r>
        <w:rPr>
          <w:rFonts w:ascii="Times New Roman" w:hAnsi="Times New Roman" w:cs="Times New Roman"/>
        </w:rPr>
        <w:t>e negative effects of water stress.</w:t>
      </w:r>
    </w:p>
    <w:p w14:paraId="19095B7A" w14:textId="77777777" w:rsidR="00F15FD7" w:rsidRDefault="00563E74">
      <w:pPr>
        <w:spacing w:line="276" w:lineRule="auto"/>
        <w:jc w:val="both"/>
        <w:rPr>
          <w:rFonts w:ascii="Times New Roman" w:hAnsi="Times New Roman" w:cs="Times New Roman"/>
        </w:rPr>
      </w:pPr>
      <w:r>
        <w:rPr>
          <w:rFonts w:ascii="Times New Roman" w:hAnsi="Times New Roman" w:cs="Times New Roman"/>
        </w:rPr>
        <w:t>The improved performance of pepper plants under combined treatments may be attributed to enhanced soil physicochemical properties, improved water retention, better nutrient availability, and the plant growth-promoting ef</w:t>
      </w:r>
      <w:r>
        <w:rPr>
          <w:rFonts w:ascii="Times New Roman" w:hAnsi="Times New Roman" w:cs="Times New Roman"/>
        </w:rPr>
        <w:t xml:space="preserve">fects of </w:t>
      </w:r>
      <w:r>
        <w:rPr>
          <w:rFonts w:ascii="Times New Roman" w:hAnsi="Times New Roman" w:cs="Times New Roman"/>
          <w:i/>
          <w:iCs/>
        </w:rPr>
        <w:t>Trichoderma</w:t>
      </w:r>
      <w:r>
        <w:rPr>
          <w:rFonts w:ascii="Times New Roman" w:hAnsi="Times New Roman" w:cs="Times New Roman"/>
        </w:rPr>
        <w:t>. These results highlight the potential of integrating biochar and beneficial microbial inoculants as a sustainable strategy for improving pepper production under water-limited conditions.</w:t>
      </w:r>
    </w:p>
    <w:p w14:paraId="13398184" w14:textId="77777777" w:rsidR="00532B5E" w:rsidRDefault="00532B5E">
      <w:pPr>
        <w:spacing w:line="276" w:lineRule="auto"/>
        <w:jc w:val="both"/>
        <w:rPr>
          <w:rFonts w:ascii="Times New Roman" w:hAnsi="Times New Roman" w:cs="Times New Roman"/>
        </w:rPr>
      </w:pPr>
    </w:p>
    <w:p w14:paraId="13B15260" w14:textId="77777777" w:rsidR="00532B5E" w:rsidRPr="00532B5E" w:rsidRDefault="00532B5E" w:rsidP="00532B5E">
      <w:pPr>
        <w:spacing w:line="276" w:lineRule="auto"/>
        <w:jc w:val="both"/>
        <w:rPr>
          <w:rFonts w:ascii="Times New Roman" w:hAnsi="Times New Roman" w:cs="Times New Roman"/>
        </w:rPr>
      </w:pPr>
      <w:r w:rsidRPr="00532B5E">
        <w:rPr>
          <w:rFonts w:ascii="Times New Roman" w:hAnsi="Times New Roman" w:cs="Times New Roman"/>
        </w:rPr>
        <w:t>COMPETING INTERESTS DISCLAIMER:</w:t>
      </w:r>
    </w:p>
    <w:p w14:paraId="14052055" w14:textId="14B1EFB7" w:rsidR="00532B5E" w:rsidRDefault="00532B5E" w:rsidP="00532B5E">
      <w:pPr>
        <w:spacing w:line="276" w:lineRule="auto"/>
        <w:jc w:val="both"/>
        <w:rPr>
          <w:rFonts w:ascii="Times New Roman" w:hAnsi="Times New Roman" w:cs="Times New Roman"/>
        </w:rPr>
      </w:pPr>
      <w:r w:rsidRPr="00532B5E">
        <w:rPr>
          <w:rFonts w:ascii="Times New Roman" w:hAnsi="Times New Roman" w:cs="Times New Roman"/>
        </w:rPr>
        <w:t>Authors have declared that they have no known competing financial interests OR non-financial interests OR personal relationships that could have appeared to influence the work reported in this paper.</w:t>
      </w:r>
    </w:p>
    <w:p w14:paraId="1DF9BE10" w14:textId="77777777" w:rsidR="00532B5E" w:rsidRDefault="00532B5E">
      <w:pPr>
        <w:spacing w:line="276" w:lineRule="auto"/>
        <w:jc w:val="both"/>
        <w:rPr>
          <w:rFonts w:ascii="Times New Roman" w:hAnsi="Times New Roman" w:cs="Times New Roman"/>
        </w:rPr>
      </w:pPr>
    </w:p>
    <w:p w14:paraId="17072852" w14:textId="77777777" w:rsidR="00F15FD7" w:rsidRDefault="00563E74">
      <w:pPr>
        <w:spacing w:line="276" w:lineRule="auto"/>
        <w:jc w:val="both"/>
        <w:rPr>
          <w:rFonts w:ascii="Times New Roman" w:hAnsi="Times New Roman" w:cs="Times New Roman"/>
          <w:b/>
          <w:bCs/>
          <w:lang w:val="en-GB"/>
        </w:rPr>
      </w:pPr>
      <w:r>
        <w:rPr>
          <w:rFonts w:ascii="Times New Roman" w:hAnsi="Times New Roman" w:cs="Times New Roman"/>
          <w:b/>
          <w:bCs/>
          <w:lang w:val="en-GB"/>
        </w:rPr>
        <w:t>References</w:t>
      </w:r>
    </w:p>
    <w:p w14:paraId="08A292D5" w14:textId="77777777" w:rsidR="00F15FD7" w:rsidRDefault="00563E74">
      <w:pPr>
        <w:pStyle w:val="ListParagraph"/>
        <w:numPr>
          <w:ilvl w:val="0"/>
          <w:numId w:val="3"/>
        </w:numPr>
        <w:spacing w:after="0"/>
        <w:jc w:val="both"/>
        <w:rPr>
          <w:rFonts w:cs="Times New Roman"/>
        </w:rPr>
      </w:pPr>
      <w:proofErr w:type="spellStart"/>
      <w:r>
        <w:rPr>
          <w:rFonts w:cs="Times New Roman"/>
        </w:rPr>
        <w:t>Agegnehu</w:t>
      </w:r>
      <w:proofErr w:type="spellEnd"/>
      <w:r>
        <w:rPr>
          <w:rFonts w:cs="Times New Roman"/>
        </w:rPr>
        <w:t>, G., Jemal, K., Abebe, A., &amp; Lulie, B. (2019). Pl</w:t>
      </w:r>
      <w:r>
        <w:rPr>
          <w:rFonts w:cs="Times New Roman"/>
        </w:rPr>
        <w:t>ant growth and oil yield response of lemon grass (</w:t>
      </w:r>
      <w:r>
        <w:rPr>
          <w:rFonts w:cs="Times New Roman"/>
          <w:i/>
          <w:iCs/>
        </w:rPr>
        <w:t xml:space="preserve">Cymbopogon </w:t>
      </w:r>
      <w:proofErr w:type="spellStart"/>
      <w:r>
        <w:rPr>
          <w:rFonts w:cs="Times New Roman"/>
          <w:i/>
          <w:iCs/>
        </w:rPr>
        <w:t>citratus</w:t>
      </w:r>
      <w:proofErr w:type="spellEnd"/>
      <w:r>
        <w:rPr>
          <w:rFonts w:cs="Times New Roman"/>
        </w:rPr>
        <w:t xml:space="preserve"> L.) to biochar application. </w:t>
      </w:r>
      <w:r>
        <w:rPr>
          <w:rFonts w:cs="Times New Roman"/>
          <w:i/>
          <w:iCs/>
        </w:rPr>
        <w:t>Ethiopian Journal of Agricultural Sciences, 29</w:t>
      </w:r>
      <w:r>
        <w:rPr>
          <w:rFonts w:cs="Times New Roman"/>
        </w:rPr>
        <w:t>(3), 1–12.</w:t>
      </w:r>
    </w:p>
    <w:p w14:paraId="5FE79BF7" w14:textId="77777777" w:rsidR="00F15FD7" w:rsidRDefault="00563E74">
      <w:pPr>
        <w:pStyle w:val="ListParagraph"/>
        <w:numPr>
          <w:ilvl w:val="0"/>
          <w:numId w:val="3"/>
        </w:numPr>
        <w:spacing w:after="0"/>
        <w:jc w:val="both"/>
        <w:rPr>
          <w:rFonts w:cs="Times New Roman"/>
        </w:rPr>
      </w:pPr>
      <w:r>
        <w:rPr>
          <w:rFonts w:cs="Times New Roman"/>
        </w:rPr>
        <w:t>Akpan, E. A., Akpan, A. S., &amp; Essien, O. A. (2023). Effect of decapitation on the growth and yield of</w:t>
      </w:r>
      <w:r>
        <w:rPr>
          <w:rFonts w:cs="Times New Roman"/>
        </w:rPr>
        <w:t xml:space="preserve"> pepper (</w:t>
      </w:r>
      <w:r>
        <w:rPr>
          <w:rFonts w:cs="Times New Roman"/>
          <w:i/>
          <w:iCs/>
        </w:rPr>
        <w:t>Capsicum annuum</w:t>
      </w:r>
      <w:r>
        <w:rPr>
          <w:rFonts w:cs="Times New Roman"/>
        </w:rPr>
        <w:t xml:space="preserve"> L.) in Obio Akpa, Akwa Ibom State. </w:t>
      </w:r>
      <w:r>
        <w:rPr>
          <w:rFonts w:cs="Times New Roman"/>
          <w:i/>
          <w:iCs/>
        </w:rPr>
        <w:t>AKSU Journal of Agriculture and Food Science, 7</w:t>
      </w:r>
      <w:r>
        <w:rPr>
          <w:rFonts w:cs="Times New Roman"/>
        </w:rPr>
        <w:t>(1), 9–21.</w:t>
      </w:r>
    </w:p>
    <w:p w14:paraId="53574179" w14:textId="77777777" w:rsidR="00F15FD7" w:rsidRDefault="00563E74">
      <w:pPr>
        <w:pStyle w:val="ListParagraph"/>
        <w:numPr>
          <w:ilvl w:val="0"/>
          <w:numId w:val="3"/>
        </w:numPr>
        <w:spacing w:after="0"/>
        <w:jc w:val="both"/>
        <w:rPr>
          <w:rFonts w:cs="Times New Roman"/>
        </w:rPr>
      </w:pPr>
      <w:r>
        <w:rPr>
          <w:rFonts w:cs="Times New Roman"/>
        </w:rPr>
        <w:t xml:space="preserve">AOAC. (1990). </w:t>
      </w:r>
      <w:r>
        <w:rPr>
          <w:rFonts w:cs="Times New Roman"/>
          <w:i/>
          <w:iCs/>
        </w:rPr>
        <w:t>Official methods of analysis of the Association of Official Analytical Chemists</w:t>
      </w:r>
      <w:r>
        <w:rPr>
          <w:rFonts w:cs="Times New Roman"/>
        </w:rPr>
        <w:t xml:space="preserve"> (15th ed., Vol. II, Sec. 985.29). Arlington,</w:t>
      </w:r>
      <w:r>
        <w:rPr>
          <w:rFonts w:cs="Times New Roman"/>
        </w:rPr>
        <w:t xml:space="preserve"> VA: Association of Official Analytical Chemists.</w:t>
      </w:r>
    </w:p>
    <w:p w14:paraId="5577AAA1" w14:textId="77777777" w:rsidR="00F15FD7" w:rsidRDefault="00563E74">
      <w:pPr>
        <w:pStyle w:val="ListParagraph"/>
        <w:numPr>
          <w:ilvl w:val="0"/>
          <w:numId w:val="3"/>
        </w:numPr>
        <w:spacing w:after="0"/>
        <w:jc w:val="both"/>
        <w:rPr>
          <w:rFonts w:cs="Times New Roman"/>
        </w:rPr>
      </w:pPr>
      <w:r>
        <w:rPr>
          <w:rFonts w:cs="Times New Roman"/>
        </w:rPr>
        <w:t xml:space="preserve">Arnon, D. I. (1949). Copper enzymes in isolated chloroplasts: Polyphenol oxidase in </w:t>
      </w:r>
      <w:r>
        <w:rPr>
          <w:rFonts w:cs="Times New Roman"/>
          <w:i/>
          <w:iCs/>
        </w:rPr>
        <w:t>Beta vulgaris</w:t>
      </w:r>
      <w:r>
        <w:rPr>
          <w:rFonts w:cs="Times New Roman"/>
        </w:rPr>
        <w:t xml:space="preserve">. </w:t>
      </w:r>
      <w:r>
        <w:rPr>
          <w:rFonts w:cs="Times New Roman"/>
          <w:i/>
          <w:iCs/>
        </w:rPr>
        <w:t>Plant Physiology, 24</w:t>
      </w:r>
      <w:r>
        <w:rPr>
          <w:rFonts w:cs="Times New Roman"/>
        </w:rPr>
        <w:t>(1), 1–15.</w:t>
      </w:r>
    </w:p>
    <w:p w14:paraId="6AD9BD00" w14:textId="77777777" w:rsidR="00F15FD7" w:rsidRDefault="00563E74">
      <w:pPr>
        <w:pStyle w:val="ListParagraph"/>
        <w:numPr>
          <w:ilvl w:val="0"/>
          <w:numId w:val="3"/>
        </w:numPr>
        <w:spacing w:after="0"/>
        <w:jc w:val="both"/>
        <w:rPr>
          <w:rFonts w:cs="Times New Roman"/>
        </w:rPr>
      </w:pPr>
      <w:r>
        <w:rPr>
          <w:rFonts w:cs="Times New Roman"/>
        </w:rPr>
        <w:t xml:space="preserve">Bates, L. S., Waldren, R. P., &amp; Teare, I. D. (1973). Rapid determination of </w:t>
      </w:r>
      <w:r>
        <w:rPr>
          <w:rFonts w:cs="Times New Roman"/>
        </w:rPr>
        <w:t xml:space="preserve">free proline for water-stress studies. </w:t>
      </w:r>
      <w:r>
        <w:rPr>
          <w:rFonts w:cs="Times New Roman"/>
          <w:i/>
          <w:iCs/>
        </w:rPr>
        <w:t>Plant and Soil, 39</w:t>
      </w:r>
      <w:r>
        <w:rPr>
          <w:rFonts w:cs="Times New Roman"/>
        </w:rPr>
        <w:t>, 205–207.</w:t>
      </w:r>
    </w:p>
    <w:p w14:paraId="3E349306" w14:textId="77777777" w:rsidR="00F15FD7" w:rsidRDefault="00563E74">
      <w:pPr>
        <w:pStyle w:val="ListParagraph"/>
        <w:numPr>
          <w:ilvl w:val="0"/>
          <w:numId w:val="3"/>
        </w:numPr>
        <w:spacing w:after="0"/>
        <w:jc w:val="both"/>
        <w:rPr>
          <w:rFonts w:cs="Times New Roman"/>
        </w:rPr>
      </w:pPr>
      <w:r>
        <w:rPr>
          <w:rFonts w:cs="Times New Roman"/>
        </w:rPr>
        <w:t xml:space="preserve">Blanco-Canqui, H. (2017). Biochar and soil physical properties. </w:t>
      </w:r>
      <w:r>
        <w:rPr>
          <w:rFonts w:cs="Times New Roman"/>
          <w:i/>
          <w:iCs/>
        </w:rPr>
        <w:t>Soil Science Society of America Journal, 81</w:t>
      </w:r>
      <w:r>
        <w:rPr>
          <w:rFonts w:cs="Times New Roman"/>
        </w:rPr>
        <w:t>(4), 687–711.</w:t>
      </w:r>
    </w:p>
    <w:p w14:paraId="01F927EC" w14:textId="77777777" w:rsidR="00F15FD7" w:rsidRDefault="00563E74">
      <w:pPr>
        <w:pStyle w:val="ListParagraph"/>
        <w:numPr>
          <w:ilvl w:val="0"/>
          <w:numId w:val="3"/>
        </w:numPr>
        <w:spacing w:after="0"/>
        <w:jc w:val="both"/>
        <w:rPr>
          <w:rFonts w:cs="Times New Roman"/>
        </w:rPr>
      </w:pPr>
      <w:r>
        <w:rPr>
          <w:rFonts w:cs="Times New Roman"/>
        </w:rPr>
        <w:t xml:space="preserve">Bohara, H., </w:t>
      </w:r>
      <w:proofErr w:type="spellStart"/>
      <w:r>
        <w:rPr>
          <w:rFonts w:cs="Times New Roman"/>
        </w:rPr>
        <w:t>Dodla</w:t>
      </w:r>
      <w:proofErr w:type="spellEnd"/>
      <w:r>
        <w:rPr>
          <w:rFonts w:cs="Times New Roman"/>
        </w:rPr>
        <w:t xml:space="preserve">, S., Wang, J. J., </w:t>
      </w:r>
      <w:proofErr w:type="spellStart"/>
      <w:r>
        <w:rPr>
          <w:rFonts w:cs="Times New Roman"/>
        </w:rPr>
        <w:t>Darapuneni</w:t>
      </w:r>
      <w:proofErr w:type="spellEnd"/>
      <w:r>
        <w:rPr>
          <w:rFonts w:cs="Times New Roman"/>
        </w:rPr>
        <w:t>, M., Acharya, B. S.,</w:t>
      </w:r>
      <w:r>
        <w:rPr>
          <w:rFonts w:cs="Times New Roman"/>
        </w:rPr>
        <w:t xml:space="preserve"> Magdi, S., &amp; Pavuluri, K. (2019). Influence of poultry litter and biochar on soil water dynamics and nutrient leaching from a very fine sandy loam soil. </w:t>
      </w:r>
      <w:r>
        <w:rPr>
          <w:rFonts w:cs="Times New Roman"/>
          <w:i/>
          <w:iCs/>
        </w:rPr>
        <w:t>Soil Tillage Research, 189</w:t>
      </w:r>
      <w:r>
        <w:rPr>
          <w:rFonts w:cs="Times New Roman"/>
        </w:rPr>
        <w:t>, 44–51.</w:t>
      </w:r>
    </w:p>
    <w:p w14:paraId="4E7D3AF0" w14:textId="77777777" w:rsidR="00F15FD7" w:rsidRDefault="00563E74">
      <w:pPr>
        <w:pStyle w:val="ListParagraph"/>
        <w:numPr>
          <w:ilvl w:val="0"/>
          <w:numId w:val="3"/>
        </w:numPr>
        <w:spacing w:after="0"/>
        <w:jc w:val="both"/>
        <w:rPr>
          <w:rFonts w:cs="Times New Roman"/>
        </w:rPr>
      </w:pPr>
      <w:proofErr w:type="spellStart"/>
      <w:r>
        <w:rPr>
          <w:rFonts w:cs="Times New Roman"/>
        </w:rPr>
        <w:t>Bouyoucos</w:t>
      </w:r>
      <w:proofErr w:type="spellEnd"/>
      <w:r>
        <w:rPr>
          <w:rFonts w:cs="Times New Roman"/>
        </w:rPr>
        <w:t>, G. J. (1962). Hydrometer method improved for making part</w:t>
      </w:r>
      <w:r>
        <w:rPr>
          <w:rFonts w:cs="Times New Roman"/>
        </w:rPr>
        <w:t xml:space="preserve">icle size analyses of soils. </w:t>
      </w:r>
      <w:r>
        <w:rPr>
          <w:rFonts w:cs="Times New Roman"/>
          <w:i/>
          <w:iCs/>
        </w:rPr>
        <w:t>Agronomy Journal, 54</w:t>
      </w:r>
      <w:r>
        <w:rPr>
          <w:rFonts w:cs="Times New Roman"/>
        </w:rPr>
        <w:t>(5), 464–465.</w:t>
      </w:r>
    </w:p>
    <w:p w14:paraId="354AD77E" w14:textId="77777777" w:rsidR="00F15FD7" w:rsidRDefault="00563E74">
      <w:pPr>
        <w:pStyle w:val="ListParagraph"/>
        <w:numPr>
          <w:ilvl w:val="0"/>
          <w:numId w:val="3"/>
        </w:numPr>
        <w:spacing w:after="0"/>
        <w:jc w:val="both"/>
        <w:rPr>
          <w:rFonts w:cs="Times New Roman"/>
        </w:rPr>
      </w:pPr>
      <w:r>
        <w:rPr>
          <w:rFonts w:cs="Times New Roman"/>
        </w:rPr>
        <w:t xml:space="preserve">Downie, A. (2011). </w:t>
      </w:r>
      <w:r>
        <w:rPr>
          <w:rFonts w:cs="Times New Roman"/>
          <w:i/>
          <w:iCs/>
        </w:rPr>
        <w:t>Biochar production and use: Environmental risks and rewards</w:t>
      </w:r>
      <w:r>
        <w:rPr>
          <w:rFonts w:cs="Times New Roman"/>
        </w:rPr>
        <w:t>. University of South Wales.</w:t>
      </w:r>
    </w:p>
    <w:p w14:paraId="1339C023" w14:textId="77777777" w:rsidR="00F15FD7" w:rsidRDefault="00563E74">
      <w:pPr>
        <w:pStyle w:val="ListParagraph"/>
        <w:numPr>
          <w:ilvl w:val="0"/>
          <w:numId w:val="3"/>
        </w:numPr>
        <w:spacing w:after="0"/>
        <w:jc w:val="both"/>
        <w:rPr>
          <w:rFonts w:cs="Times New Roman"/>
        </w:rPr>
      </w:pPr>
      <w:r>
        <w:rPr>
          <w:rFonts w:cs="Times New Roman"/>
        </w:rPr>
        <w:t xml:space="preserve">Elad, Y., Chet, I., &amp; </w:t>
      </w:r>
      <w:proofErr w:type="spellStart"/>
      <w:r>
        <w:rPr>
          <w:rFonts w:cs="Times New Roman"/>
        </w:rPr>
        <w:t>Henis</w:t>
      </w:r>
      <w:proofErr w:type="spellEnd"/>
      <w:r>
        <w:rPr>
          <w:rFonts w:cs="Times New Roman"/>
        </w:rPr>
        <w:t xml:space="preserve">, Y. (1981). A selective medium for improving quantitative isolation of </w:t>
      </w:r>
      <w:r>
        <w:rPr>
          <w:rFonts w:cs="Times New Roman"/>
          <w:i/>
          <w:iCs/>
        </w:rPr>
        <w:t>Trichoderma</w:t>
      </w:r>
      <w:r>
        <w:rPr>
          <w:rFonts w:cs="Times New Roman"/>
        </w:rPr>
        <w:t xml:space="preserve"> spp. from soil. </w:t>
      </w:r>
      <w:proofErr w:type="spellStart"/>
      <w:r>
        <w:rPr>
          <w:rFonts w:cs="Times New Roman"/>
          <w:i/>
          <w:iCs/>
        </w:rPr>
        <w:t>Phytoparasitica</w:t>
      </w:r>
      <w:proofErr w:type="spellEnd"/>
      <w:r>
        <w:rPr>
          <w:rFonts w:cs="Times New Roman"/>
          <w:i/>
          <w:iCs/>
        </w:rPr>
        <w:t>, 9</w:t>
      </w:r>
      <w:r>
        <w:rPr>
          <w:rFonts w:cs="Times New Roman"/>
        </w:rPr>
        <w:t>(1), 59–67.</w:t>
      </w:r>
    </w:p>
    <w:p w14:paraId="298CBD82" w14:textId="77777777" w:rsidR="00F15FD7" w:rsidRDefault="00563E74">
      <w:pPr>
        <w:pStyle w:val="ListParagraph"/>
        <w:numPr>
          <w:ilvl w:val="0"/>
          <w:numId w:val="3"/>
        </w:numPr>
        <w:spacing w:after="0"/>
        <w:jc w:val="both"/>
        <w:rPr>
          <w:rFonts w:cs="Times New Roman"/>
        </w:rPr>
      </w:pPr>
      <w:r>
        <w:rPr>
          <w:rFonts w:cs="Times New Roman"/>
        </w:rPr>
        <w:lastRenderedPageBreak/>
        <w:t xml:space="preserve">FAO. (2020). </w:t>
      </w:r>
      <w:r>
        <w:rPr>
          <w:rFonts w:cs="Times New Roman"/>
          <w:i/>
          <w:iCs/>
        </w:rPr>
        <w:t>Food and Agriculture Organization database 2020</w:t>
      </w:r>
      <w:r>
        <w:rPr>
          <w:rFonts w:cs="Times New Roman"/>
        </w:rPr>
        <w:t>. Rome, Italy: FAO.</w:t>
      </w:r>
    </w:p>
    <w:p w14:paraId="174EDFF2" w14:textId="77777777" w:rsidR="00F15FD7" w:rsidRDefault="00563E74">
      <w:pPr>
        <w:pStyle w:val="ListParagraph"/>
        <w:numPr>
          <w:ilvl w:val="0"/>
          <w:numId w:val="3"/>
        </w:numPr>
        <w:spacing w:after="0"/>
        <w:jc w:val="both"/>
        <w:rPr>
          <w:rFonts w:cs="Times New Roman"/>
        </w:rPr>
      </w:pPr>
      <w:proofErr w:type="spellStart"/>
      <w:r>
        <w:rPr>
          <w:rFonts w:cs="Times New Roman"/>
        </w:rPr>
        <w:t>Giannopolitis</w:t>
      </w:r>
      <w:proofErr w:type="spellEnd"/>
      <w:r>
        <w:rPr>
          <w:rFonts w:cs="Times New Roman"/>
        </w:rPr>
        <w:t>, C. N., &amp; Ries, S. K. (1977). Su</w:t>
      </w:r>
      <w:r>
        <w:rPr>
          <w:rFonts w:cs="Times New Roman"/>
        </w:rPr>
        <w:t xml:space="preserve">peroxide </w:t>
      </w:r>
      <w:proofErr w:type="spellStart"/>
      <w:r>
        <w:rPr>
          <w:rFonts w:cs="Times New Roman"/>
        </w:rPr>
        <w:t>dismutases</w:t>
      </w:r>
      <w:proofErr w:type="spellEnd"/>
      <w:r>
        <w:rPr>
          <w:rFonts w:cs="Times New Roman"/>
        </w:rPr>
        <w:t xml:space="preserve">: I. Occurrence in higher plants. </w:t>
      </w:r>
      <w:r>
        <w:rPr>
          <w:rFonts w:cs="Times New Roman"/>
          <w:i/>
          <w:iCs/>
        </w:rPr>
        <w:t>Plant Physiology, 59</w:t>
      </w:r>
      <w:r>
        <w:rPr>
          <w:rFonts w:cs="Times New Roman"/>
        </w:rPr>
        <w:t>, 309–314.</w:t>
      </w:r>
    </w:p>
    <w:p w14:paraId="47F217D6" w14:textId="77777777" w:rsidR="00F15FD7" w:rsidRDefault="00563E74">
      <w:pPr>
        <w:pStyle w:val="ListParagraph"/>
        <w:numPr>
          <w:ilvl w:val="0"/>
          <w:numId w:val="3"/>
        </w:numPr>
        <w:spacing w:after="0"/>
        <w:jc w:val="both"/>
        <w:rPr>
          <w:rFonts w:cs="Times New Roman"/>
        </w:rPr>
      </w:pPr>
      <w:proofErr w:type="spellStart"/>
      <w:r>
        <w:rPr>
          <w:rFonts w:cs="Times New Roman"/>
        </w:rPr>
        <w:t>Giannopolitis</w:t>
      </w:r>
      <w:proofErr w:type="spellEnd"/>
      <w:r>
        <w:rPr>
          <w:rFonts w:cs="Times New Roman"/>
        </w:rPr>
        <w:t xml:space="preserve">, C. N., &amp; Ries, S. K. (1977). Superoxide </w:t>
      </w:r>
      <w:proofErr w:type="spellStart"/>
      <w:r>
        <w:rPr>
          <w:rFonts w:cs="Times New Roman"/>
        </w:rPr>
        <w:t>dismutases</w:t>
      </w:r>
      <w:proofErr w:type="spellEnd"/>
      <w:r>
        <w:rPr>
          <w:rFonts w:cs="Times New Roman"/>
        </w:rPr>
        <w:t xml:space="preserve">: II. Purification and quantitative relationship with water-soluble protein in seedlings. </w:t>
      </w:r>
      <w:r>
        <w:rPr>
          <w:rFonts w:cs="Times New Roman"/>
          <w:i/>
          <w:iCs/>
        </w:rPr>
        <w:t>Plant Physiology,</w:t>
      </w:r>
      <w:r>
        <w:rPr>
          <w:rFonts w:cs="Times New Roman"/>
          <w:i/>
          <w:iCs/>
        </w:rPr>
        <w:t xml:space="preserve"> 59</w:t>
      </w:r>
      <w:r>
        <w:rPr>
          <w:rFonts w:cs="Times New Roman"/>
        </w:rPr>
        <w:t>(2), 315–318.</w:t>
      </w:r>
    </w:p>
    <w:p w14:paraId="2D894D2D" w14:textId="77777777" w:rsidR="00F15FD7" w:rsidRDefault="00563E74">
      <w:pPr>
        <w:pStyle w:val="ListParagraph"/>
        <w:numPr>
          <w:ilvl w:val="0"/>
          <w:numId w:val="3"/>
        </w:numPr>
        <w:spacing w:after="0"/>
        <w:jc w:val="both"/>
        <w:rPr>
          <w:rFonts w:cs="Times New Roman"/>
        </w:rPr>
      </w:pPr>
      <w:r>
        <w:rPr>
          <w:rFonts w:cs="Times New Roman"/>
        </w:rPr>
        <w:t xml:space="preserve">Ghosh, U. K., Islam, M. N., Siddiqui, M. N., &amp; Khan, M. A. R. (2021). Understanding the roles of osmolytes for acclimatizing plants to changing environment: A review of potential mechanism. </w:t>
      </w:r>
      <w:r>
        <w:rPr>
          <w:rFonts w:cs="Times New Roman"/>
          <w:i/>
          <w:iCs/>
        </w:rPr>
        <w:t xml:space="preserve">Plant </w:t>
      </w:r>
      <w:proofErr w:type="spellStart"/>
      <w:r>
        <w:rPr>
          <w:rFonts w:cs="Times New Roman"/>
          <w:i/>
          <w:iCs/>
        </w:rPr>
        <w:t>Signaling</w:t>
      </w:r>
      <w:proofErr w:type="spellEnd"/>
      <w:r>
        <w:rPr>
          <w:rFonts w:cs="Times New Roman"/>
          <w:i/>
          <w:iCs/>
        </w:rPr>
        <w:t xml:space="preserve"> &amp; </w:t>
      </w:r>
      <w:proofErr w:type="spellStart"/>
      <w:r>
        <w:rPr>
          <w:rFonts w:cs="Times New Roman"/>
          <w:i/>
          <w:iCs/>
        </w:rPr>
        <w:t>Behavior</w:t>
      </w:r>
      <w:proofErr w:type="spellEnd"/>
      <w:r>
        <w:rPr>
          <w:rFonts w:cs="Times New Roman"/>
          <w:i/>
          <w:iCs/>
        </w:rPr>
        <w:t>, 16</w:t>
      </w:r>
      <w:r>
        <w:rPr>
          <w:rFonts w:cs="Times New Roman"/>
        </w:rPr>
        <w:t>, 1913306.</w:t>
      </w:r>
    </w:p>
    <w:p w14:paraId="0762886D" w14:textId="77777777" w:rsidR="00F15FD7" w:rsidRDefault="00563E74">
      <w:pPr>
        <w:pStyle w:val="ListParagraph"/>
        <w:numPr>
          <w:ilvl w:val="0"/>
          <w:numId w:val="3"/>
        </w:numPr>
        <w:spacing w:after="0"/>
        <w:jc w:val="both"/>
        <w:rPr>
          <w:rFonts w:cs="Times New Roman"/>
        </w:rPr>
      </w:pPr>
      <w:r>
        <w:rPr>
          <w:rFonts w:cs="Times New Roman"/>
        </w:rPr>
        <w:t>Gupta, A</w:t>
      </w:r>
      <w:r>
        <w:rPr>
          <w:rFonts w:cs="Times New Roman"/>
        </w:rPr>
        <w:t xml:space="preserve">., Rico-Medina, A., &amp; </w:t>
      </w:r>
      <w:proofErr w:type="spellStart"/>
      <w:r>
        <w:rPr>
          <w:rFonts w:cs="Times New Roman"/>
        </w:rPr>
        <w:t>Caño</w:t>
      </w:r>
      <w:proofErr w:type="spellEnd"/>
      <w:r>
        <w:rPr>
          <w:rFonts w:cs="Times New Roman"/>
        </w:rPr>
        <w:t xml:space="preserve">-Delgado, A. I. (2020). The physiology of plant responses to drought. </w:t>
      </w:r>
      <w:r>
        <w:rPr>
          <w:rFonts w:cs="Times New Roman"/>
          <w:i/>
          <w:iCs/>
        </w:rPr>
        <w:t>Science, 368</w:t>
      </w:r>
      <w:r>
        <w:rPr>
          <w:rFonts w:cs="Times New Roman"/>
        </w:rPr>
        <w:t>, 266–269.</w:t>
      </w:r>
    </w:p>
    <w:p w14:paraId="6A185F3D" w14:textId="77777777" w:rsidR="00F15FD7" w:rsidRDefault="00563E74">
      <w:pPr>
        <w:pStyle w:val="ListParagraph"/>
        <w:numPr>
          <w:ilvl w:val="0"/>
          <w:numId w:val="3"/>
        </w:numPr>
        <w:spacing w:after="0"/>
        <w:jc w:val="both"/>
        <w:rPr>
          <w:rFonts w:cs="Times New Roman"/>
        </w:rPr>
      </w:pPr>
      <w:proofErr w:type="spellStart"/>
      <w:r>
        <w:rPr>
          <w:rFonts w:cs="Times New Roman"/>
        </w:rPr>
        <w:t>Hasanuzzaman</w:t>
      </w:r>
      <w:proofErr w:type="spellEnd"/>
      <w:r>
        <w:rPr>
          <w:rFonts w:cs="Times New Roman"/>
        </w:rPr>
        <w:t>, M., Shabala, L., Brodribb, T. J., Zhou, M., &amp; Shabala, S. (2022). Understanding the role of physiological and agronomical t</w:t>
      </w:r>
      <w:r>
        <w:rPr>
          <w:rFonts w:cs="Times New Roman"/>
        </w:rPr>
        <w:t xml:space="preserve">raits during drought recovery as a determinant of differential drought stress tolerance in barley. </w:t>
      </w:r>
      <w:r>
        <w:rPr>
          <w:rFonts w:cs="Times New Roman"/>
          <w:i/>
          <w:iCs/>
        </w:rPr>
        <w:t>Agronomy, 12</w:t>
      </w:r>
      <w:r>
        <w:rPr>
          <w:rFonts w:cs="Times New Roman"/>
        </w:rPr>
        <w:t>(9), 2136.</w:t>
      </w:r>
    </w:p>
    <w:p w14:paraId="440A965B" w14:textId="77777777" w:rsidR="00F15FD7" w:rsidRDefault="00563E74">
      <w:pPr>
        <w:pStyle w:val="ListParagraph"/>
        <w:numPr>
          <w:ilvl w:val="0"/>
          <w:numId w:val="3"/>
        </w:numPr>
        <w:spacing w:after="0"/>
        <w:jc w:val="both"/>
        <w:rPr>
          <w:rFonts w:cs="Times New Roman"/>
        </w:rPr>
      </w:pPr>
      <w:r>
        <w:rPr>
          <w:rFonts w:cs="Times New Roman"/>
        </w:rPr>
        <w:t xml:space="preserve">Hossain, M. Z., Bahar, M. M., Sarkar, B., Donne, S. W., Ok, Y. S., </w:t>
      </w:r>
      <w:proofErr w:type="spellStart"/>
      <w:r>
        <w:rPr>
          <w:rFonts w:cs="Times New Roman"/>
        </w:rPr>
        <w:t>Palansooriya</w:t>
      </w:r>
      <w:proofErr w:type="spellEnd"/>
      <w:r>
        <w:rPr>
          <w:rFonts w:cs="Times New Roman"/>
        </w:rPr>
        <w:t xml:space="preserve">, K. N., … Bolan, N. (2020). Biochar and its importance on nutrient dynamics in soil and plant. </w:t>
      </w:r>
      <w:r>
        <w:rPr>
          <w:rFonts w:cs="Times New Roman"/>
          <w:i/>
          <w:iCs/>
        </w:rPr>
        <w:t>Biochar, 2</w:t>
      </w:r>
      <w:r>
        <w:rPr>
          <w:rFonts w:cs="Times New Roman"/>
        </w:rPr>
        <w:t>(4), 379–420.</w:t>
      </w:r>
    </w:p>
    <w:p w14:paraId="6536E9D0" w14:textId="77777777" w:rsidR="00F15FD7" w:rsidRDefault="00563E74">
      <w:pPr>
        <w:pStyle w:val="ListParagraph"/>
        <w:numPr>
          <w:ilvl w:val="0"/>
          <w:numId w:val="3"/>
        </w:numPr>
        <w:spacing w:after="0"/>
        <w:jc w:val="both"/>
        <w:rPr>
          <w:rFonts w:cs="Times New Roman"/>
        </w:rPr>
      </w:pPr>
      <w:r>
        <w:rPr>
          <w:rFonts w:cs="Times New Roman"/>
        </w:rPr>
        <w:t xml:space="preserve">Iatrou, M., Papadopoulos, A., Papadopoulos, F., </w:t>
      </w:r>
      <w:proofErr w:type="spellStart"/>
      <w:r>
        <w:rPr>
          <w:rFonts w:cs="Times New Roman"/>
        </w:rPr>
        <w:t>Dichala</w:t>
      </w:r>
      <w:proofErr w:type="spellEnd"/>
      <w:r>
        <w:rPr>
          <w:rFonts w:cs="Times New Roman"/>
        </w:rPr>
        <w:t xml:space="preserve">, O., </w:t>
      </w:r>
      <w:proofErr w:type="spellStart"/>
      <w:r>
        <w:rPr>
          <w:rFonts w:cs="Times New Roman"/>
        </w:rPr>
        <w:t>Psoma</w:t>
      </w:r>
      <w:proofErr w:type="spellEnd"/>
      <w:r>
        <w:rPr>
          <w:rFonts w:cs="Times New Roman"/>
        </w:rPr>
        <w:t xml:space="preserve">, P., &amp; </w:t>
      </w:r>
      <w:proofErr w:type="spellStart"/>
      <w:r>
        <w:rPr>
          <w:rFonts w:cs="Times New Roman"/>
        </w:rPr>
        <w:t>Bountla</w:t>
      </w:r>
      <w:proofErr w:type="spellEnd"/>
      <w:r>
        <w:rPr>
          <w:rFonts w:cs="Times New Roman"/>
        </w:rPr>
        <w:t>, A. (2014). Determination of soil available phosphorus</w:t>
      </w:r>
      <w:r>
        <w:rPr>
          <w:rFonts w:cs="Times New Roman"/>
        </w:rPr>
        <w:t xml:space="preserve"> using the Olsen and </w:t>
      </w:r>
      <w:proofErr w:type="spellStart"/>
      <w:r>
        <w:rPr>
          <w:rFonts w:cs="Times New Roman"/>
        </w:rPr>
        <w:t>Mehlich</w:t>
      </w:r>
      <w:proofErr w:type="spellEnd"/>
      <w:r>
        <w:rPr>
          <w:rFonts w:cs="Times New Roman"/>
        </w:rPr>
        <w:t xml:space="preserve"> 3 methods for Greek soils having variable amounts of calcium carbonate. </w:t>
      </w:r>
      <w:r>
        <w:rPr>
          <w:rFonts w:cs="Times New Roman"/>
          <w:i/>
          <w:iCs/>
        </w:rPr>
        <w:t>Communications in Soil Science and Plant Analysis, 45</w:t>
      </w:r>
      <w:r>
        <w:rPr>
          <w:rFonts w:cs="Times New Roman"/>
        </w:rPr>
        <w:t>(16), 2207–2214.</w:t>
      </w:r>
    </w:p>
    <w:p w14:paraId="06B4B8B7" w14:textId="77777777" w:rsidR="00F15FD7" w:rsidRDefault="00563E74">
      <w:pPr>
        <w:pStyle w:val="ListParagraph"/>
        <w:numPr>
          <w:ilvl w:val="0"/>
          <w:numId w:val="3"/>
        </w:numPr>
        <w:spacing w:after="0"/>
        <w:jc w:val="both"/>
        <w:rPr>
          <w:rFonts w:cs="Times New Roman"/>
        </w:rPr>
      </w:pPr>
      <w:r>
        <w:rPr>
          <w:rFonts w:cs="Times New Roman"/>
        </w:rPr>
        <w:t xml:space="preserve">Jackson, M. L. (1968). </w:t>
      </w:r>
      <w:r>
        <w:rPr>
          <w:rFonts w:cs="Times New Roman"/>
          <w:i/>
          <w:iCs/>
        </w:rPr>
        <w:t>Soil chemical analysis; advanced course</w:t>
      </w:r>
      <w:r>
        <w:rPr>
          <w:rFonts w:cs="Times New Roman"/>
        </w:rPr>
        <w:t>. Department of Soil Sc</w:t>
      </w:r>
      <w:r>
        <w:rPr>
          <w:rFonts w:cs="Times New Roman"/>
        </w:rPr>
        <w:t>ience, University of Wisconsin, Madison, WI.</w:t>
      </w:r>
    </w:p>
    <w:p w14:paraId="5E1F0A63" w14:textId="77777777" w:rsidR="00F15FD7" w:rsidRDefault="00563E74">
      <w:pPr>
        <w:pStyle w:val="ListParagraph"/>
        <w:numPr>
          <w:ilvl w:val="0"/>
          <w:numId w:val="3"/>
        </w:numPr>
        <w:spacing w:after="0"/>
        <w:jc w:val="both"/>
        <w:rPr>
          <w:rFonts w:cs="Times New Roman"/>
        </w:rPr>
      </w:pPr>
      <w:r>
        <w:rPr>
          <w:rFonts w:cs="Times New Roman"/>
        </w:rPr>
        <w:t xml:space="preserve">Kim, K.-H., &amp; Lee, B.-M. (2023). Effects of climate change and drought tolerance on maize growth. </w:t>
      </w:r>
      <w:r>
        <w:rPr>
          <w:rFonts w:cs="Times New Roman"/>
          <w:i/>
          <w:iCs/>
        </w:rPr>
        <w:t>Plants, 12</w:t>
      </w:r>
      <w:r>
        <w:rPr>
          <w:rFonts w:cs="Times New Roman"/>
        </w:rPr>
        <w:t>, 3548.</w:t>
      </w:r>
    </w:p>
    <w:p w14:paraId="67DE63DC" w14:textId="77777777" w:rsidR="00F15FD7" w:rsidRDefault="00563E74">
      <w:pPr>
        <w:pStyle w:val="ListParagraph"/>
        <w:numPr>
          <w:ilvl w:val="0"/>
          <w:numId w:val="3"/>
        </w:numPr>
        <w:spacing w:after="0"/>
        <w:jc w:val="both"/>
        <w:rPr>
          <w:rFonts w:cs="Times New Roman"/>
        </w:rPr>
      </w:pPr>
      <w:r>
        <w:rPr>
          <w:rFonts w:cs="Times New Roman"/>
        </w:rPr>
        <w:t>Laird, D. A., Fleming, P., Davis, D. D., Horton, R., Wang, B., &amp; Karlen, D. L. (2010). Impact o</w:t>
      </w:r>
      <w:r>
        <w:rPr>
          <w:rFonts w:cs="Times New Roman"/>
        </w:rPr>
        <w:t xml:space="preserve">f biochar amendments on the quality of a typical Midwestern agricultural soil. </w:t>
      </w:r>
      <w:proofErr w:type="spellStart"/>
      <w:r>
        <w:rPr>
          <w:rFonts w:cs="Times New Roman"/>
          <w:i/>
          <w:iCs/>
        </w:rPr>
        <w:t>Geoderma</w:t>
      </w:r>
      <w:proofErr w:type="spellEnd"/>
      <w:r>
        <w:rPr>
          <w:rFonts w:cs="Times New Roman"/>
          <w:i/>
          <w:iCs/>
        </w:rPr>
        <w:t>, 158</w:t>
      </w:r>
      <w:r>
        <w:rPr>
          <w:rFonts w:cs="Times New Roman"/>
        </w:rPr>
        <w:t>(3–4), 443–449.</w:t>
      </w:r>
    </w:p>
    <w:p w14:paraId="59A9DE57" w14:textId="77777777" w:rsidR="00F15FD7" w:rsidRDefault="00563E74">
      <w:pPr>
        <w:pStyle w:val="ListParagraph"/>
        <w:numPr>
          <w:ilvl w:val="0"/>
          <w:numId w:val="3"/>
        </w:numPr>
        <w:spacing w:after="0"/>
        <w:jc w:val="both"/>
        <w:rPr>
          <w:rFonts w:cs="Times New Roman"/>
        </w:rPr>
      </w:pPr>
      <w:r>
        <w:rPr>
          <w:rFonts w:cs="Times New Roman"/>
        </w:rPr>
        <w:t xml:space="preserve">Mukhopadhyay, R., &amp; Kumar, D. (2020). </w:t>
      </w:r>
      <w:r>
        <w:rPr>
          <w:rFonts w:cs="Times New Roman"/>
          <w:i/>
          <w:iCs/>
        </w:rPr>
        <w:t>Trichoderma</w:t>
      </w:r>
      <w:r>
        <w:rPr>
          <w:rFonts w:cs="Times New Roman"/>
        </w:rPr>
        <w:t xml:space="preserve">: A beneficial antifungal agent and insights into its mechanism of biocontrol potential. </w:t>
      </w:r>
      <w:r>
        <w:rPr>
          <w:rFonts w:cs="Times New Roman"/>
          <w:i/>
          <w:iCs/>
        </w:rPr>
        <w:t>Egyptian J</w:t>
      </w:r>
      <w:r>
        <w:rPr>
          <w:rFonts w:cs="Times New Roman"/>
          <w:i/>
          <w:iCs/>
        </w:rPr>
        <w:t>ournal of Biological Pest Control, 30</w:t>
      </w:r>
      <w:r>
        <w:rPr>
          <w:rFonts w:cs="Times New Roman"/>
        </w:rPr>
        <w:t>(1), 133.</w:t>
      </w:r>
    </w:p>
    <w:p w14:paraId="64C38D44" w14:textId="77777777" w:rsidR="00F15FD7" w:rsidRDefault="00563E74">
      <w:pPr>
        <w:pStyle w:val="ListParagraph"/>
        <w:numPr>
          <w:ilvl w:val="0"/>
          <w:numId w:val="3"/>
        </w:numPr>
        <w:spacing w:after="0"/>
        <w:jc w:val="both"/>
        <w:rPr>
          <w:rFonts w:cs="Times New Roman"/>
        </w:rPr>
      </w:pPr>
      <w:r>
        <w:rPr>
          <w:rFonts w:cs="Times New Roman"/>
        </w:rPr>
        <w:t xml:space="preserve">Mustapha, A. B., Felix, T., </w:t>
      </w:r>
      <w:proofErr w:type="spellStart"/>
      <w:r>
        <w:rPr>
          <w:rFonts w:cs="Times New Roman"/>
        </w:rPr>
        <w:t>Tashiwa</w:t>
      </w:r>
      <w:proofErr w:type="spellEnd"/>
      <w:r>
        <w:rPr>
          <w:rFonts w:cs="Times New Roman"/>
        </w:rPr>
        <w:t xml:space="preserve">, M. C., &amp; </w:t>
      </w:r>
      <w:proofErr w:type="spellStart"/>
      <w:r>
        <w:rPr>
          <w:rFonts w:cs="Times New Roman"/>
        </w:rPr>
        <w:t>Gworgwor</w:t>
      </w:r>
      <w:proofErr w:type="spellEnd"/>
      <w:r>
        <w:rPr>
          <w:rFonts w:cs="Times New Roman"/>
        </w:rPr>
        <w:t>, N. A. (2021). Effect of plant population density and methods of weed control on the yield of pepper (</w:t>
      </w:r>
      <w:r>
        <w:rPr>
          <w:rFonts w:cs="Times New Roman"/>
          <w:i/>
          <w:iCs/>
        </w:rPr>
        <w:t>Capsicum annuum</w:t>
      </w:r>
      <w:r>
        <w:rPr>
          <w:rFonts w:cs="Times New Roman"/>
        </w:rPr>
        <w:t xml:space="preserve"> L.) in Northeastern Nigeria. </w:t>
      </w:r>
      <w:r>
        <w:rPr>
          <w:rFonts w:cs="Times New Roman"/>
          <w:i/>
          <w:iCs/>
        </w:rPr>
        <w:t>Journal</w:t>
      </w:r>
      <w:r>
        <w:rPr>
          <w:rFonts w:cs="Times New Roman"/>
          <w:i/>
          <w:iCs/>
        </w:rPr>
        <w:t xml:space="preserve"> of Applied Sciences and Environmental Management, 25</w:t>
      </w:r>
      <w:r>
        <w:rPr>
          <w:rFonts w:cs="Times New Roman"/>
        </w:rPr>
        <w:t>(2), 261–267.</w:t>
      </w:r>
    </w:p>
    <w:p w14:paraId="3D0F457E" w14:textId="77777777" w:rsidR="00F15FD7" w:rsidRDefault="00563E74">
      <w:pPr>
        <w:pStyle w:val="ListParagraph"/>
        <w:numPr>
          <w:ilvl w:val="0"/>
          <w:numId w:val="3"/>
        </w:numPr>
        <w:spacing w:after="0"/>
        <w:jc w:val="both"/>
        <w:rPr>
          <w:rFonts w:cs="Times New Roman"/>
        </w:rPr>
      </w:pPr>
      <w:r>
        <w:rPr>
          <w:rFonts w:cs="Times New Roman"/>
        </w:rPr>
        <w:t xml:space="preserve">Nadeem, M., Li, J., Yahya, M., Sher, A., Ma, C., Wang, X., &amp; Qiu, L. (2019). Research progress and perspective on drought stress in legumes: A review. </w:t>
      </w:r>
      <w:r>
        <w:rPr>
          <w:rFonts w:cs="Times New Roman"/>
          <w:i/>
          <w:iCs/>
        </w:rPr>
        <w:t>International Journal of Molecular Sci</w:t>
      </w:r>
      <w:r>
        <w:rPr>
          <w:rFonts w:cs="Times New Roman"/>
          <w:i/>
          <w:iCs/>
        </w:rPr>
        <w:t>ences, 20</w:t>
      </w:r>
      <w:r>
        <w:rPr>
          <w:rFonts w:cs="Times New Roman"/>
        </w:rPr>
        <w:t>, 2541.</w:t>
      </w:r>
    </w:p>
    <w:p w14:paraId="0DE9B9CF" w14:textId="77777777" w:rsidR="00F15FD7" w:rsidRDefault="00563E74">
      <w:pPr>
        <w:pStyle w:val="ListParagraph"/>
        <w:numPr>
          <w:ilvl w:val="0"/>
          <w:numId w:val="3"/>
        </w:numPr>
        <w:spacing w:after="0"/>
        <w:jc w:val="both"/>
        <w:rPr>
          <w:rFonts w:cs="Times New Roman"/>
        </w:rPr>
      </w:pPr>
      <w:r>
        <w:rPr>
          <w:rFonts w:cs="Times New Roman"/>
        </w:rPr>
        <w:t xml:space="preserve">Nakano, Y., &amp; Asada, K. (1981). Hydrogen peroxide is scavenged by ascorbate-specific peroxidase in spinach chloroplasts. </w:t>
      </w:r>
      <w:r>
        <w:rPr>
          <w:rFonts w:cs="Times New Roman"/>
          <w:i/>
          <w:iCs/>
        </w:rPr>
        <w:t>Plant and Cell Physiology, 22</w:t>
      </w:r>
      <w:r>
        <w:rPr>
          <w:rFonts w:cs="Times New Roman"/>
        </w:rPr>
        <w:t>, 867–880.</w:t>
      </w:r>
    </w:p>
    <w:p w14:paraId="5A89F52B" w14:textId="77777777" w:rsidR="00F15FD7" w:rsidRDefault="00563E74">
      <w:pPr>
        <w:pStyle w:val="ListParagraph"/>
        <w:numPr>
          <w:ilvl w:val="0"/>
          <w:numId w:val="3"/>
        </w:numPr>
        <w:spacing w:after="0"/>
        <w:jc w:val="both"/>
        <w:rPr>
          <w:rFonts w:cs="Times New Roman"/>
        </w:rPr>
      </w:pPr>
      <w:proofErr w:type="spellStart"/>
      <w:r>
        <w:rPr>
          <w:rFonts w:cs="Times New Roman"/>
        </w:rPr>
        <w:t>Narzari</w:t>
      </w:r>
      <w:proofErr w:type="spellEnd"/>
      <w:r>
        <w:rPr>
          <w:rFonts w:cs="Times New Roman"/>
        </w:rPr>
        <w:t xml:space="preserve">, R. B., Bordoloi, N. S., Sarma, B., Gogoi, L., Gogoi, N., </w:t>
      </w:r>
      <w:proofErr w:type="spellStart"/>
      <w:r>
        <w:rPr>
          <w:rFonts w:cs="Times New Roman"/>
        </w:rPr>
        <w:t>Borkotoki</w:t>
      </w:r>
      <w:proofErr w:type="spellEnd"/>
      <w:r>
        <w:rPr>
          <w:rFonts w:cs="Times New Roman"/>
        </w:rPr>
        <w:t>, B</w:t>
      </w:r>
      <w:r>
        <w:rPr>
          <w:rFonts w:cs="Times New Roman"/>
        </w:rPr>
        <w:t xml:space="preserve">., … et al. (2017). Fabrication of </w:t>
      </w:r>
      <w:proofErr w:type="spellStart"/>
      <w:r>
        <w:rPr>
          <w:rFonts w:cs="Times New Roman"/>
        </w:rPr>
        <w:t>biochars</w:t>
      </w:r>
      <w:proofErr w:type="spellEnd"/>
      <w:r>
        <w:rPr>
          <w:rFonts w:cs="Times New Roman"/>
        </w:rPr>
        <w:t xml:space="preserve"> obtained from the </w:t>
      </w:r>
      <w:proofErr w:type="spellStart"/>
      <w:r>
        <w:rPr>
          <w:rFonts w:cs="Times New Roman"/>
        </w:rPr>
        <w:t>valorization</w:t>
      </w:r>
      <w:proofErr w:type="spellEnd"/>
      <w:r>
        <w:rPr>
          <w:rFonts w:cs="Times New Roman"/>
        </w:rPr>
        <w:t xml:space="preserve"> of biowaste and evaluation of its physicochemical properties. </w:t>
      </w:r>
      <w:r>
        <w:rPr>
          <w:rFonts w:cs="Times New Roman"/>
          <w:i/>
          <w:iCs/>
        </w:rPr>
        <w:t>Bioresource Technology, 242</w:t>
      </w:r>
      <w:r>
        <w:rPr>
          <w:rFonts w:cs="Times New Roman"/>
        </w:rPr>
        <w:t>, 324–328.</w:t>
      </w:r>
    </w:p>
    <w:p w14:paraId="798F4A95" w14:textId="77777777" w:rsidR="00F15FD7" w:rsidRDefault="00563E74">
      <w:pPr>
        <w:pStyle w:val="ListParagraph"/>
        <w:numPr>
          <w:ilvl w:val="0"/>
          <w:numId w:val="3"/>
        </w:numPr>
        <w:spacing w:after="0"/>
        <w:jc w:val="both"/>
        <w:rPr>
          <w:rFonts w:cs="Times New Roman"/>
        </w:rPr>
      </w:pPr>
      <w:proofErr w:type="spellStart"/>
      <w:r>
        <w:rPr>
          <w:rFonts w:cs="Times New Roman"/>
        </w:rPr>
        <w:lastRenderedPageBreak/>
        <w:t>Ogunbo</w:t>
      </w:r>
      <w:proofErr w:type="spellEnd"/>
      <w:r>
        <w:rPr>
          <w:rFonts w:cs="Times New Roman"/>
        </w:rPr>
        <w:t>, M. (2015). Resource use efficiency and optimal farm plan in pepper (</w:t>
      </w:r>
      <w:r>
        <w:rPr>
          <w:rFonts w:cs="Times New Roman"/>
          <w:i/>
          <w:iCs/>
        </w:rPr>
        <w:t>Capsi</w:t>
      </w:r>
      <w:r>
        <w:rPr>
          <w:rFonts w:cs="Times New Roman"/>
          <w:i/>
          <w:iCs/>
        </w:rPr>
        <w:t>cum</w:t>
      </w:r>
      <w:r>
        <w:rPr>
          <w:rFonts w:cs="Times New Roman"/>
        </w:rPr>
        <w:t xml:space="preserve"> spp.) production in Ogun State, Nigeria. </w:t>
      </w:r>
      <w:r>
        <w:rPr>
          <w:rFonts w:cs="Times New Roman"/>
          <w:i/>
          <w:iCs/>
        </w:rPr>
        <w:t>African Journal of Food, Agriculture, Nutrition and Development, 15</w:t>
      </w:r>
      <w:r>
        <w:rPr>
          <w:rFonts w:cs="Times New Roman"/>
        </w:rPr>
        <w:t>(4), 10255–10271.</w:t>
      </w:r>
    </w:p>
    <w:p w14:paraId="092D3FC7" w14:textId="77777777" w:rsidR="00F15FD7" w:rsidRDefault="00563E74">
      <w:pPr>
        <w:pStyle w:val="ListParagraph"/>
        <w:numPr>
          <w:ilvl w:val="0"/>
          <w:numId w:val="3"/>
        </w:numPr>
        <w:spacing w:after="0"/>
        <w:jc w:val="both"/>
        <w:rPr>
          <w:rFonts w:cs="Times New Roman"/>
        </w:rPr>
      </w:pPr>
      <w:r>
        <w:rPr>
          <w:rFonts w:cs="Times New Roman"/>
        </w:rPr>
        <w:t>Pei, Y. Y., Lei, L., Fan, X. W., &amp; Li, Y. Z. (2023). Effects of high air temperature, drought, and both combinations on maize:</w:t>
      </w:r>
      <w:r>
        <w:rPr>
          <w:rFonts w:cs="Times New Roman"/>
        </w:rPr>
        <w:t xml:space="preserve"> A case study. </w:t>
      </w:r>
      <w:r>
        <w:rPr>
          <w:rFonts w:cs="Times New Roman"/>
          <w:i/>
          <w:iCs/>
        </w:rPr>
        <w:t>Plant Science, 327</w:t>
      </w:r>
      <w:r>
        <w:rPr>
          <w:rFonts w:cs="Times New Roman"/>
        </w:rPr>
        <w:t>, 111543.</w:t>
      </w:r>
    </w:p>
    <w:p w14:paraId="27F45C55" w14:textId="77777777" w:rsidR="00F15FD7" w:rsidRDefault="00563E74">
      <w:pPr>
        <w:pStyle w:val="ListParagraph"/>
        <w:numPr>
          <w:ilvl w:val="0"/>
          <w:numId w:val="3"/>
        </w:numPr>
        <w:spacing w:after="0"/>
        <w:jc w:val="both"/>
        <w:rPr>
          <w:rFonts w:cs="Times New Roman"/>
        </w:rPr>
      </w:pPr>
      <w:r>
        <w:rPr>
          <w:rFonts w:cs="Times New Roman"/>
        </w:rPr>
        <w:t xml:space="preserve">Qi, M., Liu, X., Li, Y., Song, H., Yin, Z., Zhang, F., He, Q., Xu, Z., &amp; Zhou, G. (2021). Photosynthetic resistance and resilience under drought, flooding, and rewatering in maize plants. </w:t>
      </w:r>
      <w:r>
        <w:rPr>
          <w:rFonts w:cs="Times New Roman"/>
          <w:i/>
          <w:iCs/>
        </w:rPr>
        <w:t xml:space="preserve">Photosynthesis Research, </w:t>
      </w:r>
      <w:r>
        <w:rPr>
          <w:rFonts w:cs="Times New Roman"/>
          <w:i/>
          <w:iCs/>
        </w:rPr>
        <w:t>148</w:t>
      </w:r>
      <w:r>
        <w:rPr>
          <w:rFonts w:cs="Times New Roman"/>
        </w:rPr>
        <w:t>, 1–15.</w:t>
      </w:r>
    </w:p>
    <w:p w14:paraId="6486F4B4" w14:textId="77777777" w:rsidR="00F15FD7" w:rsidRDefault="00563E74">
      <w:pPr>
        <w:pStyle w:val="ListParagraph"/>
        <w:numPr>
          <w:ilvl w:val="0"/>
          <w:numId w:val="3"/>
        </w:numPr>
        <w:spacing w:after="0"/>
        <w:jc w:val="both"/>
        <w:rPr>
          <w:rFonts w:cs="Times New Roman"/>
        </w:rPr>
      </w:pPr>
      <w:r>
        <w:rPr>
          <w:rFonts w:cs="Times New Roman"/>
        </w:rPr>
        <w:t xml:space="preserve">Rizvi, N. B., Fatima, A., Busquets, R., Khan, M. R., Ashraf, S., Khan, M. S., &amp; Oz, F. (2023). Effect of the media in the </w:t>
      </w:r>
      <w:proofErr w:type="spellStart"/>
      <w:r>
        <w:rPr>
          <w:rFonts w:cs="Times New Roman"/>
        </w:rPr>
        <w:t>Folin-Ciocalteu</w:t>
      </w:r>
      <w:proofErr w:type="spellEnd"/>
      <w:r>
        <w:rPr>
          <w:rFonts w:cs="Times New Roman"/>
        </w:rPr>
        <w:t xml:space="preserve"> assay for the analysis of the total phenolic content of olive products. </w:t>
      </w:r>
      <w:r>
        <w:rPr>
          <w:rFonts w:cs="Times New Roman"/>
          <w:i/>
          <w:iCs/>
        </w:rPr>
        <w:t>Food Analytical Methods, 16</w:t>
      </w:r>
      <w:r>
        <w:rPr>
          <w:rFonts w:cs="Times New Roman"/>
        </w:rPr>
        <w:t xml:space="preserve">(11), </w:t>
      </w:r>
      <w:r>
        <w:rPr>
          <w:rFonts w:cs="Times New Roman"/>
        </w:rPr>
        <w:t>1627–1634.</w:t>
      </w:r>
    </w:p>
    <w:p w14:paraId="286696B4" w14:textId="77777777" w:rsidR="00F15FD7" w:rsidRDefault="00563E74">
      <w:pPr>
        <w:pStyle w:val="ListParagraph"/>
        <w:numPr>
          <w:ilvl w:val="0"/>
          <w:numId w:val="3"/>
        </w:numPr>
        <w:spacing w:after="0"/>
        <w:jc w:val="both"/>
        <w:rPr>
          <w:rFonts w:cs="Times New Roman"/>
        </w:rPr>
      </w:pPr>
      <w:r>
        <w:rPr>
          <w:rFonts w:cs="Times New Roman"/>
        </w:rPr>
        <w:t xml:space="preserve">Sato, H., </w:t>
      </w:r>
      <w:proofErr w:type="spellStart"/>
      <w:r>
        <w:rPr>
          <w:rFonts w:cs="Times New Roman"/>
        </w:rPr>
        <w:t>Mizoi</w:t>
      </w:r>
      <w:proofErr w:type="spellEnd"/>
      <w:r>
        <w:rPr>
          <w:rFonts w:cs="Times New Roman"/>
        </w:rPr>
        <w:t xml:space="preserve">, J., Shinozaki, K., &amp; Yamaguchi-Shinozaki, K. (2024). Complex plant responses to drought and heat stress under climate change. </w:t>
      </w:r>
      <w:r>
        <w:rPr>
          <w:rFonts w:cs="Times New Roman"/>
          <w:i/>
          <w:iCs/>
        </w:rPr>
        <w:t>Plant Journal, 117</w:t>
      </w:r>
      <w:r>
        <w:rPr>
          <w:rFonts w:cs="Times New Roman"/>
        </w:rPr>
        <w:t>, 1873–1892.</w:t>
      </w:r>
    </w:p>
    <w:p w14:paraId="02B02DCB" w14:textId="77777777" w:rsidR="00F15FD7" w:rsidRDefault="00563E74">
      <w:pPr>
        <w:pStyle w:val="ListParagraph"/>
        <w:numPr>
          <w:ilvl w:val="0"/>
          <w:numId w:val="3"/>
        </w:numPr>
        <w:spacing w:after="0"/>
        <w:jc w:val="both"/>
        <w:rPr>
          <w:rFonts w:cs="Times New Roman"/>
        </w:rPr>
      </w:pPr>
      <w:r>
        <w:rPr>
          <w:rFonts w:cs="Times New Roman"/>
        </w:rPr>
        <w:t xml:space="preserve">Seeley, H. W., &amp; Vandemark, P. J. (1981). </w:t>
      </w:r>
      <w:r>
        <w:rPr>
          <w:rFonts w:cs="Times New Roman"/>
          <w:i/>
          <w:iCs/>
        </w:rPr>
        <w:t>Microbes in action: A laborat</w:t>
      </w:r>
      <w:r>
        <w:rPr>
          <w:rFonts w:cs="Times New Roman"/>
          <w:i/>
          <w:iCs/>
        </w:rPr>
        <w:t>ory manual of microbiology</w:t>
      </w:r>
      <w:r>
        <w:rPr>
          <w:rFonts w:cs="Times New Roman"/>
        </w:rPr>
        <w:t>.</w:t>
      </w:r>
    </w:p>
    <w:p w14:paraId="3BD97347" w14:textId="77777777" w:rsidR="00F15FD7" w:rsidRDefault="00563E74">
      <w:pPr>
        <w:pStyle w:val="ListParagraph"/>
        <w:numPr>
          <w:ilvl w:val="0"/>
          <w:numId w:val="3"/>
        </w:numPr>
        <w:spacing w:after="0"/>
        <w:jc w:val="both"/>
        <w:rPr>
          <w:rFonts w:cs="Times New Roman"/>
        </w:rPr>
      </w:pPr>
      <w:r>
        <w:rPr>
          <w:rFonts w:cs="Times New Roman"/>
        </w:rPr>
        <w:t>Singleton, V. L., &amp; Rossi, J. A. (1965). Colorimetry of total phenolics with phosphomolybdic-</w:t>
      </w:r>
      <w:proofErr w:type="spellStart"/>
      <w:r>
        <w:rPr>
          <w:rFonts w:cs="Times New Roman"/>
        </w:rPr>
        <w:t>phosphotungstic</w:t>
      </w:r>
      <w:proofErr w:type="spellEnd"/>
      <w:r>
        <w:rPr>
          <w:rFonts w:cs="Times New Roman"/>
        </w:rPr>
        <w:t xml:space="preserve"> acid reagents. </w:t>
      </w:r>
      <w:r>
        <w:rPr>
          <w:rFonts w:cs="Times New Roman"/>
          <w:i/>
          <w:iCs/>
        </w:rPr>
        <w:t xml:space="preserve">American Journal of </w:t>
      </w:r>
      <w:proofErr w:type="spellStart"/>
      <w:r>
        <w:rPr>
          <w:rFonts w:cs="Times New Roman"/>
          <w:i/>
          <w:iCs/>
        </w:rPr>
        <w:t>Enology</w:t>
      </w:r>
      <w:proofErr w:type="spellEnd"/>
      <w:r>
        <w:rPr>
          <w:rFonts w:cs="Times New Roman"/>
          <w:i/>
          <w:iCs/>
        </w:rPr>
        <w:t xml:space="preserve"> and Viticulture, 16</w:t>
      </w:r>
      <w:r>
        <w:rPr>
          <w:rFonts w:cs="Times New Roman"/>
        </w:rPr>
        <w:t>, 144–158.</w:t>
      </w:r>
    </w:p>
    <w:p w14:paraId="20283CEB" w14:textId="77777777" w:rsidR="00F15FD7" w:rsidRDefault="00563E74">
      <w:pPr>
        <w:pStyle w:val="ListParagraph"/>
        <w:numPr>
          <w:ilvl w:val="0"/>
          <w:numId w:val="3"/>
        </w:numPr>
        <w:spacing w:after="0"/>
        <w:jc w:val="both"/>
        <w:rPr>
          <w:rFonts w:cs="Times New Roman"/>
        </w:rPr>
      </w:pPr>
      <w:r>
        <w:rPr>
          <w:rFonts w:cs="Times New Roman"/>
        </w:rPr>
        <w:t>Walkley, A., &amp; Black, I. A. (1934). An examina</w:t>
      </w:r>
      <w:r>
        <w:rPr>
          <w:rFonts w:cs="Times New Roman"/>
        </w:rPr>
        <w:t xml:space="preserve">tion of the </w:t>
      </w:r>
      <w:proofErr w:type="spellStart"/>
      <w:r>
        <w:rPr>
          <w:rFonts w:cs="Times New Roman"/>
        </w:rPr>
        <w:t>Degtjareff</w:t>
      </w:r>
      <w:proofErr w:type="spellEnd"/>
      <w:r>
        <w:rPr>
          <w:rFonts w:cs="Times New Roman"/>
        </w:rPr>
        <w:t xml:space="preserve"> method for determining soil organic matter, and a proposed modification of the chromic acid titration method. </w:t>
      </w:r>
      <w:r>
        <w:rPr>
          <w:rFonts w:cs="Times New Roman"/>
          <w:i/>
          <w:iCs/>
        </w:rPr>
        <w:t>Soil Science, 37</w:t>
      </w:r>
      <w:r>
        <w:rPr>
          <w:rFonts w:cs="Times New Roman"/>
        </w:rPr>
        <w:t>(1), 29–38.</w:t>
      </w:r>
    </w:p>
    <w:p w14:paraId="42B5D0D9" w14:textId="77777777" w:rsidR="00F15FD7" w:rsidRDefault="00563E74">
      <w:pPr>
        <w:pStyle w:val="ListParagraph"/>
        <w:numPr>
          <w:ilvl w:val="0"/>
          <w:numId w:val="3"/>
        </w:numPr>
        <w:spacing w:after="0"/>
        <w:jc w:val="both"/>
        <w:rPr>
          <w:rFonts w:cs="Times New Roman"/>
        </w:rPr>
      </w:pPr>
      <w:r>
        <w:rPr>
          <w:rFonts w:cs="Times New Roman"/>
        </w:rPr>
        <w:t xml:space="preserve">Wu, C., Zhi, D., Yao, B., Zhou, Y., Yang, Y., &amp; Zhou, Y. (2022). Immobilization of microbes on </w:t>
      </w:r>
      <w:r>
        <w:rPr>
          <w:rFonts w:cs="Times New Roman"/>
        </w:rPr>
        <w:t xml:space="preserve">biochar for water and soil remediation: A review. </w:t>
      </w:r>
      <w:r>
        <w:rPr>
          <w:rFonts w:cs="Times New Roman"/>
          <w:i/>
          <w:iCs/>
        </w:rPr>
        <w:t>Environmental Research, 212</w:t>
      </w:r>
      <w:r>
        <w:rPr>
          <w:rFonts w:cs="Times New Roman"/>
        </w:rPr>
        <w:t>, 113226.</w:t>
      </w:r>
    </w:p>
    <w:p w14:paraId="5419E7A0" w14:textId="77777777" w:rsidR="00F15FD7" w:rsidRDefault="00563E74">
      <w:pPr>
        <w:pStyle w:val="ListParagraph"/>
        <w:numPr>
          <w:ilvl w:val="0"/>
          <w:numId w:val="3"/>
        </w:numPr>
        <w:spacing w:after="0"/>
        <w:jc w:val="both"/>
        <w:rPr>
          <w:rFonts w:cs="Times New Roman"/>
        </w:rPr>
      </w:pPr>
      <w:r>
        <w:rPr>
          <w:rFonts w:cs="Times New Roman"/>
        </w:rPr>
        <w:t xml:space="preserve">Zhang, J., &amp; Kirkham, M. B. (1994). Drought-stress-induced changes in activities of superoxide dismutase, catalase, and peroxidase in wheat species. </w:t>
      </w:r>
      <w:r>
        <w:rPr>
          <w:rFonts w:cs="Times New Roman"/>
          <w:i/>
          <w:iCs/>
        </w:rPr>
        <w:t>Plant and Cell Physi</w:t>
      </w:r>
      <w:r>
        <w:rPr>
          <w:rFonts w:cs="Times New Roman"/>
          <w:i/>
          <w:iCs/>
        </w:rPr>
        <w:t>ology, 35</w:t>
      </w:r>
      <w:r>
        <w:rPr>
          <w:rFonts w:cs="Times New Roman"/>
        </w:rPr>
        <w:t>(5), 785–791.</w:t>
      </w:r>
    </w:p>
    <w:p w14:paraId="00D7DA51" w14:textId="77777777" w:rsidR="00F15FD7" w:rsidRDefault="00563E74">
      <w:pPr>
        <w:pStyle w:val="ListParagraph"/>
        <w:numPr>
          <w:ilvl w:val="0"/>
          <w:numId w:val="3"/>
        </w:numPr>
        <w:spacing w:after="0"/>
        <w:jc w:val="both"/>
        <w:rPr>
          <w:rFonts w:cs="Times New Roman"/>
        </w:rPr>
      </w:pPr>
      <w:r>
        <w:rPr>
          <w:rFonts w:cs="Times New Roman"/>
        </w:rPr>
        <w:t xml:space="preserve">Zhang, X. Z. (1992). The measurement and mechanism of lipid peroxidation and SOD, POD and CAT activities in biological systems. </w:t>
      </w:r>
      <w:r>
        <w:rPr>
          <w:rFonts w:cs="Times New Roman"/>
          <w:i/>
          <w:iCs/>
        </w:rPr>
        <w:t>Research Methodology in Crop Physiology, 15</w:t>
      </w:r>
      <w:r>
        <w:rPr>
          <w:rFonts w:cs="Times New Roman"/>
        </w:rPr>
        <w:t>, 208–211.</w:t>
      </w:r>
    </w:p>
    <w:p w14:paraId="73DF0C32" w14:textId="77777777" w:rsidR="00F15FD7" w:rsidRDefault="00563E74">
      <w:pPr>
        <w:pStyle w:val="ListParagraph"/>
        <w:numPr>
          <w:ilvl w:val="0"/>
          <w:numId w:val="3"/>
        </w:numPr>
        <w:spacing w:after="0"/>
        <w:jc w:val="both"/>
        <w:rPr>
          <w:rFonts w:cs="Times New Roman"/>
        </w:rPr>
      </w:pPr>
      <w:r>
        <w:rPr>
          <w:rFonts w:cs="Times New Roman"/>
        </w:rPr>
        <w:t xml:space="preserve">Druzhinina, I. S., </w:t>
      </w:r>
      <w:proofErr w:type="spellStart"/>
      <w:r>
        <w:rPr>
          <w:rFonts w:cs="Times New Roman"/>
        </w:rPr>
        <w:t>Seidl-Seiboth</w:t>
      </w:r>
      <w:proofErr w:type="spellEnd"/>
      <w:r>
        <w:rPr>
          <w:rFonts w:cs="Times New Roman"/>
        </w:rPr>
        <w:t>, V., Herrera-Estre</w:t>
      </w:r>
      <w:r>
        <w:rPr>
          <w:rFonts w:cs="Times New Roman"/>
        </w:rPr>
        <w:t xml:space="preserve">lla, A., Horwitz, B. A., </w:t>
      </w:r>
      <w:proofErr w:type="spellStart"/>
      <w:r>
        <w:rPr>
          <w:rFonts w:cs="Times New Roman"/>
        </w:rPr>
        <w:t>Kenerley</w:t>
      </w:r>
      <w:proofErr w:type="spellEnd"/>
      <w:r>
        <w:rPr>
          <w:rFonts w:cs="Times New Roman"/>
        </w:rPr>
        <w:t xml:space="preserve">, C. M., Monte, E., Mukherjee, P. K., Zeilinger, S., Grigoriev, I. V., &amp; Kubicek, C. P. (2011). </w:t>
      </w:r>
      <w:r>
        <w:rPr>
          <w:rFonts w:cs="Times New Roman"/>
          <w:i/>
          <w:iCs/>
        </w:rPr>
        <w:t>Trichoderma</w:t>
      </w:r>
      <w:r>
        <w:rPr>
          <w:rFonts w:cs="Times New Roman"/>
        </w:rPr>
        <w:t xml:space="preserve">: The genomics of opportunistic success. </w:t>
      </w:r>
      <w:r>
        <w:rPr>
          <w:rFonts w:cs="Times New Roman"/>
          <w:i/>
          <w:iCs/>
        </w:rPr>
        <w:t>Nature Reviews Microbiology</w:t>
      </w:r>
      <w:r>
        <w:rPr>
          <w:rFonts w:cs="Times New Roman"/>
        </w:rPr>
        <w:t xml:space="preserve">, 9, 749–759. </w:t>
      </w:r>
      <w:hyperlink r:id="rId20" w:history="1">
        <w:r w:rsidR="00F15FD7">
          <w:rPr>
            <w:rStyle w:val="Hyperlink"/>
            <w:rFonts w:cs="Times New Roman"/>
            <w:sz w:val="22"/>
          </w:rPr>
          <w:t>https://doi.org/10.1038/nrmicro2637</w:t>
        </w:r>
      </w:hyperlink>
    </w:p>
    <w:p w14:paraId="4EE3D1E6" w14:textId="77777777" w:rsidR="00F15FD7" w:rsidRDefault="00563E74">
      <w:pPr>
        <w:pStyle w:val="ListParagraph"/>
        <w:numPr>
          <w:ilvl w:val="0"/>
          <w:numId w:val="3"/>
        </w:numPr>
        <w:spacing w:after="0"/>
        <w:jc w:val="both"/>
        <w:rPr>
          <w:rFonts w:cs="Times New Roman"/>
        </w:rPr>
      </w:pPr>
      <w:r>
        <w:rPr>
          <w:rFonts w:cs="Times New Roman"/>
        </w:rPr>
        <w:t xml:space="preserve">FAO. (2012). </w:t>
      </w:r>
      <w:r>
        <w:rPr>
          <w:rFonts w:cs="Times New Roman"/>
          <w:i/>
          <w:iCs/>
        </w:rPr>
        <w:t>FAOSTAT: Food and agriculture data.</w:t>
      </w:r>
      <w:r>
        <w:rPr>
          <w:rFonts w:cs="Times New Roman"/>
        </w:rPr>
        <w:t xml:space="preserve"> Food and Agriculture Organization of the United Nations. </w:t>
      </w:r>
      <w:hyperlink r:id="rId21" w:anchor="data/" w:history="1">
        <w:r w:rsidR="00F15FD7">
          <w:rPr>
            <w:rStyle w:val="Hyperlink"/>
            <w:rFonts w:cs="Times New Roman"/>
            <w:sz w:val="22"/>
          </w:rPr>
          <w:t>http://www.fao.org/faostat/en/#data/</w:t>
        </w:r>
      </w:hyperlink>
    </w:p>
    <w:p w14:paraId="14F853FA" w14:textId="77777777" w:rsidR="00F15FD7" w:rsidRDefault="00563E74">
      <w:pPr>
        <w:pStyle w:val="ListParagraph"/>
        <w:numPr>
          <w:ilvl w:val="0"/>
          <w:numId w:val="3"/>
        </w:numPr>
        <w:spacing w:after="0"/>
        <w:jc w:val="both"/>
        <w:rPr>
          <w:rFonts w:cs="Times New Roman"/>
        </w:rPr>
      </w:pPr>
      <w:proofErr w:type="spellStart"/>
      <w:r>
        <w:rPr>
          <w:rFonts w:cs="Times New Roman"/>
        </w:rPr>
        <w:t>H</w:t>
      </w:r>
      <w:r>
        <w:rPr>
          <w:rFonts w:cs="Times New Roman"/>
        </w:rPr>
        <w:t>ewavitharana</w:t>
      </w:r>
      <w:proofErr w:type="spellEnd"/>
      <w:r>
        <w:rPr>
          <w:rFonts w:cs="Times New Roman"/>
        </w:rPr>
        <w:t xml:space="preserve">, N., Jayasekara, C., &amp; </w:t>
      </w:r>
      <w:proofErr w:type="spellStart"/>
      <w:r>
        <w:rPr>
          <w:rFonts w:cs="Times New Roman"/>
        </w:rPr>
        <w:t>Somaratne</w:t>
      </w:r>
      <w:proofErr w:type="spellEnd"/>
      <w:r>
        <w:rPr>
          <w:rFonts w:cs="Times New Roman"/>
        </w:rPr>
        <w:t xml:space="preserve">, S. (2018). Use of </w:t>
      </w:r>
      <w:r>
        <w:rPr>
          <w:rFonts w:cs="Times New Roman"/>
          <w:i/>
          <w:iCs/>
        </w:rPr>
        <w:t>Trichoderma</w:t>
      </w:r>
      <w:r>
        <w:rPr>
          <w:rFonts w:cs="Times New Roman"/>
        </w:rPr>
        <w:t xml:space="preserve"> spp. for biological control of plant pathogens: A review. </w:t>
      </w:r>
      <w:r>
        <w:rPr>
          <w:rFonts w:cs="Times New Roman"/>
          <w:i/>
          <w:iCs/>
        </w:rPr>
        <w:t>International Journal of Applied Sciences and Biotechnology</w:t>
      </w:r>
      <w:r>
        <w:rPr>
          <w:rFonts w:cs="Times New Roman"/>
        </w:rPr>
        <w:t xml:space="preserve">, 6(4), 285–293. </w:t>
      </w:r>
      <w:hyperlink r:id="rId22" w:history="1">
        <w:r w:rsidR="00F15FD7">
          <w:rPr>
            <w:rStyle w:val="Hyperlink"/>
            <w:rFonts w:cs="Times New Roman"/>
            <w:sz w:val="22"/>
          </w:rPr>
          <w:t>https://doi.org/10.3126/ijasbt.v6i4.22128</w:t>
        </w:r>
      </w:hyperlink>
    </w:p>
    <w:p w14:paraId="15BA551F" w14:textId="77777777" w:rsidR="00F15FD7" w:rsidRDefault="00563E74">
      <w:pPr>
        <w:pStyle w:val="ListParagraph"/>
        <w:numPr>
          <w:ilvl w:val="0"/>
          <w:numId w:val="3"/>
        </w:numPr>
        <w:spacing w:after="0"/>
        <w:jc w:val="both"/>
        <w:rPr>
          <w:rFonts w:cs="Times New Roman"/>
        </w:rPr>
      </w:pPr>
      <w:r>
        <w:rPr>
          <w:rFonts w:cs="Times New Roman"/>
        </w:rPr>
        <w:t xml:space="preserve">Ji, K., Wang, Y., Sun, W., Lou, Q., Mei, H., Shen, S., &amp; Chen, H. (2012). Drought-responsive mechanisms in rice genotypes with contrasting drought tolerance during reproductive stage. </w:t>
      </w:r>
      <w:r>
        <w:rPr>
          <w:rFonts w:cs="Times New Roman"/>
          <w:i/>
          <w:iCs/>
        </w:rPr>
        <w:t xml:space="preserve">Journal of Plant </w:t>
      </w:r>
      <w:r>
        <w:rPr>
          <w:rFonts w:cs="Times New Roman"/>
          <w:i/>
          <w:iCs/>
        </w:rPr>
        <w:t>Physiology</w:t>
      </w:r>
      <w:r>
        <w:rPr>
          <w:rFonts w:cs="Times New Roman"/>
        </w:rPr>
        <w:t xml:space="preserve">, 169(1), 53–63. </w:t>
      </w:r>
      <w:hyperlink r:id="rId23" w:history="1">
        <w:r w:rsidR="00F15FD7">
          <w:rPr>
            <w:rStyle w:val="Hyperlink"/>
            <w:rFonts w:cs="Times New Roman"/>
            <w:sz w:val="22"/>
          </w:rPr>
          <w:t>https://doi.org/10.1016/j.jplph.2011.08.012</w:t>
        </w:r>
      </w:hyperlink>
    </w:p>
    <w:p w14:paraId="28603BB0" w14:textId="77777777" w:rsidR="00F15FD7" w:rsidRDefault="00563E74">
      <w:pPr>
        <w:pStyle w:val="ListParagraph"/>
        <w:numPr>
          <w:ilvl w:val="0"/>
          <w:numId w:val="3"/>
        </w:numPr>
        <w:spacing w:after="0"/>
        <w:jc w:val="both"/>
        <w:rPr>
          <w:rFonts w:cs="Times New Roman"/>
        </w:rPr>
      </w:pPr>
      <w:proofErr w:type="spellStart"/>
      <w:r>
        <w:rPr>
          <w:rFonts w:cs="Times New Roman"/>
        </w:rPr>
        <w:t>Lisar</w:t>
      </w:r>
      <w:proofErr w:type="spellEnd"/>
      <w:r>
        <w:rPr>
          <w:rFonts w:cs="Times New Roman"/>
        </w:rPr>
        <w:t xml:space="preserve">, S. Y., </w:t>
      </w:r>
      <w:proofErr w:type="spellStart"/>
      <w:r>
        <w:rPr>
          <w:rFonts w:cs="Times New Roman"/>
        </w:rPr>
        <w:t>Motafakkerazad</w:t>
      </w:r>
      <w:proofErr w:type="spellEnd"/>
      <w:r>
        <w:rPr>
          <w:rFonts w:cs="Times New Roman"/>
        </w:rPr>
        <w:t>, R., Hossain, M. M., &amp; Rahman, I. M. (2012). Water stress in plants: Causes, effects and respons</w:t>
      </w:r>
      <w:r>
        <w:rPr>
          <w:rFonts w:cs="Times New Roman"/>
        </w:rPr>
        <w:t xml:space="preserve">es. In </w:t>
      </w:r>
      <w:r>
        <w:rPr>
          <w:rFonts w:cs="Times New Roman"/>
          <w:i/>
          <w:iCs/>
        </w:rPr>
        <w:t>Water stress</w:t>
      </w:r>
      <w:r>
        <w:rPr>
          <w:rFonts w:cs="Times New Roman"/>
        </w:rPr>
        <w:t xml:space="preserve">. </w:t>
      </w:r>
      <w:proofErr w:type="spellStart"/>
      <w:r>
        <w:rPr>
          <w:rFonts w:cs="Times New Roman"/>
        </w:rPr>
        <w:t>InTech</w:t>
      </w:r>
      <w:proofErr w:type="spellEnd"/>
      <w:r>
        <w:rPr>
          <w:rFonts w:cs="Times New Roman"/>
        </w:rPr>
        <w:t>.</w:t>
      </w:r>
    </w:p>
    <w:p w14:paraId="0EDE95F9" w14:textId="77777777" w:rsidR="00F15FD7" w:rsidRDefault="00563E74">
      <w:pPr>
        <w:pStyle w:val="ListParagraph"/>
        <w:numPr>
          <w:ilvl w:val="0"/>
          <w:numId w:val="3"/>
        </w:numPr>
        <w:spacing w:after="0"/>
        <w:jc w:val="both"/>
        <w:rPr>
          <w:rFonts w:cs="Times New Roman"/>
        </w:rPr>
      </w:pPr>
      <w:r>
        <w:rPr>
          <w:rFonts w:cs="Times New Roman"/>
        </w:rPr>
        <w:t xml:space="preserve">Mukherjee, P. K., Horwitz, B. A., Herrera-Estrella, A., Schmoll, M., &amp; </w:t>
      </w:r>
      <w:proofErr w:type="spellStart"/>
      <w:r>
        <w:rPr>
          <w:rFonts w:cs="Times New Roman"/>
        </w:rPr>
        <w:t>Kenerley</w:t>
      </w:r>
      <w:proofErr w:type="spellEnd"/>
      <w:r>
        <w:rPr>
          <w:rFonts w:cs="Times New Roman"/>
        </w:rPr>
        <w:t xml:space="preserve">, C. M. (2013). Trichoderma research in the genome era. </w:t>
      </w:r>
      <w:r>
        <w:rPr>
          <w:rFonts w:cs="Times New Roman"/>
          <w:i/>
          <w:iCs/>
        </w:rPr>
        <w:t>Annual Review of Phytopathology</w:t>
      </w:r>
      <w:r>
        <w:rPr>
          <w:rFonts w:cs="Times New Roman"/>
        </w:rPr>
        <w:t xml:space="preserve">, 51, 105–129. </w:t>
      </w:r>
      <w:hyperlink r:id="rId24" w:history="1">
        <w:r w:rsidR="00F15FD7">
          <w:rPr>
            <w:rStyle w:val="Hyperlink"/>
            <w:rFonts w:cs="Times New Roman"/>
            <w:sz w:val="22"/>
          </w:rPr>
          <w:t>https://doi.org/10.1146/annurev-phyto-082712-102353</w:t>
        </w:r>
      </w:hyperlink>
    </w:p>
    <w:p w14:paraId="0C2C2C6E" w14:textId="77777777" w:rsidR="00F15FD7" w:rsidRDefault="00563E74">
      <w:pPr>
        <w:pStyle w:val="ListParagraph"/>
        <w:numPr>
          <w:ilvl w:val="0"/>
          <w:numId w:val="3"/>
        </w:numPr>
        <w:spacing w:after="0"/>
        <w:jc w:val="both"/>
        <w:rPr>
          <w:rFonts w:cs="Times New Roman"/>
        </w:rPr>
      </w:pPr>
      <w:r>
        <w:rPr>
          <w:rFonts w:cs="Times New Roman"/>
        </w:rPr>
        <w:lastRenderedPageBreak/>
        <w:t xml:space="preserve">Saha, K. C., Uddin, M. K., Shaha, P. K., Hossain Chowdhury, M. A., Hassan, L., &amp; Saha, B. K. (2024). Application of </w:t>
      </w:r>
      <w:r>
        <w:rPr>
          <w:rFonts w:cs="Times New Roman"/>
          <w:i/>
          <w:iCs/>
        </w:rPr>
        <w:t xml:space="preserve">Trichoderma </w:t>
      </w:r>
      <w:proofErr w:type="spellStart"/>
      <w:r>
        <w:rPr>
          <w:rFonts w:cs="Times New Roman"/>
          <w:i/>
          <w:iCs/>
        </w:rPr>
        <w:t>harzianum</w:t>
      </w:r>
      <w:proofErr w:type="spellEnd"/>
      <w:r>
        <w:rPr>
          <w:rFonts w:cs="Times New Roman"/>
        </w:rPr>
        <w:t xml:space="preserve"> enhances salt tolerance and yield of Indian </w:t>
      </w:r>
      <w:r>
        <w:rPr>
          <w:rFonts w:cs="Times New Roman"/>
        </w:rPr>
        <w:t xml:space="preserve">mustard through increasing antioxidant enzyme activity. </w:t>
      </w:r>
      <w:proofErr w:type="spellStart"/>
      <w:r>
        <w:rPr>
          <w:rFonts w:cs="Times New Roman"/>
          <w:i/>
          <w:iCs/>
        </w:rPr>
        <w:t>Heliyon</w:t>
      </w:r>
      <w:proofErr w:type="spellEnd"/>
      <w:r>
        <w:rPr>
          <w:rFonts w:cs="Times New Roman"/>
        </w:rPr>
        <w:t xml:space="preserve">, 11, e41114. </w:t>
      </w:r>
      <w:hyperlink r:id="rId25" w:history="1">
        <w:r w:rsidR="00F15FD7">
          <w:rPr>
            <w:rStyle w:val="Hyperlink"/>
            <w:rFonts w:cs="Times New Roman"/>
            <w:sz w:val="22"/>
          </w:rPr>
          <w:t>https://doi.org/10.1016/j.heliyon.2024.e41114</w:t>
        </w:r>
      </w:hyperlink>
    </w:p>
    <w:p w14:paraId="15B12991" w14:textId="77777777" w:rsidR="00F15FD7" w:rsidRDefault="00563E74">
      <w:pPr>
        <w:pStyle w:val="ListParagraph"/>
        <w:numPr>
          <w:ilvl w:val="0"/>
          <w:numId w:val="3"/>
        </w:numPr>
        <w:spacing w:after="0"/>
        <w:jc w:val="both"/>
        <w:rPr>
          <w:rFonts w:cs="Times New Roman"/>
        </w:rPr>
      </w:pPr>
      <w:r>
        <w:rPr>
          <w:rFonts w:cs="Times New Roman"/>
        </w:rPr>
        <w:t xml:space="preserve">Sharma, K. K., &amp; Singh, U. S. (2014). Cultural and morphological characterization of </w:t>
      </w:r>
      <w:proofErr w:type="spellStart"/>
      <w:r>
        <w:rPr>
          <w:rFonts w:cs="Times New Roman"/>
        </w:rPr>
        <w:t>rhizospheric</w:t>
      </w:r>
      <w:proofErr w:type="spellEnd"/>
      <w:r>
        <w:rPr>
          <w:rFonts w:cs="Times New Roman"/>
        </w:rPr>
        <w:t xml:space="preserve"> isolates of fungal antagonist </w:t>
      </w:r>
      <w:r>
        <w:rPr>
          <w:rFonts w:cs="Times New Roman"/>
          <w:i/>
          <w:iCs/>
        </w:rPr>
        <w:t>Trichoderma</w:t>
      </w:r>
      <w:r>
        <w:rPr>
          <w:rFonts w:cs="Times New Roman"/>
        </w:rPr>
        <w:t xml:space="preserve">. </w:t>
      </w:r>
      <w:r>
        <w:rPr>
          <w:rFonts w:cs="Times New Roman"/>
          <w:i/>
          <w:iCs/>
        </w:rPr>
        <w:t>Journal of Applied and Natural Science</w:t>
      </w:r>
      <w:r>
        <w:rPr>
          <w:rFonts w:cs="Times New Roman"/>
        </w:rPr>
        <w:t>, 6(2), 451–456.</w:t>
      </w:r>
    </w:p>
    <w:p w14:paraId="48945C98" w14:textId="77777777" w:rsidR="00F15FD7" w:rsidRDefault="00563E74">
      <w:pPr>
        <w:pStyle w:val="ListParagraph"/>
        <w:numPr>
          <w:ilvl w:val="0"/>
          <w:numId w:val="3"/>
        </w:numPr>
        <w:spacing w:after="0"/>
        <w:jc w:val="both"/>
        <w:rPr>
          <w:rFonts w:cs="Times New Roman"/>
        </w:rPr>
      </w:pPr>
      <w:r>
        <w:rPr>
          <w:rFonts w:cs="Times New Roman"/>
        </w:rPr>
        <w:t>Zhang, F., Wang, Y., Liu, C., Chen, F., Ge, H., Tian, F., Ya</w:t>
      </w:r>
      <w:r>
        <w:rPr>
          <w:rFonts w:cs="Times New Roman"/>
        </w:rPr>
        <w:t xml:space="preserve">ng, T., Ma, K., &amp; Zhang, Y. (2019). </w:t>
      </w:r>
      <w:r>
        <w:rPr>
          <w:rFonts w:cs="Times New Roman"/>
          <w:i/>
          <w:iCs/>
        </w:rPr>
        <w:t xml:space="preserve">Trichoderma </w:t>
      </w:r>
      <w:proofErr w:type="spellStart"/>
      <w:r>
        <w:rPr>
          <w:rFonts w:cs="Times New Roman"/>
          <w:i/>
          <w:iCs/>
        </w:rPr>
        <w:t>harzianum</w:t>
      </w:r>
      <w:proofErr w:type="spellEnd"/>
      <w:r>
        <w:rPr>
          <w:rFonts w:cs="Times New Roman"/>
        </w:rPr>
        <w:t xml:space="preserve"> mitigates salt stress in cucumber via multiple responses. </w:t>
      </w:r>
      <w:r>
        <w:rPr>
          <w:rFonts w:cs="Times New Roman"/>
          <w:i/>
          <w:iCs/>
        </w:rPr>
        <w:t>Ecotoxicology and Environmental Safety</w:t>
      </w:r>
      <w:r>
        <w:rPr>
          <w:rFonts w:cs="Times New Roman"/>
        </w:rPr>
        <w:t xml:space="preserve">, 170, 436–445. </w:t>
      </w:r>
      <w:hyperlink r:id="rId26" w:history="1">
        <w:r w:rsidR="00F15FD7">
          <w:rPr>
            <w:rStyle w:val="Hyperlink"/>
            <w:rFonts w:cs="Times New Roman"/>
            <w:sz w:val="22"/>
          </w:rPr>
          <w:t>https://doi.org/10.1016/j.ecoenv.2018.11.046</w:t>
        </w:r>
      </w:hyperlink>
    </w:p>
    <w:p w14:paraId="7EB1008B" w14:textId="77777777" w:rsidR="00F15FD7" w:rsidRDefault="00563E74">
      <w:pPr>
        <w:pStyle w:val="ListParagraph"/>
        <w:numPr>
          <w:ilvl w:val="0"/>
          <w:numId w:val="3"/>
        </w:numPr>
        <w:spacing w:after="0"/>
        <w:rPr>
          <w:rFonts w:cs="Times New Roman"/>
        </w:rPr>
      </w:pPr>
      <w:r>
        <w:rPr>
          <w:rFonts w:cs="Times New Roman"/>
        </w:rPr>
        <w:t xml:space="preserve">Laird, D. A., Fleming, P., Davis, D. D., Horton, R., Wang, B., &amp; Karlen, D. L. (2010). Impact of biochar amendments on the quality of a typical Midwestern agricultural soil. </w:t>
      </w:r>
      <w:proofErr w:type="spellStart"/>
      <w:r>
        <w:rPr>
          <w:rFonts w:cs="Times New Roman"/>
          <w:i/>
          <w:iCs/>
        </w:rPr>
        <w:t>Geoderma</w:t>
      </w:r>
      <w:proofErr w:type="spellEnd"/>
      <w:r>
        <w:rPr>
          <w:rFonts w:cs="Times New Roman"/>
        </w:rPr>
        <w:t xml:space="preserve">, </w:t>
      </w:r>
      <w:r>
        <w:rPr>
          <w:rFonts w:cs="Times New Roman"/>
          <w:i/>
          <w:iCs/>
        </w:rPr>
        <w:t>158</w:t>
      </w:r>
      <w:r>
        <w:rPr>
          <w:rFonts w:cs="Times New Roman"/>
        </w:rPr>
        <w:t>(3-4), 443-449.</w:t>
      </w:r>
    </w:p>
    <w:p w14:paraId="676EBFB7" w14:textId="77777777" w:rsidR="00F15FD7" w:rsidRDefault="00563E74">
      <w:pPr>
        <w:pStyle w:val="ListParagraph"/>
        <w:numPr>
          <w:ilvl w:val="0"/>
          <w:numId w:val="3"/>
        </w:numPr>
        <w:spacing w:after="0"/>
        <w:rPr>
          <w:rFonts w:cs="Times New Roman"/>
        </w:rPr>
      </w:pPr>
      <w:r>
        <w:rPr>
          <w:rFonts w:cs="Times New Roman"/>
        </w:rPr>
        <w:t>Hossain, M. Z., Bahar, M. M., Sar</w:t>
      </w:r>
      <w:r>
        <w:rPr>
          <w:rFonts w:cs="Times New Roman"/>
        </w:rPr>
        <w:t xml:space="preserve">kar, B., Donne, S. W., Ok, Y. S., </w:t>
      </w:r>
      <w:proofErr w:type="spellStart"/>
      <w:r>
        <w:rPr>
          <w:rFonts w:cs="Times New Roman"/>
        </w:rPr>
        <w:t>Palansooriya</w:t>
      </w:r>
      <w:proofErr w:type="spellEnd"/>
      <w:r>
        <w:rPr>
          <w:rFonts w:cs="Times New Roman"/>
        </w:rPr>
        <w:t xml:space="preserve">, K. N., ... &amp; Bolan, N. (2020). Biochar and its importance on nutrient dynamics in soil and plant. </w:t>
      </w:r>
      <w:r>
        <w:rPr>
          <w:rFonts w:cs="Times New Roman"/>
          <w:i/>
          <w:iCs/>
        </w:rPr>
        <w:t>Biochar</w:t>
      </w:r>
      <w:r>
        <w:rPr>
          <w:rFonts w:cs="Times New Roman"/>
        </w:rPr>
        <w:t xml:space="preserve">, </w:t>
      </w:r>
      <w:r>
        <w:rPr>
          <w:rFonts w:cs="Times New Roman"/>
          <w:i/>
          <w:iCs/>
        </w:rPr>
        <w:t>2</w:t>
      </w:r>
      <w:r>
        <w:rPr>
          <w:rFonts w:cs="Times New Roman"/>
        </w:rPr>
        <w:t>(4), 379-420.</w:t>
      </w:r>
    </w:p>
    <w:p w14:paraId="1EBDCCFD" w14:textId="77777777" w:rsidR="00F15FD7" w:rsidRDefault="00563E74">
      <w:pPr>
        <w:pStyle w:val="ListParagraph"/>
        <w:numPr>
          <w:ilvl w:val="0"/>
          <w:numId w:val="3"/>
        </w:numPr>
        <w:spacing w:after="0"/>
        <w:rPr>
          <w:rFonts w:cs="Times New Roman"/>
        </w:rPr>
      </w:pPr>
      <w:r>
        <w:rPr>
          <w:rFonts w:cs="Times New Roman"/>
        </w:rPr>
        <w:t>Kumar, Y., Ren, W., Tao, H., Tao, B., &amp; Lindsey, L. E. (2025). Impact of biochar amend</w:t>
      </w:r>
      <w:r>
        <w:rPr>
          <w:rFonts w:cs="Times New Roman"/>
        </w:rPr>
        <w:t xml:space="preserve">ment on soil microbial biomass carbon enhancement under field experiments: a meta-analysis. </w:t>
      </w:r>
      <w:r>
        <w:rPr>
          <w:rFonts w:cs="Times New Roman"/>
          <w:i/>
          <w:iCs/>
        </w:rPr>
        <w:t>Biochar</w:t>
      </w:r>
      <w:r>
        <w:rPr>
          <w:rFonts w:cs="Times New Roman"/>
        </w:rPr>
        <w:t xml:space="preserve">, </w:t>
      </w:r>
      <w:r>
        <w:rPr>
          <w:rFonts w:cs="Times New Roman"/>
          <w:i/>
          <w:iCs/>
        </w:rPr>
        <w:t>7</w:t>
      </w:r>
      <w:r>
        <w:rPr>
          <w:rFonts w:cs="Times New Roman"/>
        </w:rPr>
        <w:t>(1), 2.</w:t>
      </w:r>
    </w:p>
    <w:p w14:paraId="726DC2E6" w14:textId="77777777" w:rsidR="00F15FD7" w:rsidRDefault="00563E74">
      <w:pPr>
        <w:pStyle w:val="ListParagraph"/>
        <w:numPr>
          <w:ilvl w:val="0"/>
          <w:numId w:val="3"/>
        </w:numPr>
        <w:spacing w:after="0"/>
        <w:rPr>
          <w:rFonts w:cs="Times New Roman"/>
        </w:rPr>
      </w:pPr>
      <w:r>
        <w:rPr>
          <w:rFonts w:cs="Times New Roman"/>
        </w:rPr>
        <w:t>Mao, T., Wang, Y., Ning, S., Mao, J., Sheng, J., &amp; Jiang, P. (2024). Assessment of the effects of biochar on the physicochemical properties of sal</w:t>
      </w:r>
      <w:r>
        <w:rPr>
          <w:rFonts w:cs="Times New Roman"/>
        </w:rPr>
        <w:t xml:space="preserve">ine–alkali soil based on meta-analysis. </w:t>
      </w:r>
      <w:r>
        <w:rPr>
          <w:rFonts w:cs="Times New Roman"/>
          <w:i/>
          <w:iCs/>
        </w:rPr>
        <w:t>Agronomy</w:t>
      </w:r>
      <w:r>
        <w:rPr>
          <w:rFonts w:cs="Times New Roman"/>
        </w:rPr>
        <w:t xml:space="preserve">, </w:t>
      </w:r>
      <w:r>
        <w:rPr>
          <w:rFonts w:cs="Times New Roman"/>
          <w:i/>
          <w:iCs/>
        </w:rPr>
        <w:t>14</w:t>
      </w:r>
      <w:r>
        <w:rPr>
          <w:rFonts w:cs="Times New Roman"/>
        </w:rPr>
        <w:t>(10), 2431.</w:t>
      </w:r>
    </w:p>
    <w:p w14:paraId="77DAEC36" w14:textId="77777777" w:rsidR="00F15FD7" w:rsidRDefault="00563E74">
      <w:pPr>
        <w:pStyle w:val="ListParagraph"/>
        <w:numPr>
          <w:ilvl w:val="0"/>
          <w:numId w:val="3"/>
        </w:numPr>
        <w:spacing w:after="0"/>
        <w:rPr>
          <w:rFonts w:cs="Times New Roman"/>
        </w:rPr>
      </w:pPr>
      <w:r>
        <w:rPr>
          <w:rFonts w:cs="Times New Roman"/>
        </w:rPr>
        <w:t xml:space="preserve">Jeffery, S., </w:t>
      </w:r>
      <w:proofErr w:type="spellStart"/>
      <w:r>
        <w:rPr>
          <w:rFonts w:cs="Times New Roman"/>
        </w:rPr>
        <w:t>Memelink</w:t>
      </w:r>
      <w:proofErr w:type="spellEnd"/>
      <w:r>
        <w:rPr>
          <w:rFonts w:cs="Times New Roman"/>
        </w:rPr>
        <w:t xml:space="preserve">, I., Hodgson, E., Jones, S., Van De Voorde, T. F., Martijn Bezemer, T., ... &amp; Van </w:t>
      </w:r>
      <w:proofErr w:type="spellStart"/>
      <w:r>
        <w:rPr>
          <w:rFonts w:cs="Times New Roman"/>
        </w:rPr>
        <w:t>Groenigen</w:t>
      </w:r>
      <w:proofErr w:type="spellEnd"/>
      <w:r>
        <w:rPr>
          <w:rFonts w:cs="Times New Roman"/>
        </w:rPr>
        <w:t>, J. W. (2017). Initial biochar effects on plant productivity derive from N fer</w:t>
      </w:r>
      <w:r>
        <w:rPr>
          <w:rFonts w:cs="Times New Roman"/>
        </w:rPr>
        <w:t xml:space="preserve">tilization. </w:t>
      </w:r>
      <w:r>
        <w:rPr>
          <w:rFonts w:cs="Times New Roman"/>
          <w:i/>
          <w:iCs/>
        </w:rPr>
        <w:t>Plant and Soil</w:t>
      </w:r>
      <w:r>
        <w:rPr>
          <w:rFonts w:cs="Times New Roman"/>
        </w:rPr>
        <w:t xml:space="preserve">, </w:t>
      </w:r>
      <w:r>
        <w:rPr>
          <w:rFonts w:cs="Times New Roman"/>
          <w:i/>
          <w:iCs/>
        </w:rPr>
        <w:t>415</w:t>
      </w:r>
      <w:r>
        <w:rPr>
          <w:rFonts w:cs="Times New Roman"/>
        </w:rPr>
        <w:t>(1), 435-448.</w:t>
      </w:r>
    </w:p>
    <w:p w14:paraId="24A4BACC" w14:textId="77777777" w:rsidR="00F15FD7" w:rsidRDefault="00563E74">
      <w:pPr>
        <w:pStyle w:val="ListParagraph"/>
        <w:numPr>
          <w:ilvl w:val="0"/>
          <w:numId w:val="3"/>
        </w:numPr>
        <w:spacing w:after="0"/>
        <w:rPr>
          <w:rFonts w:cs="Times New Roman"/>
        </w:rPr>
      </w:pPr>
      <w:r>
        <w:rPr>
          <w:rFonts w:cs="Times New Roman"/>
        </w:rPr>
        <w:t xml:space="preserve">Acharya, B. S., </w:t>
      </w:r>
      <w:proofErr w:type="spellStart"/>
      <w:r>
        <w:rPr>
          <w:rFonts w:cs="Times New Roman"/>
        </w:rPr>
        <w:t>Dodla</w:t>
      </w:r>
      <w:proofErr w:type="spellEnd"/>
      <w:r>
        <w:rPr>
          <w:rFonts w:cs="Times New Roman"/>
        </w:rPr>
        <w:t xml:space="preserve">, S., Wang, J. J., Pavuluri, K., </w:t>
      </w:r>
      <w:proofErr w:type="spellStart"/>
      <w:r>
        <w:rPr>
          <w:rFonts w:cs="Times New Roman"/>
        </w:rPr>
        <w:t>Darapuneni</w:t>
      </w:r>
      <w:proofErr w:type="spellEnd"/>
      <w:r>
        <w:rPr>
          <w:rFonts w:cs="Times New Roman"/>
        </w:rPr>
        <w:t xml:space="preserve">, M., </w:t>
      </w:r>
      <w:proofErr w:type="spellStart"/>
      <w:r>
        <w:rPr>
          <w:rFonts w:cs="Times New Roman"/>
        </w:rPr>
        <w:t>Dattamudi</w:t>
      </w:r>
      <w:proofErr w:type="spellEnd"/>
      <w:r>
        <w:rPr>
          <w:rFonts w:cs="Times New Roman"/>
        </w:rPr>
        <w:t xml:space="preserve">, S., ... &amp; Kharel, G. (2024). Biochar impacts on soil water dynamics: knowns, unknowns, and research directions. </w:t>
      </w:r>
      <w:r>
        <w:rPr>
          <w:rFonts w:cs="Times New Roman"/>
          <w:i/>
          <w:iCs/>
        </w:rPr>
        <w:t>Biochar</w:t>
      </w:r>
      <w:r>
        <w:rPr>
          <w:rFonts w:cs="Times New Roman"/>
        </w:rPr>
        <w:t xml:space="preserve">, </w:t>
      </w:r>
      <w:r>
        <w:rPr>
          <w:rFonts w:cs="Times New Roman"/>
          <w:i/>
          <w:iCs/>
        </w:rPr>
        <w:t>6</w:t>
      </w:r>
      <w:r>
        <w:rPr>
          <w:rFonts w:cs="Times New Roman"/>
        </w:rPr>
        <w:t>(1), 34.</w:t>
      </w:r>
    </w:p>
    <w:p w14:paraId="5E9EDC3B" w14:textId="77777777" w:rsidR="00F15FD7" w:rsidRDefault="00563E74">
      <w:pPr>
        <w:pStyle w:val="ListParagraph"/>
        <w:numPr>
          <w:ilvl w:val="0"/>
          <w:numId w:val="3"/>
        </w:numPr>
        <w:spacing w:after="0"/>
        <w:rPr>
          <w:rFonts w:cs="Times New Roman"/>
        </w:rPr>
      </w:pPr>
      <w:r>
        <w:rPr>
          <w:rFonts w:cs="Times New Roman"/>
        </w:rPr>
        <w:t xml:space="preserve">Ernest, B., Yanda, P. Z., Hansson, A., &amp; </w:t>
      </w:r>
      <w:proofErr w:type="spellStart"/>
      <w:r>
        <w:rPr>
          <w:rFonts w:cs="Times New Roman"/>
        </w:rPr>
        <w:t>Fridahl</w:t>
      </w:r>
      <w:proofErr w:type="spellEnd"/>
      <w:r>
        <w:rPr>
          <w:rFonts w:cs="Times New Roman"/>
        </w:rPr>
        <w:t xml:space="preserve">, M. (2024). Long-term effects of adding biochar to soils on organic matter content, persistent carbon storage, and moisture content in </w:t>
      </w:r>
      <w:proofErr w:type="spellStart"/>
      <w:r>
        <w:rPr>
          <w:rFonts w:cs="Times New Roman"/>
        </w:rPr>
        <w:t>Karagwe</w:t>
      </w:r>
      <w:proofErr w:type="spellEnd"/>
      <w:r>
        <w:rPr>
          <w:rFonts w:cs="Times New Roman"/>
        </w:rPr>
        <w:t xml:space="preserve">, Tanzania. </w:t>
      </w:r>
      <w:r>
        <w:rPr>
          <w:rFonts w:cs="Times New Roman"/>
          <w:i/>
          <w:iCs/>
        </w:rPr>
        <w:t>Scientific Reports</w:t>
      </w:r>
      <w:r>
        <w:rPr>
          <w:rFonts w:cs="Times New Roman"/>
        </w:rPr>
        <w:t xml:space="preserve">, </w:t>
      </w:r>
      <w:r>
        <w:rPr>
          <w:rFonts w:cs="Times New Roman"/>
          <w:i/>
          <w:iCs/>
        </w:rPr>
        <w:t>14</w:t>
      </w:r>
      <w:r>
        <w:rPr>
          <w:rFonts w:cs="Times New Roman"/>
        </w:rPr>
        <w:t>(1), 30565.</w:t>
      </w:r>
    </w:p>
    <w:p w14:paraId="0F739F26" w14:textId="77777777" w:rsidR="00F15FD7" w:rsidRDefault="00563E74">
      <w:pPr>
        <w:pStyle w:val="ListParagraph"/>
        <w:numPr>
          <w:ilvl w:val="0"/>
          <w:numId w:val="3"/>
        </w:numPr>
        <w:spacing w:after="0"/>
        <w:rPr>
          <w:rFonts w:cs="Times New Roman"/>
        </w:rPr>
      </w:pPr>
      <w:proofErr w:type="spellStart"/>
      <w:r>
        <w:rPr>
          <w:rFonts w:cs="Times New Roman"/>
        </w:rPr>
        <w:t>Agegnehu</w:t>
      </w:r>
      <w:proofErr w:type="spellEnd"/>
      <w:r>
        <w:rPr>
          <w:rFonts w:cs="Times New Roman"/>
        </w:rPr>
        <w:t>, G., Jema</w:t>
      </w:r>
      <w:r>
        <w:rPr>
          <w:rFonts w:cs="Times New Roman"/>
        </w:rPr>
        <w:t xml:space="preserve">l, K., Abebe, A., &amp; Lulie, B. (2019). Plant growth and oil yield response of lemon grass (Cymbopogon </w:t>
      </w:r>
      <w:proofErr w:type="spellStart"/>
      <w:r>
        <w:rPr>
          <w:rFonts w:cs="Times New Roman"/>
        </w:rPr>
        <w:t>citratuc</w:t>
      </w:r>
      <w:proofErr w:type="spellEnd"/>
      <w:r>
        <w:rPr>
          <w:rFonts w:cs="Times New Roman"/>
        </w:rPr>
        <w:t xml:space="preserve"> L.) to biochar application. </w:t>
      </w:r>
      <w:r>
        <w:rPr>
          <w:rFonts w:cs="Times New Roman"/>
          <w:i/>
          <w:iCs/>
        </w:rPr>
        <w:t>Ethiopian Journal of Agricultural Sciences</w:t>
      </w:r>
      <w:r>
        <w:rPr>
          <w:rFonts w:cs="Times New Roman"/>
        </w:rPr>
        <w:t xml:space="preserve">, </w:t>
      </w:r>
      <w:r>
        <w:rPr>
          <w:rFonts w:cs="Times New Roman"/>
          <w:i/>
          <w:iCs/>
        </w:rPr>
        <w:t>29</w:t>
      </w:r>
      <w:r>
        <w:rPr>
          <w:rFonts w:cs="Times New Roman"/>
        </w:rPr>
        <w:t>(3), 1-12.</w:t>
      </w:r>
    </w:p>
    <w:p w14:paraId="61AD34DE" w14:textId="77777777" w:rsidR="00F15FD7" w:rsidRDefault="00563E74">
      <w:pPr>
        <w:pStyle w:val="ListParagraph"/>
        <w:numPr>
          <w:ilvl w:val="0"/>
          <w:numId w:val="3"/>
        </w:numPr>
        <w:spacing w:after="0"/>
        <w:rPr>
          <w:rFonts w:cs="Times New Roman"/>
        </w:rPr>
      </w:pPr>
      <w:r>
        <w:rPr>
          <w:rFonts w:cs="Times New Roman"/>
        </w:rPr>
        <w:t>Hossain, M. Z., Bahar, M. M., Sarkar, B., Donne, S. W., Ok, Y</w:t>
      </w:r>
      <w:r>
        <w:rPr>
          <w:rFonts w:cs="Times New Roman"/>
        </w:rPr>
        <w:t xml:space="preserve">. S., </w:t>
      </w:r>
      <w:proofErr w:type="spellStart"/>
      <w:r>
        <w:rPr>
          <w:rFonts w:cs="Times New Roman"/>
        </w:rPr>
        <w:t>Palansooriya</w:t>
      </w:r>
      <w:proofErr w:type="spellEnd"/>
      <w:r>
        <w:rPr>
          <w:rFonts w:cs="Times New Roman"/>
        </w:rPr>
        <w:t xml:space="preserve">, K. N., ... &amp; Bolan, N. (2020). Biochar and its importance on nutrient dynamics in soil and plant. </w:t>
      </w:r>
      <w:r>
        <w:rPr>
          <w:rFonts w:cs="Times New Roman"/>
          <w:i/>
          <w:iCs/>
        </w:rPr>
        <w:t>Biochar</w:t>
      </w:r>
      <w:r>
        <w:rPr>
          <w:rFonts w:cs="Times New Roman"/>
        </w:rPr>
        <w:t xml:space="preserve">, </w:t>
      </w:r>
      <w:r>
        <w:rPr>
          <w:rFonts w:cs="Times New Roman"/>
          <w:i/>
          <w:iCs/>
        </w:rPr>
        <w:t>2</w:t>
      </w:r>
      <w:r>
        <w:rPr>
          <w:rFonts w:cs="Times New Roman"/>
        </w:rPr>
        <w:t>(4), 379-420.</w:t>
      </w:r>
    </w:p>
    <w:p w14:paraId="4CD20E1A" w14:textId="77777777" w:rsidR="00F15FD7" w:rsidRDefault="00563E74">
      <w:pPr>
        <w:pStyle w:val="ListParagraph"/>
        <w:numPr>
          <w:ilvl w:val="0"/>
          <w:numId w:val="3"/>
        </w:numPr>
        <w:spacing w:after="0"/>
        <w:rPr>
          <w:rFonts w:cs="Times New Roman"/>
        </w:rPr>
      </w:pPr>
      <w:r>
        <w:rPr>
          <w:rFonts w:cs="Times New Roman"/>
        </w:rPr>
        <w:t>Malik, L., Hussain, S., Shahid, M., Mahmood, F., Ali, H. M., Malik, M., ... &amp; Shahzad, T. (2024). Co-applied bioch</w:t>
      </w:r>
      <w:r>
        <w:rPr>
          <w:rFonts w:cs="Times New Roman"/>
        </w:rPr>
        <w:t xml:space="preserve">ar and drought tolerant PGPRs induced more improvement in soil quality and wheat production than their individual applications under drought conditions. </w:t>
      </w:r>
      <w:proofErr w:type="spellStart"/>
      <w:r>
        <w:rPr>
          <w:rFonts w:cs="Times New Roman"/>
          <w:i/>
          <w:iCs/>
        </w:rPr>
        <w:t>PeerJ</w:t>
      </w:r>
      <w:proofErr w:type="spellEnd"/>
      <w:r>
        <w:rPr>
          <w:rFonts w:cs="Times New Roman"/>
        </w:rPr>
        <w:t xml:space="preserve">, </w:t>
      </w:r>
      <w:r>
        <w:rPr>
          <w:rFonts w:cs="Times New Roman"/>
          <w:i/>
          <w:iCs/>
        </w:rPr>
        <w:t>12</w:t>
      </w:r>
      <w:r>
        <w:rPr>
          <w:rFonts w:cs="Times New Roman"/>
        </w:rPr>
        <w:t>, e18171.</w:t>
      </w:r>
    </w:p>
    <w:p w14:paraId="3173D30A" w14:textId="77777777" w:rsidR="00F15FD7" w:rsidRDefault="00563E74">
      <w:pPr>
        <w:pStyle w:val="ListParagraph"/>
        <w:numPr>
          <w:ilvl w:val="0"/>
          <w:numId w:val="3"/>
        </w:numPr>
        <w:spacing w:after="0"/>
        <w:rPr>
          <w:rFonts w:cs="Times New Roman"/>
        </w:rPr>
      </w:pPr>
      <w:proofErr w:type="spellStart"/>
      <w:r>
        <w:rPr>
          <w:rFonts w:cs="Times New Roman"/>
        </w:rPr>
        <w:t>Adekiya</w:t>
      </w:r>
      <w:proofErr w:type="spellEnd"/>
      <w:r>
        <w:rPr>
          <w:rFonts w:cs="Times New Roman"/>
        </w:rPr>
        <w:t xml:space="preserve">, A. O., Ayorinde, B. B., &amp; </w:t>
      </w:r>
      <w:proofErr w:type="spellStart"/>
      <w:r>
        <w:rPr>
          <w:rFonts w:cs="Times New Roman"/>
        </w:rPr>
        <w:t>Ogunbode</w:t>
      </w:r>
      <w:proofErr w:type="spellEnd"/>
      <w:r>
        <w:rPr>
          <w:rFonts w:cs="Times New Roman"/>
        </w:rPr>
        <w:t>, T. (2024). Combined lime and biochar ap</w:t>
      </w:r>
      <w:r>
        <w:rPr>
          <w:rFonts w:cs="Times New Roman"/>
        </w:rPr>
        <w:t xml:space="preserve">plication enhances cowpea growth and yield in tropical </w:t>
      </w:r>
      <w:proofErr w:type="spellStart"/>
      <w:r>
        <w:rPr>
          <w:rFonts w:cs="Times New Roman"/>
        </w:rPr>
        <w:t>Alfisol</w:t>
      </w:r>
      <w:proofErr w:type="spellEnd"/>
      <w:r>
        <w:rPr>
          <w:rFonts w:cs="Times New Roman"/>
        </w:rPr>
        <w:t xml:space="preserve">. </w:t>
      </w:r>
      <w:r>
        <w:rPr>
          <w:rFonts w:cs="Times New Roman"/>
          <w:i/>
          <w:iCs/>
        </w:rPr>
        <w:t>Scientific Reports</w:t>
      </w:r>
      <w:r>
        <w:rPr>
          <w:rFonts w:cs="Times New Roman"/>
        </w:rPr>
        <w:t xml:space="preserve">, </w:t>
      </w:r>
      <w:r>
        <w:rPr>
          <w:rFonts w:cs="Times New Roman"/>
          <w:i/>
          <w:iCs/>
        </w:rPr>
        <w:t>14</w:t>
      </w:r>
      <w:r>
        <w:rPr>
          <w:rFonts w:cs="Times New Roman"/>
        </w:rPr>
        <w:t>(1), 1389.</w:t>
      </w:r>
    </w:p>
    <w:p w14:paraId="4373E712" w14:textId="77777777" w:rsidR="00F15FD7" w:rsidRDefault="00563E74">
      <w:pPr>
        <w:pStyle w:val="ListParagraph"/>
        <w:numPr>
          <w:ilvl w:val="0"/>
          <w:numId w:val="3"/>
        </w:numPr>
        <w:spacing w:after="0"/>
        <w:rPr>
          <w:rFonts w:cs="Times New Roman"/>
        </w:rPr>
      </w:pPr>
      <w:r>
        <w:rPr>
          <w:rFonts w:cs="Times New Roman"/>
        </w:rPr>
        <w:t xml:space="preserve">Kumar, A., Singh, E., &amp; Lo, S. L. (2024). </w:t>
      </w:r>
      <w:proofErr w:type="spellStart"/>
      <w:r>
        <w:rPr>
          <w:rFonts w:cs="Times New Roman"/>
        </w:rPr>
        <w:t>MXene</w:t>
      </w:r>
      <w:proofErr w:type="spellEnd"/>
      <w:r>
        <w:rPr>
          <w:rFonts w:cs="Times New Roman"/>
        </w:rPr>
        <w:t xml:space="preserve">/biochar composites for enhanced wastewater reclamation and bioenergy production: a kinetics and thermodynamics </w:t>
      </w:r>
      <w:r>
        <w:rPr>
          <w:rFonts w:cs="Times New Roman"/>
        </w:rPr>
        <w:t xml:space="preserve">study. </w:t>
      </w:r>
      <w:r>
        <w:rPr>
          <w:rFonts w:cs="Times New Roman"/>
          <w:i/>
          <w:iCs/>
        </w:rPr>
        <w:t>Chemosphere</w:t>
      </w:r>
      <w:r>
        <w:rPr>
          <w:rFonts w:cs="Times New Roman"/>
        </w:rPr>
        <w:t xml:space="preserve">, </w:t>
      </w:r>
      <w:r>
        <w:rPr>
          <w:rFonts w:cs="Times New Roman"/>
          <w:i/>
          <w:iCs/>
        </w:rPr>
        <w:t>359</w:t>
      </w:r>
      <w:r>
        <w:rPr>
          <w:rFonts w:cs="Times New Roman"/>
        </w:rPr>
        <w:t>, 142268.</w:t>
      </w:r>
    </w:p>
    <w:p w14:paraId="50747F78" w14:textId="77777777" w:rsidR="00F15FD7" w:rsidRDefault="00563E74">
      <w:pPr>
        <w:pStyle w:val="ListParagraph"/>
        <w:numPr>
          <w:ilvl w:val="0"/>
          <w:numId w:val="3"/>
        </w:numPr>
        <w:spacing w:after="0"/>
        <w:rPr>
          <w:rFonts w:cs="Times New Roman"/>
        </w:rPr>
      </w:pPr>
      <w:r>
        <w:rPr>
          <w:rFonts w:cs="Times New Roman"/>
        </w:rPr>
        <w:lastRenderedPageBreak/>
        <w:t xml:space="preserve">Su, Z., Liu, X., Wang, Z., &amp; Wang, J. (2024). Biochar effects on salt-affected soil properties and plant productivity: A global meta-analysis. </w:t>
      </w:r>
      <w:r>
        <w:rPr>
          <w:rFonts w:cs="Times New Roman"/>
          <w:i/>
          <w:iCs/>
        </w:rPr>
        <w:t>Journal of Environmental Management</w:t>
      </w:r>
      <w:r>
        <w:rPr>
          <w:rFonts w:cs="Times New Roman"/>
        </w:rPr>
        <w:t xml:space="preserve">, </w:t>
      </w:r>
      <w:r>
        <w:rPr>
          <w:rFonts w:cs="Times New Roman"/>
          <w:i/>
          <w:iCs/>
        </w:rPr>
        <w:t>366</w:t>
      </w:r>
      <w:r>
        <w:rPr>
          <w:rFonts w:cs="Times New Roman"/>
        </w:rPr>
        <w:t>, 121653.</w:t>
      </w:r>
    </w:p>
    <w:p w14:paraId="204B07F2" w14:textId="77777777" w:rsidR="00F15FD7" w:rsidRDefault="00563E74">
      <w:pPr>
        <w:pStyle w:val="ListParagraph"/>
        <w:numPr>
          <w:ilvl w:val="0"/>
          <w:numId w:val="3"/>
        </w:numPr>
        <w:spacing w:after="0"/>
        <w:rPr>
          <w:rFonts w:cs="Times New Roman"/>
        </w:rPr>
      </w:pPr>
      <w:r>
        <w:rPr>
          <w:rFonts w:cs="Times New Roman"/>
        </w:rPr>
        <w:t xml:space="preserve">Bui, V. K. H., Nguyen, T. P., </w:t>
      </w:r>
      <w:r>
        <w:rPr>
          <w:rFonts w:cs="Times New Roman"/>
        </w:rPr>
        <w:t>Tran, T. P., Nguyen, T. N., Duong, T. N., Nguyen, V. T., ... &amp; Nguyen, X. C. Biochar-based fixed filter columns for water treatment: A comprehensive.</w:t>
      </w:r>
    </w:p>
    <w:p w14:paraId="797C9139" w14:textId="77777777" w:rsidR="00F15FD7" w:rsidRDefault="00563E74">
      <w:pPr>
        <w:pStyle w:val="ListParagraph"/>
        <w:numPr>
          <w:ilvl w:val="0"/>
          <w:numId w:val="3"/>
        </w:numPr>
        <w:spacing w:after="0"/>
        <w:rPr>
          <w:rFonts w:cs="Times New Roman"/>
        </w:rPr>
      </w:pPr>
      <w:r>
        <w:rPr>
          <w:rFonts w:cs="Times New Roman"/>
        </w:rPr>
        <w:t xml:space="preserve">Sharma, P., Abrol, V., Nazir, J., </w:t>
      </w:r>
      <w:proofErr w:type="spellStart"/>
      <w:r>
        <w:rPr>
          <w:rFonts w:cs="Times New Roman"/>
        </w:rPr>
        <w:t>Samnotra</w:t>
      </w:r>
      <w:proofErr w:type="spellEnd"/>
      <w:r>
        <w:rPr>
          <w:rFonts w:cs="Times New Roman"/>
        </w:rPr>
        <w:t>, R. K., Gupta, S. K., Anand, S., ... &amp; Kumar, M. (2025). Optimi</w:t>
      </w:r>
      <w:r>
        <w:rPr>
          <w:rFonts w:cs="Times New Roman"/>
        </w:rPr>
        <w:t xml:space="preserve">zing soil properties, water use efficiency, and crop yield through biochar and organic manure integration in organic soil. </w:t>
      </w:r>
      <w:r>
        <w:rPr>
          <w:rFonts w:cs="Times New Roman"/>
          <w:i/>
          <w:iCs/>
        </w:rPr>
        <w:t>Journal of Environmental Management</w:t>
      </w:r>
      <w:r>
        <w:rPr>
          <w:rFonts w:cs="Times New Roman"/>
        </w:rPr>
        <w:t xml:space="preserve">, </w:t>
      </w:r>
      <w:r>
        <w:rPr>
          <w:rFonts w:cs="Times New Roman"/>
          <w:i/>
          <w:iCs/>
        </w:rPr>
        <w:t>373</w:t>
      </w:r>
      <w:r>
        <w:rPr>
          <w:rFonts w:cs="Times New Roman"/>
        </w:rPr>
        <w:t>, 123673.</w:t>
      </w:r>
    </w:p>
    <w:p w14:paraId="3ADC2E65" w14:textId="77777777" w:rsidR="00F15FD7" w:rsidRDefault="00563E74">
      <w:pPr>
        <w:pStyle w:val="ListParagraph"/>
        <w:numPr>
          <w:ilvl w:val="0"/>
          <w:numId w:val="3"/>
        </w:numPr>
        <w:spacing w:after="0"/>
        <w:rPr>
          <w:rFonts w:cs="Times New Roman"/>
        </w:rPr>
      </w:pPr>
      <w:r>
        <w:rPr>
          <w:rFonts w:cs="Times New Roman"/>
        </w:rPr>
        <w:t>Khan, M. A., Basir, A., Shah, S. T., Rehman, M. U., Hassan, M. U., Zheng, H., ... &amp;</w:t>
      </w:r>
      <w:r>
        <w:rPr>
          <w:rFonts w:cs="Times New Roman"/>
        </w:rPr>
        <w:t xml:space="preserve"> Mancinelli, R. (2024). Sustainable soil management in alkaline soils: The role of biochar and organic nitrogen in enhancing soil fertility. </w:t>
      </w:r>
      <w:r>
        <w:rPr>
          <w:rFonts w:cs="Times New Roman"/>
          <w:i/>
          <w:iCs/>
        </w:rPr>
        <w:t>Land</w:t>
      </w:r>
      <w:r>
        <w:rPr>
          <w:rFonts w:cs="Times New Roman"/>
        </w:rPr>
        <w:t xml:space="preserve">, </w:t>
      </w:r>
      <w:r>
        <w:rPr>
          <w:rFonts w:cs="Times New Roman"/>
          <w:i/>
          <w:iCs/>
        </w:rPr>
        <w:t>13</w:t>
      </w:r>
      <w:r>
        <w:rPr>
          <w:rFonts w:cs="Times New Roman"/>
        </w:rPr>
        <w:t>(11), 1869.</w:t>
      </w:r>
    </w:p>
    <w:p w14:paraId="2BECA7BE" w14:textId="77777777" w:rsidR="00F15FD7" w:rsidRDefault="00563E74">
      <w:pPr>
        <w:pStyle w:val="ListParagraph"/>
        <w:numPr>
          <w:ilvl w:val="0"/>
          <w:numId w:val="3"/>
        </w:numPr>
        <w:spacing w:after="0"/>
        <w:rPr>
          <w:rFonts w:cs="Times New Roman"/>
        </w:rPr>
      </w:pPr>
      <w:r>
        <w:rPr>
          <w:rFonts w:cs="Times New Roman"/>
        </w:rPr>
        <w:t>Zulfiqar, B.; Raza, M.A.S.; Saleem, M.F.; Aslam, M.U.; Iqbal, R.; Muhammad, F.; Amin, J.; Ibrah</w:t>
      </w:r>
      <w:r>
        <w:rPr>
          <w:rFonts w:cs="Times New Roman"/>
        </w:rPr>
        <w:t xml:space="preserve">im, M.A.; Khan, I.H. Biochar Enhances Wheat Crop Productivity by Mitigating the Effects of Drought: Insights into Physiological and Antioxidant </w:t>
      </w:r>
      <w:proofErr w:type="spellStart"/>
      <w:r>
        <w:rPr>
          <w:rFonts w:cs="Times New Roman"/>
        </w:rPr>
        <w:t>Defense</w:t>
      </w:r>
      <w:proofErr w:type="spellEnd"/>
      <w:r>
        <w:rPr>
          <w:rFonts w:cs="Times New Roman"/>
        </w:rPr>
        <w:t xml:space="preserve"> Mechanisms. </w:t>
      </w:r>
      <w:proofErr w:type="spellStart"/>
      <w:r>
        <w:rPr>
          <w:rFonts w:cs="Times New Roman"/>
        </w:rPr>
        <w:t>PLoS</w:t>
      </w:r>
      <w:proofErr w:type="spellEnd"/>
      <w:r>
        <w:rPr>
          <w:rFonts w:cs="Times New Roman"/>
        </w:rPr>
        <w:t xml:space="preserve"> ONE 2022, 17, 0267819.</w:t>
      </w:r>
    </w:p>
    <w:p w14:paraId="30EBEFB4" w14:textId="77777777" w:rsidR="00F15FD7" w:rsidRDefault="00563E74">
      <w:pPr>
        <w:pStyle w:val="ListParagraph"/>
        <w:numPr>
          <w:ilvl w:val="0"/>
          <w:numId w:val="3"/>
        </w:numPr>
        <w:spacing w:after="0"/>
        <w:rPr>
          <w:rFonts w:cs="Times New Roman"/>
        </w:rPr>
      </w:pPr>
      <w:bookmarkStart w:id="10" w:name="_Hlk227193816"/>
      <w:r>
        <w:rPr>
          <w:rFonts w:cs="Times New Roman"/>
        </w:rPr>
        <w:t xml:space="preserve">Zin, N.A.; </w:t>
      </w:r>
      <w:proofErr w:type="spellStart"/>
      <w:r>
        <w:rPr>
          <w:rFonts w:cs="Times New Roman"/>
        </w:rPr>
        <w:t>Badaluddin</w:t>
      </w:r>
      <w:proofErr w:type="spellEnd"/>
      <w:r>
        <w:rPr>
          <w:rFonts w:cs="Times New Roman"/>
        </w:rPr>
        <w:t xml:space="preserve">, N.A. </w:t>
      </w:r>
      <w:bookmarkEnd w:id="10"/>
      <w:r>
        <w:rPr>
          <w:rFonts w:cs="Times New Roman"/>
        </w:rPr>
        <w:t xml:space="preserve">Biological Functions of Trichoderma </w:t>
      </w:r>
      <w:r>
        <w:rPr>
          <w:rFonts w:cs="Times New Roman"/>
        </w:rPr>
        <w:t>spp. for Agriculture Applications. Ann. Agric. Sci. 2020, 65, 168–178. [</w:t>
      </w:r>
      <w:hyperlink r:id="rId27" w:tgtFrame="_blank" w:history="1">
        <w:r w:rsidR="00F15FD7">
          <w:rPr>
            <w:rStyle w:val="Hyperlink"/>
            <w:rFonts w:cs="Times New Roman"/>
            <w:sz w:val="22"/>
          </w:rPr>
          <w:t>Google Scholar</w:t>
        </w:r>
      </w:hyperlink>
      <w:r>
        <w:rPr>
          <w:rFonts w:cs="Times New Roman"/>
        </w:rPr>
        <w:t>] [</w:t>
      </w:r>
      <w:proofErr w:type="spellStart"/>
      <w:r w:rsidR="00F15FD7">
        <w:fldChar w:fldCharType="begin"/>
      </w:r>
      <w:r w:rsidR="00F15FD7">
        <w:instrText>HYPERLINK "https://doi.org/10.1016/j.aoas.2020.09.003" \t "_blank"</w:instrText>
      </w:r>
      <w:r w:rsidR="00F15FD7">
        <w:fldChar w:fldCharType="separate"/>
      </w:r>
      <w:r w:rsidR="00F15FD7">
        <w:rPr>
          <w:rStyle w:val="Hyperlink"/>
          <w:rFonts w:cs="Times New Roman"/>
          <w:sz w:val="22"/>
        </w:rPr>
        <w:t>CrossRef</w:t>
      </w:r>
      <w:proofErr w:type="spellEnd"/>
      <w:r w:rsidR="00F15FD7">
        <w:fldChar w:fldCharType="end"/>
      </w:r>
      <w:r>
        <w:rPr>
          <w:rFonts w:cs="Times New Roman"/>
        </w:rPr>
        <w:t>]</w:t>
      </w:r>
    </w:p>
    <w:p w14:paraId="66579166" w14:textId="77777777" w:rsidR="00F15FD7" w:rsidRDefault="00563E74">
      <w:pPr>
        <w:pStyle w:val="ListParagraph"/>
        <w:numPr>
          <w:ilvl w:val="0"/>
          <w:numId w:val="3"/>
        </w:numPr>
        <w:spacing w:after="0"/>
        <w:rPr>
          <w:rFonts w:cs="Times New Roman"/>
        </w:rPr>
      </w:pPr>
      <w:bookmarkStart w:id="11" w:name="_Hlk227194046"/>
      <w:proofErr w:type="spellStart"/>
      <w:r>
        <w:rPr>
          <w:rFonts w:cs="Times New Roman"/>
        </w:rPr>
        <w:t>Lalarukh</w:t>
      </w:r>
      <w:bookmarkEnd w:id="11"/>
      <w:proofErr w:type="spellEnd"/>
      <w:r>
        <w:rPr>
          <w:rFonts w:cs="Times New Roman"/>
        </w:rPr>
        <w:t xml:space="preserve">, I.; Amjad, S.F.; </w:t>
      </w:r>
      <w:proofErr w:type="spellStart"/>
      <w:r>
        <w:rPr>
          <w:rFonts w:cs="Times New Roman"/>
        </w:rPr>
        <w:t>Mansoora</w:t>
      </w:r>
      <w:proofErr w:type="spellEnd"/>
      <w:r>
        <w:rPr>
          <w:rFonts w:cs="Times New Roman"/>
        </w:rPr>
        <w:t>, N.; Al-</w:t>
      </w:r>
      <w:proofErr w:type="spellStart"/>
      <w:r>
        <w:rPr>
          <w:rFonts w:cs="Times New Roman"/>
        </w:rPr>
        <w:t>Dhu</w:t>
      </w:r>
      <w:r>
        <w:rPr>
          <w:rFonts w:cs="Times New Roman"/>
        </w:rPr>
        <w:t>mri</w:t>
      </w:r>
      <w:proofErr w:type="spellEnd"/>
      <w:r>
        <w:rPr>
          <w:rFonts w:cs="Times New Roman"/>
        </w:rPr>
        <w:t xml:space="preserve">, S.A.; </w:t>
      </w:r>
      <w:proofErr w:type="spellStart"/>
      <w:r>
        <w:rPr>
          <w:rFonts w:cs="Times New Roman"/>
        </w:rPr>
        <w:t>Alshahri</w:t>
      </w:r>
      <w:proofErr w:type="spellEnd"/>
      <w:r>
        <w:rPr>
          <w:rFonts w:cs="Times New Roman"/>
        </w:rPr>
        <w:t xml:space="preserve">, A.H.; </w:t>
      </w:r>
      <w:proofErr w:type="spellStart"/>
      <w:r>
        <w:rPr>
          <w:rFonts w:cs="Times New Roman"/>
        </w:rPr>
        <w:t>Almutari</w:t>
      </w:r>
      <w:proofErr w:type="spellEnd"/>
      <w:r>
        <w:rPr>
          <w:rFonts w:cs="Times New Roman"/>
        </w:rPr>
        <w:t xml:space="preserve">, M.M.; </w:t>
      </w:r>
      <w:proofErr w:type="spellStart"/>
      <w:r>
        <w:rPr>
          <w:rFonts w:cs="Times New Roman"/>
        </w:rPr>
        <w:t>Alhusayni</w:t>
      </w:r>
      <w:proofErr w:type="spellEnd"/>
      <w:r>
        <w:rPr>
          <w:rFonts w:cs="Times New Roman"/>
        </w:rPr>
        <w:t>, F.S.; Al-</w:t>
      </w:r>
      <w:proofErr w:type="spellStart"/>
      <w:r>
        <w:rPr>
          <w:rFonts w:cs="Times New Roman"/>
        </w:rPr>
        <w:t>Shammari</w:t>
      </w:r>
      <w:proofErr w:type="spellEnd"/>
      <w:r>
        <w:rPr>
          <w:rFonts w:cs="Times New Roman"/>
        </w:rPr>
        <w:t xml:space="preserve">, W.B.; </w:t>
      </w:r>
      <w:proofErr w:type="spellStart"/>
      <w:r>
        <w:rPr>
          <w:rFonts w:cs="Times New Roman"/>
        </w:rPr>
        <w:t>Poczai</w:t>
      </w:r>
      <w:proofErr w:type="spellEnd"/>
      <w:r>
        <w:rPr>
          <w:rFonts w:cs="Times New Roman"/>
        </w:rPr>
        <w:t xml:space="preserve">, P.; Abbas, M.H.H.; et al. Integral Effects of </w:t>
      </w:r>
      <w:proofErr w:type="spellStart"/>
      <w:r>
        <w:rPr>
          <w:rFonts w:cs="Times New Roman"/>
        </w:rPr>
        <w:t>Brassinosteroids</w:t>
      </w:r>
      <w:proofErr w:type="spellEnd"/>
      <w:r>
        <w:rPr>
          <w:rFonts w:cs="Times New Roman"/>
        </w:rPr>
        <w:t xml:space="preserve"> and Timber Waste Biochar Enhances the Drought Tolerance Capacity of Wheat Plant. Sci. Rep. 2022, 12, 12842</w:t>
      </w:r>
      <w:r>
        <w:rPr>
          <w:rFonts w:cs="Times New Roman"/>
        </w:rPr>
        <w:t>. [</w:t>
      </w:r>
      <w:proofErr w:type="spellStart"/>
      <w:r>
        <w:rPr>
          <w:rFonts w:cs="Times New Roman"/>
        </w:rPr>
        <w:t>CrossRef</w:t>
      </w:r>
      <w:proofErr w:type="spellEnd"/>
      <w:r>
        <w:rPr>
          <w:rFonts w:cs="Times New Roman"/>
        </w:rPr>
        <w:t>] [PubMed</w:t>
      </w:r>
    </w:p>
    <w:p w14:paraId="4871DB0F" w14:textId="77777777" w:rsidR="00F15FD7" w:rsidRDefault="00563E74">
      <w:pPr>
        <w:pStyle w:val="ListParagraph"/>
        <w:numPr>
          <w:ilvl w:val="0"/>
          <w:numId w:val="3"/>
        </w:numPr>
        <w:spacing w:after="0"/>
        <w:rPr>
          <w:rFonts w:cs="Times New Roman"/>
        </w:rPr>
      </w:pPr>
      <w:bookmarkStart w:id="12" w:name="_Hlk227194458"/>
      <w:r>
        <w:rPr>
          <w:rFonts w:cs="Times New Roman"/>
          <w:i/>
          <w:iCs/>
        </w:rPr>
        <w:t>Barnabá</w:t>
      </w:r>
      <w:bookmarkEnd w:id="12"/>
      <w:r>
        <w:rPr>
          <w:rFonts w:cs="Times New Roman"/>
          <w:i/>
          <w:iCs/>
        </w:rPr>
        <w:t xml:space="preserve">s B., Jäger K., Fehér A. The effect of drought and heat stress on reproductive processes in cereals. Plant. </w:t>
      </w:r>
      <w:proofErr w:type="gramStart"/>
      <w:r>
        <w:rPr>
          <w:rFonts w:cs="Times New Roman"/>
          <w:i/>
          <w:iCs/>
        </w:rPr>
        <w:t>2008;31:11</w:t>
      </w:r>
      <w:proofErr w:type="gramEnd"/>
      <w:r>
        <w:rPr>
          <w:rFonts w:cs="Times New Roman"/>
          <w:i/>
          <w:iCs/>
        </w:rPr>
        <w:t xml:space="preserve">–38. </w:t>
      </w:r>
      <w:proofErr w:type="spellStart"/>
      <w:r>
        <w:rPr>
          <w:rFonts w:cs="Times New Roman"/>
          <w:i/>
          <w:iCs/>
        </w:rPr>
        <w:t>doi</w:t>
      </w:r>
      <w:proofErr w:type="spellEnd"/>
      <w:r>
        <w:rPr>
          <w:rFonts w:cs="Times New Roman"/>
          <w:i/>
          <w:iCs/>
        </w:rPr>
        <w:t>: 10.1111/j.1365-3040.2007.01727.x.</w:t>
      </w:r>
      <w:r>
        <w:rPr>
          <w:rFonts w:cs="Times New Roman"/>
        </w:rPr>
        <w:t xml:space="preserve"> [</w:t>
      </w:r>
      <w:hyperlink r:id="rId28" w:tgtFrame="_blank" w:history="1">
        <w:r w:rsidR="00F15FD7">
          <w:rPr>
            <w:rStyle w:val="Hyperlink"/>
            <w:rFonts w:cs="Times New Roman"/>
            <w:sz w:val="22"/>
          </w:rPr>
          <w:t>DOI</w:t>
        </w:r>
      </w:hyperlink>
      <w:r>
        <w:rPr>
          <w:rFonts w:cs="Times New Roman"/>
        </w:rPr>
        <w:t>] [</w:t>
      </w:r>
      <w:hyperlink r:id="rId29" w:history="1">
        <w:r w:rsidR="00F15FD7">
          <w:rPr>
            <w:rStyle w:val="Hyperlink"/>
            <w:rFonts w:cs="Times New Roman"/>
            <w:sz w:val="22"/>
          </w:rPr>
          <w:t>PubMed</w:t>
        </w:r>
      </w:hyperlink>
      <w:r>
        <w:rPr>
          <w:rFonts w:cs="Times New Roman"/>
        </w:rPr>
        <w:t>] [</w:t>
      </w:r>
      <w:hyperlink r:id="rId30" w:tgtFrame="_blank" w:history="1">
        <w:r w:rsidR="00F15FD7">
          <w:rPr>
            <w:rStyle w:val="Hyperlink"/>
            <w:rFonts w:cs="Times New Roman"/>
            <w:sz w:val="22"/>
          </w:rPr>
          <w:t>Google Scholar</w:t>
        </w:r>
      </w:hyperlink>
      <w:r>
        <w:rPr>
          <w:rFonts w:cs="Times New Roman"/>
        </w:rPr>
        <w:t>]</w:t>
      </w:r>
    </w:p>
    <w:p w14:paraId="52EDA298" w14:textId="77777777" w:rsidR="00F15FD7" w:rsidRDefault="00563E74">
      <w:pPr>
        <w:pStyle w:val="ListParagraph"/>
        <w:numPr>
          <w:ilvl w:val="0"/>
          <w:numId w:val="3"/>
        </w:numPr>
        <w:spacing w:after="0"/>
        <w:rPr>
          <w:rFonts w:cs="Times New Roman"/>
        </w:rPr>
      </w:pPr>
      <w:proofErr w:type="spellStart"/>
      <w:r>
        <w:rPr>
          <w:rFonts w:cs="Times New Roman"/>
        </w:rPr>
        <w:t>Hasanuzzaman</w:t>
      </w:r>
      <w:proofErr w:type="spellEnd"/>
      <w:r>
        <w:rPr>
          <w:rFonts w:cs="Times New Roman"/>
        </w:rPr>
        <w:t>, M., Shabala, L., Brodribb, T. J., Zhou, M.</w:t>
      </w:r>
      <w:r>
        <w:rPr>
          <w:rFonts w:cs="Times New Roman"/>
        </w:rPr>
        <w:t xml:space="preserve">, &amp; Shabala, S. (2022). Understanding the role of physiological and agronomical traits during drought recovery as a determinant of differential drought stress tolerance in barley. </w:t>
      </w:r>
      <w:r>
        <w:rPr>
          <w:rFonts w:cs="Times New Roman"/>
          <w:i/>
          <w:iCs/>
        </w:rPr>
        <w:t>Agronomy</w:t>
      </w:r>
      <w:r>
        <w:rPr>
          <w:rFonts w:cs="Times New Roman"/>
        </w:rPr>
        <w:t xml:space="preserve">, </w:t>
      </w:r>
      <w:r>
        <w:rPr>
          <w:rFonts w:cs="Times New Roman"/>
          <w:i/>
          <w:iCs/>
        </w:rPr>
        <w:t>12</w:t>
      </w:r>
      <w:r>
        <w:rPr>
          <w:rFonts w:cs="Times New Roman"/>
        </w:rPr>
        <w:t>(9), 2136.</w:t>
      </w:r>
    </w:p>
    <w:p w14:paraId="01837A63" w14:textId="77777777" w:rsidR="00F15FD7" w:rsidRDefault="00563E74">
      <w:pPr>
        <w:pStyle w:val="ListParagraph"/>
        <w:numPr>
          <w:ilvl w:val="0"/>
          <w:numId w:val="3"/>
        </w:numPr>
        <w:spacing w:after="0"/>
        <w:rPr>
          <w:rFonts w:cs="Times New Roman"/>
        </w:rPr>
      </w:pPr>
      <w:bookmarkStart w:id="13" w:name="_Hlk227195317"/>
      <w:proofErr w:type="spellStart"/>
      <w:r>
        <w:rPr>
          <w:rFonts w:cs="Times New Roman"/>
        </w:rPr>
        <w:t>Jien</w:t>
      </w:r>
      <w:bookmarkEnd w:id="13"/>
      <w:proofErr w:type="spellEnd"/>
      <w:r>
        <w:rPr>
          <w:rFonts w:cs="Times New Roman"/>
        </w:rPr>
        <w:t xml:space="preserve">, S.-H.; Kuo, Y.-L.; Liao, C.-S.; Wu, Y.-T.; Wu, </w:t>
      </w:r>
      <w:r>
        <w:rPr>
          <w:rFonts w:cs="Times New Roman"/>
        </w:rPr>
        <w:t xml:space="preserve">A.D.; Tsang, D.C.W.; Ok, Y.S. Effects of Field Scale </w:t>
      </w:r>
      <w:proofErr w:type="gramStart"/>
      <w:r>
        <w:rPr>
          <w:rFonts w:cs="Times New Roman"/>
        </w:rPr>
        <w:t>In</w:t>
      </w:r>
      <w:proofErr w:type="gramEnd"/>
      <w:r>
        <w:rPr>
          <w:rFonts w:cs="Times New Roman"/>
        </w:rPr>
        <w:t xml:space="preserve"> Situ Biochar Incorporation</w:t>
      </w:r>
    </w:p>
    <w:p w14:paraId="2BFAE149" w14:textId="77777777" w:rsidR="00F15FD7" w:rsidRDefault="00563E74">
      <w:pPr>
        <w:pStyle w:val="ListParagraph"/>
        <w:numPr>
          <w:ilvl w:val="0"/>
          <w:numId w:val="3"/>
        </w:numPr>
        <w:spacing w:after="0"/>
        <w:rPr>
          <w:rFonts w:cs="Times New Roman"/>
        </w:rPr>
      </w:pPr>
      <w:r>
        <w:rPr>
          <w:rFonts w:cs="Times New Roman"/>
        </w:rPr>
        <w:t xml:space="preserve">on Soil Environment in a Tropical Highly Weathered Soil. Environ. </w:t>
      </w:r>
      <w:proofErr w:type="spellStart"/>
      <w:r>
        <w:rPr>
          <w:rFonts w:cs="Times New Roman"/>
        </w:rPr>
        <w:t>Pollut</w:t>
      </w:r>
      <w:proofErr w:type="spellEnd"/>
      <w:r>
        <w:rPr>
          <w:rFonts w:cs="Times New Roman"/>
        </w:rPr>
        <w:t>. 2021, 272, 116009. [</w:t>
      </w:r>
      <w:proofErr w:type="spellStart"/>
      <w:r>
        <w:rPr>
          <w:rFonts w:cs="Times New Roman"/>
        </w:rPr>
        <w:t>CrossRef</w:t>
      </w:r>
      <w:proofErr w:type="spellEnd"/>
      <w:r>
        <w:rPr>
          <w:rFonts w:cs="Times New Roman"/>
        </w:rPr>
        <w:t>]</w:t>
      </w:r>
    </w:p>
    <w:p w14:paraId="52A185A3" w14:textId="77777777" w:rsidR="00F15FD7" w:rsidRDefault="00563E74">
      <w:pPr>
        <w:pStyle w:val="ListParagraph"/>
        <w:numPr>
          <w:ilvl w:val="0"/>
          <w:numId w:val="3"/>
        </w:numPr>
        <w:spacing w:after="0"/>
        <w:rPr>
          <w:rFonts w:cs="Times New Roman"/>
        </w:rPr>
      </w:pPr>
      <w:bookmarkStart w:id="14" w:name="_Hlk227195302"/>
      <w:r>
        <w:rPr>
          <w:rFonts w:cs="Times New Roman"/>
        </w:rPr>
        <w:t>Sun, F.; Lu, S</w:t>
      </w:r>
      <w:bookmarkEnd w:id="14"/>
      <w:r>
        <w:rPr>
          <w:rFonts w:cs="Times New Roman"/>
        </w:rPr>
        <w:t xml:space="preserve">. </w:t>
      </w:r>
      <w:proofErr w:type="spellStart"/>
      <w:r>
        <w:rPr>
          <w:rFonts w:cs="Times New Roman"/>
        </w:rPr>
        <w:t>Biochars</w:t>
      </w:r>
      <w:proofErr w:type="spellEnd"/>
      <w:r>
        <w:rPr>
          <w:rFonts w:cs="Times New Roman"/>
        </w:rPr>
        <w:t xml:space="preserve"> Improve Aggregate Stability, Water Retention</w:t>
      </w:r>
      <w:r>
        <w:rPr>
          <w:rFonts w:cs="Times New Roman"/>
        </w:rPr>
        <w:t xml:space="preserve">, and Pore-Space Properties of Clayey Soil. Z. </w:t>
      </w:r>
      <w:proofErr w:type="spellStart"/>
      <w:r>
        <w:rPr>
          <w:rFonts w:cs="Times New Roman"/>
        </w:rPr>
        <w:t>Pflanzenernähr</w:t>
      </w:r>
      <w:proofErr w:type="spellEnd"/>
      <w:r>
        <w:rPr>
          <w:rFonts w:cs="Times New Roman"/>
        </w:rPr>
        <w:t xml:space="preserve">. </w:t>
      </w:r>
      <w:proofErr w:type="spellStart"/>
      <w:r>
        <w:rPr>
          <w:rFonts w:cs="Times New Roman"/>
        </w:rPr>
        <w:t>Bodenk</w:t>
      </w:r>
      <w:proofErr w:type="spellEnd"/>
      <w:r>
        <w:rPr>
          <w:rFonts w:cs="Times New Roman"/>
        </w:rPr>
        <w:t>. 2014, 177, 26–33. [</w:t>
      </w:r>
      <w:proofErr w:type="spellStart"/>
      <w:r>
        <w:rPr>
          <w:rFonts w:cs="Times New Roman"/>
        </w:rPr>
        <w:t>CrossRef</w:t>
      </w:r>
      <w:proofErr w:type="spellEnd"/>
    </w:p>
    <w:p w14:paraId="19909493" w14:textId="77777777" w:rsidR="00F15FD7" w:rsidRDefault="00563E74">
      <w:pPr>
        <w:pStyle w:val="ListParagraph"/>
        <w:numPr>
          <w:ilvl w:val="0"/>
          <w:numId w:val="3"/>
        </w:numPr>
        <w:spacing w:after="0"/>
        <w:rPr>
          <w:rFonts w:cs="Times New Roman"/>
        </w:rPr>
      </w:pPr>
      <w:r>
        <w:rPr>
          <w:rFonts w:cs="Times New Roman"/>
        </w:rPr>
        <w:t xml:space="preserve">M. Basirat, S.M. Mousavi, S. Abbaszadeh, M. Ebrahimi, M. </w:t>
      </w:r>
      <w:proofErr w:type="spellStart"/>
      <w:r>
        <w:rPr>
          <w:rFonts w:cs="Times New Roman"/>
        </w:rPr>
        <w:t>Zarebanadkouki</w:t>
      </w:r>
      <w:proofErr w:type="spellEnd"/>
      <w:r>
        <w:rPr>
          <w:rFonts w:cs="Times New Roman"/>
        </w:rPr>
        <w:t xml:space="preserve"> The </w:t>
      </w:r>
      <w:proofErr w:type="spellStart"/>
      <w:r>
        <w:rPr>
          <w:rFonts w:cs="Times New Roman"/>
        </w:rPr>
        <w:t>rhizosheath</w:t>
      </w:r>
      <w:proofErr w:type="spellEnd"/>
      <w:r>
        <w:rPr>
          <w:rFonts w:cs="Times New Roman"/>
        </w:rPr>
        <w:t>: a potential root trait helping plants to tolerate drought stress Pla</w:t>
      </w:r>
      <w:r>
        <w:rPr>
          <w:rFonts w:cs="Times New Roman"/>
        </w:rPr>
        <w:t xml:space="preserve">nt Soil, 445 (2019), pp. 565-575, </w:t>
      </w:r>
      <w:hyperlink r:id="rId31" w:tgtFrame="_blank" w:history="1">
        <w:r w:rsidR="00F15FD7">
          <w:rPr>
            <w:rStyle w:val="Hyperlink"/>
            <w:rFonts w:cs="Times New Roman"/>
            <w:sz w:val="22"/>
          </w:rPr>
          <w:t>10.1007/S11104-019-04334-0</w:t>
        </w:r>
      </w:hyperlink>
    </w:p>
    <w:p w14:paraId="5AA078CF" w14:textId="77777777" w:rsidR="00F15FD7" w:rsidRDefault="00563E74">
      <w:pPr>
        <w:pStyle w:val="ListParagraph"/>
        <w:numPr>
          <w:ilvl w:val="0"/>
          <w:numId w:val="3"/>
        </w:numPr>
        <w:spacing w:after="0"/>
        <w:rPr>
          <w:rFonts w:cs="Times New Roman"/>
        </w:rPr>
      </w:pPr>
      <w:hyperlink r:id="rId32" w:anchor="bbib59" w:history="1">
        <w:r w:rsidR="00F15FD7">
          <w:rPr>
            <w:rStyle w:val="Hyperlink"/>
            <w:rFonts w:cs="Times New Roman"/>
            <w:sz w:val="22"/>
          </w:rPr>
          <w:t>Li et al., 2022</w:t>
        </w:r>
      </w:hyperlink>
      <w:r w:rsidR="00F15FD7">
        <w:rPr>
          <w:rFonts w:cs="Times New Roman"/>
        </w:rPr>
        <w:t xml:space="preserve"> M. Li, Y. Ren, C. He, J. Yao, M. Wei, X. He Complementary effects of dark septate endophytes and </w:t>
      </w:r>
      <w:r w:rsidR="00F15FD7">
        <w:rPr>
          <w:rFonts w:cs="Times New Roman"/>
          <w:i/>
          <w:iCs/>
        </w:rPr>
        <w:t>Trichoderma</w:t>
      </w:r>
      <w:r w:rsidR="00F15FD7">
        <w:rPr>
          <w:rFonts w:cs="Times New Roman"/>
        </w:rPr>
        <w:t xml:space="preserve"> strains on growth and active ingredient accumulation of </w:t>
      </w:r>
      <w:r w:rsidR="00F15FD7">
        <w:rPr>
          <w:rFonts w:cs="Times New Roman"/>
          <w:i/>
          <w:iCs/>
        </w:rPr>
        <w:t xml:space="preserve">Astragalus </w:t>
      </w:r>
      <w:proofErr w:type="spellStart"/>
      <w:r w:rsidR="00F15FD7">
        <w:rPr>
          <w:rFonts w:cs="Times New Roman"/>
          <w:i/>
          <w:iCs/>
        </w:rPr>
        <w:t>mongholicus</w:t>
      </w:r>
      <w:proofErr w:type="spellEnd"/>
      <w:r w:rsidR="00F15FD7">
        <w:rPr>
          <w:rFonts w:cs="Times New Roman"/>
        </w:rPr>
        <w:t xml:space="preserve"> under drought stress</w:t>
      </w:r>
    </w:p>
    <w:p w14:paraId="594779E2" w14:textId="77777777" w:rsidR="00F15FD7" w:rsidRDefault="00563E74">
      <w:pPr>
        <w:pStyle w:val="ListParagraph"/>
        <w:numPr>
          <w:ilvl w:val="0"/>
          <w:numId w:val="3"/>
        </w:numPr>
        <w:spacing w:after="0"/>
        <w:rPr>
          <w:rFonts w:cs="Times New Roman"/>
        </w:rPr>
      </w:pPr>
      <w:hyperlink r:id="rId33" w:anchor="bbib40" w:history="1">
        <w:r w:rsidR="00F15FD7">
          <w:rPr>
            <w:rStyle w:val="Hyperlink"/>
            <w:rFonts w:cs="Times New Roman"/>
            <w:sz w:val="22"/>
          </w:rPr>
          <w:t>Harman et al., 2021</w:t>
        </w:r>
      </w:hyperlink>
      <w:r w:rsidR="00F15FD7">
        <w:rPr>
          <w:rFonts w:cs="Times New Roman"/>
        </w:rPr>
        <w:t xml:space="preserve"> G. Harman, F. Doni, R. Khadka, N. Uphoff Endophytic strains of </w:t>
      </w:r>
      <w:r w:rsidR="00F15FD7">
        <w:rPr>
          <w:rFonts w:cs="Times New Roman"/>
          <w:i/>
          <w:iCs/>
        </w:rPr>
        <w:t>Trichoderma</w:t>
      </w:r>
      <w:r w:rsidR="00F15FD7">
        <w:rPr>
          <w:rFonts w:cs="Times New Roman"/>
        </w:rPr>
        <w:t xml:space="preserve"> increase plants photosynthetic capability J. Appl. </w:t>
      </w:r>
      <w:proofErr w:type="spellStart"/>
      <w:r w:rsidR="00F15FD7">
        <w:rPr>
          <w:rFonts w:cs="Times New Roman"/>
        </w:rPr>
        <w:t>Microbiol</w:t>
      </w:r>
      <w:proofErr w:type="spellEnd"/>
      <w:r w:rsidR="00F15FD7">
        <w:rPr>
          <w:rFonts w:cs="Times New Roman"/>
        </w:rPr>
        <w:t xml:space="preserve">., 130 (2021), pp. 529-546, </w:t>
      </w:r>
      <w:hyperlink r:id="rId34" w:tgtFrame="_blank" w:history="1">
        <w:r w:rsidR="00F15FD7">
          <w:rPr>
            <w:rStyle w:val="Hyperlink"/>
            <w:rFonts w:cs="Times New Roman"/>
            <w:sz w:val="22"/>
          </w:rPr>
          <w:t>10.1111/jam.14368</w:t>
        </w:r>
      </w:hyperlink>
    </w:p>
    <w:p w14:paraId="261BC764" w14:textId="77777777" w:rsidR="00F15FD7" w:rsidRDefault="00563E74">
      <w:pPr>
        <w:pStyle w:val="ListParagraph"/>
        <w:numPr>
          <w:ilvl w:val="0"/>
          <w:numId w:val="3"/>
        </w:numPr>
        <w:spacing w:after="0"/>
        <w:rPr>
          <w:rFonts w:cs="Times New Roman"/>
        </w:rPr>
      </w:pPr>
      <w:r>
        <w:rPr>
          <w:rFonts w:cs="Times New Roman"/>
        </w:rPr>
        <w:lastRenderedPageBreak/>
        <w:t xml:space="preserve">Ahmad, C. A., Akhter, A., Haider, M. S., Abbas, M. T., Hashem, A., Avila-Quezada, G. D., &amp; </w:t>
      </w:r>
      <w:proofErr w:type="spellStart"/>
      <w:r>
        <w:rPr>
          <w:rFonts w:cs="Times New Roman"/>
        </w:rPr>
        <w:t>Abd_Allah</w:t>
      </w:r>
      <w:proofErr w:type="spellEnd"/>
      <w:r>
        <w:rPr>
          <w:rFonts w:cs="Times New Roman"/>
        </w:rPr>
        <w:t>, E. F. (2024). Demonstration of the synergistic effect of biochar and Trichod</w:t>
      </w:r>
      <w:r>
        <w:rPr>
          <w:rFonts w:cs="Times New Roman"/>
        </w:rPr>
        <w:t xml:space="preserve">erma </w:t>
      </w:r>
      <w:proofErr w:type="spellStart"/>
      <w:r>
        <w:rPr>
          <w:rFonts w:cs="Times New Roman"/>
        </w:rPr>
        <w:t>harzianum</w:t>
      </w:r>
      <w:proofErr w:type="spellEnd"/>
      <w:r>
        <w:rPr>
          <w:rFonts w:cs="Times New Roman"/>
        </w:rPr>
        <w:t xml:space="preserve"> on the development of </w:t>
      </w:r>
      <w:proofErr w:type="spellStart"/>
      <w:r>
        <w:rPr>
          <w:rFonts w:cs="Times New Roman"/>
        </w:rPr>
        <w:t>Ralstonia</w:t>
      </w:r>
      <w:proofErr w:type="spellEnd"/>
      <w:r>
        <w:rPr>
          <w:rFonts w:cs="Times New Roman"/>
        </w:rPr>
        <w:t xml:space="preserve"> solanacearum in eggplant. </w:t>
      </w:r>
      <w:r>
        <w:rPr>
          <w:rFonts w:cs="Times New Roman"/>
          <w:i/>
          <w:iCs/>
        </w:rPr>
        <w:t>Frontiers in Microbiology</w:t>
      </w:r>
      <w:r>
        <w:rPr>
          <w:rFonts w:cs="Times New Roman"/>
        </w:rPr>
        <w:t xml:space="preserve">, </w:t>
      </w:r>
      <w:r>
        <w:rPr>
          <w:rFonts w:cs="Times New Roman"/>
          <w:i/>
          <w:iCs/>
        </w:rPr>
        <w:t>15</w:t>
      </w:r>
      <w:r>
        <w:rPr>
          <w:rFonts w:cs="Times New Roman"/>
        </w:rPr>
        <w:t>, 1360703.</w:t>
      </w:r>
    </w:p>
    <w:p w14:paraId="12BD1D93" w14:textId="77777777" w:rsidR="00F15FD7" w:rsidRDefault="00563E74">
      <w:pPr>
        <w:pStyle w:val="ListParagraph"/>
        <w:numPr>
          <w:ilvl w:val="0"/>
          <w:numId w:val="3"/>
        </w:numPr>
        <w:spacing w:after="0"/>
        <w:rPr>
          <w:rFonts w:cs="Times New Roman"/>
        </w:rPr>
      </w:pPr>
      <w:proofErr w:type="spellStart"/>
      <w:r>
        <w:rPr>
          <w:rFonts w:cs="Times New Roman"/>
        </w:rPr>
        <w:t>AlkharabshehH</w:t>
      </w:r>
      <w:proofErr w:type="spellEnd"/>
      <w:r>
        <w:rPr>
          <w:rFonts w:cs="Times New Roman"/>
        </w:rPr>
        <w:t xml:space="preserve">. </w:t>
      </w:r>
      <w:proofErr w:type="spellStart"/>
      <w:r>
        <w:rPr>
          <w:rFonts w:cs="Times New Roman"/>
        </w:rPr>
        <w:t>M.SeleimanM</w:t>
      </w:r>
      <w:proofErr w:type="spellEnd"/>
      <w:r>
        <w:rPr>
          <w:rFonts w:cs="Times New Roman"/>
        </w:rPr>
        <w:t xml:space="preserve">. </w:t>
      </w:r>
      <w:proofErr w:type="spellStart"/>
      <w:proofErr w:type="gramStart"/>
      <w:r>
        <w:rPr>
          <w:rFonts w:cs="Times New Roman"/>
        </w:rPr>
        <w:t>F.BattagliaM</w:t>
      </w:r>
      <w:proofErr w:type="spellEnd"/>
      <w:proofErr w:type="gramEnd"/>
      <w:r>
        <w:rPr>
          <w:rFonts w:cs="Times New Roman"/>
        </w:rPr>
        <w:t xml:space="preserve">. </w:t>
      </w:r>
      <w:proofErr w:type="spellStart"/>
      <w:r>
        <w:rPr>
          <w:rFonts w:cs="Times New Roman"/>
        </w:rPr>
        <w:t>L.ShamiA.JalalR</w:t>
      </w:r>
      <w:proofErr w:type="spellEnd"/>
      <w:r>
        <w:rPr>
          <w:rFonts w:cs="Times New Roman"/>
        </w:rPr>
        <w:t xml:space="preserve">. </w:t>
      </w:r>
      <w:proofErr w:type="spellStart"/>
      <w:proofErr w:type="gramStart"/>
      <w:r>
        <w:rPr>
          <w:rFonts w:cs="Times New Roman"/>
        </w:rPr>
        <w:t>S.AlhammadB</w:t>
      </w:r>
      <w:proofErr w:type="spellEnd"/>
      <w:proofErr w:type="gramEnd"/>
      <w:r>
        <w:rPr>
          <w:rFonts w:cs="Times New Roman"/>
        </w:rPr>
        <w:t>. A.et al. (2021). Biochar and its broad impacts in soil quality and fert</w:t>
      </w:r>
      <w:r>
        <w:rPr>
          <w:rFonts w:cs="Times New Roman"/>
        </w:rPr>
        <w:t xml:space="preserve">ility, nutrient leaching, and crop productivity: a review. </w:t>
      </w:r>
      <w:r>
        <w:rPr>
          <w:rFonts w:cs="Times New Roman"/>
          <w:i/>
          <w:iCs/>
        </w:rPr>
        <w:t>Agron. J.</w:t>
      </w:r>
      <w:r>
        <w:rPr>
          <w:rFonts w:cs="Times New Roman"/>
        </w:rPr>
        <w:t>11:993. 10.3390/agronomy11050993</w:t>
      </w:r>
    </w:p>
    <w:p w14:paraId="7C24467F" w14:textId="77777777" w:rsidR="00F15FD7" w:rsidRDefault="00563E74">
      <w:pPr>
        <w:pStyle w:val="ListParagraph"/>
        <w:numPr>
          <w:ilvl w:val="0"/>
          <w:numId w:val="3"/>
        </w:numPr>
        <w:spacing w:after="0"/>
        <w:rPr>
          <w:rFonts w:cs="Times New Roman"/>
        </w:rPr>
      </w:pPr>
      <w:proofErr w:type="spellStart"/>
      <w:proofErr w:type="gramStart"/>
      <w:r>
        <w:rPr>
          <w:rFonts w:cs="Times New Roman"/>
        </w:rPr>
        <w:t>HussainS.SharifM.AhmadW</w:t>
      </w:r>
      <w:proofErr w:type="spellEnd"/>
      <w:proofErr w:type="gramEnd"/>
      <w:r>
        <w:rPr>
          <w:rFonts w:cs="Times New Roman"/>
        </w:rPr>
        <w:t>. (2021). Selection of efficient phosphorus solubilizing bacteria strains and mycorrhiza for enhanced cereal growth, root microbe st</w:t>
      </w:r>
      <w:r>
        <w:rPr>
          <w:rFonts w:cs="Times New Roman"/>
        </w:rPr>
        <w:t xml:space="preserve">atus, and N and P uptake in alkaline calcareous soil. </w:t>
      </w:r>
      <w:r>
        <w:rPr>
          <w:rFonts w:cs="Times New Roman"/>
          <w:i/>
          <w:iCs/>
        </w:rPr>
        <w:t>Soil Sci. Plant Nutr.</w:t>
      </w:r>
      <w:r>
        <w:rPr>
          <w:rFonts w:cs="Times New Roman"/>
        </w:rPr>
        <w:t>67, 259–268. 10.1080/00380768.2021.1904793</w:t>
      </w:r>
    </w:p>
    <w:p w14:paraId="16B17BE3" w14:textId="77777777" w:rsidR="00F15FD7" w:rsidRDefault="00563E74">
      <w:pPr>
        <w:pStyle w:val="ListParagraph"/>
        <w:numPr>
          <w:ilvl w:val="0"/>
          <w:numId w:val="3"/>
        </w:numPr>
        <w:spacing w:after="0"/>
        <w:rPr>
          <w:rFonts w:cs="Times New Roman"/>
        </w:rPr>
      </w:pPr>
      <w:proofErr w:type="spellStart"/>
      <w:r>
        <w:rPr>
          <w:rFonts w:cs="Times New Roman"/>
        </w:rPr>
        <w:t>BlumA</w:t>
      </w:r>
      <w:proofErr w:type="spellEnd"/>
      <w:r>
        <w:rPr>
          <w:rFonts w:cs="Times New Roman"/>
        </w:rPr>
        <w:t xml:space="preserve">. (2017) Osmotic adjustment is a prime drought stress adaptive engine in support of plant production. </w:t>
      </w:r>
      <w:r>
        <w:rPr>
          <w:rFonts w:cs="Times New Roman"/>
          <w:i/>
          <w:iCs/>
        </w:rPr>
        <w:t>Plant Cell Environ.</w:t>
      </w:r>
      <w:r>
        <w:rPr>
          <w:rFonts w:cs="Times New Roman"/>
        </w:rPr>
        <w:t>40, 4–10. 10</w:t>
      </w:r>
      <w:r>
        <w:rPr>
          <w:rFonts w:cs="Times New Roman"/>
        </w:rPr>
        <w:t>.1111/pce.12800</w:t>
      </w:r>
    </w:p>
    <w:p w14:paraId="31EA6FC9" w14:textId="77777777" w:rsidR="00F15FD7" w:rsidRDefault="00563E74">
      <w:pPr>
        <w:pStyle w:val="ListParagraph"/>
        <w:numPr>
          <w:ilvl w:val="0"/>
          <w:numId w:val="3"/>
        </w:numPr>
        <w:spacing w:after="0"/>
        <w:rPr>
          <w:rFonts w:cs="Times New Roman"/>
        </w:rPr>
      </w:pPr>
      <w:r>
        <w:rPr>
          <w:rFonts w:cs="Times New Roman"/>
        </w:rPr>
        <w:t xml:space="preserve">Batool, M.; Rahman, S.U.; Ali, M.; Nadeem, F.; Ashraf, M.N.; Harris, M.; Du, Z.; Khan, W.-U. Microbial-assisted soil chromium immobilization through zinc and iron-enriched rice husk biochar. Front. </w:t>
      </w:r>
      <w:proofErr w:type="spellStart"/>
      <w:r>
        <w:rPr>
          <w:rFonts w:cs="Times New Roman"/>
        </w:rPr>
        <w:t>Microbiol</w:t>
      </w:r>
      <w:proofErr w:type="spellEnd"/>
      <w:r>
        <w:rPr>
          <w:rFonts w:cs="Times New Roman"/>
        </w:rPr>
        <w:t>. 2022, 13, 3401. [</w:t>
      </w:r>
      <w:hyperlink r:id="rId35" w:tgtFrame="_blank" w:history="1">
        <w:r w:rsidR="00F15FD7">
          <w:rPr>
            <w:rStyle w:val="Hyperlink"/>
            <w:rFonts w:cs="Times New Roman"/>
            <w:sz w:val="22"/>
          </w:rPr>
          <w:t>Google Scholar</w:t>
        </w:r>
      </w:hyperlink>
      <w:r>
        <w:rPr>
          <w:rFonts w:cs="Times New Roman"/>
        </w:rPr>
        <w:t>] [</w:t>
      </w:r>
      <w:proofErr w:type="spellStart"/>
      <w:r w:rsidR="00F15FD7">
        <w:fldChar w:fldCharType="begin"/>
      </w:r>
      <w:r w:rsidR="00F15FD7">
        <w:instrText>HYPERLINK "https://doi.org/10.3389/fmicb.2022.990329" \t "_blank"</w:instrText>
      </w:r>
      <w:r w:rsidR="00F15FD7">
        <w:fldChar w:fldCharType="separate"/>
      </w:r>
      <w:r w:rsidR="00F15FD7">
        <w:rPr>
          <w:rStyle w:val="Hyperlink"/>
          <w:rFonts w:cs="Times New Roman"/>
          <w:sz w:val="22"/>
        </w:rPr>
        <w:t>CrossRef</w:t>
      </w:r>
      <w:proofErr w:type="spellEnd"/>
      <w:r w:rsidR="00F15FD7">
        <w:fldChar w:fldCharType="end"/>
      </w:r>
      <w:r>
        <w:rPr>
          <w:rFonts w:cs="Times New Roman"/>
        </w:rPr>
        <w:t>]</w:t>
      </w:r>
    </w:p>
    <w:p w14:paraId="09CF2DF7" w14:textId="77777777" w:rsidR="00F15FD7" w:rsidRDefault="00563E74">
      <w:pPr>
        <w:pStyle w:val="ListParagraph"/>
        <w:numPr>
          <w:ilvl w:val="0"/>
          <w:numId w:val="3"/>
        </w:numPr>
        <w:spacing w:after="0"/>
        <w:rPr>
          <w:rFonts w:cs="Times New Roman"/>
        </w:rPr>
      </w:pPr>
      <w:r>
        <w:rPr>
          <w:rFonts w:cs="Times New Roman"/>
        </w:rPr>
        <w:t>Aubertin, M.L.; G</w:t>
      </w:r>
      <w:r>
        <w:rPr>
          <w:rFonts w:cs="Times New Roman"/>
        </w:rPr>
        <w:t xml:space="preserve">irardin, C.; </w:t>
      </w:r>
      <w:proofErr w:type="spellStart"/>
      <w:r>
        <w:rPr>
          <w:rFonts w:cs="Times New Roman"/>
        </w:rPr>
        <w:t>Houot</w:t>
      </w:r>
      <w:proofErr w:type="spellEnd"/>
      <w:r>
        <w:rPr>
          <w:rFonts w:cs="Times New Roman"/>
        </w:rPr>
        <w:t>, S.; Nobile, C.; Houben, D.; Bena, S.; Brech, Y.; Rumpel, C. Biochar-compost interactions as affected by weathering: Effects on biological stability and plant growth. Agronomy 2021, 11, 336. [</w:t>
      </w:r>
      <w:hyperlink r:id="rId36" w:tgtFrame="_blank" w:history="1">
        <w:r w:rsidR="00F15FD7">
          <w:rPr>
            <w:rStyle w:val="Hyperlink"/>
            <w:rFonts w:cs="Times New Roman"/>
            <w:sz w:val="22"/>
          </w:rPr>
          <w:t>Google Scholar</w:t>
        </w:r>
      </w:hyperlink>
      <w:r>
        <w:rPr>
          <w:rFonts w:cs="Times New Roman"/>
        </w:rPr>
        <w:t>] [</w:t>
      </w:r>
      <w:proofErr w:type="spellStart"/>
      <w:r w:rsidR="00F15FD7">
        <w:fldChar w:fldCharType="begin"/>
      </w:r>
      <w:r w:rsidR="00F15FD7">
        <w:instrText>HYPERLINK "https://doi.org/10.3390/agronomy11020336" \t "_blank"</w:instrText>
      </w:r>
      <w:r w:rsidR="00F15FD7">
        <w:fldChar w:fldCharType="separate"/>
      </w:r>
      <w:r w:rsidR="00F15FD7">
        <w:rPr>
          <w:rStyle w:val="Hyperlink"/>
          <w:rFonts w:cs="Times New Roman"/>
          <w:sz w:val="22"/>
        </w:rPr>
        <w:t>CrossRef</w:t>
      </w:r>
      <w:proofErr w:type="spellEnd"/>
      <w:r w:rsidR="00F15FD7">
        <w:fldChar w:fldCharType="end"/>
      </w:r>
      <w:r>
        <w:rPr>
          <w:rFonts w:cs="Times New Roman"/>
        </w:rPr>
        <w:t>]</w:t>
      </w:r>
    </w:p>
    <w:p w14:paraId="6C231C31" w14:textId="77777777" w:rsidR="00F15FD7" w:rsidRDefault="00563E74">
      <w:pPr>
        <w:pStyle w:val="ListParagraph"/>
        <w:numPr>
          <w:ilvl w:val="0"/>
          <w:numId w:val="3"/>
        </w:numPr>
        <w:spacing w:after="0"/>
        <w:rPr>
          <w:rFonts w:cs="Times New Roman"/>
        </w:rPr>
      </w:pPr>
      <w:r>
        <w:rPr>
          <w:rFonts w:cs="Times New Roman"/>
        </w:rPr>
        <w:t xml:space="preserve">Soliman, M.H.; </w:t>
      </w:r>
      <w:proofErr w:type="spellStart"/>
      <w:r>
        <w:rPr>
          <w:rFonts w:cs="Times New Roman"/>
        </w:rPr>
        <w:t>Alnusaire</w:t>
      </w:r>
      <w:proofErr w:type="spellEnd"/>
      <w:r>
        <w:rPr>
          <w:rFonts w:cs="Times New Roman"/>
        </w:rPr>
        <w:t xml:space="preserve">, T.S.; </w:t>
      </w:r>
      <w:proofErr w:type="spellStart"/>
      <w:r>
        <w:rPr>
          <w:rFonts w:cs="Times New Roman"/>
        </w:rPr>
        <w:t>Abdelbaky</w:t>
      </w:r>
      <w:proofErr w:type="spellEnd"/>
      <w:r>
        <w:rPr>
          <w:rFonts w:cs="Times New Roman"/>
        </w:rPr>
        <w:t>, N.F.;</w:t>
      </w:r>
      <w:r>
        <w:rPr>
          <w:rFonts w:cs="Times New Roman"/>
        </w:rPr>
        <w:t xml:space="preserve"> </w:t>
      </w:r>
      <w:proofErr w:type="spellStart"/>
      <w:r>
        <w:rPr>
          <w:rFonts w:cs="Times New Roman"/>
        </w:rPr>
        <w:t>Alayafi</w:t>
      </w:r>
      <w:proofErr w:type="spellEnd"/>
      <w:r>
        <w:rPr>
          <w:rFonts w:cs="Times New Roman"/>
        </w:rPr>
        <w:t xml:space="preserve">, A.A.M.; </w:t>
      </w:r>
      <w:proofErr w:type="spellStart"/>
      <w:r>
        <w:rPr>
          <w:rFonts w:cs="Times New Roman"/>
        </w:rPr>
        <w:t>Hasanuzzaman</w:t>
      </w:r>
      <w:proofErr w:type="spellEnd"/>
      <w:r>
        <w:rPr>
          <w:rFonts w:cs="Times New Roman"/>
        </w:rPr>
        <w:t xml:space="preserve">, M.; </w:t>
      </w:r>
      <w:proofErr w:type="spellStart"/>
      <w:r>
        <w:rPr>
          <w:rFonts w:cs="Times New Roman"/>
        </w:rPr>
        <w:t>Rowezak</w:t>
      </w:r>
      <w:proofErr w:type="spellEnd"/>
      <w:r>
        <w:rPr>
          <w:rFonts w:cs="Times New Roman"/>
        </w:rPr>
        <w:t>, M.M.; El-</w:t>
      </w:r>
      <w:proofErr w:type="spellStart"/>
      <w:r>
        <w:rPr>
          <w:rFonts w:cs="Times New Roman"/>
        </w:rPr>
        <w:t>Esawi</w:t>
      </w:r>
      <w:proofErr w:type="spellEnd"/>
      <w:r>
        <w:rPr>
          <w:rFonts w:cs="Times New Roman"/>
        </w:rPr>
        <w:t xml:space="preserve">, M.; </w:t>
      </w:r>
      <w:proofErr w:type="spellStart"/>
      <w:r>
        <w:rPr>
          <w:rFonts w:cs="Times New Roman"/>
        </w:rPr>
        <w:t>Elkelish</w:t>
      </w:r>
      <w:proofErr w:type="spellEnd"/>
      <w:r>
        <w:rPr>
          <w:rFonts w:cs="Times New Roman"/>
        </w:rPr>
        <w:t>, A. Trichoderma-induced improvement in growth, photosynthetic pigments, Proline, and Glutathione levels in Cucurbita pepo seedlings under salt stress. Phyton 2020, 89, 473–486. [</w:t>
      </w:r>
      <w:hyperlink r:id="rId37" w:tgtFrame="_blank" w:history="1">
        <w:r w:rsidR="00F15FD7">
          <w:rPr>
            <w:rStyle w:val="Hyperlink"/>
            <w:rFonts w:cs="Times New Roman"/>
            <w:sz w:val="22"/>
          </w:rPr>
          <w:t>Google Scholar</w:t>
        </w:r>
      </w:hyperlink>
      <w:r>
        <w:rPr>
          <w:rFonts w:cs="Times New Roman"/>
        </w:rPr>
        <w:t>] [</w:t>
      </w:r>
      <w:proofErr w:type="spellStart"/>
      <w:r w:rsidR="00F15FD7">
        <w:fldChar w:fldCharType="begin"/>
      </w:r>
      <w:r w:rsidR="00F15FD7">
        <w:instrText>HYPERLINK "https://doi.org/10.32604/phyton.2020.08795" \t "_blank"</w:instrText>
      </w:r>
      <w:r w:rsidR="00F15FD7">
        <w:fldChar w:fldCharType="separate"/>
      </w:r>
      <w:r w:rsidR="00F15FD7">
        <w:rPr>
          <w:rStyle w:val="Hyperlink"/>
          <w:rFonts w:cs="Times New Roman"/>
          <w:sz w:val="22"/>
        </w:rPr>
        <w:t>CrossRef</w:t>
      </w:r>
      <w:proofErr w:type="spellEnd"/>
      <w:r w:rsidR="00F15FD7">
        <w:fldChar w:fldCharType="end"/>
      </w:r>
      <w:r>
        <w:rPr>
          <w:rFonts w:cs="Times New Roman"/>
        </w:rPr>
        <w:t>]</w:t>
      </w:r>
    </w:p>
    <w:p w14:paraId="19FD7E3C" w14:textId="77777777" w:rsidR="00F15FD7" w:rsidRDefault="00563E74">
      <w:pPr>
        <w:pStyle w:val="ListParagraph"/>
        <w:numPr>
          <w:ilvl w:val="0"/>
          <w:numId w:val="3"/>
        </w:numPr>
        <w:spacing w:after="0"/>
        <w:rPr>
          <w:rFonts w:cs="Times New Roman"/>
        </w:rPr>
      </w:pPr>
      <w:r>
        <w:rPr>
          <w:rFonts w:cs="Times New Roman"/>
        </w:rPr>
        <w:t xml:space="preserve">Danish, S., &amp; Zafar-ul-Hye, M. (2020). Impact of application of Trichoderma and biochar on growth, productivity and nutritional quality of tomato under reduced NPK fertilization. </w:t>
      </w:r>
      <w:r>
        <w:rPr>
          <w:rFonts w:cs="Times New Roman"/>
        </w:rPr>
        <w:t>Annals of Agricultural Sciences, 65(2), 146–155.</w:t>
      </w:r>
    </w:p>
    <w:p w14:paraId="2CE09625" w14:textId="77777777" w:rsidR="00F15FD7" w:rsidRDefault="00563E74">
      <w:pPr>
        <w:pStyle w:val="ListParagraph"/>
        <w:numPr>
          <w:ilvl w:val="0"/>
          <w:numId w:val="3"/>
        </w:numPr>
        <w:spacing w:after="0"/>
        <w:rPr>
          <w:rFonts w:cs="Times New Roman"/>
        </w:rPr>
      </w:pPr>
      <w:r>
        <w:rPr>
          <w:rFonts w:cs="Times New Roman"/>
        </w:rPr>
        <w:t xml:space="preserve">Amanullah, F., &amp; Khan, W. (2023). Trichoderma </w:t>
      </w:r>
      <w:proofErr w:type="spellStart"/>
      <w:r>
        <w:rPr>
          <w:rFonts w:cs="Times New Roman"/>
        </w:rPr>
        <w:t>asperellum</w:t>
      </w:r>
      <w:proofErr w:type="spellEnd"/>
      <w:r>
        <w:rPr>
          <w:rFonts w:cs="Times New Roman"/>
        </w:rPr>
        <w:t xml:space="preserve"> coupled with biochar enhances growth and physiology of maize under heavy metal stress</w:t>
      </w:r>
      <w:r>
        <w:rPr>
          <w:rFonts w:cs="Times New Roman"/>
          <w:i/>
          <w:iCs/>
        </w:rPr>
        <w:t>.</w:t>
      </w:r>
      <w:r>
        <w:rPr>
          <w:rFonts w:cs="Times New Roman"/>
        </w:rPr>
        <w:t xml:space="preserve"> </w:t>
      </w:r>
      <w:r>
        <w:rPr>
          <w:rFonts w:cs="Times New Roman"/>
          <w:i/>
          <w:iCs/>
        </w:rPr>
        <w:t>Plants</w:t>
      </w:r>
      <w:r>
        <w:rPr>
          <w:rFonts w:cs="Times New Roman"/>
        </w:rPr>
        <w:t>, 12(4), 958.</w:t>
      </w:r>
    </w:p>
    <w:p w14:paraId="3EECD4D2" w14:textId="77777777" w:rsidR="00F15FD7" w:rsidRDefault="00563E74">
      <w:pPr>
        <w:pStyle w:val="ListParagraph"/>
        <w:numPr>
          <w:ilvl w:val="0"/>
          <w:numId w:val="3"/>
        </w:numPr>
        <w:spacing w:after="0"/>
        <w:rPr>
          <w:rFonts w:cs="Times New Roman"/>
        </w:rPr>
      </w:pPr>
      <w:r>
        <w:rPr>
          <w:rFonts w:cs="Times New Roman"/>
        </w:rPr>
        <w:t>Li, X. et al. (2023). Combination of biocha</w:t>
      </w:r>
      <w:r>
        <w:rPr>
          <w:rFonts w:cs="Times New Roman"/>
        </w:rPr>
        <w:t xml:space="preserve">r and Trichoderma </w:t>
      </w:r>
      <w:proofErr w:type="spellStart"/>
      <w:r>
        <w:rPr>
          <w:rFonts w:cs="Times New Roman"/>
        </w:rPr>
        <w:t>harzianum</w:t>
      </w:r>
      <w:proofErr w:type="spellEnd"/>
      <w:r>
        <w:rPr>
          <w:rFonts w:cs="Times New Roman"/>
        </w:rPr>
        <w:t xml:space="preserve"> improves phytoremediation and plant physiological traits in Brassica juncea</w:t>
      </w:r>
      <w:r>
        <w:rPr>
          <w:rFonts w:cs="Times New Roman"/>
          <w:i/>
          <w:iCs/>
        </w:rPr>
        <w:t>.</w:t>
      </w:r>
      <w:r>
        <w:rPr>
          <w:rFonts w:cs="Times New Roman"/>
        </w:rPr>
        <w:t xml:space="preserve"> </w:t>
      </w:r>
      <w:r>
        <w:rPr>
          <w:rFonts w:cs="Times New Roman"/>
          <w:i/>
          <w:iCs/>
        </w:rPr>
        <w:t>Environmental Science and Pollution Research.</w:t>
      </w:r>
    </w:p>
    <w:p w14:paraId="1EAD4BCA" w14:textId="77777777" w:rsidR="00F15FD7" w:rsidRDefault="00563E74">
      <w:pPr>
        <w:pStyle w:val="ListParagraph"/>
        <w:numPr>
          <w:ilvl w:val="0"/>
          <w:numId w:val="3"/>
        </w:numPr>
        <w:spacing w:after="0"/>
        <w:rPr>
          <w:rFonts w:cs="Times New Roman"/>
        </w:rPr>
      </w:pPr>
      <w:r>
        <w:rPr>
          <w:rFonts w:cs="Times New Roman"/>
        </w:rPr>
        <w:t>Poveda (2021). Trichoderma as biocontrol agent against pests: New uses for a mycoparasite</w:t>
      </w:r>
      <w:r>
        <w:rPr>
          <w:rFonts w:cs="Times New Roman"/>
          <w:i/>
          <w:iCs/>
        </w:rPr>
        <w:t>.</w:t>
      </w:r>
      <w:r>
        <w:rPr>
          <w:rFonts w:cs="Times New Roman"/>
        </w:rPr>
        <w:t xml:space="preserve"> </w:t>
      </w:r>
      <w:r>
        <w:rPr>
          <w:rFonts w:cs="Times New Roman"/>
          <w:i/>
          <w:iCs/>
        </w:rPr>
        <w:t>Biological Con</w:t>
      </w:r>
      <w:r>
        <w:rPr>
          <w:rFonts w:cs="Times New Roman"/>
          <w:i/>
          <w:iCs/>
        </w:rPr>
        <w:t>trol</w:t>
      </w:r>
      <w:r>
        <w:rPr>
          <w:rFonts w:cs="Times New Roman"/>
        </w:rPr>
        <w:t>, 159, 104634.</w:t>
      </w:r>
    </w:p>
    <w:p w14:paraId="79415381" w14:textId="77777777" w:rsidR="00F15FD7" w:rsidRDefault="00563E74">
      <w:pPr>
        <w:pStyle w:val="ListParagraph"/>
        <w:numPr>
          <w:ilvl w:val="0"/>
          <w:numId w:val="3"/>
        </w:numPr>
        <w:spacing w:after="0"/>
        <w:rPr>
          <w:rFonts w:cs="Times New Roman"/>
        </w:rPr>
      </w:pPr>
      <w:r>
        <w:rPr>
          <w:rFonts w:cs="Times New Roman"/>
        </w:rPr>
        <w:t>Gary E. Harman, Franken, P., Berg, G., et al. (2021). Microbial mechanisms for plant growth promotion and disease control by Trichoderma species</w:t>
      </w:r>
      <w:r>
        <w:rPr>
          <w:rFonts w:cs="Times New Roman"/>
          <w:i/>
          <w:iCs/>
        </w:rPr>
        <w:t>.</w:t>
      </w:r>
      <w:r>
        <w:rPr>
          <w:rFonts w:cs="Times New Roman"/>
        </w:rPr>
        <w:t xml:space="preserve"> </w:t>
      </w:r>
      <w:r>
        <w:rPr>
          <w:rFonts w:cs="Times New Roman"/>
          <w:i/>
          <w:iCs/>
        </w:rPr>
        <w:t>Frontiers in Plant Science,</w:t>
      </w:r>
      <w:r>
        <w:rPr>
          <w:rFonts w:cs="Times New Roman"/>
        </w:rPr>
        <w:t xml:space="preserve"> 12, 682.</w:t>
      </w:r>
    </w:p>
    <w:p w14:paraId="5A2D74DF" w14:textId="77777777" w:rsidR="00F15FD7" w:rsidRDefault="00563E74">
      <w:pPr>
        <w:pStyle w:val="ListParagraph"/>
        <w:numPr>
          <w:ilvl w:val="0"/>
          <w:numId w:val="3"/>
        </w:numPr>
        <w:spacing w:after="0"/>
        <w:rPr>
          <w:rFonts w:cs="Times New Roman"/>
        </w:rPr>
      </w:pPr>
      <w:r>
        <w:rPr>
          <w:rFonts w:cs="Times New Roman"/>
        </w:rPr>
        <w:t xml:space="preserve">Harman, G. E., Petzoldt, R., Comis, A., &amp; Chen, J. (2021). Interactions between Trichoderma </w:t>
      </w:r>
      <w:proofErr w:type="spellStart"/>
      <w:r>
        <w:rPr>
          <w:rFonts w:cs="Times New Roman"/>
        </w:rPr>
        <w:t>harzianum</w:t>
      </w:r>
      <w:proofErr w:type="spellEnd"/>
      <w:r>
        <w:rPr>
          <w:rFonts w:cs="Times New Roman"/>
        </w:rPr>
        <w:t xml:space="preserve"> strain T22 and maize inbred line Mo17 and effects of these interactions on diseases caused by Pythium </w:t>
      </w:r>
      <w:proofErr w:type="spellStart"/>
      <w:r>
        <w:rPr>
          <w:rFonts w:cs="Times New Roman"/>
        </w:rPr>
        <w:t>ultimum</w:t>
      </w:r>
      <w:proofErr w:type="spellEnd"/>
      <w:r>
        <w:rPr>
          <w:rFonts w:cs="Times New Roman"/>
        </w:rPr>
        <w:t xml:space="preserve"> and Colletotrichum </w:t>
      </w:r>
      <w:proofErr w:type="spellStart"/>
      <w:r>
        <w:rPr>
          <w:rFonts w:cs="Times New Roman"/>
        </w:rPr>
        <w:t>graminicola</w:t>
      </w:r>
      <w:proofErr w:type="spellEnd"/>
      <w:r>
        <w:rPr>
          <w:rFonts w:cs="Times New Roman"/>
        </w:rPr>
        <w:t xml:space="preserve">. </w:t>
      </w:r>
      <w:r>
        <w:rPr>
          <w:rFonts w:cs="Times New Roman"/>
          <w:i/>
          <w:iCs/>
        </w:rPr>
        <w:t>Phytopatholo</w:t>
      </w:r>
      <w:r>
        <w:rPr>
          <w:rFonts w:cs="Times New Roman"/>
          <w:i/>
          <w:iCs/>
        </w:rPr>
        <w:t>gy,</w:t>
      </w:r>
      <w:r>
        <w:rPr>
          <w:rFonts w:cs="Times New Roman"/>
        </w:rPr>
        <w:t xml:space="preserve"> 111(6), 927–935.</w:t>
      </w:r>
    </w:p>
    <w:p w14:paraId="1CE97657" w14:textId="77777777" w:rsidR="00F15FD7" w:rsidRDefault="00563E74">
      <w:pPr>
        <w:pStyle w:val="ListParagraph"/>
        <w:numPr>
          <w:ilvl w:val="0"/>
          <w:numId w:val="3"/>
        </w:numPr>
        <w:spacing w:after="0"/>
        <w:rPr>
          <w:rFonts w:cs="Times New Roman"/>
        </w:rPr>
      </w:pPr>
      <w:r>
        <w:rPr>
          <w:rFonts w:cs="Times New Roman"/>
        </w:rPr>
        <w:t>Johannes Lehmann &amp; Stephen Joseph (2015). Biochar for Environmental Management: Science, Technology and Implementation (2nd ed.). Routledge, London.</w:t>
      </w:r>
    </w:p>
    <w:p w14:paraId="436DAD97" w14:textId="77777777" w:rsidR="00F15FD7" w:rsidRDefault="00563E74">
      <w:pPr>
        <w:pStyle w:val="ListParagraph"/>
        <w:numPr>
          <w:ilvl w:val="0"/>
          <w:numId w:val="3"/>
        </w:numPr>
        <w:spacing w:after="0"/>
        <w:rPr>
          <w:rFonts w:cs="Times New Roman"/>
        </w:rPr>
      </w:pPr>
      <w:r>
        <w:rPr>
          <w:rFonts w:cs="Times New Roman"/>
        </w:rPr>
        <w:lastRenderedPageBreak/>
        <w:t>Amit Sharma, Bhardwaj, R., Thukral, A. K., &amp; Al-</w:t>
      </w:r>
      <w:proofErr w:type="spellStart"/>
      <w:r>
        <w:rPr>
          <w:rFonts w:cs="Times New Roman"/>
        </w:rPr>
        <w:t>Huqail</w:t>
      </w:r>
      <w:proofErr w:type="spellEnd"/>
      <w:r>
        <w:rPr>
          <w:rFonts w:cs="Times New Roman"/>
        </w:rPr>
        <w:t>, A. A. (2022). Biochar applicat</w:t>
      </w:r>
      <w:r>
        <w:rPr>
          <w:rFonts w:cs="Times New Roman"/>
        </w:rPr>
        <w:t xml:space="preserve">ion influences soil properties and plant growth: A review. </w:t>
      </w:r>
      <w:r>
        <w:rPr>
          <w:rFonts w:cs="Times New Roman"/>
          <w:i/>
          <w:iCs/>
        </w:rPr>
        <w:t xml:space="preserve">Journal of Soil Science and Plant Nutrition, </w:t>
      </w:r>
      <w:r>
        <w:rPr>
          <w:rFonts w:cs="Times New Roman"/>
        </w:rPr>
        <w:t>22, 1–17.</w:t>
      </w:r>
    </w:p>
    <w:p w14:paraId="61A9465B" w14:textId="77777777" w:rsidR="00F15FD7" w:rsidRDefault="00563E74">
      <w:pPr>
        <w:pStyle w:val="ListParagraph"/>
        <w:numPr>
          <w:ilvl w:val="0"/>
          <w:numId w:val="3"/>
        </w:numPr>
        <w:spacing w:after="0"/>
        <w:rPr>
          <w:rFonts w:cs="Times New Roman"/>
        </w:rPr>
      </w:pPr>
      <w:r>
        <w:rPr>
          <w:rFonts w:cs="Times New Roman"/>
        </w:rPr>
        <w:t>Bhupinder Pal Singh, C. S. R. Reddy, et al. (2021). Biochar and microbial interactions in soil: Implications for plant growth and nutrient cyc</w:t>
      </w:r>
      <w:r>
        <w:rPr>
          <w:rFonts w:cs="Times New Roman"/>
        </w:rPr>
        <w:t xml:space="preserve">ling. </w:t>
      </w:r>
      <w:r>
        <w:rPr>
          <w:rFonts w:cs="Times New Roman"/>
          <w:i/>
          <w:iCs/>
        </w:rPr>
        <w:t xml:space="preserve">Science of the Total Environment, </w:t>
      </w:r>
      <w:r>
        <w:rPr>
          <w:rFonts w:cs="Times New Roman"/>
        </w:rPr>
        <w:t>752, 141828.</w:t>
      </w:r>
    </w:p>
    <w:p w14:paraId="35FCFC5B" w14:textId="77777777" w:rsidR="00F15FD7" w:rsidRDefault="00563E74">
      <w:pPr>
        <w:pStyle w:val="ListParagraph"/>
        <w:numPr>
          <w:ilvl w:val="0"/>
          <w:numId w:val="3"/>
        </w:numPr>
        <w:spacing w:after="0"/>
        <w:rPr>
          <w:rFonts w:cs="Times New Roman"/>
        </w:rPr>
      </w:pPr>
      <w:r>
        <w:rPr>
          <w:rFonts w:cs="Times New Roman"/>
        </w:rPr>
        <w:t xml:space="preserve">Wei Wu, et al. (2020). Biochar application improves soil fertility and crop productivity through microbial </w:t>
      </w:r>
      <w:r>
        <w:rPr>
          <w:rFonts w:cs="Times New Roman"/>
          <w:i/>
          <w:iCs/>
        </w:rPr>
        <w:t>regulation.</w:t>
      </w:r>
      <w:r>
        <w:rPr>
          <w:rFonts w:cs="Times New Roman"/>
        </w:rPr>
        <w:t xml:space="preserve"> </w:t>
      </w:r>
      <w:r>
        <w:rPr>
          <w:rFonts w:cs="Times New Roman"/>
          <w:i/>
          <w:iCs/>
        </w:rPr>
        <w:t>Agriculture, Ecosystems &amp; Environment,</w:t>
      </w:r>
      <w:r>
        <w:rPr>
          <w:rFonts w:cs="Times New Roman"/>
        </w:rPr>
        <w:t xml:space="preserve"> 300, 106972.</w:t>
      </w:r>
    </w:p>
    <w:p w14:paraId="456A0D18" w14:textId="77777777" w:rsidR="00F15FD7" w:rsidRDefault="00563E74">
      <w:pPr>
        <w:pStyle w:val="ListParagraph"/>
        <w:numPr>
          <w:ilvl w:val="0"/>
          <w:numId w:val="3"/>
        </w:numPr>
        <w:spacing w:after="0"/>
        <w:rPr>
          <w:rFonts w:cs="Times New Roman"/>
        </w:rPr>
      </w:pPr>
      <w:proofErr w:type="spellStart"/>
      <w:r>
        <w:rPr>
          <w:rFonts w:cs="Times New Roman"/>
        </w:rPr>
        <w:t>Bashyal</w:t>
      </w:r>
      <w:proofErr w:type="spellEnd"/>
      <w:r>
        <w:rPr>
          <w:rFonts w:cs="Times New Roman"/>
        </w:rPr>
        <w:t>, B. M., Pandey, A., &amp; Sh</w:t>
      </w:r>
      <w:r>
        <w:rPr>
          <w:rFonts w:cs="Times New Roman"/>
        </w:rPr>
        <w:t xml:space="preserve">arma, S. (2021). Effects of </w:t>
      </w:r>
      <w:r>
        <w:rPr>
          <w:rFonts w:cs="Times New Roman"/>
          <w:i/>
          <w:iCs/>
        </w:rPr>
        <w:t>Trichoderma</w:t>
      </w:r>
      <w:r>
        <w:rPr>
          <w:rFonts w:cs="Times New Roman"/>
        </w:rPr>
        <w:t xml:space="preserve"> spp. on plant growth and antioxidant </w:t>
      </w:r>
      <w:proofErr w:type="spellStart"/>
      <w:r>
        <w:rPr>
          <w:rFonts w:cs="Times New Roman"/>
        </w:rPr>
        <w:t>defense</w:t>
      </w:r>
      <w:proofErr w:type="spellEnd"/>
      <w:r>
        <w:rPr>
          <w:rFonts w:cs="Times New Roman"/>
        </w:rPr>
        <w:t xml:space="preserve"> system under abiotic stress conditions. </w:t>
      </w:r>
      <w:r>
        <w:rPr>
          <w:rFonts w:cs="Times New Roman"/>
          <w:i/>
          <w:iCs/>
        </w:rPr>
        <w:t>Plant Stress, 2</w:t>
      </w:r>
      <w:r>
        <w:rPr>
          <w:rFonts w:cs="Times New Roman"/>
        </w:rPr>
        <w:t>, 100031.</w:t>
      </w:r>
    </w:p>
    <w:p w14:paraId="108529FD" w14:textId="77777777" w:rsidR="00F15FD7" w:rsidRDefault="00563E74">
      <w:pPr>
        <w:pStyle w:val="ListParagraph"/>
        <w:numPr>
          <w:ilvl w:val="0"/>
          <w:numId w:val="3"/>
        </w:numPr>
        <w:spacing w:after="0"/>
        <w:rPr>
          <w:rFonts w:cs="Times New Roman"/>
        </w:rPr>
      </w:pPr>
      <w:r>
        <w:rPr>
          <w:rFonts w:cs="Times New Roman"/>
        </w:rPr>
        <w:t xml:space="preserve">Dixon, R. A., &amp; Paiva, N. L. (1995). Stress-induced phenylpropanoid metabolism. </w:t>
      </w:r>
      <w:r>
        <w:rPr>
          <w:rFonts w:cs="Times New Roman"/>
          <w:i/>
          <w:iCs/>
        </w:rPr>
        <w:t>The Plant Cell, 7</w:t>
      </w:r>
      <w:r>
        <w:rPr>
          <w:rFonts w:cs="Times New Roman"/>
        </w:rPr>
        <w:t>(7), 1085</w:t>
      </w:r>
      <w:r>
        <w:rPr>
          <w:rFonts w:cs="Times New Roman"/>
        </w:rPr>
        <w:t>–1097. https://doi.org/10.1105/tpc.7.7.1085</w:t>
      </w:r>
    </w:p>
    <w:p w14:paraId="5FA88156" w14:textId="77777777" w:rsidR="00F15FD7" w:rsidRDefault="00563E74">
      <w:pPr>
        <w:pStyle w:val="ListParagraph"/>
        <w:numPr>
          <w:ilvl w:val="0"/>
          <w:numId w:val="3"/>
        </w:numPr>
        <w:spacing w:after="0"/>
        <w:rPr>
          <w:rFonts w:cs="Times New Roman"/>
        </w:rPr>
      </w:pPr>
      <w:r>
        <w:rPr>
          <w:rFonts w:cs="Times New Roman"/>
        </w:rPr>
        <w:t xml:space="preserve">Hashem, A., </w:t>
      </w:r>
      <w:proofErr w:type="spellStart"/>
      <w:r>
        <w:rPr>
          <w:rFonts w:cs="Times New Roman"/>
        </w:rPr>
        <w:t>Abd_Allah</w:t>
      </w:r>
      <w:proofErr w:type="spellEnd"/>
      <w:r>
        <w:rPr>
          <w:rFonts w:cs="Times New Roman"/>
        </w:rPr>
        <w:t xml:space="preserve">, E. F., </w:t>
      </w:r>
      <w:proofErr w:type="spellStart"/>
      <w:r>
        <w:rPr>
          <w:rFonts w:cs="Times New Roman"/>
        </w:rPr>
        <w:t>Alqarawi</w:t>
      </w:r>
      <w:proofErr w:type="spellEnd"/>
      <w:r>
        <w:rPr>
          <w:rFonts w:cs="Times New Roman"/>
        </w:rPr>
        <w:t xml:space="preserve">, A. A., &amp; Wirth, S. (2019). Biochar and </w:t>
      </w:r>
      <w:r>
        <w:rPr>
          <w:rFonts w:cs="Times New Roman"/>
          <w:i/>
          <w:iCs/>
        </w:rPr>
        <w:t>Trichoderma</w:t>
      </w:r>
      <w:r>
        <w:rPr>
          <w:rFonts w:cs="Times New Roman"/>
        </w:rPr>
        <w:t xml:space="preserve"> enhance plant growth and antioxidant </w:t>
      </w:r>
      <w:proofErr w:type="spellStart"/>
      <w:r>
        <w:rPr>
          <w:rFonts w:cs="Times New Roman"/>
        </w:rPr>
        <w:t>defense</w:t>
      </w:r>
      <w:proofErr w:type="spellEnd"/>
      <w:r>
        <w:rPr>
          <w:rFonts w:cs="Times New Roman"/>
        </w:rPr>
        <w:t xml:space="preserve"> under stress conditions. </w:t>
      </w:r>
      <w:r>
        <w:rPr>
          <w:rFonts w:cs="Times New Roman"/>
          <w:i/>
          <w:iCs/>
        </w:rPr>
        <w:t>Saudi Journal of Biological Sciences, 26</w:t>
      </w:r>
      <w:r>
        <w:rPr>
          <w:rFonts w:cs="Times New Roman"/>
        </w:rPr>
        <w:t>(7), 1717–1</w:t>
      </w:r>
      <w:r>
        <w:rPr>
          <w:rFonts w:cs="Times New Roman"/>
        </w:rPr>
        <w:t xml:space="preserve">723. </w:t>
      </w:r>
      <w:hyperlink r:id="rId38" w:tgtFrame="_new" w:history="1">
        <w:r w:rsidR="00F15FD7">
          <w:rPr>
            <w:rStyle w:val="Hyperlink"/>
            <w:rFonts w:cs="Times New Roman"/>
            <w:sz w:val="22"/>
          </w:rPr>
          <w:t>https://doi.org/10.1016/j.sjbs.2019.05.005</w:t>
        </w:r>
      </w:hyperlink>
    </w:p>
    <w:p w14:paraId="5E76A372" w14:textId="77777777" w:rsidR="00F15FD7" w:rsidRDefault="00563E74">
      <w:pPr>
        <w:pStyle w:val="ListParagraph"/>
        <w:numPr>
          <w:ilvl w:val="0"/>
          <w:numId w:val="3"/>
        </w:numPr>
        <w:spacing w:after="0"/>
        <w:rPr>
          <w:rFonts w:cs="Times New Roman"/>
        </w:rPr>
      </w:pPr>
      <w:r>
        <w:rPr>
          <w:rFonts w:cs="Times New Roman"/>
        </w:rPr>
        <w:t xml:space="preserve">Kamran, M., Danish, S., Saleem, M. H., et al. (2020). Biochar alleviates drought stress by improving water and nutrient status in plants. </w:t>
      </w:r>
      <w:r>
        <w:rPr>
          <w:rFonts w:cs="Times New Roman"/>
          <w:i/>
          <w:iCs/>
        </w:rPr>
        <w:t>E</w:t>
      </w:r>
      <w:r>
        <w:rPr>
          <w:rFonts w:cs="Times New Roman"/>
          <w:i/>
          <w:iCs/>
        </w:rPr>
        <w:t>nvironmental Science and Pollution Research, 27</w:t>
      </w:r>
      <w:r>
        <w:rPr>
          <w:rFonts w:cs="Times New Roman"/>
        </w:rPr>
        <w:t>, 30672–30682. https://doi.org/10.1007/s11356-020-09360-3</w:t>
      </w:r>
    </w:p>
    <w:p w14:paraId="08693924" w14:textId="77777777" w:rsidR="00F15FD7" w:rsidRDefault="00563E74">
      <w:pPr>
        <w:pStyle w:val="ListParagraph"/>
        <w:numPr>
          <w:ilvl w:val="0"/>
          <w:numId w:val="3"/>
        </w:numPr>
        <w:spacing w:after="0"/>
        <w:rPr>
          <w:rFonts w:cs="Times New Roman"/>
        </w:rPr>
      </w:pPr>
      <w:r>
        <w:rPr>
          <w:rFonts w:cs="Times New Roman"/>
        </w:rPr>
        <w:t>Li, S., Song, C., Wang, B., et al. (2023). Biochar and microbial inoculation improve plant physiological performance and stress tolerance under drought</w:t>
      </w:r>
      <w:r>
        <w:rPr>
          <w:rFonts w:cs="Times New Roman"/>
        </w:rPr>
        <w:t xml:space="preserve"> conditions. </w:t>
      </w:r>
      <w:r>
        <w:rPr>
          <w:rFonts w:cs="Times New Roman"/>
          <w:i/>
          <w:iCs/>
        </w:rPr>
        <w:t>Frontiers in Plant Science, 14</w:t>
      </w:r>
      <w:r>
        <w:rPr>
          <w:rFonts w:cs="Times New Roman"/>
        </w:rPr>
        <w:t>, 1189456. https://doi.org/10.3389/fpls.2023.1189456</w:t>
      </w:r>
    </w:p>
    <w:p w14:paraId="47C1BCB2" w14:textId="77777777" w:rsidR="00F15FD7" w:rsidRDefault="00563E74">
      <w:pPr>
        <w:pStyle w:val="ListParagraph"/>
        <w:numPr>
          <w:ilvl w:val="0"/>
          <w:numId w:val="3"/>
        </w:numPr>
        <w:spacing w:after="0"/>
        <w:rPr>
          <w:rFonts w:cs="Times New Roman"/>
        </w:rPr>
      </w:pPr>
      <w:r>
        <w:rPr>
          <w:rFonts w:cs="Times New Roman"/>
        </w:rPr>
        <w:t xml:space="preserve">Pandey, V. C., Singh, J. S., &amp; Kumar, A. (2016). </w:t>
      </w:r>
      <w:r>
        <w:rPr>
          <w:rFonts w:cs="Times New Roman"/>
          <w:i/>
          <w:iCs/>
        </w:rPr>
        <w:t>Trichoderma</w:t>
      </w:r>
      <w:r>
        <w:rPr>
          <w:rFonts w:cs="Times New Roman"/>
        </w:rPr>
        <w:t xml:space="preserve"> enhances plant growth and antioxidant enzymes under stress conditions. </w:t>
      </w:r>
      <w:r>
        <w:rPr>
          <w:rFonts w:cs="Times New Roman"/>
          <w:i/>
          <w:iCs/>
        </w:rPr>
        <w:t>Agronomy for Sustainable Dev</w:t>
      </w:r>
      <w:r>
        <w:rPr>
          <w:rFonts w:cs="Times New Roman"/>
          <w:i/>
          <w:iCs/>
        </w:rPr>
        <w:t>elopment, 36</w:t>
      </w:r>
      <w:r>
        <w:rPr>
          <w:rFonts w:cs="Times New Roman"/>
        </w:rPr>
        <w:t>, 38. https://doi.org/10.1007/s13593-016-0377-1</w:t>
      </w:r>
    </w:p>
    <w:p w14:paraId="6E70CF5B" w14:textId="77777777" w:rsidR="00F15FD7" w:rsidRDefault="00563E74">
      <w:pPr>
        <w:pStyle w:val="ListParagraph"/>
        <w:numPr>
          <w:ilvl w:val="0"/>
          <w:numId w:val="3"/>
        </w:numPr>
        <w:spacing w:after="0"/>
        <w:rPr>
          <w:rFonts w:cs="Times New Roman"/>
        </w:rPr>
      </w:pPr>
      <w:r>
        <w:rPr>
          <w:rFonts w:cs="Times New Roman"/>
        </w:rPr>
        <w:t xml:space="preserve">Sharma, P., Jha, A. B., Dubey, R. S., &amp; </w:t>
      </w:r>
      <w:proofErr w:type="spellStart"/>
      <w:r>
        <w:rPr>
          <w:rFonts w:cs="Times New Roman"/>
        </w:rPr>
        <w:t>Pessarakli</w:t>
      </w:r>
      <w:proofErr w:type="spellEnd"/>
      <w:r>
        <w:rPr>
          <w:rFonts w:cs="Times New Roman"/>
        </w:rPr>
        <w:t xml:space="preserve">, M. (2012). Reactive oxygen species, oxidative damage, and antioxidative </w:t>
      </w:r>
      <w:proofErr w:type="spellStart"/>
      <w:r>
        <w:rPr>
          <w:rFonts w:cs="Times New Roman"/>
        </w:rPr>
        <w:t>defense</w:t>
      </w:r>
      <w:proofErr w:type="spellEnd"/>
      <w:r>
        <w:rPr>
          <w:rFonts w:cs="Times New Roman"/>
        </w:rPr>
        <w:t xml:space="preserve"> mechanism in plants under stressful conditions. </w:t>
      </w:r>
      <w:r>
        <w:rPr>
          <w:rFonts w:cs="Times New Roman"/>
          <w:i/>
          <w:iCs/>
        </w:rPr>
        <w:t>Journal of Botan</w:t>
      </w:r>
      <w:r>
        <w:rPr>
          <w:rFonts w:cs="Times New Roman"/>
          <w:i/>
          <w:iCs/>
        </w:rPr>
        <w:t>y, 2012</w:t>
      </w:r>
      <w:r>
        <w:rPr>
          <w:rFonts w:cs="Times New Roman"/>
        </w:rPr>
        <w:t>, 1–26.</w:t>
      </w:r>
    </w:p>
    <w:p w14:paraId="78CFB5F7" w14:textId="77777777" w:rsidR="00F15FD7" w:rsidRDefault="00563E74">
      <w:pPr>
        <w:pStyle w:val="ListParagraph"/>
        <w:numPr>
          <w:ilvl w:val="0"/>
          <w:numId w:val="3"/>
        </w:numPr>
        <w:spacing w:after="0"/>
        <w:rPr>
          <w:rFonts w:cs="Times New Roman"/>
        </w:rPr>
      </w:pPr>
      <w:r>
        <w:rPr>
          <w:rFonts w:cs="Times New Roman"/>
        </w:rPr>
        <w:t xml:space="preserve">Singh, B. P., Cowie, A. L., &amp; </w:t>
      </w:r>
      <w:proofErr w:type="spellStart"/>
      <w:r>
        <w:rPr>
          <w:rFonts w:cs="Times New Roman"/>
        </w:rPr>
        <w:t>Smernik</w:t>
      </w:r>
      <w:proofErr w:type="spellEnd"/>
      <w:r>
        <w:rPr>
          <w:rFonts w:cs="Times New Roman"/>
        </w:rPr>
        <w:t xml:space="preserve">, R. J. (2021). Biochar and microbial interactions improve soil nutrient cycling and plant productivity. </w:t>
      </w:r>
      <w:r>
        <w:rPr>
          <w:rFonts w:cs="Times New Roman"/>
          <w:i/>
          <w:iCs/>
        </w:rPr>
        <w:t>Science of the Total Environment, 752</w:t>
      </w:r>
      <w:r>
        <w:rPr>
          <w:rFonts w:cs="Times New Roman"/>
        </w:rPr>
        <w:t>, 141828. https://doi.org/10.1016/j.scitotenv.2020.141828</w:t>
      </w:r>
    </w:p>
    <w:p w14:paraId="5384B1C0" w14:textId="77777777" w:rsidR="00F15FD7" w:rsidRDefault="00563E74">
      <w:pPr>
        <w:pStyle w:val="ListParagraph"/>
        <w:numPr>
          <w:ilvl w:val="0"/>
          <w:numId w:val="3"/>
        </w:numPr>
        <w:spacing w:after="0"/>
        <w:rPr>
          <w:rFonts w:cs="Times New Roman"/>
        </w:rPr>
      </w:pPr>
      <w:r>
        <w:rPr>
          <w:rFonts w:cs="Times New Roman"/>
        </w:rPr>
        <w:t>Szab</w:t>
      </w:r>
      <w:r>
        <w:rPr>
          <w:rFonts w:cs="Times New Roman"/>
        </w:rPr>
        <w:t xml:space="preserve">ados, L., &amp; </w:t>
      </w:r>
      <w:proofErr w:type="spellStart"/>
      <w:r>
        <w:rPr>
          <w:rFonts w:cs="Times New Roman"/>
        </w:rPr>
        <w:t>Savouré</w:t>
      </w:r>
      <w:proofErr w:type="spellEnd"/>
      <w:r>
        <w:rPr>
          <w:rFonts w:cs="Times New Roman"/>
        </w:rPr>
        <w:t xml:space="preserve">, A. (2010). Proline: A multifunctional amino acid. </w:t>
      </w:r>
      <w:r>
        <w:rPr>
          <w:rFonts w:cs="Times New Roman"/>
          <w:i/>
          <w:iCs/>
        </w:rPr>
        <w:t>Trends in Plant Science, 15</w:t>
      </w:r>
      <w:r>
        <w:rPr>
          <w:rFonts w:cs="Times New Roman"/>
        </w:rPr>
        <w:t>(2), 89–97. https://doi.org/10.1016/j.tplants.2009.11.009</w:t>
      </w:r>
    </w:p>
    <w:p w14:paraId="24A3F7AE" w14:textId="77777777" w:rsidR="00F15FD7" w:rsidRDefault="00563E74">
      <w:pPr>
        <w:pStyle w:val="ListParagraph"/>
        <w:spacing w:after="0"/>
        <w:ind w:left="360"/>
        <w:rPr>
          <w:rFonts w:cs="Times New Roman"/>
        </w:rPr>
      </w:pPr>
      <w:r>
        <w:rPr>
          <w:rFonts w:cs="Times New Roman"/>
          <w:lang w:val="en-US"/>
        </w:rPr>
        <w:t>100.</w:t>
      </w:r>
      <w:r>
        <w:rPr>
          <w:rFonts w:cs="Times New Roman"/>
        </w:rPr>
        <w:t xml:space="preserve">Wu, W., Wang, D., Bao, X., et al. (2020). Biochar improves soil fertility and crop productivity through microbial regulation. </w:t>
      </w:r>
      <w:r>
        <w:rPr>
          <w:rFonts w:cs="Times New Roman"/>
          <w:i/>
          <w:iCs/>
        </w:rPr>
        <w:t>Agriculture, Ecosystems &amp; Environment, 300</w:t>
      </w:r>
      <w:r>
        <w:rPr>
          <w:rFonts w:cs="Times New Roman"/>
        </w:rPr>
        <w:t>, 106972. https://doi.org/10.1016/j.agee.2020.106972</w:t>
      </w:r>
    </w:p>
    <w:p w14:paraId="41619B63" w14:textId="77777777" w:rsidR="00F15FD7" w:rsidRDefault="00563E74">
      <w:pPr>
        <w:pStyle w:val="ListParagraph"/>
        <w:spacing w:after="0"/>
        <w:ind w:left="360"/>
        <w:rPr>
          <w:rFonts w:cs="Times New Roman"/>
        </w:rPr>
      </w:pPr>
      <w:r>
        <w:rPr>
          <w:rFonts w:cs="Times New Roman"/>
          <w:lang w:val="en-US"/>
        </w:rPr>
        <w:t>101.</w:t>
      </w:r>
      <w:r>
        <w:rPr>
          <w:rFonts w:cs="Times New Roman"/>
        </w:rPr>
        <w:t>Xu, X., &amp; Mou, B. (2015). Respo</w:t>
      </w:r>
      <w:r>
        <w:rPr>
          <w:rFonts w:cs="Times New Roman"/>
        </w:rPr>
        <w:t xml:space="preserve">nses of spinach to biochar and </w:t>
      </w:r>
      <w:r>
        <w:rPr>
          <w:rFonts w:cs="Times New Roman"/>
          <w:i/>
          <w:iCs/>
        </w:rPr>
        <w:t>Trichoderma</w:t>
      </w:r>
      <w:r>
        <w:rPr>
          <w:rFonts w:cs="Times New Roman"/>
        </w:rPr>
        <w:t xml:space="preserve"> under abiotic stress conditions. </w:t>
      </w:r>
      <w:r>
        <w:rPr>
          <w:rFonts w:cs="Times New Roman"/>
          <w:i/>
          <w:iCs/>
        </w:rPr>
        <w:t xml:space="preserve">Scientia </w:t>
      </w:r>
      <w:proofErr w:type="spellStart"/>
      <w:r>
        <w:rPr>
          <w:rFonts w:cs="Times New Roman"/>
          <w:i/>
          <w:iCs/>
        </w:rPr>
        <w:t>Horticulturae</w:t>
      </w:r>
      <w:proofErr w:type="spellEnd"/>
      <w:r>
        <w:rPr>
          <w:rFonts w:cs="Times New Roman"/>
          <w:i/>
          <w:iCs/>
        </w:rPr>
        <w:t>, 186</w:t>
      </w:r>
      <w:r>
        <w:rPr>
          <w:rFonts w:cs="Times New Roman"/>
        </w:rPr>
        <w:t>, 29–37. https://doi.org/10.1016/j.scienta.2015.01.032</w:t>
      </w:r>
    </w:p>
    <w:p w14:paraId="58930240" w14:textId="77777777" w:rsidR="00F15FD7" w:rsidRDefault="00563E74">
      <w:pPr>
        <w:pStyle w:val="ListParagraph"/>
        <w:spacing w:after="0"/>
        <w:ind w:left="360"/>
        <w:rPr>
          <w:rFonts w:cs="Times New Roman"/>
        </w:rPr>
      </w:pPr>
      <w:r>
        <w:rPr>
          <w:rFonts w:cs="Times New Roman"/>
          <w:lang w:val="en-US"/>
        </w:rPr>
        <w:t>102.</w:t>
      </w:r>
      <w:r>
        <w:rPr>
          <w:rFonts w:cs="Times New Roman"/>
        </w:rPr>
        <w:t>Younis, A., Riaz, A., Tariq, U., et al. (2016). Biochar improves plant physiological performan</w:t>
      </w:r>
      <w:r>
        <w:rPr>
          <w:rFonts w:cs="Times New Roman"/>
        </w:rPr>
        <w:t xml:space="preserve">ce under drought stress. </w:t>
      </w:r>
      <w:r>
        <w:rPr>
          <w:rFonts w:cs="Times New Roman"/>
          <w:i/>
          <w:iCs/>
        </w:rPr>
        <w:t>Agriculture, Ecosystems &amp; Environment, 222</w:t>
      </w:r>
      <w:r>
        <w:rPr>
          <w:rFonts w:cs="Times New Roman"/>
        </w:rPr>
        <w:t>, 181–190. https://doi.org/10.1016/j.agee.2016.02.022</w:t>
      </w:r>
    </w:p>
    <w:p w14:paraId="1ACA3090" w14:textId="77777777" w:rsidR="00F15FD7" w:rsidRDefault="00563E74">
      <w:pPr>
        <w:pStyle w:val="ListParagraph"/>
        <w:spacing w:after="0"/>
        <w:ind w:left="360"/>
        <w:rPr>
          <w:rFonts w:cs="Times New Roman"/>
        </w:rPr>
      </w:pPr>
      <w:r>
        <w:rPr>
          <w:rFonts w:cs="Times New Roman"/>
          <w:lang w:val="en-US"/>
        </w:rPr>
        <w:lastRenderedPageBreak/>
        <w:t>104.Z</w:t>
      </w:r>
      <w:r>
        <w:rPr>
          <w:rFonts w:cs="Times New Roman"/>
        </w:rPr>
        <w:t xml:space="preserve">hang, Y., Li, X., Chen, J., et al. (2023). Biochar and beneficial microbes enhance drought tolerance through physiological and antioxidant regulation in plants. </w:t>
      </w:r>
      <w:r>
        <w:rPr>
          <w:rFonts w:cs="Times New Roman"/>
          <w:i/>
          <w:iCs/>
        </w:rPr>
        <w:t>Plant Physiology and Biochemistry, 197</w:t>
      </w:r>
      <w:r>
        <w:rPr>
          <w:rFonts w:cs="Times New Roman"/>
        </w:rPr>
        <w:t>, 107643.</w:t>
      </w:r>
    </w:p>
    <w:p w14:paraId="59B5B996" w14:textId="77777777" w:rsidR="00F15FD7" w:rsidRDefault="00F15FD7">
      <w:pPr>
        <w:spacing w:line="360" w:lineRule="auto"/>
        <w:jc w:val="both"/>
        <w:rPr>
          <w:rFonts w:ascii="Times New Roman" w:hAnsi="Times New Roman" w:cs="Times New Roman"/>
          <w:lang w:val="en-GB"/>
        </w:rPr>
      </w:pPr>
    </w:p>
    <w:sectPr w:rsidR="00F15FD7">
      <w:pgSz w:w="12240" w:h="15840"/>
      <w:pgMar w:top="1440" w:right="81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67101" w14:textId="77777777" w:rsidR="00563E74" w:rsidRDefault="00563E74">
      <w:pPr>
        <w:spacing w:line="240" w:lineRule="auto"/>
      </w:pPr>
      <w:r>
        <w:separator/>
      </w:r>
    </w:p>
  </w:endnote>
  <w:endnote w:type="continuationSeparator" w:id="0">
    <w:p w14:paraId="1FCD1790" w14:textId="77777777" w:rsidR="00563E74" w:rsidRDefault="00563E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CA51D" w14:textId="77777777" w:rsidR="00C36435" w:rsidRDefault="00C36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0395E" w14:textId="77777777" w:rsidR="00C36435" w:rsidRDefault="00C364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83D10" w14:textId="77777777" w:rsidR="00C36435" w:rsidRDefault="00C36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CE0DE2" w14:textId="77777777" w:rsidR="00563E74" w:rsidRDefault="00563E74">
      <w:pPr>
        <w:spacing w:after="0"/>
      </w:pPr>
      <w:r>
        <w:separator/>
      </w:r>
    </w:p>
  </w:footnote>
  <w:footnote w:type="continuationSeparator" w:id="0">
    <w:p w14:paraId="0F4D23E2" w14:textId="77777777" w:rsidR="00563E74" w:rsidRDefault="00563E7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F4756" w14:textId="617632BC" w:rsidR="00C36435" w:rsidRDefault="00C36435">
    <w:pPr>
      <w:pStyle w:val="Header"/>
    </w:pPr>
    <w:r>
      <w:rPr>
        <w:noProof/>
      </w:rPr>
      <w:pict w14:anchorId="76A2D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630844" o:spid="_x0000_s2050" type="#_x0000_t136" style="position:absolute;margin-left:0;margin-top:0;width:555.0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FA3B3" w14:textId="49386935" w:rsidR="00C36435" w:rsidRDefault="00C36435">
    <w:pPr>
      <w:pStyle w:val="Header"/>
    </w:pPr>
    <w:r>
      <w:rPr>
        <w:noProof/>
      </w:rPr>
      <w:pict w14:anchorId="700349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630845" o:spid="_x0000_s2051" type="#_x0000_t136" style="position:absolute;margin-left:0;margin-top:0;width:555.0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33AE3" w14:textId="39AC5B7B" w:rsidR="00C36435" w:rsidRDefault="00C36435">
    <w:pPr>
      <w:pStyle w:val="Header"/>
    </w:pPr>
    <w:r>
      <w:rPr>
        <w:noProof/>
      </w:rPr>
      <w:pict w14:anchorId="7A5F6B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630843" o:spid="_x0000_s2049" type="#_x0000_t136" style="position:absolute;margin-left:0;margin-top:0;width:555.0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E3C22"/>
    <w:multiLevelType w:val="multilevel"/>
    <w:tmpl w:val="191E3C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B11E17"/>
    <w:multiLevelType w:val="multilevel"/>
    <w:tmpl w:val="1EB11E17"/>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2D62D93"/>
    <w:multiLevelType w:val="multilevel"/>
    <w:tmpl w:val="22D62D9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19"/>
    <w:rsid w:val="000036F4"/>
    <w:rsid w:val="00005687"/>
    <w:rsid w:val="000101FE"/>
    <w:rsid w:val="00014FFF"/>
    <w:rsid w:val="00015148"/>
    <w:rsid w:val="0001668F"/>
    <w:rsid w:val="00017FAB"/>
    <w:rsid w:val="000213BD"/>
    <w:rsid w:val="00031B23"/>
    <w:rsid w:val="0003458F"/>
    <w:rsid w:val="0004107A"/>
    <w:rsid w:val="00057065"/>
    <w:rsid w:val="000575EF"/>
    <w:rsid w:val="00060FBE"/>
    <w:rsid w:val="00071258"/>
    <w:rsid w:val="00072ECE"/>
    <w:rsid w:val="0007425C"/>
    <w:rsid w:val="000956EB"/>
    <w:rsid w:val="000C5E13"/>
    <w:rsid w:val="000D3880"/>
    <w:rsid w:val="000E0354"/>
    <w:rsid w:val="000F3404"/>
    <w:rsid w:val="0010404B"/>
    <w:rsid w:val="0011321C"/>
    <w:rsid w:val="00113790"/>
    <w:rsid w:val="001239D5"/>
    <w:rsid w:val="00141935"/>
    <w:rsid w:val="001451A3"/>
    <w:rsid w:val="00146520"/>
    <w:rsid w:val="001629C8"/>
    <w:rsid w:val="001706AC"/>
    <w:rsid w:val="00181C81"/>
    <w:rsid w:val="00191A4A"/>
    <w:rsid w:val="001968FE"/>
    <w:rsid w:val="001C2C6F"/>
    <w:rsid w:val="001D4E48"/>
    <w:rsid w:val="001E628A"/>
    <w:rsid w:val="001F18FF"/>
    <w:rsid w:val="002073AE"/>
    <w:rsid w:val="0022302C"/>
    <w:rsid w:val="002309ED"/>
    <w:rsid w:val="0025237C"/>
    <w:rsid w:val="0025612E"/>
    <w:rsid w:val="00270325"/>
    <w:rsid w:val="0027694F"/>
    <w:rsid w:val="00292F60"/>
    <w:rsid w:val="002A3F2E"/>
    <w:rsid w:val="002C4209"/>
    <w:rsid w:val="002E6685"/>
    <w:rsid w:val="00304CF7"/>
    <w:rsid w:val="003078B0"/>
    <w:rsid w:val="00330597"/>
    <w:rsid w:val="00331167"/>
    <w:rsid w:val="00332411"/>
    <w:rsid w:val="00341D30"/>
    <w:rsid w:val="00344A99"/>
    <w:rsid w:val="00344A9E"/>
    <w:rsid w:val="00361237"/>
    <w:rsid w:val="00373700"/>
    <w:rsid w:val="0037790F"/>
    <w:rsid w:val="003916F6"/>
    <w:rsid w:val="00395216"/>
    <w:rsid w:val="003974D8"/>
    <w:rsid w:val="004053FA"/>
    <w:rsid w:val="0044381C"/>
    <w:rsid w:val="00457272"/>
    <w:rsid w:val="004A2492"/>
    <w:rsid w:val="004B10FA"/>
    <w:rsid w:val="004C4B76"/>
    <w:rsid w:val="004D3752"/>
    <w:rsid w:val="00504CE0"/>
    <w:rsid w:val="005151D6"/>
    <w:rsid w:val="0052163F"/>
    <w:rsid w:val="005278AD"/>
    <w:rsid w:val="00532B5E"/>
    <w:rsid w:val="0054372D"/>
    <w:rsid w:val="00563E74"/>
    <w:rsid w:val="00573BF2"/>
    <w:rsid w:val="0057405E"/>
    <w:rsid w:val="00592A6B"/>
    <w:rsid w:val="00595C83"/>
    <w:rsid w:val="005A4EF3"/>
    <w:rsid w:val="005B6EFA"/>
    <w:rsid w:val="005C772E"/>
    <w:rsid w:val="005D3865"/>
    <w:rsid w:val="005E092F"/>
    <w:rsid w:val="005E4129"/>
    <w:rsid w:val="005F2EC4"/>
    <w:rsid w:val="00611C00"/>
    <w:rsid w:val="00614264"/>
    <w:rsid w:val="006175B2"/>
    <w:rsid w:val="00623D51"/>
    <w:rsid w:val="00625320"/>
    <w:rsid w:val="0064445C"/>
    <w:rsid w:val="0064718A"/>
    <w:rsid w:val="00652881"/>
    <w:rsid w:val="006528FF"/>
    <w:rsid w:val="0066301C"/>
    <w:rsid w:val="00683760"/>
    <w:rsid w:val="00684159"/>
    <w:rsid w:val="00694365"/>
    <w:rsid w:val="006A30B3"/>
    <w:rsid w:val="006B33FC"/>
    <w:rsid w:val="006C0655"/>
    <w:rsid w:val="006C34B1"/>
    <w:rsid w:val="006E5EC5"/>
    <w:rsid w:val="006F7C9E"/>
    <w:rsid w:val="00711475"/>
    <w:rsid w:val="007209C6"/>
    <w:rsid w:val="00744567"/>
    <w:rsid w:val="00763F49"/>
    <w:rsid w:val="00777BA1"/>
    <w:rsid w:val="00794633"/>
    <w:rsid w:val="00795638"/>
    <w:rsid w:val="007961AB"/>
    <w:rsid w:val="007A4B67"/>
    <w:rsid w:val="007A4D53"/>
    <w:rsid w:val="007A53BF"/>
    <w:rsid w:val="007E0FB1"/>
    <w:rsid w:val="007E6558"/>
    <w:rsid w:val="007F4A62"/>
    <w:rsid w:val="00810446"/>
    <w:rsid w:val="0083030D"/>
    <w:rsid w:val="00856600"/>
    <w:rsid w:val="00863186"/>
    <w:rsid w:val="00884C80"/>
    <w:rsid w:val="00884F96"/>
    <w:rsid w:val="008868A8"/>
    <w:rsid w:val="00890537"/>
    <w:rsid w:val="008917AD"/>
    <w:rsid w:val="00891CF8"/>
    <w:rsid w:val="008D3FC6"/>
    <w:rsid w:val="00904447"/>
    <w:rsid w:val="00906D62"/>
    <w:rsid w:val="00915F00"/>
    <w:rsid w:val="00916106"/>
    <w:rsid w:val="00916994"/>
    <w:rsid w:val="00921916"/>
    <w:rsid w:val="0093478C"/>
    <w:rsid w:val="009549A7"/>
    <w:rsid w:val="00972095"/>
    <w:rsid w:val="009932B6"/>
    <w:rsid w:val="00994979"/>
    <w:rsid w:val="009C29FB"/>
    <w:rsid w:val="009D3255"/>
    <w:rsid w:val="009F7327"/>
    <w:rsid w:val="00A03000"/>
    <w:rsid w:val="00A06582"/>
    <w:rsid w:val="00A1357B"/>
    <w:rsid w:val="00A41D37"/>
    <w:rsid w:val="00A60A98"/>
    <w:rsid w:val="00A70578"/>
    <w:rsid w:val="00A817A6"/>
    <w:rsid w:val="00A91106"/>
    <w:rsid w:val="00AC329B"/>
    <w:rsid w:val="00AE378D"/>
    <w:rsid w:val="00AE52A7"/>
    <w:rsid w:val="00AF1690"/>
    <w:rsid w:val="00AF23B2"/>
    <w:rsid w:val="00B06562"/>
    <w:rsid w:val="00B135A8"/>
    <w:rsid w:val="00B26431"/>
    <w:rsid w:val="00B35F40"/>
    <w:rsid w:val="00B62C83"/>
    <w:rsid w:val="00B73BC2"/>
    <w:rsid w:val="00B82EF8"/>
    <w:rsid w:val="00B90819"/>
    <w:rsid w:val="00B940AB"/>
    <w:rsid w:val="00BA7D27"/>
    <w:rsid w:val="00BB16BC"/>
    <w:rsid w:val="00BB7691"/>
    <w:rsid w:val="00BD07C2"/>
    <w:rsid w:val="00C36435"/>
    <w:rsid w:val="00C60692"/>
    <w:rsid w:val="00C658D9"/>
    <w:rsid w:val="00CB2AB5"/>
    <w:rsid w:val="00CC0453"/>
    <w:rsid w:val="00CD1627"/>
    <w:rsid w:val="00CE024F"/>
    <w:rsid w:val="00CE63A3"/>
    <w:rsid w:val="00CE77FD"/>
    <w:rsid w:val="00CE7B10"/>
    <w:rsid w:val="00D32293"/>
    <w:rsid w:val="00D345BA"/>
    <w:rsid w:val="00D4048A"/>
    <w:rsid w:val="00D646C3"/>
    <w:rsid w:val="00D8272A"/>
    <w:rsid w:val="00D84490"/>
    <w:rsid w:val="00D86439"/>
    <w:rsid w:val="00DB4B70"/>
    <w:rsid w:val="00DE04E4"/>
    <w:rsid w:val="00DF0D46"/>
    <w:rsid w:val="00E1602B"/>
    <w:rsid w:val="00E179C4"/>
    <w:rsid w:val="00E665BC"/>
    <w:rsid w:val="00E9683B"/>
    <w:rsid w:val="00EA7EC0"/>
    <w:rsid w:val="00EB7718"/>
    <w:rsid w:val="00EC2FDA"/>
    <w:rsid w:val="00EF2848"/>
    <w:rsid w:val="00F04215"/>
    <w:rsid w:val="00F150CF"/>
    <w:rsid w:val="00F154ED"/>
    <w:rsid w:val="00F15FD7"/>
    <w:rsid w:val="00F173D4"/>
    <w:rsid w:val="00F20FFE"/>
    <w:rsid w:val="00F2126F"/>
    <w:rsid w:val="00F26852"/>
    <w:rsid w:val="00F312E6"/>
    <w:rsid w:val="00F5577E"/>
    <w:rsid w:val="00F57782"/>
    <w:rsid w:val="00F674E0"/>
    <w:rsid w:val="00F75D17"/>
    <w:rsid w:val="00F81C06"/>
    <w:rsid w:val="00F858D2"/>
    <w:rsid w:val="00FB3FB9"/>
    <w:rsid w:val="00FC21ED"/>
    <w:rsid w:val="00FC7AA8"/>
    <w:rsid w:val="00FD0D2C"/>
    <w:rsid w:val="00FE3E67"/>
    <w:rsid w:val="3CFA0E9D"/>
    <w:rsid w:val="7ADF7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1CF5017"/>
  <w15:docId w15:val="{FEA4568F-A860-46DB-A55A-00D97B49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link w:val="Heading2Char"/>
    <w:uiPriority w:val="9"/>
    <w:semiHidden/>
    <w:unhideWhenUsed/>
    <w:qFormat/>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val="en-GB"/>
    </w:rPr>
  </w:style>
  <w:style w:type="paragraph" w:styleId="Heading3">
    <w:name w:val="heading 3"/>
    <w:basedOn w:val="Normal"/>
    <w:next w:val="Normal"/>
    <w:link w:val="Heading3Char"/>
    <w:uiPriority w:val="9"/>
    <w:unhideWhenUsed/>
    <w:qFormat/>
    <w:pPr>
      <w:keepNext/>
      <w:keepLines/>
      <w:spacing w:before="160" w:after="80" w:line="278" w:lineRule="auto"/>
      <w:outlineLvl w:val="2"/>
    </w:pPr>
    <w:rPr>
      <w:rFonts w:eastAsiaTheme="majorEastAsia" w:cstheme="majorBidi"/>
      <w:color w:val="2F5496" w:themeColor="accent1" w:themeShade="BF"/>
      <w:kern w:val="2"/>
      <w:sz w:val="28"/>
      <w:szCs w:val="28"/>
      <w:lang w:eastAsia="en-GB"/>
      <w14:ligatures w14:val="standardContextual"/>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jc w:val="both"/>
    </w:pPr>
    <w:rPr>
      <w:rFonts w:ascii="Times New Roman" w:hAnsi="Times New Roman"/>
      <w:b/>
      <w:iCs/>
      <w:color w:val="000000" w:themeColor="text1"/>
      <w:sz w:val="24"/>
      <w:szCs w:val="18"/>
      <w:lang w:val="en-GB"/>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563C1" w:themeColor="hyperlink"/>
      <w:u w:val="single"/>
    </w:rPr>
  </w:style>
  <w:style w:type="character" w:styleId="LineNumber">
    <w:name w:val="line number"/>
    <w:basedOn w:val="DefaultParagraphFont"/>
    <w:uiPriority w:val="99"/>
    <w:semiHidden/>
    <w:unhideWhenUsed/>
    <w:qFormat/>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qFormat/>
    <w:rPr>
      <w:rFonts w:eastAsiaTheme="majorEastAsia" w:cstheme="majorBidi"/>
      <w:color w:val="2F5496" w:themeColor="accent1" w:themeShade="BF"/>
      <w:kern w:val="2"/>
      <w:sz w:val="28"/>
      <w:szCs w:val="28"/>
      <w:lang w:eastAsia="en-GB"/>
      <w14:ligatures w14:val="standardContextual"/>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stTable21">
    <w:name w:val="List Table 21"/>
    <w:basedOn w:val="TableNormal"/>
    <w:uiPriority w:val="47"/>
    <w:qFormat/>
    <w:rPr>
      <w:rFonts w:eastAsiaTheme="minorEastAsia"/>
      <w:kern w:val="2"/>
      <w:sz w:val="24"/>
      <w:szCs w:val="24"/>
      <w:lang w:eastAsia="en-GB"/>
      <w14:ligatures w14:val="standardContextual"/>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pPr>
      <w:spacing w:after="200" w:line="276" w:lineRule="auto"/>
      <w:ind w:left="720"/>
      <w:contextualSpacing/>
    </w:pPr>
    <w:rPr>
      <w:rFonts w:ascii="Times New Roman" w:hAnsi="Times New Roman"/>
      <w:color w:val="000000" w:themeColor="text1"/>
      <w:sz w:val="24"/>
      <w:lang w:val="en-GB"/>
    </w:r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Pr>
      <w:sz w:val="22"/>
      <w:szCs w:val="22"/>
    </w:rPr>
  </w:style>
  <w:style w:type="table" w:customStyle="1" w:styleId="LightShading2">
    <w:name w:val="Light Shading2"/>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F5496" w:themeColor="accent1" w:themeShade="BF"/>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0101FE"/>
    <w:rPr>
      <w:color w:val="605E5C"/>
      <w:shd w:val="clear" w:color="auto" w:fill="E1DFDD"/>
    </w:rPr>
  </w:style>
  <w:style w:type="paragraph" w:styleId="Header">
    <w:name w:val="header"/>
    <w:basedOn w:val="Normal"/>
    <w:link w:val="HeaderChar"/>
    <w:uiPriority w:val="99"/>
    <w:unhideWhenUsed/>
    <w:rsid w:val="00C36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435"/>
    <w:rPr>
      <w:sz w:val="22"/>
      <w:szCs w:val="22"/>
    </w:rPr>
  </w:style>
  <w:style w:type="paragraph" w:styleId="Footer">
    <w:name w:val="footer"/>
    <w:basedOn w:val="Normal"/>
    <w:link w:val="FooterChar"/>
    <w:uiPriority w:val="99"/>
    <w:unhideWhenUsed/>
    <w:rsid w:val="00C36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43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frontiersin.org/journals/microbiology/articles/10.3389/fmicb.2025.1583114/full" TargetMode="External"/><Relationship Id="rId26" Type="http://schemas.openxmlformats.org/officeDocument/2006/relationships/hyperlink" Target="https://doi.org/10.1016/j.ecoenv.2018.11.046" TargetMode="External"/><Relationship Id="rId39" Type="http://schemas.openxmlformats.org/officeDocument/2006/relationships/fontTable" Target="fontTable.xml"/><Relationship Id="rId21" Type="http://schemas.openxmlformats.org/officeDocument/2006/relationships/hyperlink" Target="http://www.fao.org/faostat/en/" TargetMode="External"/><Relationship Id="rId34" Type="http://schemas.openxmlformats.org/officeDocument/2006/relationships/hyperlink" Target="https://doi.org/10.1111/jam.14368" TargetMode="External"/><Relationship Id="rId7" Type="http://schemas.openxmlformats.org/officeDocument/2006/relationships/hyperlink" Target="https://link.springer.com/article/10.1007/s42773-024-00323-4" TargetMode="External"/><Relationship Id="rId12" Type="http://schemas.openxmlformats.org/officeDocument/2006/relationships/header" Target="header2.xml"/><Relationship Id="rId17" Type="http://schemas.openxmlformats.org/officeDocument/2006/relationships/hyperlink" Target="https://www.sciencedirect.com/topics/agricultural-and-biological-sciences/surface-area" TargetMode="External"/><Relationship Id="rId25" Type="http://schemas.openxmlformats.org/officeDocument/2006/relationships/hyperlink" Target="https://doi.org/10.1016/j.heliyon.2024.e41114" TargetMode="External"/><Relationship Id="rId33" Type="http://schemas.openxmlformats.org/officeDocument/2006/relationships/hyperlink" Target="https://www.sciencedirect.com/science/article/pii/S0944501324000661" TargetMode="External"/><Relationship Id="rId38" Type="http://schemas.openxmlformats.org/officeDocument/2006/relationships/hyperlink" Target="https://doi.org/10.1016/j.sjbs.2019.05.005"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doi.org/10.1038/nrmicro2637" TargetMode="External"/><Relationship Id="rId29" Type="http://schemas.openxmlformats.org/officeDocument/2006/relationships/hyperlink" Target="https://pubmed.ncbi.nlm.nih.gov/1797106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doi.org/10.1146/annurev-phyto-082712-102353" TargetMode="External"/><Relationship Id="rId32" Type="http://schemas.openxmlformats.org/officeDocument/2006/relationships/hyperlink" Target="https://www.sciencedirect.com/science/article/pii/S0944501324000661" TargetMode="External"/><Relationship Id="rId37" Type="http://schemas.openxmlformats.org/officeDocument/2006/relationships/hyperlink" Target="https://scholar.google.com/scholar_lookup?title=Trichoderma-induced+improvement+in+growth,+photosynthetic+pigments,+Proline,+and+Glutathione+levels+in+Cucurbita+pepo+seedlings+under+salt+stress&amp;author=Soliman,+M.H.&amp;author=Alnusaire,+T.S.&amp;author=Abdelbaky,+N.F.&amp;author=Alayafi,+A.A.M.&amp;author=Hasanuzzaman,+M.&amp;author=Rowezak,+M.M.&amp;author=El-Esawi,+M.&amp;author=Elkelish,+A.&amp;publication_year=2020&amp;journal=Phyton&amp;volume=89&amp;pages=473%E2%80%93486&amp;doi=10.32604/phyton.2020.08795"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doi.org/10.1016/j.jplph.2011.08.012" TargetMode="External"/><Relationship Id="rId28" Type="http://schemas.openxmlformats.org/officeDocument/2006/relationships/hyperlink" Target="https://doi.org/10.1111/j.1365-3040.2007.01727.x" TargetMode="External"/><Relationship Id="rId36" Type="http://schemas.openxmlformats.org/officeDocument/2006/relationships/hyperlink" Target="https://scholar.google.com/scholar_lookup?title=Biochar-compost+interactions+as+affected+by+weathering:+Effects+on+biological+stability+and+plant+growth&amp;author=Aubertin,+M.L.&amp;author=Girardin,+C.&amp;author=Houot,+S.&amp;author=Nobile,+C.&amp;author=Houben,+D.&amp;author=Bena,+S.&amp;author=Brech,+Y.&amp;author=Rumpel,+C.&amp;publication_year=2021&amp;journal=Agronomy&amp;volume=11&amp;pages=336&amp;doi=10.3390/agronomy11020336" TargetMode="External"/><Relationship Id="rId10" Type="http://schemas.openxmlformats.org/officeDocument/2006/relationships/chart" Target="charts/chart1.xml"/><Relationship Id="rId19" Type="http://schemas.openxmlformats.org/officeDocument/2006/relationships/hyperlink" Target="https://www.frontiersin.org/journals/microbiology/articles/10.3389/fmicb.2025.1583114/full" TargetMode="External"/><Relationship Id="rId31" Type="http://schemas.openxmlformats.org/officeDocument/2006/relationships/hyperlink" Target="https://doi.org/10.1007/S11104-019-04334-0" TargetMode="External"/><Relationship Id="rId4" Type="http://schemas.openxmlformats.org/officeDocument/2006/relationships/webSettings" Target="webSettings.xml"/><Relationship Id="rId9" Type="http://schemas.openxmlformats.org/officeDocument/2006/relationships/hyperlink" Target="https://www.frontiersin.org/journals/energy-research/articles/10.3389/fenrg.2020.00138/full" TargetMode="External"/><Relationship Id="rId14" Type="http://schemas.openxmlformats.org/officeDocument/2006/relationships/footer" Target="footer2.xml"/><Relationship Id="rId22" Type="http://schemas.openxmlformats.org/officeDocument/2006/relationships/hyperlink" Target="https://doi.org/10.3126/ijasbt.v6i4.22128" TargetMode="External"/><Relationship Id="rId27" Type="http://schemas.openxmlformats.org/officeDocument/2006/relationships/hyperlink" Target="https://scholar.google.com/scholar_lookup?title=Biological+Functions+of+Trichoderma+spp.+for+Agriculture+Applications&amp;author=Zin,+N.A.&amp;author=Badaluddin,+N.A.&amp;publication_year=2020&amp;journal=Ann.+Agric.+Sci.&amp;volume=65&amp;pages=168%E2%80%93178&amp;doi=10.1016/j.aoas.2020.09.003" TargetMode="External"/><Relationship Id="rId30" Type="http://schemas.openxmlformats.org/officeDocument/2006/relationships/hyperlink" Target="https://scholar.google.com/scholar_lookup?journal=Plant&amp;title=The%20effect%20of%20drought%20and%20heat%20stress%20on%20reproductive%20processes%20in%20cereals&amp;author=B.%20Barnab%C3%A1s&amp;author=K.%20J%C3%A4ger&amp;author=A.%20Feh%C3%A9r&amp;volume=31&amp;publication_year=2008&amp;pages=11-38&amp;pmid=17971069&amp;doi=10.1111/j.1365-3040.2007.01727.x&amp;" TargetMode="External"/><Relationship Id="rId35" Type="http://schemas.openxmlformats.org/officeDocument/2006/relationships/hyperlink" Target="https://scholar.google.com/scholar_lookup?title=Microbial-assisted+soil+chromium+immobilization+through+zinc+and+iron-enriched+rice+husk+biochar&amp;author=Batool,+M.&amp;author=Rahman,+S.U.&amp;author=Ali,+M.&amp;author=Nadeem,+F.&amp;author=Ashraf,+M.N.&amp;author=Harris,+M.&amp;author=Du,+Z.&amp;author=Khan,+W.-U.&amp;publication_year=2022&amp;journal=Front.+Microbiol.&amp;volume=13&amp;pages=3401&amp;doi=10.3389/fmicb.2022.990329" TargetMode="External"/><Relationship Id="rId8" Type="http://schemas.openxmlformats.org/officeDocument/2006/relationships/hyperlink" Target="https://link.springer.com/article/10.1007/s42773-024-00323-4" TargetMode="Externa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PhD%20Research\33DATA%20FRESH%20%20AND%20DRY%20WEIT%20REAL%20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496462891351396E-2"/>
          <c:y val="3.53243416827232E-2"/>
          <c:w val="0.88615716839356495"/>
          <c:h val="0.75906725532140895"/>
        </c:manualLayout>
      </c:layout>
      <c:barChart>
        <c:barDir val="col"/>
        <c:grouping val="stacked"/>
        <c:varyColors val="0"/>
        <c:ser>
          <c:idx val="0"/>
          <c:order val="0"/>
          <c:tx>
            <c:strRef>
              <c:f>'[33DATA FRESH  AND DRY WEIT REAL 22.xlsx]Sheet2'!$B$1</c:f>
              <c:strCache>
                <c:ptCount val="1"/>
                <c:pt idx="0">
                  <c:v>Total</c:v>
                </c:pt>
              </c:strCache>
            </c:strRef>
          </c:tx>
          <c:spPr>
            <a:solidFill>
              <a:schemeClr val="accent1"/>
            </a:solidFill>
            <a:ln>
              <a:noFill/>
            </a:ln>
            <a:effectLst/>
            <a:scene3d>
              <a:camera prst="orthographicFront"/>
              <a:lightRig rig="threePt" dir="t"/>
            </a:scene3d>
            <a:sp3d>
              <a:bevelT w="139700" h="139700" prst="divot"/>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'[33DATA FRESH  AND DRY WEIT REAL 22.xlsx]Sheet2'!$A$2:$A$15</c:f>
              <c:strCache>
                <c:ptCount val="14"/>
                <c:pt idx="0">
                  <c:v>Biochar </c:v>
                </c:pt>
                <c:pt idx="1">
                  <c:v>Trichoderma </c:v>
                </c:pt>
                <c:pt idx="2">
                  <c:v>40 %FC</c:v>
                </c:pt>
                <c:pt idx="3">
                  <c:v>60 %FC</c:v>
                </c:pt>
                <c:pt idx="4">
                  <c:v>100 %FC</c:v>
                </c:pt>
                <c:pt idx="5">
                  <c:v>B+40 %FC</c:v>
                </c:pt>
                <c:pt idx="6">
                  <c:v>B+60 %FC</c:v>
                </c:pt>
                <c:pt idx="7">
                  <c:v>B+100 %FC</c:v>
                </c:pt>
                <c:pt idx="8">
                  <c:v>T+40 %FC</c:v>
                </c:pt>
                <c:pt idx="9">
                  <c:v>T+60 %FC</c:v>
                </c:pt>
                <c:pt idx="10">
                  <c:v>T+100 %FC</c:v>
                </c:pt>
                <c:pt idx="11">
                  <c:v>B+T+40 %FC</c:v>
                </c:pt>
                <c:pt idx="12">
                  <c:v>B+T+60 %FC</c:v>
                </c:pt>
                <c:pt idx="13">
                  <c:v>B+T+100 %FC</c:v>
                </c:pt>
              </c:strCache>
            </c:strRef>
          </c:cat>
          <c:val>
            <c:numRef>
              <c:f>'[33DATA FRESH  AND DRY WEIT REAL 22.xlsx]Sheet2'!$B$2:$B$15</c:f>
              <c:numCache>
                <c:formatCode>General</c:formatCode>
                <c:ptCount val="14"/>
                <c:pt idx="0">
                  <c:v>63.7</c:v>
                </c:pt>
                <c:pt idx="1">
                  <c:v>69.23</c:v>
                </c:pt>
                <c:pt idx="2">
                  <c:v>69.099999999999994</c:v>
                </c:pt>
                <c:pt idx="3">
                  <c:v>66.62</c:v>
                </c:pt>
                <c:pt idx="4">
                  <c:v>63.06</c:v>
                </c:pt>
                <c:pt idx="5">
                  <c:v>63.34</c:v>
                </c:pt>
                <c:pt idx="6">
                  <c:v>70.73</c:v>
                </c:pt>
                <c:pt idx="7">
                  <c:v>71</c:v>
                </c:pt>
                <c:pt idx="8">
                  <c:v>72.67</c:v>
                </c:pt>
                <c:pt idx="9">
                  <c:v>71.63</c:v>
                </c:pt>
                <c:pt idx="10">
                  <c:v>70.83</c:v>
                </c:pt>
                <c:pt idx="11">
                  <c:v>73.22</c:v>
                </c:pt>
                <c:pt idx="12">
                  <c:v>73.22</c:v>
                </c:pt>
                <c:pt idx="13">
                  <c:v>67.72</c:v>
                </c:pt>
              </c:numCache>
            </c:numRef>
          </c:val>
          <c:extLst>
            <c:ext xmlns:c16="http://schemas.microsoft.com/office/drawing/2014/chart" uri="{C3380CC4-5D6E-409C-BE32-E72D297353CC}">
              <c16:uniqueId val="{00000000-905F-4E61-B65B-CDB1F81B8E59}"/>
            </c:ext>
          </c:extLst>
        </c:ser>
        <c:dLbls>
          <c:showLegendKey val="0"/>
          <c:showVal val="0"/>
          <c:showCatName val="0"/>
          <c:showSerName val="0"/>
          <c:showPercent val="0"/>
          <c:showBubbleSize val="0"/>
        </c:dLbls>
        <c:gapWidth val="75"/>
        <c:overlap val="100"/>
        <c:axId val="1687081343"/>
        <c:axId val="1687075103"/>
      </c:barChart>
      <c:catAx>
        <c:axId val="1687081343"/>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200" b="1">
                    <a:latin typeface="Times New Roman" panose="02020603050405020304" charset="0"/>
                    <a:cs typeface="Times New Roman" panose="02020603050405020304" charset="0"/>
                  </a:rPr>
                  <a:t>Treatments</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lang="en-US" sz="900" b="1"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1687075103"/>
        <c:crosses val="autoZero"/>
        <c:auto val="1"/>
        <c:lblAlgn val="ctr"/>
        <c:lblOffset val="100"/>
        <c:noMultiLvlLbl val="0"/>
      </c:catAx>
      <c:valAx>
        <c:axId val="1687075103"/>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sz="1050" b="1">
                    <a:latin typeface="Times New Roman" panose="02020603050405020304" charset="0"/>
                    <a:cs typeface="Times New Roman" panose="02020603050405020304" charset="0"/>
                  </a:rPr>
                  <a:t>Total Chlorophlly</a:t>
                </a:r>
                <a:r>
                  <a:rPr lang="en-US" sz="1050" b="1" baseline="0">
                    <a:latin typeface="Times New Roman" panose="02020603050405020304" charset="0"/>
                    <a:cs typeface="Times New Roman" panose="02020603050405020304" charset="0"/>
                  </a:rPr>
                  <a:t> Content (</a:t>
                </a:r>
                <a:r>
                  <a:rPr lang="en-US" sz="1050" b="1" i="0" u="none" strike="noStrike" baseline="0">
                    <a:latin typeface="Times New Roman" panose="02020603050405020304" charset="0"/>
                    <a:cs typeface="Times New Roman" panose="02020603050405020304" charset="0"/>
                  </a:rPr>
                  <a:t>mg g⁻¹ FW)</a:t>
                </a:r>
                <a:endParaRPr lang="en-US" sz="1050" b="1">
                  <a:latin typeface="Times New Roman" panose="02020603050405020304" charset="0"/>
                  <a:cs typeface="Times New Roman" panose="02020603050405020304" charset="0"/>
                </a:endParaRPr>
              </a:p>
            </c:rich>
          </c:tx>
          <c:layout>
            <c:manualLayout>
              <c:xMode val="edge"/>
              <c:yMode val="edge"/>
              <c:x val="1.42204164550533E-2"/>
              <c:y val="0.159322389614593"/>
            </c:manualLayout>
          </c:layout>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dk1">
                <a:shade val="95000"/>
                <a:satMod val="105000"/>
              </a:schemeClr>
            </a:solidFill>
            <a:prstDash val="solid"/>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crossAx val="1687081343"/>
        <c:crosses val="autoZero"/>
        <c:crossBetween val="between"/>
      </c:valAx>
      <c:spPr>
        <a:noFill/>
        <a:ln>
          <a:noFill/>
        </a:ln>
        <a:effectLst/>
      </c:spPr>
    </c:plotArea>
    <c:plotVisOnly val="1"/>
    <c:dispBlanksAs val="gap"/>
    <c:showDLblsOverMax val="0"/>
    <c:extLst>
      <c:ext uri="{0b15fc19-7d7d-44ad-8c2d-2c3a37ce22c3}">
        <chartProps xmlns="https://web.wps.cn/et/2018/main" chartId="{fd026d2c-a573-4424-97f7-80e1bc7e2b62}"/>
      </c:ext>
    </c:extLst>
  </c:chart>
  <c:spPr>
    <a:solidFill>
      <a:schemeClr val="bg1"/>
    </a:solidFill>
    <a:ln w="9525" cap="flat" cmpd="sng" algn="ctr">
      <a:no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29</Pages>
  <Words>12038</Words>
  <Characters>68617</Characters>
  <Application>Microsoft Office Word</Application>
  <DocSecurity>0</DocSecurity>
  <Lines>571</Lines>
  <Paragraphs>160</Paragraphs>
  <ScaleCrop>false</ScaleCrop>
  <Company/>
  <LinksUpToDate>false</LinksUpToDate>
  <CharactersWithSpaces>80495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SDI 1084</cp:lastModifiedBy>
  <cp:revision>7</cp:revision>
  <dcterms:created xsi:type="dcterms:W3CDTF">2026-04-17T10:31:00Z</dcterms:created>
  <dcterms:modified xsi:type="dcterms:W3CDTF">2026-04-18T09:25:00Z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EB18D60880744A0B9B4087E4203F7245_13</vt:lpwstr>
  </property>
</Properties>
</file>