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8FBD" w14:textId="77777777" w:rsidR="00EA504B" w:rsidRPr="00DE77C3" w:rsidRDefault="00917EA0" w:rsidP="00044B99">
      <w:pPr>
        <w:jc w:val="both"/>
        <w:rPr>
          <w:rFonts w:ascii="Times New Roman" w:hAnsi="Times New Roman" w:cs="Times New Roman"/>
          <w:b/>
          <w:bCs/>
          <w:color w:val="0D0D0D" w:themeColor="text1" w:themeTint="F2"/>
          <w:sz w:val="24"/>
        </w:rPr>
      </w:pPr>
      <w:r w:rsidRPr="00DE77C3">
        <w:rPr>
          <w:rFonts w:ascii="Times New Roman" w:hAnsi="Times New Roman" w:cs="Times New Roman"/>
          <w:b/>
          <w:bCs/>
          <w:color w:val="0D0D0D" w:themeColor="text1" w:themeTint="F2"/>
          <w:sz w:val="24"/>
        </w:rPr>
        <w:t>Seasonal incidence of Asian Citrus Psyllid (</w:t>
      </w:r>
      <w:proofErr w:type="spellStart"/>
      <w:r w:rsidRPr="00DE77C3">
        <w:rPr>
          <w:rFonts w:ascii="Times New Roman" w:hAnsi="Times New Roman" w:cs="Times New Roman"/>
          <w:b/>
          <w:bCs/>
          <w:i/>
          <w:iCs/>
          <w:color w:val="0D0D0D" w:themeColor="text1" w:themeTint="F2"/>
          <w:sz w:val="24"/>
        </w:rPr>
        <w:t>Diaphorina</w:t>
      </w:r>
      <w:proofErr w:type="spellEnd"/>
      <w:r w:rsidRPr="00DE77C3">
        <w:rPr>
          <w:rFonts w:ascii="Times New Roman" w:hAnsi="Times New Roman" w:cs="Times New Roman"/>
          <w:b/>
          <w:bCs/>
          <w:i/>
          <w:iCs/>
          <w:color w:val="0D0D0D" w:themeColor="text1" w:themeTint="F2"/>
          <w:sz w:val="24"/>
        </w:rPr>
        <w:t xml:space="preserve"> citri</w:t>
      </w:r>
      <w:r w:rsidRPr="00DE77C3">
        <w:rPr>
          <w:rFonts w:ascii="Times New Roman" w:hAnsi="Times New Roman" w:cs="Times New Roman"/>
          <w:b/>
          <w:bCs/>
          <w:color w:val="0D0D0D" w:themeColor="text1" w:themeTint="F2"/>
          <w:sz w:val="24"/>
        </w:rPr>
        <w:t xml:space="preserve"> </w:t>
      </w:r>
      <w:proofErr w:type="spellStart"/>
      <w:r w:rsidRPr="00DE77C3">
        <w:rPr>
          <w:rFonts w:ascii="Times New Roman" w:hAnsi="Times New Roman" w:cs="Times New Roman"/>
          <w:b/>
          <w:bCs/>
          <w:color w:val="0D0D0D" w:themeColor="text1" w:themeTint="F2"/>
          <w:sz w:val="24"/>
        </w:rPr>
        <w:t>Kuwayama</w:t>
      </w:r>
      <w:proofErr w:type="spellEnd"/>
      <w:r w:rsidRPr="00DE77C3">
        <w:rPr>
          <w:rFonts w:ascii="Times New Roman" w:hAnsi="Times New Roman" w:cs="Times New Roman"/>
          <w:b/>
          <w:bCs/>
          <w:color w:val="0D0D0D" w:themeColor="text1" w:themeTint="F2"/>
          <w:sz w:val="24"/>
        </w:rPr>
        <w:t xml:space="preserve">) </w:t>
      </w:r>
      <w:r w:rsidR="005F53F2" w:rsidRPr="00DE77C3">
        <w:rPr>
          <w:rFonts w:ascii="Times New Roman" w:hAnsi="Times New Roman" w:cs="Times New Roman"/>
          <w:b/>
          <w:bCs/>
          <w:color w:val="0D0D0D" w:themeColor="text1" w:themeTint="F2"/>
          <w:sz w:val="24"/>
        </w:rPr>
        <w:t>on</w:t>
      </w:r>
      <w:r w:rsidRPr="00DE77C3">
        <w:rPr>
          <w:rFonts w:ascii="Times New Roman" w:hAnsi="Times New Roman" w:cs="Times New Roman"/>
          <w:b/>
          <w:bCs/>
          <w:color w:val="0D0D0D" w:themeColor="text1" w:themeTint="F2"/>
          <w:sz w:val="24"/>
        </w:rPr>
        <w:t xml:space="preserve"> </w:t>
      </w:r>
      <w:proofErr w:type="spellStart"/>
      <w:r w:rsidRPr="00DE77C3">
        <w:rPr>
          <w:rFonts w:ascii="Times New Roman" w:hAnsi="Times New Roman" w:cs="Times New Roman"/>
          <w:b/>
          <w:bCs/>
          <w:color w:val="0D0D0D" w:themeColor="text1" w:themeTint="F2"/>
          <w:sz w:val="24"/>
        </w:rPr>
        <w:t>Kinnow</w:t>
      </w:r>
      <w:proofErr w:type="spellEnd"/>
      <w:r w:rsidRPr="00DE77C3">
        <w:rPr>
          <w:rFonts w:ascii="Times New Roman" w:hAnsi="Times New Roman" w:cs="Times New Roman"/>
          <w:b/>
          <w:bCs/>
          <w:color w:val="0D0D0D" w:themeColor="text1" w:themeTint="F2"/>
          <w:sz w:val="24"/>
        </w:rPr>
        <w:t xml:space="preserve"> mandarin and its </w:t>
      </w:r>
      <w:r w:rsidR="0068340D" w:rsidRPr="00DE77C3">
        <w:rPr>
          <w:rFonts w:ascii="Times New Roman" w:hAnsi="Times New Roman" w:cs="Times New Roman"/>
          <w:b/>
          <w:bCs/>
          <w:color w:val="0D0D0D" w:themeColor="text1" w:themeTint="F2"/>
          <w:sz w:val="24"/>
        </w:rPr>
        <w:t>r</w:t>
      </w:r>
      <w:r w:rsidRPr="00DE77C3">
        <w:rPr>
          <w:rFonts w:ascii="Times New Roman" w:hAnsi="Times New Roman" w:cs="Times New Roman"/>
          <w:b/>
          <w:bCs/>
          <w:color w:val="0D0D0D" w:themeColor="text1" w:themeTint="F2"/>
          <w:sz w:val="24"/>
        </w:rPr>
        <w:t xml:space="preserve">elationship with </w:t>
      </w:r>
      <w:r w:rsidR="00C02DF3" w:rsidRPr="00DE77C3">
        <w:rPr>
          <w:rFonts w:ascii="Times New Roman" w:hAnsi="Times New Roman" w:cs="Times New Roman"/>
          <w:b/>
          <w:bCs/>
          <w:color w:val="0D0D0D" w:themeColor="text1" w:themeTint="F2"/>
          <w:sz w:val="24"/>
        </w:rPr>
        <w:t>abiotic factors</w:t>
      </w:r>
      <w:r w:rsidRPr="00DE77C3">
        <w:rPr>
          <w:rFonts w:ascii="Times New Roman" w:hAnsi="Times New Roman" w:cs="Times New Roman"/>
          <w:b/>
          <w:bCs/>
          <w:color w:val="0D0D0D" w:themeColor="text1" w:themeTint="F2"/>
          <w:sz w:val="24"/>
        </w:rPr>
        <w:t xml:space="preserve"> </w:t>
      </w:r>
      <w:r w:rsidR="00F50D44" w:rsidRPr="00DE77C3">
        <w:rPr>
          <w:rFonts w:ascii="Times New Roman" w:hAnsi="Times New Roman" w:cs="Times New Roman"/>
          <w:b/>
          <w:bCs/>
          <w:color w:val="0D0D0D" w:themeColor="text1" w:themeTint="F2"/>
          <w:sz w:val="24"/>
        </w:rPr>
        <w:t>in</w:t>
      </w:r>
      <w:r w:rsidRPr="00DE77C3">
        <w:rPr>
          <w:rFonts w:ascii="Times New Roman" w:hAnsi="Times New Roman" w:cs="Times New Roman"/>
          <w:b/>
          <w:bCs/>
          <w:color w:val="0D0D0D" w:themeColor="text1" w:themeTint="F2"/>
          <w:sz w:val="24"/>
        </w:rPr>
        <w:t xml:space="preserve"> Bundelkhand Region of Uttar Pradesh</w:t>
      </w:r>
    </w:p>
    <w:p w14:paraId="27FD1CE1" w14:textId="77777777" w:rsidR="001B0D3A" w:rsidRPr="00DE77C3" w:rsidRDefault="001B0D3A" w:rsidP="00044B99">
      <w:pPr>
        <w:pStyle w:val="Default"/>
        <w:jc w:val="both"/>
        <w:rPr>
          <w:b/>
          <w:bCs/>
        </w:rPr>
      </w:pPr>
    </w:p>
    <w:p w14:paraId="3449A7B3" w14:textId="77777777" w:rsidR="001B0D3A" w:rsidRPr="00DE77C3" w:rsidRDefault="001B0D3A" w:rsidP="00044B99">
      <w:pPr>
        <w:pStyle w:val="Default"/>
        <w:jc w:val="both"/>
        <w:rPr>
          <w:b/>
          <w:bCs/>
        </w:rPr>
      </w:pPr>
    </w:p>
    <w:p w14:paraId="08B34E34" w14:textId="77777777" w:rsidR="00B96F26" w:rsidRPr="00DE77C3" w:rsidRDefault="00F914DE" w:rsidP="00044B99">
      <w:pPr>
        <w:pStyle w:val="Default"/>
        <w:jc w:val="both"/>
        <w:rPr>
          <w:b/>
          <w:bCs/>
        </w:rPr>
      </w:pPr>
      <w:r w:rsidRPr="00DE77C3">
        <w:rPr>
          <w:b/>
          <w:bCs/>
        </w:rPr>
        <w:t>A</w:t>
      </w:r>
      <w:r w:rsidR="007C1533" w:rsidRPr="00DE77C3">
        <w:rPr>
          <w:b/>
          <w:bCs/>
        </w:rPr>
        <w:t>BSTRACT</w:t>
      </w:r>
    </w:p>
    <w:p w14:paraId="61CBE200" w14:textId="34CB6C94" w:rsidR="00634347" w:rsidRPr="00DE77C3" w:rsidRDefault="00E10C64" w:rsidP="00044B99">
      <w:pPr>
        <w:spacing w:after="0" w:line="360" w:lineRule="auto"/>
        <w:ind w:firstLine="720"/>
        <w:jc w:val="both"/>
        <w:rPr>
          <w:rFonts w:ascii="Times New Roman" w:eastAsia="Times New Roman" w:hAnsi="Times New Roman" w:cs="Times New Roman"/>
          <w:sz w:val="24"/>
          <w:szCs w:val="24"/>
          <w:lang w:eastAsia="en-IN" w:bidi="hi-IN"/>
        </w:rPr>
      </w:pPr>
      <w:r w:rsidRPr="00DE77C3">
        <w:t>T</w:t>
      </w:r>
      <w:r w:rsidRPr="00DE77C3">
        <w:t xml:space="preserve">he present study was conducted to determine the seasonal incidence of </w:t>
      </w:r>
      <w:r w:rsidRPr="00DE77C3">
        <w:rPr>
          <w:i/>
        </w:rPr>
        <w:t>D. citri</w:t>
      </w:r>
      <w:r w:rsidRPr="00DE77C3">
        <w:t xml:space="preserve"> on </w:t>
      </w:r>
      <w:proofErr w:type="spellStart"/>
      <w:r w:rsidRPr="00DE77C3">
        <w:t>Kinnow</w:t>
      </w:r>
      <w:proofErr w:type="spellEnd"/>
      <w:r w:rsidRPr="00DE77C3">
        <w:t xml:space="preserve"> mandarin and its relationship with prevailing abiotic factors under the </w:t>
      </w:r>
      <w:proofErr w:type="spellStart"/>
      <w:r w:rsidRPr="00DE77C3">
        <w:t>agro</w:t>
      </w:r>
      <w:proofErr w:type="spellEnd"/>
      <w:r w:rsidRPr="00DE77C3">
        <w:t>-climatic conditions of the Bundelkhand region in Banda district, Uttar Pradesh</w:t>
      </w:r>
      <w:r w:rsidRPr="00DE77C3">
        <w:t xml:space="preserve">, India. </w:t>
      </w:r>
      <w:r w:rsidR="009F746A" w:rsidRPr="00DE77C3">
        <w:t>The experiment</w:t>
      </w:r>
      <w:r w:rsidRPr="00DE77C3">
        <w:t xml:space="preserve"> </w:t>
      </w:r>
      <w:r w:rsidR="009F746A" w:rsidRPr="00DE77C3">
        <w:t xml:space="preserve">was conducted at the College of Horticulture, Banda University of Agriculture and Technology, Banda, during two consecutive years, 2024–25 and 2025–26. The study aimed to determine the seasonal prevalence of </w:t>
      </w:r>
      <w:r w:rsidR="009F746A" w:rsidRPr="00DE77C3">
        <w:rPr>
          <w:i/>
        </w:rPr>
        <w:t>D. citri</w:t>
      </w:r>
      <w:r w:rsidR="009F746A" w:rsidRPr="00DE77C3">
        <w:t xml:space="preserve"> on Kinnow mandarin and its relationship with prevailing climatic factors in the Bundelkhand region. Weekly observations were recorded on five randomly selected Kinnow trees, with five twigs sampled from each direction on each tree, and the number of nymphs per twig was calculated. The nymphal population of </w:t>
      </w:r>
      <w:r w:rsidR="009F746A" w:rsidRPr="00DE77C3">
        <w:rPr>
          <w:i/>
        </w:rPr>
        <w:t>D. citri</w:t>
      </w:r>
      <w:r w:rsidR="009F746A" w:rsidRPr="00DE77C3">
        <w:t xml:space="preserve"> ranged from 0.00 to 37.10 </w:t>
      </w:r>
      <w:proofErr w:type="gramStart"/>
      <w:r w:rsidR="009F746A" w:rsidRPr="00DE77C3">
        <w:t>nymphs</w:t>
      </w:r>
      <w:proofErr w:type="gramEnd"/>
      <w:r w:rsidR="009F746A" w:rsidRPr="00DE77C3">
        <w:t xml:space="preserve"> twig</w:t>
      </w:r>
      <w:r w:rsidR="009F746A" w:rsidRPr="00DE77C3">
        <w:rPr>
          <w:vertAlign w:val="superscript"/>
        </w:rPr>
        <w:t>-1</w:t>
      </w:r>
      <w:r w:rsidR="009F746A" w:rsidRPr="00DE77C3">
        <w:t xml:space="preserve"> in 2024 and from 0.00 to 39.50 </w:t>
      </w:r>
      <w:proofErr w:type="gramStart"/>
      <w:r w:rsidR="009F746A" w:rsidRPr="00DE77C3">
        <w:t>nymphs</w:t>
      </w:r>
      <w:proofErr w:type="gramEnd"/>
      <w:r w:rsidR="009F746A" w:rsidRPr="00DE77C3">
        <w:t xml:space="preserve"> twig</w:t>
      </w:r>
      <w:r w:rsidR="009F746A" w:rsidRPr="00DE77C3">
        <w:rPr>
          <w:vertAlign w:val="superscript"/>
        </w:rPr>
        <w:t>-1</w:t>
      </w:r>
      <w:r w:rsidR="009F746A" w:rsidRPr="00DE77C3">
        <w:t xml:space="preserve"> in 2025. Nymphal incidence first appeared during the 8</w:t>
      </w:r>
      <w:r w:rsidR="009F746A" w:rsidRPr="00DE77C3">
        <w:rPr>
          <w:vertAlign w:val="superscript"/>
        </w:rPr>
        <w:t>th</w:t>
      </w:r>
      <w:r w:rsidR="009F746A" w:rsidRPr="00DE77C3">
        <w:t xml:space="preserve"> and 9</w:t>
      </w:r>
      <w:r w:rsidR="009F746A" w:rsidRPr="00DE77C3">
        <w:rPr>
          <w:vertAlign w:val="superscript"/>
        </w:rPr>
        <w:t>th</w:t>
      </w:r>
      <w:r w:rsidR="009F746A" w:rsidRPr="00DE77C3">
        <w:t xml:space="preserve"> SMWs of February, with 0.90 and 1.25 </w:t>
      </w:r>
      <w:proofErr w:type="gramStart"/>
      <w:r w:rsidR="009F746A" w:rsidRPr="00DE77C3">
        <w:t>nymphs</w:t>
      </w:r>
      <w:proofErr w:type="gramEnd"/>
      <w:r w:rsidR="009F746A" w:rsidRPr="00DE77C3">
        <w:t xml:space="preserve"> twig</w:t>
      </w:r>
      <w:r w:rsidR="009F746A" w:rsidRPr="00DE77C3">
        <w:rPr>
          <w:vertAlign w:val="superscript"/>
        </w:rPr>
        <w:t>-1</w:t>
      </w:r>
      <w:r w:rsidR="009F746A" w:rsidRPr="00DE77C3">
        <w:t>, respectively, and peak incidence was recorded in the 42</w:t>
      </w:r>
      <w:r w:rsidR="009F746A" w:rsidRPr="00DE77C3">
        <w:rPr>
          <w:vertAlign w:val="superscript"/>
        </w:rPr>
        <w:t>nd</w:t>
      </w:r>
      <w:r w:rsidR="009F746A" w:rsidRPr="00DE77C3">
        <w:t xml:space="preserve"> SMW, with 37.10 and 39.50 </w:t>
      </w:r>
      <w:proofErr w:type="gramStart"/>
      <w:r w:rsidR="009F746A" w:rsidRPr="00DE77C3">
        <w:t>nymphs</w:t>
      </w:r>
      <w:proofErr w:type="gramEnd"/>
      <w:r w:rsidR="009F746A" w:rsidRPr="00DE77C3">
        <w:t xml:space="preserve"> twig</w:t>
      </w:r>
      <w:r w:rsidR="009F746A" w:rsidRPr="00DE77C3">
        <w:rPr>
          <w:vertAlign w:val="superscript"/>
        </w:rPr>
        <w:t>-1</w:t>
      </w:r>
      <w:r w:rsidR="009F746A" w:rsidRPr="00DE77C3">
        <w:t xml:space="preserve"> during 2024–25 and 2025–26, respectively. Correlation analysis indicated significant positive associations between nymphal population and maximum temperature (r = 0.435*) and minimum temperature (r = 0.469*) in 2024; relative humidity also showed a significant positive association (r = 0.425*). In 2025, significant positive correlations were observed with maximum temperature (r = 0.457*), minimum temperature (r = 0.453*), and relative humidity (r = 0.420*). Rainfall showed a negative but non-significant association with psyllid population in both 2024 (r = -0.253</w:t>
      </w:r>
      <w:r w:rsidR="009F746A" w:rsidRPr="00DE77C3">
        <w:rPr>
          <w:vertAlign w:val="superscript"/>
        </w:rPr>
        <w:t>NS</w:t>
      </w:r>
      <w:r w:rsidR="009F746A" w:rsidRPr="00DE77C3">
        <w:t>) and 2025 (r = -0.038</w:t>
      </w:r>
      <w:r w:rsidR="009F746A" w:rsidRPr="00DE77C3">
        <w:rPr>
          <w:vertAlign w:val="superscript"/>
        </w:rPr>
        <w:t>NS</w:t>
      </w:r>
      <w:r w:rsidR="009F746A" w:rsidRPr="00DE77C3">
        <w:t>).</w:t>
      </w:r>
    </w:p>
    <w:p w14:paraId="65AA1448" w14:textId="77777777" w:rsidR="005F53F2" w:rsidRPr="00DE77C3" w:rsidRDefault="005F53F2" w:rsidP="00044B99">
      <w:pPr>
        <w:spacing w:line="360" w:lineRule="auto"/>
        <w:jc w:val="both"/>
        <w:rPr>
          <w:rFonts w:ascii="Times New Roman" w:hAnsi="Times New Roman" w:cs="Times New Roman"/>
          <w:b/>
          <w:bCs/>
          <w:color w:val="000000"/>
          <w:sz w:val="24"/>
          <w:szCs w:val="24"/>
        </w:rPr>
      </w:pPr>
      <w:r w:rsidRPr="00DE77C3">
        <w:rPr>
          <w:rFonts w:ascii="Times New Roman" w:hAnsi="Times New Roman" w:cs="Times New Roman"/>
          <w:b/>
          <w:bCs/>
          <w:color w:val="000000"/>
          <w:sz w:val="24"/>
          <w:szCs w:val="24"/>
        </w:rPr>
        <w:t xml:space="preserve">Keywords- </w:t>
      </w:r>
      <w:r w:rsidRPr="00DE77C3">
        <w:rPr>
          <w:rFonts w:ascii="Times New Roman" w:hAnsi="Times New Roman" w:cs="Times New Roman"/>
          <w:color w:val="000000"/>
          <w:sz w:val="24"/>
          <w:szCs w:val="24"/>
        </w:rPr>
        <w:t>A</w:t>
      </w:r>
      <w:r w:rsidRPr="00DE77C3">
        <w:rPr>
          <w:rFonts w:ascii="Times New Roman" w:hAnsi="Times New Roman" w:cs="Times New Roman"/>
          <w:sz w:val="24"/>
          <w:szCs w:val="24"/>
        </w:rPr>
        <w:t xml:space="preserve">sian citrus psyllid, </w:t>
      </w:r>
      <w:r w:rsidRPr="00DE77C3">
        <w:rPr>
          <w:rStyle w:val="Emphasis"/>
          <w:rFonts w:ascii="Times New Roman" w:hAnsi="Times New Roman" w:cs="Times New Roman"/>
          <w:sz w:val="24"/>
          <w:szCs w:val="24"/>
        </w:rPr>
        <w:t>Citrus reticulata</w:t>
      </w:r>
      <w:r w:rsidRPr="00DE77C3">
        <w:rPr>
          <w:rFonts w:ascii="Times New Roman" w:hAnsi="Times New Roman" w:cs="Times New Roman"/>
          <w:sz w:val="24"/>
          <w:szCs w:val="24"/>
        </w:rPr>
        <w:t xml:space="preserve">, </w:t>
      </w:r>
      <w:r w:rsidR="0072486E" w:rsidRPr="00DE77C3">
        <w:rPr>
          <w:rFonts w:ascii="Times New Roman" w:hAnsi="Times New Roman" w:cs="Times New Roman"/>
          <w:sz w:val="24"/>
          <w:szCs w:val="24"/>
        </w:rPr>
        <w:t>C</w:t>
      </w:r>
      <w:r w:rsidRPr="00DE77C3">
        <w:rPr>
          <w:rFonts w:ascii="Times New Roman" w:hAnsi="Times New Roman" w:cs="Times New Roman"/>
          <w:sz w:val="24"/>
          <w:szCs w:val="24"/>
        </w:rPr>
        <w:t xml:space="preserve">orrelation, </w:t>
      </w:r>
      <w:proofErr w:type="spellStart"/>
      <w:r w:rsidRPr="00DE77C3">
        <w:rPr>
          <w:rStyle w:val="Emphasis"/>
          <w:rFonts w:ascii="Times New Roman" w:hAnsi="Times New Roman" w:cs="Times New Roman"/>
          <w:sz w:val="24"/>
          <w:szCs w:val="24"/>
        </w:rPr>
        <w:t>Diaphorina</w:t>
      </w:r>
      <w:proofErr w:type="spellEnd"/>
      <w:r w:rsidRPr="00DE77C3">
        <w:rPr>
          <w:rStyle w:val="Emphasis"/>
          <w:rFonts w:ascii="Times New Roman" w:hAnsi="Times New Roman" w:cs="Times New Roman"/>
          <w:sz w:val="24"/>
          <w:szCs w:val="24"/>
        </w:rPr>
        <w:t xml:space="preserve"> citri</w:t>
      </w:r>
      <w:r w:rsidRPr="00DE77C3">
        <w:rPr>
          <w:rFonts w:ascii="Times New Roman" w:hAnsi="Times New Roman" w:cs="Times New Roman"/>
          <w:sz w:val="24"/>
          <w:szCs w:val="24"/>
        </w:rPr>
        <w:t xml:space="preserve">, </w:t>
      </w:r>
      <w:r w:rsidR="0072486E" w:rsidRPr="00DE77C3">
        <w:rPr>
          <w:rFonts w:ascii="Times New Roman" w:hAnsi="Times New Roman" w:cs="Times New Roman"/>
          <w:sz w:val="24"/>
          <w:szCs w:val="24"/>
        </w:rPr>
        <w:t>S</w:t>
      </w:r>
      <w:r w:rsidRPr="00DE77C3">
        <w:rPr>
          <w:rFonts w:ascii="Times New Roman" w:hAnsi="Times New Roman" w:cs="Times New Roman"/>
          <w:sz w:val="24"/>
          <w:szCs w:val="24"/>
        </w:rPr>
        <w:t>easonal incidence.</w:t>
      </w:r>
    </w:p>
    <w:p w14:paraId="48D8F8C7" w14:textId="77777777" w:rsidR="00C26E3A" w:rsidRPr="00DE77C3" w:rsidRDefault="00C26E3A" w:rsidP="00044B99">
      <w:pPr>
        <w:spacing w:line="360" w:lineRule="auto"/>
        <w:jc w:val="both"/>
        <w:rPr>
          <w:rFonts w:ascii="Times New Roman" w:hAnsi="Times New Roman" w:cs="Times New Roman"/>
          <w:b/>
          <w:bCs/>
          <w:color w:val="000000"/>
          <w:sz w:val="24"/>
          <w:szCs w:val="24"/>
        </w:rPr>
      </w:pPr>
      <w:r w:rsidRPr="00DE77C3">
        <w:rPr>
          <w:rFonts w:ascii="Times New Roman" w:hAnsi="Times New Roman" w:cs="Times New Roman"/>
          <w:b/>
          <w:bCs/>
          <w:color w:val="000000"/>
          <w:sz w:val="24"/>
          <w:szCs w:val="24"/>
        </w:rPr>
        <w:t>INTRODUCTION-</w:t>
      </w:r>
    </w:p>
    <w:p w14:paraId="46CCD657" w14:textId="77777777" w:rsidR="00463430" w:rsidRPr="00DE77C3" w:rsidRDefault="00463430" w:rsidP="00044B99">
      <w:pPr>
        <w:spacing w:after="0" w:line="360" w:lineRule="auto"/>
        <w:ind w:firstLine="720"/>
        <w:jc w:val="both"/>
        <w:rPr>
          <w:rFonts w:ascii="Times New Roman" w:eastAsia="Times New Roman" w:hAnsi="Times New Roman" w:cs="Times New Roman"/>
          <w:sz w:val="24"/>
          <w:szCs w:val="24"/>
          <w:lang w:eastAsia="en-IN" w:bidi="hi-IN"/>
        </w:rPr>
      </w:pPr>
      <w:r w:rsidRPr="00DE77C3">
        <w:t xml:space="preserve">Citrus is among the most significant groups of fruit crops grown globally and belongs to the family Rutaceae within the order Sapindales. The genus Citrus encompasses several commercially important fruits, including sweet orange, mandarin, Kinnow, lemon, lime, and grapefruit. Citrus is thought to have originated in Southeast Asia, particularly southern China, north-eastern India, and neighbouring regions, and has acquired considerable nutritional, medicinal, and economic importance in global fruit production (Wu </w:t>
      </w:r>
      <w:r w:rsidRPr="00DE77C3">
        <w:rPr>
          <w:i/>
        </w:rPr>
        <w:t>et al.</w:t>
      </w:r>
      <w:r w:rsidRPr="00DE77C3">
        <w:t>, 2018). Kinnow mandarin has an important role among commercially cultivated citrus varieties, particularly in the semi-arid and arid regions of India. Kinnow is a natural hybrid of King mandarin (</w:t>
      </w:r>
      <w:r w:rsidRPr="00DE77C3">
        <w:rPr>
          <w:i/>
        </w:rPr>
        <w:t>Citrus nobilis</w:t>
      </w:r>
      <w:r w:rsidRPr="00DE77C3">
        <w:t>) and willowleaf mandarin (</w:t>
      </w:r>
      <w:r w:rsidRPr="00DE77C3">
        <w:rPr>
          <w:i/>
        </w:rPr>
        <w:t>Citrus deliciosa</w:t>
      </w:r>
      <w:r w:rsidRPr="00DE77C3">
        <w:t xml:space="preserve">) and is </w:t>
      </w:r>
      <w:r w:rsidRPr="00DE77C3">
        <w:lastRenderedPageBreak/>
        <w:t xml:space="preserve">noted for its high yield, making it economically important for local consumption and processing (Kumar </w:t>
      </w:r>
      <w:r w:rsidRPr="00DE77C3">
        <w:rPr>
          <w:i/>
        </w:rPr>
        <w:t>et al.</w:t>
      </w:r>
      <w:r w:rsidRPr="00DE77C3">
        <w:t>, 2019). Its cultivation occurs mainly in Punjab, Haryana, Rajasthan, Madhya Pradesh, and adjoining areas of Uttar Pradesh. Recent horticultural statistics highlight the importance of mandarin cultivation in India. In 2024–25, the estimated area under mandarin cultivation was 466.05 thousand hectares, with an estimated production of 6,146.66 thousand metric tonnes. During the same period, the total area under citrus was estimated at 1,114.45 thousand hectares, with production of approximately 14,583.85 thousand metric tonnes (Department of Agriculture &amp; Farmers Welfare, 2025). Uttar Pradesh has considerable potential for citrus cultivation, with an estimated 5.67 thousand hectares under mandarin and production of 25.78 thousand metric tonnes in 2024–25 (Department of Agriculture &amp; Farmers Welfare, 2025). Kinnow cultivation has been recorded in western Uttar Pradesh and adjoining favourable regions, including parts of Bundelkhand. However, citrus production is constrained by several biotic and abiotic factors, including insect pests and diseases (Khan &amp; Molla, 2021).</w:t>
      </w:r>
    </w:p>
    <w:p w14:paraId="3B479E99" w14:textId="77777777" w:rsidR="00106AB2" w:rsidRPr="00DE77C3" w:rsidRDefault="00115A15" w:rsidP="00044B99">
      <w:pPr>
        <w:spacing w:after="0" w:line="360" w:lineRule="auto"/>
        <w:ind w:firstLine="720"/>
        <w:jc w:val="both"/>
        <w:rPr>
          <w:rFonts w:ascii="Times New Roman" w:eastAsia="Times New Roman" w:hAnsi="Times New Roman" w:cs="Times New Roman"/>
          <w:sz w:val="24"/>
          <w:szCs w:val="24"/>
          <w:lang w:eastAsia="en-IN" w:bidi="hi-IN"/>
        </w:rPr>
      </w:pPr>
      <w:r w:rsidRPr="00DE77C3">
        <w:t xml:space="preserve">More than 250 species of insects and mites have been documented to infest different citrus species in India (Wadhi &amp; Batra, 1964). Among these pests, the Asian citrus psyllid, </w:t>
      </w:r>
      <w:r w:rsidRPr="00DE77C3">
        <w:rPr>
          <w:i/>
        </w:rPr>
        <w:t>Diaphorina citri</w:t>
      </w:r>
      <w:r w:rsidRPr="00DE77C3">
        <w:t xml:space="preserve"> Kuwayama, is a significant pest of citrus and Kinnow (Sharma et al., 2025). It is the principal vector of the bacterium </w:t>
      </w:r>
      <w:r w:rsidRPr="00DE77C3">
        <w:rPr>
          <w:i/>
        </w:rPr>
        <w:t>Candidatus Liberibacter asiaticus</w:t>
      </w:r>
      <w:r w:rsidRPr="00DE77C3">
        <w:t xml:space="preserve">, which is associated with Huanglongbing (HLB), or citrus greening disease, one of the most devastating citrus diseases worldwide (Younas </w:t>
      </w:r>
      <w:r w:rsidRPr="00DE77C3">
        <w:rPr>
          <w:i/>
        </w:rPr>
        <w:t>et al.</w:t>
      </w:r>
      <w:r w:rsidRPr="00DE77C3">
        <w:t>, 2025).</w:t>
      </w:r>
    </w:p>
    <w:p w14:paraId="459C2900" w14:textId="77777777" w:rsidR="00463430" w:rsidRPr="00DE77C3" w:rsidRDefault="00463430" w:rsidP="00044B99">
      <w:pPr>
        <w:spacing w:after="0" w:line="360" w:lineRule="auto"/>
        <w:ind w:firstLine="720"/>
        <w:jc w:val="both"/>
        <w:rPr>
          <w:rFonts w:ascii="Times New Roman" w:eastAsia="Times New Roman" w:hAnsi="Times New Roman" w:cs="Times New Roman"/>
          <w:sz w:val="24"/>
          <w:szCs w:val="24"/>
          <w:lang w:eastAsia="en-IN" w:bidi="hi-IN"/>
        </w:rPr>
      </w:pPr>
      <w:r w:rsidRPr="00DE77C3">
        <w:t xml:space="preserve">The bacterium associated with the disease is transmitted by </w:t>
      </w:r>
      <w:r w:rsidRPr="00DE77C3">
        <w:rPr>
          <w:i/>
        </w:rPr>
        <w:t>D. citri</w:t>
      </w:r>
      <w:r w:rsidRPr="00DE77C3">
        <w:t xml:space="preserve">; therefore, management of this vector is important. Nymphs and adults cause direct feeding damage through their piercing-sucking mouthparts, resulting in leaf curling, distortion, and premature leaf drop (Killiny &amp; Jones, 2024). Nymphs also excrete honeydew, which promotes the growth of sooty mould and consequently disrupts photosynthetic processes (Khan </w:t>
      </w:r>
      <w:r w:rsidRPr="00DE77C3">
        <w:rPr>
          <w:i/>
        </w:rPr>
        <w:t>et al.</w:t>
      </w:r>
      <w:r w:rsidRPr="00DE77C3">
        <w:t xml:space="preserve">, 2020). Psyllid infestations can adversely affect fruit size, juice quality, and flavour, with losses due to such infestations reported to be as high as 83–95% (Randhawa, 1974). </w:t>
      </w:r>
      <w:r w:rsidRPr="00DE77C3">
        <w:rPr>
          <w:i/>
        </w:rPr>
        <w:t>D. citri</w:t>
      </w:r>
      <w:r w:rsidRPr="00DE77C3">
        <w:t xml:space="preserve"> is present throughout the year, with population increases typically associated with periods of vigorous vegetative growth. Spring and post-monsoon periods favour its activity, whereas winter conditions and temperatures approaching 40°C can adversely affect population growth (Antolínez </w:t>
      </w:r>
      <w:r w:rsidRPr="00DE77C3">
        <w:rPr>
          <w:i/>
        </w:rPr>
        <w:t>et al.</w:t>
      </w:r>
      <w:r w:rsidRPr="00DE77C3">
        <w:t>, 2021). Two major peaks in nymphal populations, typically occurring in April–May and August–September, have also been reported (Singh &amp; Yadav, 2018). This seasonal variability highlights the need to monitor psyllid population dynamics throughout the year and to understand the environmental conditions associated with population build-up.</w:t>
      </w:r>
    </w:p>
    <w:p w14:paraId="12DDC18A" w14:textId="77777777" w:rsidR="00757318" w:rsidRPr="00DE77C3" w:rsidRDefault="00000000" w:rsidP="00044B99">
      <w:pPr>
        <w:spacing w:after="0" w:line="360" w:lineRule="auto"/>
        <w:ind w:firstLine="720"/>
        <w:jc w:val="both"/>
        <w:rPr>
          <w:rFonts w:ascii="Times New Roman" w:eastAsia="Times New Roman" w:hAnsi="Times New Roman" w:cs="Times New Roman"/>
          <w:bCs/>
          <w:sz w:val="24"/>
          <w:szCs w:val="24"/>
          <w:lang w:eastAsia="en-IN" w:bidi="hi-IN"/>
        </w:rPr>
      </w:pPr>
      <w:r w:rsidRPr="00DE77C3">
        <w:rPr>
          <w:bCs/>
        </w:rPr>
        <w:t xml:space="preserve">Recent work on sweet orange has also documented weather-linked variation in citrus psylla incidence, reinforcing the relevance of seasonal monitoring when interpreting pest occurrence (Savalkar et al., 2025). Field studies in other citrus-growing systems have further shown that </w:t>
      </w:r>
      <w:r w:rsidRPr="00DE77C3">
        <w:rPr>
          <w:bCs/>
          <w:i/>
        </w:rPr>
        <w:t>D. citri</w:t>
      </w:r>
      <w:r w:rsidRPr="00DE77C3">
        <w:rPr>
          <w:bCs/>
        </w:rPr>
        <w:t xml:space="preserve"> </w:t>
      </w:r>
      <w:r w:rsidRPr="00DE77C3">
        <w:rPr>
          <w:bCs/>
        </w:rPr>
        <w:lastRenderedPageBreak/>
        <w:t>abundance varies with vegetative flushing, cultivar or orchard conditions, and climatic variables (de Carvalho et al., 2024; López-Galé et al., 2025; Obregón-Zúñiga et al., 2025).</w:t>
      </w:r>
    </w:p>
    <w:p w14:paraId="60568B1F" w14:textId="77777777" w:rsidR="00757318" w:rsidRPr="00DE77C3" w:rsidRDefault="00000000" w:rsidP="00044B99">
      <w:pPr>
        <w:spacing w:after="0" w:line="360" w:lineRule="auto"/>
        <w:ind w:firstLine="720"/>
        <w:jc w:val="both"/>
        <w:rPr>
          <w:rFonts w:ascii="Times New Roman" w:eastAsia="Times New Roman" w:hAnsi="Times New Roman" w:cs="Times New Roman"/>
          <w:bCs/>
          <w:sz w:val="24"/>
          <w:szCs w:val="24"/>
          <w:lang w:eastAsia="en-IN" w:bidi="hi-IN"/>
        </w:rPr>
      </w:pPr>
      <w:r w:rsidRPr="00DE77C3">
        <w:rPr>
          <w:bCs/>
        </w:rPr>
        <w:t xml:space="preserve">However, evidence specific to the Bundelkhand agro-climatic region remains limited within the context presented in this manuscript, particularly for the seasonal incidence of </w:t>
      </w:r>
      <w:r w:rsidRPr="00DE77C3">
        <w:rPr>
          <w:bCs/>
          <w:i/>
        </w:rPr>
        <w:t>D. citri</w:t>
      </w:r>
      <w:r w:rsidRPr="00DE77C3">
        <w:rPr>
          <w:bCs/>
        </w:rPr>
        <w:t xml:space="preserve"> on Kinnow mandarin and its relationship with local abiotic factors.</w:t>
      </w:r>
    </w:p>
    <w:p w14:paraId="732402BE" w14:textId="77777777" w:rsidR="00463430" w:rsidRPr="00DE77C3" w:rsidRDefault="00463430" w:rsidP="00044B99">
      <w:pPr>
        <w:spacing w:after="0" w:line="360" w:lineRule="auto"/>
        <w:ind w:firstLine="720"/>
        <w:jc w:val="both"/>
        <w:rPr>
          <w:rFonts w:ascii="Times New Roman" w:eastAsia="Times New Roman" w:hAnsi="Times New Roman" w:cs="Times New Roman"/>
          <w:sz w:val="24"/>
          <w:szCs w:val="24"/>
          <w:lang w:eastAsia="en-IN" w:bidi="hi-IN"/>
        </w:rPr>
      </w:pPr>
      <w:r w:rsidRPr="00DE77C3">
        <w:t xml:space="preserve">Consequently, temperature and new vegetative growth are important factors influencing the growth and reproduction of psyllid populations. Nymphal development and female oviposition are closely linked to new growth, whereas temperature affects population abundance in the field (Javed </w:t>
      </w:r>
      <w:r w:rsidRPr="00DE77C3">
        <w:rPr>
          <w:i/>
        </w:rPr>
        <w:t>et al.</w:t>
      </w:r>
      <w:r w:rsidRPr="00DE77C3">
        <w:t xml:space="preserve">, 2025). Therefore, the present study was conducted to determine the seasonal incidence of </w:t>
      </w:r>
      <w:r w:rsidRPr="00DE77C3">
        <w:rPr>
          <w:i/>
        </w:rPr>
        <w:t>D. citri</w:t>
      </w:r>
      <w:r w:rsidRPr="00DE77C3">
        <w:t xml:space="preserve"> on Kinnow mandarin and its relationship with prevailing abiotic factors under the agro-climatic conditions of the Bundelkhand region in Banda district, Uttar Pradesh.</w:t>
      </w:r>
    </w:p>
    <w:p w14:paraId="478A3519" w14:textId="77777777" w:rsidR="00E40D56" w:rsidRPr="00DE77C3" w:rsidRDefault="00467E62" w:rsidP="00044B99">
      <w:pPr>
        <w:spacing w:line="360" w:lineRule="auto"/>
        <w:jc w:val="both"/>
        <w:rPr>
          <w:rFonts w:ascii="Times New Roman" w:hAnsi="Times New Roman" w:cs="Times New Roman"/>
          <w:b/>
          <w:bCs/>
          <w:color w:val="000000"/>
          <w:sz w:val="24"/>
          <w:szCs w:val="24"/>
        </w:rPr>
      </w:pPr>
      <w:r w:rsidRPr="00DE77C3">
        <w:rPr>
          <w:rFonts w:ascii="Times New Roman" w:hAnsi="Times New Roman" w:cs="Times New Roman"/>
          <w:b/>
          <w:bCs/>
          <w:color w:val="000000"/>
          <w:sz w:val="24"/>
          <w:szCs w:val="24"/>
        </w:rPr>
        <w:t>MATERIALS AND METHODS</w:t>
      </w:r>
      <w:r w:rsidR="00E40D56" w:rsidRPr="00DE77C3">
        <w:rPr>
          <w:rFonts w:ascii="Times New Roman" w:hAnsi="Times New Roman" w:cs="Times New Roman"/>
          <w:b/>
          <w:bCs/>
          <w:color w:val="000000"/>
          <w:sz w:val="24"/>
          <w:szCs w:val="24"/>
        </w:rPr>
        <w:t xml:space="preserve"> </w:t>
      </w:r>
    </w:p>
    <w:p w14:paraId="1C23E683" w14:textId="77777777" w:rsidR="00742F6C" w:rsidRPr="00DE77C3" w:rsidRDefault="006A6CE7" w:rsidP="00044B99">
      <w:pPr>
        <w:spacing w:line="360" w:lineRule="auto"/>
        <w:ind w:firstLine="720"/>
        <w:jc w:val="both"/>
        <w:rPr>
          <w:rFonts w:ascii="Times New Roman" w:hAnsi="Times New Roman" w:cs="Times New Roman"/>
          <w:color w:val="000000"/>
          <w:sz w:val="24"/>
          <w:szCs w:val="24"/>
        </w:rPr>
      </w:pPr>
      <w:r w:rsidRPr="00DE77C3">
        <w:t xml:space="preserve">The present study was conducted in the citrus orchard of the College of Horticulture, Banda University of Agriculture and Technology, Banda, during </w:t>
      </w:r>
      <w:r w:rsidRPr="00DE77C3">
        <w:rPr>
          <w:i/>
        </w:rPr>
        <w:t>Ambe bahar</w:t>
      </w:r>
      <w:r w:rsidRPr="00DE77C3">
        <w:t xml:space="preserve"> 2024–25 and 2025–26. Geographically, the experimental field is located in Uttar Pradesh at an elevation of approximately 124 m above mean sea level, between 24°53′ and 25°55′ N latitude and 80°07′ and 81°34′ E longitude. The region has a typically semi-humid climate, characterised by extreme temperatures during both summer and winter. Meteorological observations recorded during the study period are presented in Table 1. Data on maximum and minimum temperature, relative humidity, and rainfall were obtained from the Meteorological Observatory, BUA&amp;T, Banda, to calculate the correlation between psyllid population and abiotic factors. For the seasonal abundance study, five-year-old Kinnow plants spaced at 6 × 6 m were selected in the citrus orchard. Five citrus plants (Kinnow mandarin) were randomly selected to record the population of </w:t>
      </w:r>
      <w:r w:rsidRPr="00DE77C3">
        <w:rPr>
          <w:i/>
        </w:rPr>
        <w:t>D. citri</w:t>
      </w:r>
      <w:r w:rsidRPr="00DE77C3">
        <w:t xml:space="preserve">. Five twigs were selected in each of the four directions on each plant to count the nymphal population of citrus psylla at weekly intervals. The mean population was then calculated and correlated with different weather parameters (Tandel </w:t>
      </w:r>
      <w:r w:rsidRPr="00DE77C3">
        <w:rPr>
          <w:i/>
        </w:rPr>
        <w:t>et al.</w:t>
      </w:r>
      <w:r w:rsidRPr="00DE77C3">
        <w:t>, 2020). The relationship between population fluctuations and different weather parameters was analysed using Pearson’s correlation coefficient according to the formula given below.</w:t>
      </w:r>
    </w:p>
    <w:p w14:paraId="284EEEAE" w14:textId="77777777" w:rsidR="00980B47" w:rsidRPr="00DE77C3" w:rsidRDefault="00B474CC" w:rsidP="00044B99">
      <w:pPr>
        <w:spacing w:line="360" w:lineRule="auto"/>
        <w:ind w:firstLine="720"/>
        <w:jc w:val="both"/>
        <w:rPr>
          <w:rFonts w:ascii="Times New Roman" w:hAnsi="Times New Roman" w:cs="Times New Roman"/>
          <w:color w:val="000000"/>
          <w:sz w:val="24"/>
          <w:szCs w:val="24"/>
        </w:rPr>
      </w:pPr>
      <w:r w:rsidRPr="00DE77C3">
        <w:rPr>
          <w:rFonts w:ascii="Times New Roman" w:hAnsi="Times New Roman" w:cs="Times New Roman"/>
          <w:color w:val="000000"/>
          <w:sz w:val="24"/>
          <w:szCs w:val="24"/>
        </w:rPr>
        <w:t xml:space="preserve"> </w:t>
      </w:r>
      <w:r w:rsidR="00893A9B" w:rsidRPr="00DE77C3">
        <w:rPr>
          <w:rFonts w:ascii="Times New Roman" w:hAnsi="Times New Roman" w:cs="Times New Roman"/>
          <w:color w:val="000000"/>
          <w:sz w:val="24"/>
          <w:szCs w:val="24"/>
        </w:rPr>
        <w:t xml:space="preserve">    </w:t>
      </w:r>
      <m:oMath>
        <m:r>
          <m:rPr>
            <m:sty m:val="p"/>
          </m:rPr>
          <w:rPr>
            <w:rFonts w:ascii="Cambria Math" w:hAnsi="Cambria Math" w:cs="Times New Roman"/>
            <w:sz w:val="24"/>
          </w:rPr>
          <m:t xml:space="preserve">Correlation coefficient (r) </m:t>
        </m:r>
        <m:r>
          <m:rPr>
            <m:sty m:val="b"/>
          </m:rPr>
          <w:rPr>
            <w:rFonts w:ascii="Cambria Math" w:hAnsi="Cambria Math" w:cs="Times New Roman"/>
            <w:sz w:val="24"/>
          </w:rPr>
          <m:t>=</m:t>
        </m:r>
        <m:f>
          <m:fPr>
            <m:ctrlPr>
              <w:rPr>
                <w:rFonts w:ascii="Cambria Math" w:hAnsi="Cambria Math" w:cs="Times New Roman"/>
                <w:iCs/>
                <w:sz w:val="24"/>
              </w:rPr>
            </m:ctrlPr>
          </m:fPr>
          <m:num>
            <m:r>
              <m:rPr>
                <m:sty m:val="p"/>
              </m:rPr>
              <w:rPr>
                <w:rFonts w:ascii="Cambria Math" w:hAnsi="Cambria Math" w:cs="Times New Roman"/>
                <w:sz w:val="24"/>
              </w:rPr>
              <m:t>Σ(X-</m:t>
            </m:r>
            <m:acc>
              <m:accPr>
                <m:chr m:val="̅"/>
                <m:ctrlPr>
                  <w:rPr>
                    <w:rFonts w:ascii="Cambria Math" w:hAnsi="Cambria Math" w:cs="Times New Roman"/>
                    <w:sz w:val="24"/>
                  </w:rPr>
                </m:ctrlPr>
              </m:accPr>
              <m:e>
                <m:r>
                  <m:rPr>
                    <m:sty m:val="p"/>
                  </m:rPr>
                  <w:rPr>
                    <w:rFonts w:ascii="Cambria Math" w:hAnsi="Cambria Math" w:cs="Times New Roman"/>
                    <w:sz w:val="24"/>
                  </w:rPr>
                  <m:t>X</m:t>
                </m:r>
              </m:e>
            </m:acc>
            <m:r>
              <m:rPr>
                <m:sty m:val="p"/>
              </m:rPr>
              <w:rPr>
                <w:rFonts w:ascii="Cambria Math" w:hAnsi="Cambria Math" w:cs="Times New Roman"/>
                <w:sz w:val="24"/>
              </w:rPr>
              <m:t>)(Y-</m:t>
            </m:r>
            <m:acc>
              <m:accPr>
                <m:chr m:val="̅"/>
                <m:ctrlPr>
                  <w:rPr>
                    <w:rFonts w:ascii="Cambria Math" w:hAnsi="Cambria Math" w:cs="Times New Roman"/>
                    <w:sz w:val="24"/>
                  </w:rPr>
                </m:ctrlPr>
              </m:accPr>
              <m:e>
                <m:r>
                  <m:rPr>
                    <m:sty m:val="p"/>
                  </m:rPr>
                  <w:rPr>
                    <w:rFonts w:ascii="Cambria Math" w:hAnsi="Cambria Math" w:cs="Times New Roman"/>
                    <w:sz w:val="24"/>
                  </w:rPr>
                  <m:t>Y</m:t>
                </m:r>
              </m:e>
            </m:acc>
            <m:r>
              <m:rPr>
                <m:sty m:val="p"/>
              </m:rPr>
              <w:rPr>
                <w:rFonts w:ascii="Cambria Math" w:hAnsi="Cambria Math" w:cs="Times New Roman"/>
                <w:sz w:val="24"/>
              </w:rPr>
              <m:t>)</m:t>
            </m:r>
          </m:num>
          <m:den>
            <m:rad>
              <m:radPr>
                <m:degHide m:val="1"/>
                <m:ctrlPr>
                  <w:rPr>
                    <w:rFonts w:ascii="Cambria Math" w:hAnsi="Cambria Math" w:cs="Times New Roman"/>
                    <w:iCs/>
                    <w:sz w:val="24"/>
                  </w:rPr>
                </m:ctrlPr>
              </m:radPr>
              <m:deg/>
              <m:e>
                <m:nary>
                  <m:naryPr>
                    <m:chr m:val="∑"/>
                    <m:limLoc m:val="undOvr"/>
                    <m:subHide m:val="1"/>
                    <m:supHide m:val="1"/>
                    <m:ctrlPr>
                      <w:rPr>
                        <w:rFonts w:ascii="Cambria Math" w:hAnsi="Cambria Math" w:cs="Times New Roman"/>
                        <w:iCs/>
                        <w:sz w:val="24"/>
                      </w:rPr>
                    </m:ctrlPr>
                  </m:naryPr>
                  <m:sub/>
                  <m:sup/>
                  <m:e>
                    <m:sSup>
                      <m:sSupPr>
                        <m:ctrlPr>
                          <w:rPr>
                            <w:rFonts w:ascii="Cambria Math" w:hAnsi="Cambria Math" w:cs="Times New Roman"/>
                            <w:iCs/>
                            <w:sz w:val="24"/>
                          </w:rPr>
                        </m:ctrlPr>
                      </m:sSupPr>
                      <m:e>
                        <m:r>
                          <m:rPr>
                            <m:sty m:val="p"/>
                          </m:rPr>
                          <w:rPr>
                            <w:rFonts w:ascii="Cambria Math" w:hAnsi="Cambria Math" w:cs="Times New Roman"/>
                            <w:sz w:val="24"/>
                          </w:rPr>
                          <m:t>(X-</m:t>
                        </m:r>
                        <m:acc>
                          <m:accPr>
                            <m:chr m:val="̅"/>
                            <m:ctrlPr>
                              <w:rPr>
                                <w:rFonts w:ascii="Cambria Math" w:hAnsi="Cambria Math" w:cs="Times New Roman"/>
                                <w:iCs/>
                                <w:sz w:val="24"/>
                              </w:rPr>
                            </m:ctrlPr>
                          </m:accPr>
                          <m:e>
                            <m:r>
                              <m:rPr>
                                <m:sty m:val="p"/>
                              </m:rPr>
                              <w:rPr>
                                <w:rFonts w:ascii="Cambria Math" w:hAnsi="Cambria Math" w:cs="Times New Roman"/>
                                <w:sz w:val="24"/>
                              </w:rPr>
                              <m:t>X</m:t>
                            </m:r>
                          </m:e>
                        </m:acc>
                        <m:r>
                          <m:rPr>
                            <m:sty m:val="p"/>
                          </m:rPr>
                          <w:rPr>
                            <w:rFonts w:ascii="Cambria Math" w:hAnsi="Cambria Math" w:cs="Times New Roman"/>
                            <w:sz w:val="24"/>
                          </w:rPr>
                          <m:t>)</m:t>
                        </m:r>
                      </m:e>
                      <m:sup>
                        <m:r>
                          <m:rPr>
                            <m:sty m:val="p"/>
                          </m:rPr>
                          <w:rPr>
                            <w:rFonts w:ascii="Cambria Math" w:hAnsi="Cambria Math" w:cs="Times New Roman"/>
                            <w:sz w:val="24"/>
                          </w:rPr>
                          <m:t>2</m:t>
                        </m:r>
                      </m:sup>
                    </m:sSup>
                  </m:e>
                </m:nary>
              </m:e>
            </m:rad>
            <m:r>
              <m:rPr>
                <m:sty m:val="p"/>
              </m:rPr>
              <w:rPr>
                <w:rFonts w:ascii="Cambria Math" w:hAnsi="Cambria Math" w:cs="Times New Roman"/>
                <w:sz w:val="24"/>
              </w:rPr>
              <m:t xml:space="preserve"> </m:t>
            </m:r>
            <m:nary>
              <m:naryPr>
                <m:chr m:val="∑"/>
                <m:limLoc m:val="undOvr"/>
                <m:subHide m:val="1"/>
                <m:supHide m:val="1"/>
                <m:ctrlPr>
                  <w:rPr>
                    <w:rFonts w:ascii="Cambria Math" w:hAnsi="Cambria Math" w:cs="Times New Roman"/>
                    <w:iCs/>
                    <w:sz w:val="24"/>
                  </w:rPr>
                </m:ctrlPr>
              </m:naryPr>
              <m:sub/>
              <m:sup/>
              <m:e>
                <m:sSup>
                  <m:sSupPr>
                    <m:ctrlPr>
                      <w:rPr>
                        <w:rFonts w:ascii="Cambria Math" w:hAnsi="Cambria Math" w:cs="Times New Roman"/>
                        <w:iCs/>
                        <w:sz w:val="24"/>
                      </w:rPr>
                    </m:ctrlPr>
                  </m:sSupPr>
                  <m:e>
                    <m:r>
                      <m:rPr>
                        <m:sty m:val="p"/>
                      </m:rPr>
                      <w:rPr>
                        <w:rFonts w:ascii="Cambria Math" w:hAnsi="Cambria Math" w:cs="Times New Roman"/>
                        <w:sz w:val="24"/>
                      </w:rPr>
                      <m:t>(Y-</m:t>
                    </m:r>
                    <m:acc>
                      <m:accPr>
                        <m:chr m:val="̅"/>
                        <m:ctrlPr>
                          <w:rPr>
                            <w:rFonts w:ascii="Cambria Math" w:hAnsi="Cambria Math" w:cs="Times New Roman"/>
                            <w:iCs/>
                            <w:sz w:val="24"/>
                          </w:rPr>
                        </m:ctrlPr>
                      </m:accPr>
                      <m:e>
                        <m:r>
                          <m:rPr>
                            <m:sty m:val="p"/>
                          </m:rPr>
                          <w:rPr>
                            <w:rFonts w:ascii="Cambria Math" w:hAnsi="Cambria Math" w:cs="Times New Roman"/>
                            <w:sz w:val="24"/>
                          </w:rPr>
                          <m:t>Y</m:t>
                        </m:r>
                      </m:e>
                    </m:acc>
                    <m:r>
                      <m:rPr>
                        <m:sty m:val="p"/>
                      </m:rPr>
                      <w:rPr>
                        <w:rFonts w:ascii="Cambria Math" w:hAnsi="Cambria Math" w:cs="Times New Roman"/>
                        <w:sz w:val="24"/>
                      </w:rPr>
                      <m:t>)</m:t>
                    </m:r>
                  </m:e>
                  <m:sup>
                    <m:r>
                      <m:rPr>
                        <m:sty m:val="p"/>
                      </m:rPr>
                      <w:rPr>
                        <w:rFonts w:ascii="Cambria Math" w:hAnsi="Cambria Math" w:cs="Times New Roman"/>
                        <w:sz w:val="24"/>
                      </w:rPr>
                      <m:t>2</m:t>
                    </m:r>
                  </m:sup>
                </m:sSup>
              </m:e>
            </m:nary>
          </m:den>
        </m:f>
      </m:oMath>
    </w:p>
    <w:p w14:paraId="772760CD" w14:textId="77777777" w:rsidR="00980B47" w:rsidRPr="00DE77C3" w:rsidRDefault="00980B47" w:rsidP="00044B99">
      <w:pPr>
        <w:spacing w:after="0" w:line="360" w:lineRule="auto"/>
        <w:jc w:val="both"/>
        <w:rPr>
          <w:rFonts w:ascii="Times New Roman" w:hAnsi="Times New Roman" w:cs="Times New Roman"/>
          <w:sz w:val="24"/>
        </w:rPr>
      </w:pPr>
      <w:r w:rsidRPr="00DE77C3">
        <w:rPr>
          <w:rFonts w:ascii="Times New Roman" w:hAnsi="Times New Roman" w:cs="Times New Roman"/>
          <w:sz w:val="24"/>
        </w:rPr>
        <w:t>Where:</w:t>
      </w:r>
    </w:p>
    <w:p w14:paraId="3CB97F46" w14:textId="77777777" w:rsidR="00980B47" w:rsidRPr="00DE77C3" w:rsidRDefault="00980B47" w:rsidP="00044B99">
      <w:pPr>
        <w:spacing w:after="0" w:line="360" w:lineRule="auto"/>
        <w:jc w:val="both"/>
        <w:rPr>
          <w:rFonts w:ascii="Times New Roman" w:hAnsi="Times New Roman" w:cs="Times New Roman"/>
          <w:sz w:val="24"/>
        </w:rPr>
      </w:pPr>
      <w:r w:rsidRPr="00DE77C3">
        <w:rPr>
          <w:rFonts w:ascii="Times New Roman" w:hAnsi="Times New Roman" w:cs="Times New Roman"/>
          <w:sz w:val="24"/>
        </w:rPr>
        <w:tab/>
        <w:t>X = Independent variables (weather variables),</w:t>
      </w:r>
    </w:p>
    <w:p w14:paraId="3354825D" w14:textId="77777777" w:rsidR="00980B47" w:rsidRPr="00DE77C3" w:rsidRDefault="00980B47" w:rsidP="00044B99">
      <w:pPr>
        <w:spacing w:after="0" w:line="360" w:lineRule="auto"/>
        <w:jc w:val="both"/>
        <w:rPr>
          <w:rFonts w:ascii="Times New Roman" w:eastAsiaTheme="minorEastAsia" w:hAnsi="Times New Roman" w:cs="Times New Roman"/>
          <w:iCs/>
          <w:sz w:val="24"/>
        </w:rPr>
      </w:pPr>
      <w:r w:rsidRPr="00DE77C3">
        <w:rPr>
          <w:rFonts w:ascii="Times New Roman" w:hAnsi="Times New Roman" w:cs="Times New Roman"/>
          <w:sz w:val="24"/>
        </w:rPr>
        <w:tab/>
      </w:r>
      <m:oMath>
        <m:acc>
          <m:accPr>
            <m:chr m:val="̅"/>
            <m:ctrlPr>
              <w:rPr>
                <w:rFonts w:ascii="Cambria Math" w:hAnsi="Cambria Math" w:cs="Times New Roman"/>
                <w:iCs/>
                <w:sz w:val="24"/>
              </w:rPr>
            </m:ctrlPr>
          </m:accPr>
          <m:e>
            <m:r>
              <m:rPr>
                <m:sty m:val="p"/>
              </m:rPr>
              <w:rPr>
                <w:rFonts w:ascii="Cambria Math" w:hAnsi="Cambria Math" w:cs="Times New Roman"/>
                <w:sz w:val="24"/>
              </w:rPr>
              <m:t>X</m:t>
            </m:r>
          </m:e>
        </m:acc>
      </m:oMath>
      <w:r w:rsidRPr="00DE77C3">
        <w:rPr>
          <w:rFonts w:ascii="Times New Roman" w:eastAsiaTheme="minorEastAsia" w:hAnsi="Times New Roman" w:cs="Times New Roman"/>
          <w:iCs/>
          <w:sz w:val="24"/>
        </w:rPr>
        <w:t xml:space="preserve">  = Mean of independent variables,</w:t>
      </w:r>
    </w:p>
    <w:p w14:paraId="4C19ECC5" w14:textId="77777777" w:rsidR="00980B47" w:rsidRPr="00DE77C3" w:rsidRDefault="00980B47" w:rsidP="00044B99">
      <w:pPr>
        <w:spacing w:after="0" w:line="360" w:lineRule="auto"/>
        <w:jc w:val="both"/>
        <w:rPr>
          <w:rFonts w:ascii="Times New Roman" w:eastAsiaTheme="minorEastAsia" w:hAnsi="Times New Roman" w:cs="Times New Roman"/>
          <w:iCs/>
          <w:sz w:val="24"/>
        </w:rPr>
      </w:pPr>
      <w:r w:rsidRPr="00DE77C3">
        <w:rPr>
          <w:rFonts w:ascii="Times New Roman" w:eastAsiaTheme="minorEastAsia" w:hAnsi="Times New Roman" w:cs="Times New Roman"/>
          <w:iCs/>
          <w:sz w:val="24"/>
        </w:rPr>
        <w:tab/>
        <w:t>Y= Dependent variables (insect populations),</w:t>
      </w:r>
    </w:p>
    <w:p w14:paraId="199D2A3E" w14:textId="77777777" w:rsidR="00980B47" w:rsidRPr="00DE77C3" w:rsidRDefault="00980B47" w:rsidP="00044B99">
      <w:pPr>
        <w:spacing w:after="0" w:line="360" w:lineRule="auto"/>
        <w:jc w:val="both"/>
        <w:rPr>
          <w:rFonts w:ascii="Times New Roman" w:eastAsiaTheme="minorEastAsia" w:hAnsi="Times New Roman" w:cs="Times New Roman"/>
          <w:iCs/>
          <w:sz w:val="24"/>
        </w:rPr>
      </w:pPr>
      <w:r w:rsidRPr="00DE77C3">
        <w:rPr>
          <w:rFonts w:ascii="Times New Roman" w:eastAsiaTheme="minorEastAsia" w:hAnsi="Times New Roman" w:cs="Times New Roman"/>
          <w:iCs/>
          <w:sz w:val="24"/>
        </w:rPr>
        <w:tab/>
      </w:r>
      <m:oMath>
        <m:acc>
          <m:accPr>
            <m:chr m:val="̅"/>
            <m:ctrlPr>
              <w:rPr>
                <w:rFonts w:ascii="Cambria Math" w:hAnsi="Cambria Math" w:cs="Times New Roman"/>
                <w:iCs/>
                <w:sz w:val="24"/>
              </w:rPr>
            </m:ctrlPr>
          </m:accPr>
          <m:e>
            <m:r>
              <m:rPr>
                <m:sty m:val="p"/>
              </m:rPr>
              <w:rPr>
                <w:rFonts w:ascii="Cambria Math" w:hAnsi="Cambria Math" w:cs="Times New Roman"/>
                <w:sz w:val="24"/>
              </w:rPr>
              <m:t>Y</m:t>
            </m:r>
          </m:e>
        </m:acc>
      </m:oMath>
      <w:r w:rsidRPr="00DE77C3">
        <w:rPr>
          <w:rFonts w:ascii="Times New Roman" w:eastAsiaTheme="minorEastAsia" w:hAnsi="Times New Roman" w:cs="Times New Roman"/>
          <w:iCs/>
          <w:sz w:val="24"/>
        </w:rPr>
        <w:t xml:space="preserve"> = Mean of dependent variables</w:t>
      </w:r>
    </w:p>
    <w:p w14:paraId="3D6A5CD9" w14:textId="77777777" w:rsidR="00C02DF3" w:rsidRPr="00DE77C3" w:rsidRDefault="00C02DF3" w:rsidP="00044B99">
      <w:pPr>
        <w:spacing w:after="0" w:line="360" w:lineRule="auto"/>
        <w:jc w:val="both"/>
        <w:rPr>
          <w:rFonts w:ascii="Times New Roman" w:eastAsiaTheme="minorEastAsia" w:hAnsi="Times New Roman" w:cs="Times New Roman"/>
          <w:b/>
          <w:bCs/>
          <w:iCs/>
          <w:sz w:val="24"/>
        </w:rPr>
      </w:pPr>
    </w:p>
    <w:p w14:paraId="3478BFE2" w14:textId="77777777" w:rsidR="00C02DF3" w:rsidRPr="00DE77C3" w:rsidRDefault="00C02DF3" w:rsidP="00044B99">
      <w:pPr>
        <w:spacing w:after="0" w:line="360" w:lineRule="auto"/>
        <w:jc w:val="both"/>
        <w:rPr>
          <w:rFonts w:ascii="Times New Roman" w:eastAsiaTheme="minorEastAsia" w:hAnsi="Times New Roman" w:cs="Times New Roman"/>
          <w:b/>
          <w:bCs/>
          <w:iCs/>
          <w:sz w:val="24"/>
        </w:rPr>
      </w:pPr>
    </w:p>
    <w:p w14:paraId="17660CC8" w14:textId="77777777" w:rsidR="009F287F" w:rsidRPr="00DE77C3" w:rsidRDefault="009F287F" w:rsidP="00044B99">
      <w:pPr>
        <w:spacing w:after="0" w:line="360" w:lineRule="auto"/>
        <w:jc w:val="both"/>
        <w:rPr>
          <w:rFonts w:ascii="Times New Roman" w:eastAsiaTheme="minorEastAsia" w:hAnsi="Times New Roman" w:cs="Times New Roman"/>
          <w:b/>
          <w:bCs/>
          <w:iCs/>
          <w:sz w:val="24"/>
        </w:rPr>
      </w:pPr>
      <w:r w:rsidRPr="00DE77C3">
        <w:rPr>
          <w:rFonts w:ascii="Times New Roman" w:eastAsiaTheme="minorEastAsia" w:hAnsi="Times New Roman" w:cs="Times New Roman"/>
          <w:b/>
          <w:bCs/>
          <w:iCs/>
          <w:sz w:val="24"/>
        </w:rPr>
        <w:t xml:space="preserve"> </w:t>
      </w:r>
      <w:r w:rsidR="00467E62" w:rsidRPr="00DE77C3">
        <w:rPr>
          <w:rFonts w:ascii="Times New Roman" w:eastAsiaTheme="minorEastAsia" w:hAnsi="Times New Roman" w:cs="Times New Roman"/>
          <w:b/>
          <w:bCs/>
          <w:iCs/>
          <w:sz w:val="24"/>
        </w:rPr>
        <w:t>RESULTS AND DISCUSSION</w:t>
      </w:r>
      <w:r w:rsidR="00CB595B" w:rsidRPr="00DE77C3">
        <w:rPr>
          <w:rFonts w:ascii="Times New Roman" w:eastAsiaTheme="minorEastAsia" w:hAnsi="Times New Roman" w:cs="Times New Roman"/>
          <w:b/>
          <w:bCs/>
          <w:iCs/>
          <w:sz w:val="24"/>
        </w:rPr>
        <w:t>-</w:t>
      </w:r>
    </w:p>
    <w:p w14:paraId="410519AA" w14:textId="77777777" w:rsidR="00C36410" w:rsidRPr="00DE77C3" w:rsidRDefault="003524B9" w:rsidP="00044B99">
      <w:pPr>
        <w:spacing w:after="0" w:line="360" w:lineRule="auto"/>
        <w:ind w:firstLine="720"/>
        <w:jc w:val="both"/>
        <w:rPr>
          <w:rFonts w:ascii="Times New Roman" w:eastAsiaTheme="minorEastAsia" w:hAnsi="Times New Roman" w:cs="Times New Roman"/>
          <w:iCs/>
          <w:sz w:val="24"/>
        </w:rPr>
      </w:pPr>
      <w:r w:rsidRPr="00DE77C3">
        <w:t xml:space="preserve">The seasonal abundance of </w:t>
      </w:r>
      <w:r w:rsidRPr="00DE77C3">
        <w:rPr>
          <w:i/>
        </w:rPr>
        <w:t>Diaphorina citri</w:t>
      </w:r>
      <w:r w:rsidRPr="00DE77C3">
        <w:t xml:space="preserve"> was monitored at weekly intervals from the 8</w:t>
      </w:r>
      <w:r w:rsidRPr="00DE77C3">
        <w:rPr>
          <w:vertAlign w:val="superscript"/>
        </w:rPr>
        <w:t>th</w:t>
      </w:r>
      <w:r w:rsidRPr="00DE77C3">
        <w:t xml:space="preserve"> to the 45</w:t>
      </w:r>
      <w:r w:rsidRPr="00DE77C3">
        <w:rPr>
          <w:vertAlign w:val="superscript"/>
        </w:rPr>
        <w:t>th</w:t>
      </w:r>
      <w:r w:rsidRPr="00DE77C3">
        <w:t xml:space="preserve"> SMW during 2024–25 and 2025–26 on Kinnow mandarin. The psyllid population exhibited week-to-week fluctuations and showed two distinct periods of occurrence in both years, as presented in Table 1. Seasonal variation in psyllid nymphal abundance was associated with changes in temperature, relative humidity, rainfall, and the availability of suitable tender flush on the host plant. During 2024–25, the first appearance of the nymphal population of </w:t>
      </w:r>
      <w:r w:rsidRPr="00DE77C3">
        <w:rPr>
          <w:i/>
        </w:rPr>
        <w:t>D. citri</w:t>
      </w:r>
      <w:r w:rsidRPr="00DE77C3">
        <w:t xml:space="preserve"> was recorded in the 8</w:t>
      </w:r>
      <w:r w:rsidRPr="00DE77C3">
        <w:rPr>
          <w:vertAlign w:val="superscript"/>
        </w:rPr>
        <w:t>th</w:t>
      </w:r>
      <w:r w:rsidRPr="00DE77C3">
        <w:t xml:space="preserve"> SMW, at 0.90 </w:t>
      </w:r>
      <w:proofErr w:type="gramStart"/>
      <w:r w:rsidRPr="00DE77C3">
        <w:t>nymphs</w:t>
      </w:r>
      <w:proofErr w:type="gramEnd"/>
      <w:r w:rsidRPr="00DE77C3">
        <w:t xml:space="preserve"> twig</w:t>
      </w:r>
      <w:r w:rsidRPr="00DE77C3">
        <w:rPr>
          <w:vertAlign w:val="superscript"/>
        </w:rPr>
        <w:t>-1</w:t>
      </w:r>
      <w:r w:rsidRPr="00DE77C3">
        <w:t xml:space="preserve">. The population increased progressively during the following weeks and reached 21.60 </w:t>
      </w:r>
      <w:proofErr w:type="gramStart"/>
      <w:r w:rsidRPr="00DE77C3">
        <w:t>nymphs</w:t>
      </w:r>
      <w:proofErr w:type="gramEnd"/>
      <w:r w:rsidRPr="00DE77C3">
        <w:t xml:space="preserve"> twig</w:t>
      </w:r>
      <w:r w:rsidRPr="00DE77C3">
        <w:rPr>
          <w:vertAlign w:val="superscript"/>
        </w:rPr>
        <w:t>-1</w:t>
      </w:r>
      <w:r w:rsidRPr="00DE77C3">
        <w:t xml:space="preserve"> in the 12</w:t>
      </w:r>
      <w:r w:rsidRPr="00DE77C3">
        <w:rPr>
          <w:vertAlign w:val="superscript"/>
        </w:rPr>
        <w:t>th</w:t>
      </w:r>
      <w:r w:rsidRPr="00DE77C3">
        <w:t xml:space="preserve"> SMW before gradually declining. It decreased to 1.40 </w:t>
      </w:r>
      <w:proofErr w:type="gramStart"/>
      <w:r w:rsidRPr="00DE77C3">
        <w:t>nymphs</w:t>
      </w:r>
      <w:proofErr w:type="gramEnd"/>
      <w:r w:rsidRPr="00DE77C3">
        <w:t xml:space="preserve"> twig</w:t>
      </w:r>
      <w:r w:rsidRPr="00DE77C3">
        <w:rPr>
          <w:vertAlign w:val="superscript"/>
        </w:rPr>
        <w:t>-1</w:t>
      </w:r>
      <w:r w:rsidRPr="00DE77C3">
        <w:t xml:space="preserve"> in the 17</w:t>
      </w:r>
      <w:r w:rsidRPr="00DE77C3">
        <w:rPr>
          <w:vertAlign w:val="superscript"/>
        </w:rPr>
        <w:t>th</w:t>
      </w:r>
      <w:r w:rsidRPr="00DE77C3">
        <w:t xml:space="preserve"> SMW and remained absent from the 18</w:t>
      </w:r>
      <w:r w:rsidRPr="00DE77C3">
        <w:rPr>
          <w:vertAlign w:val="superscript"/>
        </w:rPr>
        <w:t>th</w:t>
      </w:r>
      <w:r w:rsidRPr="00DE77C3">
        <w:t xml:space="preserve"> to the 34</w:t>
      </w:r>
      <w:r w:rsidRPr="00DE77C3">
        <w:rPr>
          <w:vertAlign w:val="superscript"/>
        </w:rPr>
        <w:t>th</w:t>
      </w:r>
      <w:r w:rsidRPr="00DE77C3">
        <w:t xml:space="preserve"> SMW.</w:t>
      </w:r>
    </w:p>
    <w:p w14:paraId="7BB673C2" w14:textId="77777777" w:rsidR="00C708B6" w:rsidRPr="00DE77C3" w:rsidRDefault="00782AE9" w:rsidP="00044B99">
      <w:pPr>
        <w:spacing w:after="0" w:line="360" w:lineRule="auto"/>
        <w:ind w:firstLine="720"/>
        <w:jc w:val="both"/>
        <w:rPr>
          <w:rFonts w:ascii="Times New Roman" w:eastAsiaTheme="minorEastAsia" w:hAnsi="Times New Roman" w:cs="Times New Roman"/>
          <w:iCs/>
          <w:sz w:val="24"/>
        </w:rPr>
      </w:pPr>
      <w:r w:rsidRPr="00DE77C3">
        <w:t>A second period of population occurrence commenced in the 35</w:t>
      </w:r>
      <w:r w:rsidRPr="00DE77C3">
        <w:rPr>
          <w:vertAlign w:val="superscript"/>
        </w:rPr>
        <w:t>th</w:t>
      </w:r>
      <w:r w:rsidRPr="00DE77C3">
        <w:t xml:space="preserve"> SMW, when 1.85 </w:t>
      </w:r>
      <w:proofErr w:type="gramStart"/>
      <w:r w:rsidRPr="00DE77C3">
        <w:t>nymphs</w:t>
      </w:r>
      <w:proofErr w:type="gramEnd"/>
      <w:r w:rsidRPr="00DE77C3">
        <w:t xml:space="preserve"> twig</w:t>
      </w:r>
      <w:r w:rsidRPr="00DE77C3">
        <w:rPr>
          <w:vertAlign w:val="superscript"/>
        </w:rPr>
        <w:t>-1</w:t>
      </w:r>
      <w:r w:rsidRPr="00DE77C3">
        <w:t xml:space="preserve"> were recorded. Thereafter, the population increased sharply to 16.20 </w:t>
      </w:r>
      <w:proofErr w:type="gramStart"/>
      <w:r w:rsidRPr="00DE77C3">
        <w:t>nymphs</w:t>
      </w:r>
      <w:proofErr w:type="gramEnd"/>
      <w:r w:rsidRPr="00DE77C3">
        <w:t xml:space="preserve"> twig</w:t>
      </w:r>
      <w:r w:rsidRPr="00DE77C3">
        <w:rPr>
          <w:vertAlign w:val="superscript"/>
        </w:rPr>
        <w:t>-1</w:t>
      </w:r>
      <w:r w:rsidRPr="00DE77C3">
        <w:t xml:space="preserve"> in the 36</w:t>
      </w:r>
      <w:r w:rsidRPr="00DE77C3">
        <w:rPr>
          <w:vertAlign w:val="superscript"/>
        </w:rPr>
        <w:t>th</w:t>
      </w:r>
      <w:r w:rsidRPr="00DE77C3">
        <w:t xml:space="preserve"> SMW and 18.50 </w:t>
      </w:r>
      <w:proofErr w:type="gramStart"/>
      <w:r w:rsidRPr="00DE77C3">
        <w:t>nymphs</w:t>
      </w:r>
      <w:proofErr w:type="gramEnd"/>
      <w:r w:rsidRPr="00DE77C3">
        <w:t xml:space="preserve"> twig</w:t>
      </w:r>
      <w:r w:rsidRPr="00DE77C3">
        <w:rPr>
          <w:vertAlign w:val="superscript"/>
        </w:rPr>
        <w:t>-1</w:t>
      </w:r>
      <w:r w:rsidRPr="00DE77C3">
        <w:t xml:space="preserve"> in the 37</w:t>
      </w:r>
      <w:r w:rsidRPr="00DE77C3">
        <w:rPr>
          <w:vertAlign w:val="superscript"/>
        </w:rPr>
        <w:t>th</w:t>
      </w:r>
      <w:r w:rsidRPr="00DE77C3">
        <w:t xml:space="preserve"> SMW. The population subsequently fluctuated and increased again, reaching the maximum population of 37.10 </w:t>
      </w:r>
      <w:proofErr w:type="gramStart"/>
      <w:r w:rsidRPr="00DE77C3">
        <w:t>nymphs</w:t>
      </w:r>
      <w:proofErr w:type="gramEnd"/>
      <w:r w:rsidRPr="00DE77C3">
        <w:t xml:space="preserve"> twig</w:t>
      </w:r>
      <w:r w:rsidRPr="00DE77C3">
        <w:rPr>
          <w:vertAlign w:val="superscript"/>
        </w:rPr>
        <w:t>-1</w:t>
      </w:r>
      <w:r w:rsidRPr="00DE77C3">
        <w:t xml:space="preserve"> during the 42</w:t>
      </w:r>
      <w:r w:rsidRPr="00DE77C3">
        <w:rPr>
          <w:vertAlign w:val="superscript"/>
        </w:rPr>
        <w:t>nd</w:t>
      </w:r>
      <w:r w:rsidRPr="00DE77C3">
        <w:t xml:space="preserve"> SMW. Thereafter, it declined to 28.40 and 15.30 </w:t>
      </w:r>
      <w:proofErr w:type="gramStart"/>
      <w:r w:rsidRPr="00DE77C3">
        <w:t>nymphs</w:t>
      </w:r>
      <w:proofErr w:type="gramEnd"/>
      <w:r w:rsidRPr="00DE77C3">
        <w:t xml:space="preserve"> twig</w:t>
      </w:r>
      <w:r w:rsidRPr="00DE77C3">
        <w:rPr>
          <w:vertAlign w:val="superscript"/>
        </w:rPr>
        <w:t>-1</w:t>
      </w:r>
      <w:r w:rsidRPr="00DE77C3">
        <w:t xml:space="preserve"> during the 43</w:t>
      </w:r>
      <w:r w:rsidRPr="00DE77C3">
        <w:rPr>
          <w:vertAlign w:val="superscript"/>
        </w:rPr>
        <w:t>rd</w:t>
      </w:r>
      <w:r w:rsidRPr="00DE77C3">
        <w:t xml:space="preserve"> and 44</w:t>
      </w:r>
      <w:r w:rsidRPr="00DE77C3">
        <w:rPr>
          <w:vertAlign w:val="superscript"/>
        </w:rPr>
        <w:t>th</w:t>
      </w:r>
      <w:r w:rsidRPr="00DE77C3">
        <w:t xml:space="preserve"> SMWs, respectively, and became nil by the 45</w:t>
      </w:r>
      <w:r w:rsidRPr="00DE77C3">
        <w:rPr>
          <w:vertAlign w:val="superscript"/>
        </w:rPr>
        <w:t>th</w:t>
      </w:r>
      <w:r w:rsidRPr="00DE77C3">
        <w:t xml:space="preserve"> SMW. The early-season population increase observed in the present study is comparable with the spring population build-up reported by Sharma </w:t>
      </w:r>
      <w:r w:rsidRPr="00DE77C3">
        <w:rPr>
          <w:i/>
        </w:rPr>
        <w:t>et al.</w:t>
      </w:r>
      <w:r w:rsidRPr="00DE77C3">
        <w:t xml:space="preserve"> (2023), who also recorded a gradual increase in nymphal population on Kinnow and observed the first major peak during April. Similarly, Devi and Sharma (2014) reported two major nymphal peaks during April–May and August–September, with an abrupt decline during June–July.</w:t>
      </w:r>
    </w:p>
    <w:p w14:paraId="2183D3FD" w14:textId="77777777" w:rsidR="00AB61E3" w:rsidRPr="00DE77C3" w:rsidRDefault="00590636" w:rsidP="00044B99">
      <w:pPr>
        <w:spacing w:after="0" w:line="360" w:lineRule="auto"/>
        <w:ind w:firstLine="720"/>
        <w:jc w:val="both"/>
        <w:rPr>
          <w:rFonts w:ascii="Times New Roman" w:eastAsiaTheme="minorEastAsia" w:hAnsi="Times New Roman" w:cs="Times New Roman"/>
          <w:iCs/>
          <w:sz w:val="24"/>
        </w:rPr>
      </w:pPr>
      <w:r w:rsidRPr="00DE77C3">
        <w:t>During 2025–26, a broadly similar seasonal pattern was observed. The population was first recorded during the 9</w:t>
      </w:r>
      <w:r w:rsidRPr="00DE77C3">
        <w:rPr>
          <w:vertAlign w:val="superscript"/>
        </w:rPr>
        <w:t>th</w:t>
      </w:r>
      <w:r w:rsidRPr="00DE77C3">
        <w:t xml:space="preserve"> SMW at 1.25 </w:t>
      </w:r>
      <w:proofErr w:type="gramStart"/>
      <w:r w:rsidRPr="00DE77C3">
        <w:t>nymphs</w:t>
      </w:r>
      <w:proofErr w:type="gramEnd"/>
      <w:r w:rsidRPr="00DE77C3">
        <w:t xml:space="preserve"> twig</w:t>
      </w:r>
      <w:r w:rsidRPr="00DE77C3">
        <w:rPr>
          <w:vertAlign w:val="superscript"/>
        </w:rPr>
        <w:t>-1</w:t>
      </w:r>
      <w:r w:rsidRPr="00DE77C3">
        <w:t xml:space="preserve"> and increased to 18.60 </w:t>
      </w:r>
      <w:proofErr w:type="gramStart"/>
      <w:r w:rsidRPr="00DE77C3">
        <w:t>nymphs</w:t>
      </w:r>
      <w:proofErr w:type="gramEnd"/>
      <w:r w:rsidRPr="00DE77C3">
        <w:t xml:space="preserve"> twig</w:t>
      </w:r>
      <w:r w:rsidRPr="00DE77C3">
        <w:rPr>
          <w:vertAlign w:val="superscript"/>
        </w:rPr>
        <w:t>-1</w:t>
      </w:r>
      <w:r w:rsidRPr="00DE77C3">
        <w:t xml:space="preserve"> in the 12</w:t>
      </w:r>
      <w:r w:rsidRPr="00DE77C3">
        <w:rPr>
          <w:vertAlign w:val="superscript"/>
        </w:rPr>
        <w:t>th</w:t>
      </w:r>
      <w:r w:rsidRPr="00DE77C3">
        <w:t xml:space="preserve"> SMW. It subsequently declined to 1.20 </w:t>
      </w:r>
      <w:proofErr w:type="gramStart"/>
      <w:r w:rsidRPr="00DE77C3">
        <w:t>nymphs</w:t>
      </w:r>
      <w:proofErr w:type="gramEnd"/>
      <w:r w:rsidRPr="00DE77C3">
        <w:t xml:space="preserve"> twig</w:t>
      </w:r>
      <w:r w:rsidRPr="00DE77C3">
        <w:rPr>
          <w:vertAlign w:val="superscript"/>
        </w:rPr>
        <w:t>-1</w:t>
      </w:r>
      <w:r w:rsidRPr="00DE77C3">
        <w:t xml:space="preserve"> in the 17</w:t>
      </w:r>
      <w:r w:rsidRPr="00DE77C3">
        <w:rPr>
          <w:vertAlign w:val="superscript"/>
        </w:rPr>
        <w:t>th</w:t>
      </w:r>
      <w:r w:rsidRPr="00DE77C3">
        <w:t xml:space="preserve"> SMW and remained absent from the 18</w:t>
      </w:r>
      <w:r w:rsidRPr="00DE77C3">
        <w:rPr>
          <w:vertAlign w:val="superscript"/>
        </w:rPr>
        <w:t>th</w:t>
      </w:r>
      <w:r w:rsidRPr="00DE77C3">
        <w:t xml:space="preserve"> to the 34</w:t>
      </w:r>
      <w:r w:rsidRPr="00DE77C3">
        <w:rPr>
          <w:vertAlign w:val="superscript"/>
        </w:rPr>
        <w:t>th</w:t>
      </w:r>
      <w:r w:rsidRPr="00DE77C3">
        <w:t xml:space="preserve"> SMW. The population reappeared in the 35</w:t>
      </w:r>
      <w:r w:rsidRPr="00DE77C3">
        <w:rPr>
          <w:vertAlign w:val="superscript"/>
        </w:rPr>
        <w:t>th</w:t>
      </w:r>
      <w:r w:rsidRPr="00DE77C3">
        <w:t xml:space="preserve"> SMW at 3.0 </w:t>
      </w:r>
      <w:proofErr w:type="gramStart"/>
      <w:r w:rsidRPr="00DE77C3">
        <w:t>nymphs</w:t>
      </w:r>
      <w:proofErr w:type="gramEnd"/>
      <w:r w:rsidRPr="00DE77C3">
        <w:t xml:space="preserve"> twig</w:t>
      </w:r>
      <w:r w:rsidRPr="00DE77C3">
        <w:rPr>
          <w:vertAlign w:val="superscript"/>
        </w:rPr>
        <w:t>-1</w:t>
      </w:r>
      <w:r w:rsidRPr="00DE77C3">
        <w:t xml:space="preserve"> and subsequently increased to 9.50, 17.25, and 14.00 </w:t>
      </w:r>
      <w:proofErr w:type="gramStart"/>
      <w:r w:rsidRPr="00DE77C3">
        <w:t>nymphs</w:t>
      </w:r>
      <w:proofErr w:type="gramEnd"/>
      <w:r w:rsidRPr="00DE77C3">
        <w:t xml:space="preserve"> twig</w:t>
      </w:r>
      <w:r w:rsidRPr="00DE77C3">
        <w:rPr>
          <w:vertAlign w:val="superscript"/>
        </w:rPr>
        <w:t>-1</w:t>
      </w:r>
      <w:r w:rsidRPr="00DE77C3">
        <w:t xml:space="preserve"> during the 36</w:t>
      </w:r>
      <w:r w:rsidRPr="00DE77C3">
        <w:rPr>
          <w:vertAlign w:val="superscript"/>
        </w:rPr>
        <w:t>th</w:t>
      </w:r>
      <w:r w:rsidRPr="00DE77C3">
        <w:t>, 37</w:t>
      </w:r>
      <w:r w:rsidRPr="00DE77C3">
        <w:rPr>
          <w:vertAlign w:val="superscript"/>
        </w:rPr>
        <w:t>th</w:t>
      </w:r>
      <w:r w:rsidRPr="00DE77C3">
        <w:t>, and 38</w:t>
      </w:r>
      <w:r w:rsidRPr="00DE77C3">
        <w:rPr>
          <w:vertAlign w:val="superscript"/>
        </w:rPr>
        <w:t>th</w:t>
      </w:r>
      <w:r w:rsidRPr="00DE77C3">
        <w:t xml:space="preserve"> SMWs, respectively. The population increased further and reached a maximum density of 39.50 </w:t>
      </w:r>
      <w:proofErr w:type="gramStart"/>
      <w:r w:rsidRPr="00DE77C3">
        <w:t>nymphs</w:t>
      </w:r>
      <w:proofErr w:type="gramEnd"/>
      <w:r w:rsidRPr="00DE77C3">
        <w:t xml:space="preserve"> twig</w:t>
      </w:r>
      <w:r w:rsidRPr="00DE77C3">
        <w:rPr>
          <w:vertAlign w:val="superscript"/>
        </w:rPr>
        <w:t>-1</w:t>
      </w:r>
      <w:r w:rsidRPr="00DE77C3">
        <w:t xml:space="preserve"> during the 42</w:t>
      </w:r>
      <w:r w:rsidRPr="00DE77C3">
        <w:rPr>
          <w:vertAlign w:val="superscript"/>
        </w:rPr>
        <w:t>nd</w:t>
      </w:r>
      <w:r w:rsidRPr="00DE77C3">
        <w:t xml:space="preserve"> SMW. Thereafter, it declined to 30.25 </w:t>
      </w:r>
      <w:proofErr w:type="gramStart"/>
      <w:r w:rsidRPr="00DE77C3">
        <w:t>nymphs</w:t>
      </w:r>
      <w:proofErr w:type="gramEnd"/>
      <w:r w:rsidRPr="00DE77C3">
        <w:t xml:space="preserve"> twig</w:t>
      </w:r>
      <w:r w:rsidRPr="00DE77C3">
        <w:rPr>
          <w:vertAlign w:val="superscript"/>
        </w:rPr>
        <w:t>-1</w:t>
      </w:r>
      <w:r w:rsidRPr="00DE77C3">
        <w:t xml:space="preserve"> in the 43</w:t>
      </w:r>
      <w:r w:rsidRPr="00DE77C3">
        <w:rPr>
          <w:vertAlign w:val="superscript"/>
        </w:rPr>
        <w:t>rd</w:t>
      </w:r>
      <w:r w:rsidRPr="00DE77C3">
        <w:t xml:space="preserve"> SMW and 6.50 </w:t>
      </w:r>
      <w:proofErr w:type="gramStart"/>
      <w:r w:rsidRPr="00DE77C3">
        <w:t>nymphs</w:t>
      </w:r>
      <w:proofErr w:type="gramEnd"/>
      <w:r w:rsidRPr="00DE77C3">
        <w:t xml:space="preserve"> twig</w:t>
      </w:r>
      <w:r w:rsidRPr="00DE77C3">
        <w:rPr>
          <w:vertAlign w:val="superscript"/>
        </w:rPr>
        <w:t>-1</w:t>
      </w:r>
      <w:r w:rsidRPr="00DE77C3">
        <w:t xml:space="preserve"> in the 44</w:t>
      </w:r>
      <w:r w:rsidRPr="00DE77C3">
        <w:rPr>
          <w:vertAlign w:val="superscript"/>
        </w:rPr>
        <w:t>th</w:t>
      </w:r>
      <w:r w:rsidRPr="00DE77C3">
        <w:t xml:space="preserve"> SMW, becoming nil during the 45</w:t>
      </w:r>
      <w:r w:rsidRPr="00DE77C3">
        <w:rPr>
          <w:vertAlign w:val="superscript"/>
        </w:rPr>
        <w:t>th</w:t>
      </w:r>
      <w:r w:rsidRPr="00DE77C3">
        <w:t xml:space="preserve"> SMW. The occurrence of two distinct periods of population activity observed in the present investigation is supported by Wankhade </w:t>
      </w:r>
      <w:r w:rsidRPr="00DE77C3">
        <w:rPr>
          <w:i/>
        </w:rPr>
        <w:t>et al.</w:t>
      </w:r>
      <w:r w:rsidRPr="00DE77C3">
        <w:t xml:space="preserve"> (2015), who also recorded two major periods of seasonal abundance of </w:t>
      </w:r>
      <w:r w:rsidRPr="00DE77C3">
        <w:rPr>
          <w:i/>
        </w:rPr>
        <w:t>D. citri</w:t>
      </w:r>
      <w:r w:rsidRPr="00DE77C3">
        <w:t xml:space="preserve"> on sweet orange, with higher nymphal populations during February–March and August–September. The present finding is also consistent with the observations of Arora </w:t>
      </w:r>
      <w:r w:rsidRPr="00DE77C3">
        <w:rPr>
          <w:i/>
        </w:rPr>
        <w:t>et al.</w:t>
      </w:r>
      <w:r w:rsidRPr="00DE77C3">
        <w:t xml:space="preserve"> (1997) on Kinnow mandarin, who reported that </w:t>
      </w:r>
      <w:r w:rsidRPr="00DE77C3">
        <w:lastRenderedPageBreak/>
        <w:t xml:space="preserve">the major population peaks of </w:t>
      </w:r>
      <w:r w:rsidRPr="00DE77C3">
        <w:rPr>
          <w:i/>
        </w:rPr>
        <w:t>D. citri</w:t>
      </w:r>
      <w:r w:rsidRPr="00DE77C3">
        <w:t xml:space="preserve"> were associated with the development of fresh vegetative flushes.</w:t>
      </w:r>
    </w:p>
    <w:p w14:paraId="596843C9" w14:textId="77777777" w:rsidR="007D01E7" w:rsidRPr="00DE77C3" w:rsidRDefault="00FE33CC" w:rsidP="00044B99">
      <w:pPr>
        <w:spacing w:after="0" w:line="360" w:lineRule="auto"/>
        <w:ind w:firstLine="720"/>
        <w:jc w:val="both"/>
        <w:rPr>
          <w:rFonts w:ascii="Times New Roman" w:eastAsiaTheme="minorEastAsia" w:hAnsi="Times New Roman" w:cs="Times New Roman"/>
          <w:iCs/>
          <w:sz w:val="24"/>
        </w:rPr>
      </w:pPr>
      <w:r w:rsidRPr="00DE77C3">
        <w:t xml:space="preserve">Correlation coefficients were calculated to determine the relationships between the population of citrus psylla and prevailing weather parameters, namely maximum temperature, minimum temperature, relative humidity, and rainfall, during 2024–25 and 2025–26. The correlation coefficients showed both positive and negative relationships between the seasonal incidence of </w:t>
      </w:r>
      <w:r w:rsidRPr="00DE77C3">
        <w:rPr>
          <w:i/>
        </w:rPr>
        <w:t>D. citri</w:t>
      </w:r>
      <w:r w:rsidRPr="00DE77C3">
        <w:t xml:space="preserve"> and the prevailing weather variables, as presented in Table 2 and Figures 1 and 2.</w:t>
      </w:r>
    </w:p>
    <w:p w14:paraId="0FFD5CAD" w14:textId="77777777" w:rsidR="004E5381" w:rsidRPr="00DE77C3" w:rsidRDefault="00FE33CC" w:rsidP="00044B99">
      <w:pPr>
        <w:spacing w:after="0" w:line="360" w:lineRule="auto"/>
        <w:ind w:firstLine="720"/>
        <w:jc w:val="both"/>
        <w:rPr>
          <w:rFonts w:ascii="Times New Roman" w:hAnsi="Times New Roman" w:cs="Times New Roman"/>
          <w:sz w:val="24"/>
          <w:szCs w:val="24"/>
        </w:rPr>
      </w:pPr>
      <w:r w:rsidRPr="00DE77C3">
        <w:t>During 2024–25, the psyllid nymphal population showed significant positive correlations with maximum temperature (r = 0.435*), minimum temperature (r = 0.469*), and relative humidity (r = 0.425*), whereas rainfall showed a negative, non-significant correlation (r = -0.253</w:t>
      </w:r>
      <w:r w:rsidRPr="00DE77C3">
        <w:rPr>
          <w:vertAlign w:val="superscript"/>
        </w:rPr>
        <w:t>NS</w:t>
      </w:r>
      <w:r w:rsidRPr="00DE77C3">
        <w:t>) (Table 2; Figures 1 and 2). A similar trend was observed during 2025–26, when the citrus psylla population showed significant positive correlations with maximum temperature (r = 0.457*), minimum temperature (r = 0.453*), and relative humidity (r = 0.420*), whereas rainfall showed a negative, non-significant correlation (r = -0.038</w:t>
      </w:r>
      <w:r w:rsidRPr="00DE77C3">
        <w:rPr>
          <w:vertAlign w:val="superscript"/>
        </w:rPr>
        <w:t>NS</w:t>
      </w:r>
      <w:r w:rsidRPr="00DE77C3">
        <w:t xml:space="preserve">). The significant positive relationship between maximum temperature and citrus psylla population observed in the present investigation agrees with the findings of Nehru </w:t>
      </w:r>
      <w:r w:rsidRPr="00DE77C3">
        <w:rPr>
          <w:i/>
        </w:rPr>
        <w:t>et al.</w:t>
      </w:r>
      <w:r w:rsidRPr="00DE77C3">
        <w:t xml:space="preserve"> (2006), who reported a significant positive correlation between psyllid population and temperature (r = 0.876). Singh </w:t>
      </w:r>
      <w:r w:rsidRPr="00DE77C3">
        <w:rPr>
          <w:i/>
        </w:rPr>
        <w:t>et al.</w:t>
      </w:r>
      <w:r w:rsidRPr="00DE77C3">
        <w:t xml:space="preserve"> (2024) similarly reported significant positive correlations of citrus psylla population with maximum and minimum temperatures, with correlation coefficients of r = 0.52 and r = 0.62, respectively. The significant positive correlation with relative humidity observed in the present study was also reported by Sharma (2008), who found positive relationships between minimum, maximum, and mean temperatures and relative humidity and the nymphal and adult populations of citrus psylla. The negative, non-significant correlation between rainfall and citrus psylla population observed during both 2024–25 and 2025–26 also agrees with the findings of Debbarma </w:t>
      </w:r>
      <w:r w:rsidRPr="00DE77C3">
        <w:rPr>
          <w:i/>
        </w:rPr>
        <w:t>et al.</w:t>
      </w:r>
      <w:r w:rsidRPr="00DE77C3">
        <w:t xml:space="preserve"> (2024), who reported a negative, non-significant correlation between rainfall and </w:t>
      </w:r>
      <w:r w:rsidRPr="00DE77C3">
        <w:rPr>
          <w:i/>
        </w:rPr>
        <w:t>D. citri</w:t>
      </w:r>
      <w:r w:rsidRPr="00DE77C3">
        <w:t xml:space="preserve"> population (r = -0.069).</w:t>
      </w:r>
    </w:p>
    <w:p w14:paraId="05D9067C" w14:textId="77777777" w:rsidR="001E18F0" w:rsidRPr="00DE77C3" w:rsidRDefault="001E18F0" w:rsidP="00044B99">
      <w:pPr>
        <w:spacing w:after="0" w:line="360" w:lineRule="auto"/>
        <w:jc w:val="both"/>
      </w:pPr>
    </w:p>
    <w:p w14:paraId="71DA67E9" w14:textId="77777777" w:rsidR="00853027" w:rsidRPr="00DE77C3" w:rsidRDefault="00853027" w:rsidP="00044B99">
      <w:pPr>
        <w:spacing w:after="0" w:line="360" w:lineRule="auto"/>
        <w:jc w:val="both"/>
        <w:rPr>
          <w:rFonts w:ascii="Times New Roman" w:eastAsiaTheme="minorEastAsia" w:hAnsi="Times New Roman" w:cs="Times New Roman"/>
          <w:iCs/>
          <w:sz w:val="24"/>
        </w:rPr>
        <w:sectPr w:rsidR="00853027" w:rsidRPr="00DE77C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62D13D91" w14:textId="77777777" w:rsidR="00017F1D" w:rsidRPr="00DE77C3" w:rsidRDefault="00017F1D" w:rsidP="00044B99">
      <w:pPr>
        <w:spacing w:after="0" w:line="360" w:lineRule="auto"/>
        <w:jc w:val="both"/>
        <w:rPr>
          <w:rFonts w:ascii="Times New Roman" w:eastAsiaTheme="minorEastAsia" w:hAnsi="Times New Roman" w:cs="Times New Roman"/>
          <w:b/>
          <w:bCs/>
          <w:iCs/>
          <w:sz w:val="32"/>
          <w:szCs w:val="28"/>
        </w:rPr>
      </w:pPr>
      <w:r w:rsidRPr="00DE77C3">
        <w:rPr>
          <w:rFonts w:ascii="Times New Roman" w:hAnsi="Times New Roman" w:cs="Times New Roman"/>
          <w:b/>
          <w:bCs/>
          <w:color w:val="000000"/>
          <w:sz w:val="24"/>
          <w:szCs w:val="24"/>
        </w:rPr>
        <w:lastRenderedPageBreak/>
        <w:t xml:space="preserve">Table 1. Seasonal abundance of nymphal population of </w:t>
      </w:r>
      <w:r w:rsidR="00847B7E" w:rsidRPr="00DE77C3">
        <w:rPr>
          <w:rFonts w:ascii="Times New Roman" w:hAnsi="Times New Roman" w:cs="Times New Roman"/>
          <w:b/>
          <w:bCs/>
          <w:color w:val="000000"/>
          <w:sz w:val="24"/>
          <w:szCs w:val="24"/>
        </w:rPr>
        <w:t xml:space="preserve">Asian </w:t>
      </w:r>
      <w:r w:rsidRPr="00DE77C3">
        <w:rPr>
          <w:rFonts w:ascii="Times New Roman" w:hAnsi="Times New Roman" w:cs="Times New Roman"/>
          <w:b/>
          <w:bCs/>
          <w:color w:val="000000"/>
          <w:sz w:val="24"/>
          <w:szCs w:val="24"/>
        </w:rPr>
        <w:t xml:space="preserve">citrus </w:t>
      </w:r>
      <w:r w:rsidR="00847B7E" w:rsidRPr="00DE77C3">
        <w:rPr>
          <w:rFonts w:ascii="Times New Roman" w:hAnsi="Times New Roman" w:cs="Times New Roman"/>
          <w:b/>
          <w:bCs/>
          <w:color w:val="000000"/>
          <w:sz w:val="24"/>
          <w:szCs w:val="24"/>
        </w:rPr>
        <w:t>psyllids’</w:t>
      </w:r>
      <w:r w:rsidRPr="00DE77C3">
        <w:rPr>
          <w:rFonts w:ascii="Times New Roman" w:hAnsi="Times New Roman" w:cs="Times New Roman"/>
          <w:b/>
          <w:bCs/>
          <w:color w:val="000000"/>
          <w:sz w:val="24"/>
          <w:szCs w:val="24"/>
        </w:rPr>
        <w:t xml:space="preserve">, </w:t>
      </w:r>
      <w:r w:rsidRPr="00DE77C3">
        <w:rPr>
          <w:rFonts w:ascii="Times New Roman" w:hAnsi="Times New Roman" w:cs="Times New Roman"/>
          <w:b/>
          <w:bCs/>
          <w:i/>
          <w:iCs/>
          <w:color w:val="000000"/>
          <w:sz w:val="24"/>
          <w:szCs w:val="24"/>
        </w:rPr>
        <w:t xml:space="preserve">D. citri </w:t>
      </w:r>
      <w:r w:rsidRPr="00DE77C3">
        <w:rPr>
          <w:rFonts w:ascii="Times New Roman" w:hAnsi="Times New Roman" w:cs="Times New Roman"/>
          <w:b/>
          <w:bCs/>
          <w:color w:val="000000"/>
          <w:sz w:val="24"/>
          <w:szCs w:val="24"/>
        </w:rPr>
        <w:t xml:space="preserve">on </w:t>
      </w:r>
      <w:proofErr w:type="spellStart"/>
      <w:r w:rsidRPr="00DE77C3">
        <w:rPr>
          <w:rFonts w:ascii="Times New Roman" w:hAnsi="Times New Roman" w:cs="Times New Roman"/>
          <w:b/>
          <w:bCs/>
          <w:color w:val="000000"/>
          <w:sz w:val="24"/>
          <w:szCs w:val="24"/>
        </w:rPr>
        <w:t>Kinnow</w:t>
      </w:r>
      <w:proofErr w:type="spellEnd"/>
      <w:r w:rsidRPr="00DE77C3">
        <w:rPr>
          <w:rFonts w:ascii="Times New Roman" w:hAnsi="Times New Roman" w:cs="Times New Roman"/>
          <w:b/>
          <w:bCs/>
          <w:color w:val="000000"/>
          <w:sz w:val="24"/>
          <w:szCs w:val="24"/>
        </w:rPr>
        <w:t xml:space="preserve"> during 2024</w:t>
      </w:r>
      <w:r w:rsidR="00DC1828" w:rsidRPr="00DE77C3">
        <w:rPr>
          <w:rFonts w:ascii="Times New Roman" w:hAnsi="Times New Roman" w:cs="Times New Roman"/>
          <w:b/>
          <w:bCs/>
          <w:color w:val="000000"/>
          <w:sz w:val="24"/>
          <w:szCs w:val="24"/>
        </w:rPr>
        <w:t>-</w:t>
      </w:r>
      <w:r w:rsidRPr="00DE77C3">
        <w:rPr>
          <w:rFonts w:ascii="Times New Roman" w:hAnsi="Times New Roman" w:cs="Times New Roman"/>
          <w:b/>
          <w:bCs/>
          <w:color w:val="000000"/>
          <w:sz w:val="24"/>
          <w:szCs w:val="24"/>
        </w:rPr>
        <w:t>25 and 2025-26.</w:t>
      </w:r>
    </w:p>
    <w:tbl>
      <w:tblPr>
        <w:tblW w:w="9299" w:type="dxa"/>
        <w:tblInd w:w="-5" w:type="dxa"/>
        <w:tblLook w:val="04A0" w:firstRow="1" w:lastRow="0" w:firstColumn="1" w:lastColumn="0" w:noHBand="0" w:noVBand="1"/>
      </w:tblPr>
      <w:tblGrid>
        <w:gridCol w:w="1829"/>
        <w:gridCol w:w="672"/>
        <w:gridCol w:w="672"/>
        <w:gridCol w:w="672"/>
        <w:gridCol w:w="672"/>
        <w:gridCol w:w="672"/>
        <w:gridCol w:w="672"/>
        <w:gridCol w:w="672"/>
        <w:gridCol w:w="672"/>
        <w:gridCol w:w="1060"/>
        <w:gridCol w:w="1034"/>
      </w:tblGrid>
      <w:tr w:rsidR="001709B0" w:rsidRPr="00DE77C3" w14:paraId="3758146D" w14:textId="77777777" w:rsidTr="000627FC">
        <w:trPr>
          <w:trHeight w:val="130"/>
        </w:trPr>
        <w:tc>
          <w:tcPr>
            <w:tcW w:w="1829" w:type="dxa"/>
            <w:vMerge w:val="restart"/>
            <w:tcBorders>
              <w:top w:val="single" w:sz="4" w:space="0" w:color="auto"/>
              <w:left w:val="single" w:sz="4" w:space="0" w:color="auto"/>
              <w:bottom w:val="single" w:sz="4" w:space="0" w:color="auto"/>
              <w:right w:val="single" w:sz="4" w:space="0" w:color="auto"/>
            </w:tcBorders>
            <w:noWrap/>
            <w:vAlign w:val="center"/>
            <w:hideMark/>
          </w:tcPr>
          <w:p w14:paraId="1033E17C"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 xml:space="preserve">SMW 2024 &amp; 2025 </w:t>
            </w:r>
          </w:p>
        </w:tc>
        <w:tc>
          <w:tcPr>
            <w:tcW w:w="1344" w:type="dxa"/>
            <w:gridSpan w:val="2"/>
            <w:tcBorders>
              <w:top w:val="single" w:sz="4" w:space="0" w:color="auto"/>
              <w:left w:val="nil"/>
              <w:bottom w:val="single" w:sz="4" w:space="0" w:color="auto"/>
              <w:right w:val="single" w:sz="4" w:space="0" w:color="auto"/>
            </w:tcBorders>
            <w:noWrap/>
            <w:vAlign w:val="center"/>
            <w:hideMark/>
          </w:tcPr>
          <w:p w14:paraId="315E048D"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Max. T. ℃</w:t>
            </w:r>
          </w:p>
        </w:tc>
        <w:tc>
          <w:tcPr>
            <w:tcW w:w="0" w:type="auto"/>
            <w:gridSpan w:val="2"/>
            <w:tcBorders>
              <w:top w:val="single" w:sz="4" w:space="0" w:color="auto"/>
              <w:left w:val="nil"/>
              <w:bottom w:val="single" w:sz="4" w:space="0" w:color="auto"/>
              <w:right w:val="single" w:sz="4" w:space="0" w:color="auto"/>
            </w:tcBorders>
            <w:noWrap/>
            <w:vAlign w:val="center"/>
            <w:hideMark/>
          </w:tcPr>
          <w:p w14:paraId="7EE15907"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Min.</w:t>
            </w:r>
            <w:r w:rsidR="008E09AB" w:rsidRPr="00DE77C3">
              <w:rPr>
                <w:rFonts w:ascii="Times New Roman" w:eastAsia="Times New Roman" w:hAnsi="Times New Roman" w:cs="Times New Roman"/>
                <w:b/>
                <w:bCs/>
                <w:color w:val="000000"/>
                <w:sz w:val="19"/>
                <w:szCs w:val="19"/>
                <w:lang w:eastAsia="en-IN" w:bidi="hi-IN"/>
              </w:rPr>
              <w:t xml:space="preserve"> </w:t>
            </w:r>
            <w:r w:rsidRPr="00DE77C3">
              <w:rPr>
                <w:rFonts w:ascii="Times New Roman" w:eastAsia="Times New Roman" w:hAnsi="Times New Roman" w:cs="Times New Roman"/>
                <w:b/>
                <w:bCs/>
                <w:color w:val="000000"/>
                <w:sz w:val="19"/>
                <w:szCs w:val="19"/>
                <w:lang w:eastAsia="en-IN" w:bidi="hi-IN"/>
              </w:rPr>
              <w:t>T. ℃</w:t>
            </w:r>
          </w:p>
        </w:tc>
        <w:tc>
          <w:tcPr>
            <w:tcW w:w="0" w:type="auto"/>
            <w:gridSpan w:val="2"/>
            <w:tcBorders>
              <w:top w:val="single" w:sz="4" w:space="0" w:color="auto"/>
              <w:left w:val="nil"/>
              <w:bottom w:val="single" w:sz="4" w:space="0" w:color="auto"/>
              <w:right w:val="single" w:sz="4" w:space="0" w:color="auto"/>
            </w:tcBorders>
            <w:noWrap/>
            <w:vAlign w:val="center"/>
            <w:hideMark/>
          </w:tcPr>
          <w:p w14:paraId="26217082"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R.H. (%)</w:t>
            </w:r>
          </w:p>
        </w:tc>
        <w:tc>
          <w:tcPr>
            <w:tcW w:w="0" w:type="auto"/>
            <w:gridSpan w:val="2"/>
            <w:tcBorders>
              <w:top w:val="single" w:sz="4" w:space="0" w:color="auto"/>
              <w:left w:val="nil"/>
              <w:bottom w:val="single" w:sz="4" w:space="0" w:color="auto"/>
              <w:right w:val="single" w:sz="4" w:space="0" w:color="auto"/>
            </w:tcBorders>
            <w:noWrap/>
            <w:vAlign w:val="center"/>
            <w:hideMark/>
          </w:tcPr>
          <w:p w14:paraId="6BE5F494"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R.F. (mm)</w:t>
            </w:r>
          </w:p>
        </w:tc>
        <w:tc>
          <w:tcPr>
            <w:tcW w:w="2094" w:type="dxa"/>
            <w:gridSpan w:val="2"/>
            <w:tcBorders>
              <w:top w:val="single" w:sz="4" w:space="0" w:color="auto"/>
              <w:left w:val="nil"/>
              <w:bottom w:val="single" w:sz="4" w:space="0" w:color="auto"/>
              <w:right w:val="single" w:sz="4" w:space="0" w:color="auto"/>
            </w:tcBorders>
            <w:noWrap/>
            <w:vAlign w:val="center"/>
            <w:hideMark/>
          </w:tcPr>
          <w:p w14:paraId="6FE4CB4C"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Psyllid nymphal population/twig</w:t>
            </w:r>
          </w:p>
        </w:tc>
      </w:tr>
      <w:tr w:rsidR="001709B0" w:rsidRPr="00DE77C3" w14:paraId="44820026" w14:textId="77777777" w:rsidTr="000627FC">
        <w:trPr>
          <w:trHeight w:val="110"/>
        </w:trPr>
        <w:tc>
          <w:tcPr>
            <w:tcW w:w="1829" w:type="dxa"/>
            <w:vMerge/>
            <w:tcBorders>
              <w:top w:val="single" w:sz="4" w:space="0" w:color="auto"/>
              <w:left w:val="single" w:sz="4" w:space="0" w:color="auto"/>
              <w:bottom w:val="single" w:sz="4" w:space="0" w:color="auto"/>
              <w:right w:val="single" w:sz="4" w:space="0" w:color="auto"/>
            </w:tcBorders>
            <w:vAlign w:val="center"/>
            <w:hideMark/>
          </w:tcPr>
          <w:p w14:paraId="49147024"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p>
        </w:tc>
        <w:tc>
          <w:tcPr>
            <w:tcW w:w="672" w:type="dxa"/>
            <w:tcBorders>
              <w:top w:val="nil"/>
              <w:left w:val="nil"/>
              <w:bottom w:val="single" w:sz="4" w:space="0" w:color="auto"/>
              <w:right w:val="single" w:sz="4" w:space="0" w:color="auto"/>
            </w:tcBorders>
            <w:noWrap/>
            <w:vAlign w:val="bottom"/>
            <w:hideMark/>
          </w:tcPr>
          <w:p w14:paraId="301EE70D"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2C92ACA0"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2025</w:t>
            </w:r>
          </w:p>
        </w:tc>
        <w:tc>
          <w:tcPr>
            <w:tcW w:w="0" w:type="auto"/>
            <w:tcBorders>
              <w:top w:val="nil"/>
              <w:left w:val="nil"/>
              <w:bottom w:val="single" w:sz="4" w:space="0" w:color="auto"/>
              <w:right w:val="single" w:sz="4" w:space="0" w:color="auto"/>
            </w:tcBorders>
            <w:noWrap/>
            <w:vAlign w:val="bottom"/>
            <w:hideMark/>
          </w:tcPr>
          <w:p w14:paraId="11F533DE"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06D398E7"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2025</w:t>
            </w:r>
          </w:p>
        </w:tc>
        <w:tc>
          <w:tcPr>
            <w:tcW w:w="0" w:type="auto"/>
            <w:tcBorders>
              <w:top w:val="nil"/>
              <w:left w:val="nil"/>
              <w:bottom w:val="single" w:sz="4" w:space="0" w:color="auto"/>
              <w:right w:val="single" w:sz="4" w:space="0" w:color="auto"/>
            </w:tcBorders>
            <w:noWrap/>
            <w:vAlign w:val="bottom"/>
            <w:hideMark/>
          </w:tcPr>
          <w:p w14:paraId="7E9D93CE"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7E3C4762"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2025</w:t>
            </w:r>
          </w:p>
        </w:tc>
        <w:tc>
          <w:tcPr>
            <w:tcW w:w="0" w:type="auto"/>
            <w:tcBorders>
              <w:top w:val="nil"/>
              <w:left w:val="nil"/>
              <w:bottom w:val="single" w:sz="4" w:space="0" w:color="auto"/>
              <w:right w:val="single" w:sz="4" w:space="0" w:color="auto"/>
            </w:tcBorders>
            <w:noWrap/>
            <w:vAlign w:val="bottom"/>
            <w:hideMark/>
          </w:tcPr>
          <w:p w14:paraId="698B7D0D"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27493EB4"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2025</w:t>
            </w:r>
          </w:p>
        </w:tc>
        <w:tc>
          <w:tcPr>
            <w:tcW w:w="1060" w:type="dxa"/>
            <w:tcBorders>
              <w:top w:val="nil"/>
              <w:left w:val="nil"/>
              <w:bottom w:val="single" w:sz="4" w:space="0" w:color="auto"/>
              <w:right w:val="single" w:sz="4" w:space="0" w:color="auto"/>
            </w:tcBorders>
            <w:noWrap/>
            <w:vAlign w:val="bottom"/>
            <w:hideMark/>
          </w:tcPr>
          <w:p w14:paraId="3FF75735"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2024</w:t>
            </w:r>
          </w:p>
        </w:tc>
        <w:tc>
          <w:tcPr>
            <w:tcW w:w="1034" w:type="dxa"/>
            <w:tcBorders>
              <w:top w:val="nil"/>
              <w:left w:val="nil"/>
              <w:bottom w:val="single" w:sz="4" w:space="0" w:color="auto"/>
              <w:right w:val="single" w:sz="4" w:space="0" w:color="auto"/>
            </w:tcBorders>
            <w:noWrap/>
            <w:vAlign w:val="bottom"/>
            <w:hideMark/>
          </w:tcPr>
          <w:p w14:paraId="0ED9619A" w14:textId="77777777" w:rsidR="00017F1D" w:rsidRPr="00DE77C3" w:rsidRDefault="00017F1D" w:rsidP="00044B99">
            <w:pPr>
              <w:spacing w:after="0" w:line="240" w:lineRule="auto"/>
              <w:jc w:val="both"/>
              <w:rPr>
                <w:rFonts w:ascii="Times New Roman" w:eastAsia="Times New Roman" w:hAnsi="Times New Roman" w:cs="Times New Roman"/>
                <w:b/>
                <w:bCs/>
                <w:color w:val="000000"/>
                <w:sz w:val="19"/>
                <w:szCs w:val="19"/>
                <w:lang w:eastAsia="en-IN" w:bidi="hi-IN"/>
              </w:rPr>
            </w:pPr>
            <w:r w:rsidRPr="00DE77C3">
              <w:rPr>
                <w:rFonts w:ascii="Times New Roman" w:eastAsia="Times New Roman" w:hAnsi="Times New Roman" w:cs="Times New Roman"/>
                <w:b/>
                <w:bCs/>
                <w:color w:val="000000"/>
                <w:sz w:val="19"/>
                <w:szCs w:val="19"/>
                <w:lang w:eastAsia="en-IN" w:bidi="hi-IN"/>
              </w:rPr>
              <w:t>2025</w:t>
            </w:r>
          </w:p>
        </w:tc>
      </w:tr>
      <w:tr w:rsidR="001709B0" w:rsidRPr="00DE77C3" w14:paraId="75F5AF5C"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4A4C9C4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w:t>
            </w:r>
          </w:p>
        </w:tc>
        <w:tc>
          <w:tcPr>
            <w:tcW w:w="672" w:type="dxa"/>
            <w:tcBorders>
              <w:top w:val="nil"/>
              <w:left w:val="nil"/>
              <w:bottom w:val="single" w:sz="4" w:space="0" w:color="auto"/>
              <w:right w:val="single" w:sz="4" w:space="0" w:color="auto"/>
            </w:tcBorders>
            <w:noWrap/>
            <w:vAlign w:val="bottom"/>
            <w:hideMark/>
          </w:tcPr>
          <w:p w14:paraId="78142DE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28.89</w:t>
            </w:r>
          </w:p>
        </w:tc>
        <w:tc>
          <w:tcPr>
            <w:tcW w:w="0" w:type="auto"/>
            <w:tcBorders>
              <w:top w:val="nil"/>
              <w:left w:val="nil"/>
              <w:bottom w:val="single" w:sz="4" w:space="0" w:color="auto"/>
              <w:right w:val="single" w:sz="4" w:space="0" w:color="auto"/>
            </w:tcBorders>
            <w:noWrap/>
            <w:vAlign w:val="bottom"/>
            <w:hideMark/>
          </w:tcPr>
          <w:p w14:paraId="3931D62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26.64</w:t>
            </w:r>
          </w:p>
        </w:tc>
        <w:tc>
          <w:tcPr>
            <w:tcW w:w="0" w:type="auto"/>
            <w:tcBorders>
              <w:top w:val="nil"/>
              <w:left w:val="nil"/>
              <w:bottom w:val="single" w:sz="4" w:space="0" w:color="auto"/>
              <w:right w:val="single" w:sz="4" w:space="0" w:color="auto"/>
            </w:tcBorders>
            <w:noWrap/>
            <w:vAlign w:val="bottom"/>
            <w:hideMark/>
          </w:tcPr>
          <w:p w14:paraId="47F16AE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18.64</w:t>
            </w:r>
          </w:p>
        </w:tc>
        <w:tc>
          <w:tcPr>
            <w:tcW w:w="0" w:type="auto"/>
            <w:tcBorders>
              <w:top w:val="nil"/>
              <w:left w:val="nil"/>
              <w:bottom w:val="single" w:sz="4" w:space="0" w:color="auto"/>
              <w:right w:val="single" w:sz="4" w:space="0" w:color="auto"/>
            </w:tcBorders>
            <w:noWrap/>
            <w:vAlign w:val="bottom"/>
            <w:hideMark/>
          </w:tcPr>
          <w:p w14:paraId="139F573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17.53</w:t>
            </w:r>
          </w:p>
        </w:tc>
        <w:tc>
          <w:tcPr>
            <w:tcW w:w="0" w:type="auto"/>
            <w:tcBorders>
              <w:top w:val="nil"/>
              <w:left w:val="nil"/>
              <w:bottom w:val="single" w:sz="4" w:space="0" w:color="auto"/>
              <w:right w:val="single" w:sz="4" w:space="0" w:color="auto"/>
            </w:tcBorders>
            <w:noWrap/>
            <w:vAlign w:val="bottom"/>
            <w:hideMark/>
          </w:tcPr>
          <w:p w14:paraId="62E0D7E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72.78</w:t>
            </w:r>
          </w:p>
        </w:tc>
        <w:tc>
          <w:tcPr>
            <w:tcW w:w="0" w:type="auto"/>
            <w:tcBorders>
              <w:top w:val="nil"/>
              <w:left w:val="nil"/>
              <w:bottom w:val="single" w:sz="4" w:space="0" w:color="auto"/>
              <w:right w:val="single" w:sz="4" w:space="0" w:color="auto"/>
            </w:tcBorders>
            <w:noWrap/>
            <w:vAlign w:val="bottom"/>
            <w:hideMark/>
          </w:tcPr>
          <w:p w14:paraId="66C6ADD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73.78</w:t>
            </w:r>
          </w:p>
        </w:tc>
        <w:tc>
          <w:tcPr>
            <w:tcW w:w="0" w:type="auto"/>
            <w:tcBorders>
              <w:top w:val="nil"/>
              <w:left w:val="nil"/>
              <w:bottom w:val="single" w:sz="4" w:space="0" w:color="auto"/>
              <w:right w:val="single" w:sz="4" w:space="0" w:color="auto"/>
            </w:tcBorders>
            <w:noWrap/>
            <w:vAlign w:val="bottom"/>
            <w:hideMark/>
          </w:tcPr>
          <w:p w14:paraId="6F08593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2E54593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74EF8E1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0.90</w:t>
            </w:r>
          </w:p>
        </w:tc>
        <w:tc>
          <w:tcPr>
            <w:tcW w:w="1034" w:type="dxa"/>
            <w:tcBorders>
              <w:top w:val="nil"/>
              <w:left w:val="nil"/>
              <w:bottom w:val="single" w:sz="4" w:space="0" w:color="auto"/>
              <w:right w:val="single" w:sz="4" w:space="0" w:color="auto"/>
            </w:tcBorders>
            <w:noWrap/>
            <w:vAlign w:val="bottom"/>
            <w:hideMark/>
          </w:tcPr>
          <w:p w14:paraId="252ACC8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675613B9"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6D55457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9</w:t>
            </w:r>
          </w:p>
        </w:tc>
        <w:tc>
          <w:tcPr>
            <w:tcW w:w="672" w:type="dxa"/>
            <w:tcBorders>
              <w:top w:val="nil"/>
              <w:left w:val="nil"/>
              <w:bottom w:val="single" w:sz="4" w:space="0" w:color="auto"/>
              <w:right w:val="single" w:sz="4" w:space="0" w:color="auto"/>
            </w:tcBorders>
            <w:noWrap/>
            <w:vAlign w:val="bottom"/>
            <w:hideMark/>
          </w:tcPr>
          <w:p w14:paraId="7B56FFE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29.28</w:t>
            </w:r>
          </w:p>
        </w:tc>
        <w:tc>
          <w:tcPr>
            <w:tcW w:w="0" w:type="auto"/>
            <w:tcBorders>
              <w:top w:val="nil"/>
              <w:left w:val="nil"/>
              <w:bottom w:val="single" w:sz="4" w:space="0" w:color="auto"/>
              <w:right w:val="single" w:sz="4" w:space="0" w:color="auto"/>
            </w:tcBorders>
            <w:noWrap/>
            <w:vAlign w:val="bottom"/>
            <w:hideMark/>
          </w:tcPr>
          <w:p w14:paraId="53A4561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6287EFC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18.32</w:t>
            </w:r>
          </w:p>
        </w:tc>
        <w:tc>
          <w:tcPr>
            <w:tcW w:w="0" w:type="auto"/>
            <w:tcBorders>
              <w:top w:val="nil"/>
              <w:left w:val="nil"/>
              <w:bottom w:val="single" w:sz="4" w:space="0" w:color="auto"/>
              <w:right w:val="single" w:sz="4" w:space="0" w:color="auto"/>
            </w:tcBorders>
            <w:noWrap/>
            <w:vAlign w:val="bottom"/>
            <w:hideMark/>
          </w:tcPr>
          <w:p w14:paraId="140742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19.35</w:t>
            </w:r>
          </w:p>
        </w:tc>
        <w:tc>
          <w:tcPr>
            <w:tcW w:w="0" w:type="auto"/>
            <w:tcBorders>
              <w:top w:val="nil"/>
              <w:left w:val="nil"/>
              <w:bottom w:val="single" w:sz="4" w:space="0" w:color="auto"/>
              <w:right w:val="single" w:sz="4" w:space="0" w:color="auto"/>
            </w:tcBorders>
            <w:noWrap/>
            <w:vAlign w:val="bottom"/>
            <w:hideMark/>
          </w:tcPr>
          <w:p w14:paraId="758DDBD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74.57</w:t>
            </w:r>
          </w:p>
        </w:tc>
        <w:tc>
          <w:tcPr>
            <w:tcW w:w="0" w:type="auto"/>
            <w:tcBorders>
              <w:top w:val="nil"/>
              <w:left w:val="nil"/>
              <w:bottom w:val="single" w:sz="4" w:space="0" w:color="auto"/>
              <w:right w:val="single" w:sz="4" w:space="0" w:color="auto"/>
            </w:tcBorders>
            <w:noWrap/>
            <w:vAlign w:val="bottom"/>
            <w:hideMark/>
          </w:tcPr>
          <w:p w14:paraId="5E38D18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70.57</w:t>
            </w:r>
          </w:p>
        </w:tc>
        <w:tc>
          <w:tcPr>
            <w:tcW w:w="0" w:type="auto"/>
            <w:tcBorders>
              <w:top w:val="nil"/>
              <w:left w:val="nil"/>
              <w:bottom w:val="single" w:sz="4" w:space="0" w:color="auto"/>
              <w:right w:val="single" w:sz="4" w:space="0" w:color="auto"/>
            </w:tcBorders>
            <w:noWrap/>
            <w:vAlign w:val="bottom"/>
            <w:hideMark/>
          </w:tcPr>
          <w:p w14:paraId="44CB07E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2.77</w:t>
            </w:r>
          </w:p>
        </w:tc>
        <w:tc>
          <w:tcPr>
            <w:tcW w:w="0" w:type="auto"/>
            <w:tcBorders>
              <w:top w:val="nil"/>
              <w:left w:val="nil"/>
              <w:bottom w:val="single" w:sz="4" w:space="0" w:color="auto"/>
              <w:right w:val="single" w:sz="4" w:space="0" w:color="auto"/>
            </w:tcBorders>
            <w:noWrap/>
            <w:vAlign w:val="bottom"/>
            <w:hideMark/>
          </w:tcPr>
          <w:p w14:paraId="3BFA026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013BF89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1.50</w:t>
            </w:r>
          </w:p>
        </w:tc>
        <w:tc>
          <w:tcPr>
            <w:tcW w:w="1034" w:type="dxa"/>
            <w:tcBorders>
              <w:top w:val="nil"/>
              <w:left w:val="nil"/>
              <w:bottom w:val="single" w:sz="4" w:space="0" w:color="auto"/>
              <w:right w:val="single" w:sz="4" w:space="0" w:color="auto"/>
            </w:tcBorders>
            <w:noWrap/>
            <w:vAlign w:val="bottom"/>
            <w:hideMark/>
          </w:tcPr>
          <w:p w14:paraId="74BBE53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1.25</w:t>
            </w:r>
          </w:p>
        </w:tc>
      </w:tr>
      <w:tr w:rsidR="001709B0" w:rsidRPr="00DE77C3" w14:paraId="57306157"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6C3F9F5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10</w:t>
            </w:r>
          </w:p>
        </w:tc>
        <w:tc>
          <w:tcPr>
            <w:tcW w:w="672" w:type="dxa"/>
            <w:tcBorders>
              <w:top w:val="nil"/>
              <w:left w:val="nil"/>
              <w:bottom w:val="single" w:sz="4" w:space="0" w:color="auto"/>
              <w:right w:val="single" w:sz="4" w:space="0" w:color="auto"/>
            </w:tcBorders>
            <w:noWrap/>
            <w:vAlign w:val="bottom"/>
            <w:hideMark/>
          </w:tcPr>
          <w:p w14:paraId="5FD16FA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25.21</w:t>
            </w:r>
          </w:p>
        </w:tc>
        <w:tc>
          <w:tcPr>
            <w:tcW w:w="0" w:type="auto"/>
            <w:tcBorders>
              <w:top w:val="nil"/>
              <w:left w:val="nil"/>
              <w:bottom w:val="single" w:sz="4" w:space="0" w:color="auto"/>
              <w:right w:val="single" w:sz="4" w:space="0" w:color="auto"/>
            </w:tcBorders>
            <w:noWrap/>
            <w:vAlign w:val="bottom"/>
            <w:hideMark/>
          </w:tcPr>
          <w:p w14:paraId="00B439D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29.67</w:t>
            </w:r>
          </w:p>
        </w:tc>
        <w:tc>
          <w:tcPr>
            <w:tcW w:w="0" w:type="auto"/>
            <w:tcBorders>
              <w:top w:val="nil"/>
              <w:left w:val="nil"/>
              <w:bottom w:val="single" w:sz="4" w:space="0" w:color="auto"/>
              <w:right w:val="single" w:sz="4" w:space="0" w:color="auto"/>
            </w:tcBorders>
            <w:noWrap/>
            <w:vAlign w:val="bottom"/>
            <w:hideMark/>
          </w:tcPr>
          <w:p w14:paraId="1D1C02D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18.57</w:t>
            </w:r>
          </w:p>
        </w:tc>
        <w:tc>
          <w:tcPr>
            <w:tcW w:w="0" w:type="auto"/>
            <w:tcBorders>
              <w:top w:val="nil"/>
              <w:left w:val="nil"/>
              <w:bottom w:val="single" w:sz="4" w:space="0" w:color="auto"/>
              <w:right w:val="single" w:sz="4" w:space="0" w:color="auto"/>
            </w:tcBorders>
            <w:noWrap/>
            <w:vAlign w:val="bottom"/>
            <w:hideMark/>
          </w:tcPr>
          <w:p w14:paraId="56A4BC4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20.00</w:t>
            </w:r>
          </w:p>
        </w:tc>
        <w:tc>
          <w:tcPr>
            <w:tcW w:w="0" w:type="auto"/>
            <w:tcBorders>
              <w:top w:val="nil"/>
              <w:left w:val="nil"/>
              <w:bottom w:val="single" w:sz="4" w:space="0" w:color="auto"/>
              <w:right w:val="single" w:sz="4" w:space="0" w:color="auto"/>
            </w:tcBorders>
            <w:noWrap/>
            <w:vAlign w:val="bottom"/>
            <w:hideMark/>
          </w:tcPr>
          <w:p w14:paraId="08D6F50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75.36</w:t>
            </w:r>
          </w:p>
        </w:tc>
        <w:tc>
          <w:tcPr>
            <w:tcW w:w="0" w:type="auto"/>
            <w:tcBorders>
              <w:top w:val="nil"/>
              <w:left w:val="nil"/>
              <w:bottom w:val="single" w:sz="4" w:space="0" w:color="auto"/>
              <w:right w:val="single" w:sz="4" w:space="0" w:color="auto"/>
            </w:tcBorders>
            <w:noWrap/>
            <w:vAlign w:val="bottom"/>
            <w:hideMark/>
          </w:tcPr>
          <w:p w14:paraId="3982BC7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64.92</w:t>
            </w:r>
          </w:p>
        </w:tc>
        <w:tc>
          <w:tcPr>
            <w:tcW w:w="0" w:type="auto"/>
            <w:tcBorders>
              <w:top w:val="nil"/>
              <w:left w:val="nil"/>
              <w:bottom w:val="single" w:sz="4" w:space="0" w:color="auto"/>
              <w:right w:val="single" w:sz="4" w:space="0" w:color="auto"/>
            </w:tcBorders>
            <w:noWrap/>
            <w:vAlign w:val="bottom"/>
            <w:hideMark/>
          </w:tcPr>
          <w:p w14:paraId="6784566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AF28F7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2676CC5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11.75</w:t>
            </w:r>
          </w:p>
        </w:tc>
        <w:tc>
          <w:tcPr>
            <w:tcW w:w="1034" w:type="dxa"/>
            <w:tcBorders>
              <w:top w:val="nil"/>
              <w:left w:val="nil"/>
              <w:bottom w:val="single" w:sz="4" w:space="0" w:color="auto"/>
              <w:right w:val="single" w:sz="4" w:space="0" w:color="auto"/>
            </w:tcBorders>
            <w:noWrap/>
            <w:vAlign w:val="bottom"/>
            <w:hideMark/>
          </w:tcPr>
          <w:p w14:paraId="3689954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12.50</w:t>
            </w:r>
          </w:p>
        </w:tc>
      </w:tr>
      <w:tr w:rsidR="001709B0" w:rsidRPr="00DE77C3" w14:paraId="77D3D213"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613284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11</w:t>
            </w:r>
          </w:p>
        </w:tc>
        <w:tc>
          <w:tcPr>
            <w:tcW w:w="672" w:type="dxa"/>
            <w:tcBorders>
              <w:top w:val="nil"/>
              <w:left w:val="nil"/>
              <w:bottom w:val="single" w:sz="4" w:space="0" w:color="auto"/>
              <w:right w:val="single" w:sz="4" w:space="0" w:color="auto"/>
            </w:tcBorders>
            <w:noWrap/>
            <w:vAlign w:val="bottom"/>
            <w:hideMark/>
          </w:tcPr>
          <w:p w14:paraId="57FE598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30.35</w:t>
            </w:r>
          </w:p>
        </w:tc>
        <w:tc>
          <w:tcPr>
            <w:tcW w:w="0" w:type="auto"/>
            <w:tcBorders>
              <w:top w:val="nil"/>
              <w:left w:val="nil"/>
              <w:bottom w:val="single" w:sz="4" w:space="0" w:color="auto"/>
              <w:right w:val="single" w:sz="4" w:space="0" w:color="auto"/>
            </w:tcBorders>
            <w:noWrap/>
            <w:vAlign w:val="bottom"/>
            <w:hideMark/>
          </w:tcPr>
          <w:p w14:paraId="53BC9EF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33.53</w:t>
            </w:r>
          </w:p>
        </w:tc>
        <w:tc>
          <w:tcPr>
            <w:tcW w:w="0" w:type="auto"/>
            <w:tcBorders>
              <w:top w:val="nil"/>
              <w:left w:val="nil"/>
              <w:bottom w:val="single" w:sz="4" w:space="0" w:color="auto"/>
              <w:right w:val="single" w:sz="4" w:space="0" w:color="auto"/>
            </w:tcBorders>
            <w:noWrap/>
            <w:vAlign w:val="bottom"/>
            <w:hideMark/>
          </w:tcPr>
          <w:p w14:paraId="062BB2F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20.64</w:t>
            </w:r>
          </w:p>
        </w:tc>
        <w:tc>
          <w:tcPr>
            <w:tcW w:w="0" w:type="auto"/>
            <w:tcBorders>
              <w:top w:val="nil"/>
              <w:left w:val="nil"/>
              <w:bottom w:val="single" w:sz="4" w:space="0" w:color="auto"/>
              <w:right w:val="single" w:sz="4" w:space="0" w:color="auto"/>
            </w:tcBorders>
            <w:noWrap/>
            <w:vAlign w:val="bottom"/>
            <w:hideMark/>
          </w:tcPr>
          <w:p w14:paraId="557E696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23.17</w:t>
            </w:r>
          </w:p>
        </w:tc>
        <w:tc>
          <w:tcPr>
            <w:tcW w:w="0" w:type="auto"/>
            <w:tcBorders>
              <w:top w:val="nil"/>
              <w:left w:val="nil"/>
              <w:bottom w:val="single" w:sz="4" w:space="0" w:color="auto"/>
              <w:right w:val="single" w:sz="4" w:space="0" w:color="auto"/>
            </w:tcBorders>
            <w:noWrap/>
            <w:vAlign w:val="bottom"/>
            <w:hideMark/>
          </w:tcPr>
          <w:p w14:paraId="6D9E77E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72.07</w:t>
            </w:r>
          </w:p>
        </w:tc>
        <w:tc>
          <w:tcPr>
            <w:tcW w:w="0" w:type="auto"/>
            <w:tcBorders>
              <w:top w:val="nil"/>
              <w:left w:val="nil"/>
              <w:bottom w:val="single" w:sz="4" w:space="0" w:color="auto"/>
              <w:right w:val="single" w:sz="4" w:space="0" w:color="auto"/>
            </w:tcBorders>
            <w:noWrap/>
            <w:vAlign w:val="bottom"/>
            <w:hideMark/>
          </w:tcPr>
          <w:p w14:paraId="736B7AF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72.57</w:t>
            </w:r>
          </w:p>
        </w:tc>
        <w:tc>
          <w:tcPr>
            <w:tcW w:w="0" w:type="auto"/>
            <w:tcBorders>
              <w:top w:val="nil"/>
              <w:left w:val="nil"/>
              <w:bottom w:val="single" w:sz="4" w:space="0" w:color="auto"/>
              <w:right w:val="single" w:sz="4" w:space="0" w:color="auto"/>
            </w:tcBorders>
            <w:noWrap/>
            <w:vAlign w:val="bottom"/>
            <w:hideMark/>
          </w:tcPr>
          <w:p w14:paraId="7D5934A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2463CF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3B9EB10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13.10</w:t>
            </w:r>
          </w:p>
        </w:tc>
        <w:tc>
          <w:tcPr>
            <w:tcW w:w="1034" w:type="dxa"/>
            <w:tcBorders>
              <w:top w:val="nil"/>
              <w:left w:val="nil"/>
              <w:bottom w:val="single" w:sz="4" w:space="0" w:color="auto"/>
              <w:right w:val="single" w:sz="4" w:space="0" w:color="auto"/>
            </w:tcBorders>
            <w:noWrap/>
            <w:vAlign w:val="bottom"/>
            <w:hideMark/>
          </w:tcPr>
          <w:p w14:paraId="51F9D10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14.00</w:t>
            </w:r>
          </w:p>
        </w:tc>
      </w:tr>
      <w:tr w:rsidR="001709B0" w:rsidRPr="00DE77C3" w14:paraId="3C7A8376"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142F246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w:t>
            </w:r>
          </w:p>
        </w:tc>
        <w:tc>
          <w:tcPr>
            <w:tcW w:w="672" w:type="dxa"/>
            <w:tcBorders>
              <w:top w:val="nil"/>
              <w:left w:val="nil"/>
              <w:bottom w:val="single" w:sz="4" w:space="0" w:color="auto"/>
              <w:right w:val="single" w:sz="4" w:space="0" w:color="auto"/>
            </w:tcBorders>
            <w:noWrap/>
            <w:vAlign w:val="bottom"/>
            <w:hideMark/>
          </w:tcPr>
          <w:p w14:paraId="6F93724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31.21</w:t>
            </w:r>
          </w:p>
        </w:tc>
        <w:tc>
          <w:tcPr>
            <w:tcW w:w="0" w:type="auto"/>
            <w:tcBorders>
              <w:top w:val="nil"/>
              <w:left w:val="nil"/>
              <w:bottom w:val="single" w:sz="4" w:space="0" w:color="auto"/>
              <w:right w:val="single" w:sz="4" w:space="0" w:color="auto"/>
            </w:tcBorders>
            <w:noWrap/>
            <w:vAlign w:val="bottom"/>
            <w:hideMark/>
          </w:tcPr>
          <w:p w14:paraId="0694143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33.10</w:t>
            </w:r>
          </w:p>
        </w:tc>
        <w:tc>
          <w:tcPr>
            <w:tcW w:w="0" w:type="auto"/>
            <w:tcBorders>
              <w:top w:val="nil"/>
              <w:left w:val="nil"/>
              <w:bottom w:val="single" w:sz="4" w:space="0" w:color="auto"/>
              <w:right w:val="single" w:sz="4" w:space="0" w:color="auto"/>
            </w:tcBorders>
            <w:noWrap/>
            <w:vAlign w:val="bottom"/>
            <w:hideMark/>
          </w:tcPr>
          <w:p w14:paraId="79D856B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22.14</w:t>
            </w:r>
          </w:p>
        </w:tc>
        <w:tc>
          <w:tcPr>
            <w:tcW w:w="0" w:type="auto"/>
            <w:tcBorders>
              <w:top w:val="nil"/>
              <w:left w:val="nil"/>
              <w:bottom w:val="single" w:sz="4" w:space="0" w:color="auto"/>
              <w:right w:val="single" w:sz="4" w:space="0" w:color="auto"/>
            </w:tcBorders>
            <w:noWrap/>
            <w:vAlign w:val="bottom"/>
            <w:hideMark/>
          </w:tcPr>
          <w:p w14:paraId="7B83E1C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22.67</w:t>
            </w:r>
          </w:p>
        </w:tc>
        <w:tc>
          <w:tcPr>
            <w:tcW w:w="0" w:type="auto"/>
            <w:tcBorders>
              <w:top w:val="nil"/>
              <w:left w:val="nil"/>
              <w:bottom w:val="single" w:sz="4" w:space="0" w:color="auto"/>
              <w:right w:val="single" w:sz="4" w:space="0" w:color="auto"/>
            </w:tcBorders>
            <w:noWrap/>
            <w:vAlign w:val="bottom"/>
            <w:hideMark/>
          </w:tcPr>
          <w:p w14:paraId="0D788E5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71.07</w:t>
            </w:r>
          </w:p>
        </w:tc>
        <w:tc>
          <w:tcPr>
            <w:tcW w:w="0" w:type="auto"/>
            <w:tcBorders>
              <w:top w:val="nil"/>
              <w:left w:val="nil"/>
              <w:bottom w:val="single" w:sz="4" w:space="0" w:color="auto"/>
              <w:right w:val="single" w:sz="4" w:space="0" w:color="auto"/>
            </w:tcBorders>
            <w:noWrap/>
            <w:vAlign w:val="bottom"/>
            <w:hideMark/>
          </w:tcPr>
          <w:p w14:paraId="64F988B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68.64</w:t>
            </w:r>
          </w:p>
        </w:tc>
        <w:tc>
          <w:tcPr>
            <w:tcW w:w="0" w:type="auto"/>
            <w:tcBorders>
              <w:top w:val="nil"/>
              <w:left w:val="nil"/>
              <w:bottom w:val="single" w:sz="4" w:space="0" w:color="auto"/>
              <w:right w:val="single" w:sz="4" w:space="0" w:color="auto"/>
            </w:tcBorders>
            <w:noWrap/>
            <w:vAlign w:val="bottom"/>
            <w:hideMark/>
          </w:tcPr>
          <w:p w14:paraId="53FF41B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288731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47B3943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21.60</w:t>
            </w:r>
          </w:p>
        </w:tc>
        <w:tc>
          <w:tcPr>
            <w:tcW w:w="1034" w:type="dxa"/>
            <w:tcBorders>
              <w:top w:val="nil"/>
              <w:left w:val="nil"/>
              <w:bottom w:val="single" w:sz="4" w:space="0" w:color="auto"/>
              <w:right w:val="single" w:sz="4" w:space="0" w:color="auto"/>
            </w:tcBorders>
            <w:noWrap/>
            <w:vAlign w:val="bottom"/>
            <w:hideMark/>
          </w:tcPr>
          <w:p w14:paraId="4F48F20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18.60</w:t>
            </w:r>
          </w:p>
        </w:tc>
      </w:tr>
      <w:tr w:rsidR="001709B0" w:rsidRPr="00DE77C3" w14:paraId="155900A3"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43121C2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13</w:t>
            </w:r>
          </w:p>
        </w:tc>
        <w:tc>
          <w:tcPr>
            <w:tcW w:w="672" w:type="dxa"/>
            <w:tcBorders>
              <w:top w:val="nil"/>
              <w:left w:val="nil"/>
              <w:bottom w:val="single" w:sz="4" w:space="0" w:color="auto"/>
              <w:right w:val="single" w:sz="4" w:space="0" w:color="auto"/>
            </w:tcBorders>
            <w:noWrap/>
            <w:vAlign w:val="bottom"/>
            <w:hideMark/>
          </w:tcPr>
          <w:p w14:paraId="28D01A8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36.21</w:t>
            </w:r>
          </w:p>
        </w:tc>
        <w:tc>
          <w:tcPr>
            <w:tcW w:w="0" w:type="auto"/>
            <w:tcBorders>
              <w:top w:val="nil"/>
              <w:left w:val="nil"/>
              <w:bottom w:val="single" w:sz="4" w:space="0" w:color="auto"/>
              <w:right w:val="single" w:sz="4" w:space="0" w:color="auto"/>
            </w:tcBorders>
            <w:noWrap/>
            <w:vAlign w:val="bottom"/>
            <w:hideMark/>
          </w:tcPr>
          <w:p w14:paraId="5295A22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32.21</w:t>
            </w:r>
          </w:p>
        </w:tc>
        <w:tc>
          <w:tcPr>
            <w:tcW w:w="0" w:type="auto"/>
            <w:tcBorders>
              <w:top w:val="nil"/>
              <w:left w:val="nil"/>
              <w:bottom w:val="single" w:sz="4" w:space="0" w:color="auto"/>
              <w:right w:val="single" w:sz="4" w:space="0" w:color="auto"/>
            </w:tcBorders>
            <w:noWrap/>
            <w:vAlign w:val="bottom"/>
            <w:hideMark/>
          </w:tcPr>
          <w:p w14:paraId="5179889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27.00</w:t>
            </w:r>
          </w:p>
        </w:tc>
        <w:tc>
          <w:tcPr>
            <w:tcW w:w="0" w:type="auto"/>
            <w:tcBorders>
              <w:top w:val="nil"/>
              <w:left w:val="nil"/>
              <w:bottom w:val="single" w:sz="4" w:space="0" w:color="auto"/>
              <w:right w:val="single" w:sz="4" w:space="0" w:color="auto"/>
            </w:tcBorders>
            <w:noWrap/>
            <w:vAlign w:val="bottom"/>
            <w:hideMark/>
          </w:tcPr>
          <w:p w14:paraId="3E7A7A2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25.65</w:t>
            </w:r>
          </w:p>
        </w:tc>
        <w:tc>
          <w:tcPr>
            <w:tcW w:w="0" w:type="auto"/>
            <w:tcBorders>
              <w:top w:val="nil"/>
              <w:left w:val="nil"/>
              <w:bottom w:val="single" w:sz="4" w:space="0" w:color="auto"/>
              <w:right w:val="single" w:sz="4" w:space="0" w:color="auto"/>
            </w:tcBorders>
            <w:noWrap/>
            <w:vAlign w:val="bottom"/>
            <w:hideMark/>
          </w:tcPr>
          <w:p w14:paraId="7BABF2F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69.50</w:t>
            </w:r>
          </w:p>
        </w:tc>
        <w:tc>
          <w:tcPr>
            <w:tcW w:w="0" w:type="auto"/>
            <w:tcBorders>
              <w:top w:val="nil"/>
              <w:left w:val="nil"/>
              <w:bottom w:val="single" w:sz="4" w:space="0" w:color="auto"/>
              <w:right w:val="single" w:sz="4" w:space="0" w:color="auto"/>
            </w:tcBorders>
            <w:noWrap/>
            <w:vAlign w:val="bottom"/>
            <w:hideMark/>
          </w:tcPr>
          <w:p w14:paraId="0E94E9A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76.57</w:t>
            </w:r>
          </w:p>
        </w:tc>
        <w:tc>
          <w:tcPr>
            <w:tcW w:w="0" w:type="auto"/>
            <w:tcBorders>
              <w:top w:val="nil"/>
              <w:left w:val="nil"/>
              <w:bottom w:val="single" w:sz="4" w:space="0" w:color="auto"/>
              <w:right w:val="single" w:sz="4" w:space="0" w:color="auto"/>
            </w:tcBorders>
            <w:noWrap/>
            <w:vAlign w:val="bottom"/>
            <w:hideMark/>
          </w:tcPr>
          <w:p w14:paraId="01D4E30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F15FC8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6984917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15.95</w:t>
            </w:r>
          </w:p>
        </w:tc>
        <w:tc>
          <w:tcPr>
            <w:tcW w:w="1034" w:type="dxa"/>
            <w:tcBorders>
              <w:top w:val="nil"/>
              <w:left w:val="nil"/>
              <w:bottom w:val="single" w:sz="4" w:space="0" w:color="auto"/>
              <w:right w:val="single" w:sz="4" w:space="0" w:color="auto"/>
            </w:tcBorders>
            <w:noWrap/>
            <w:vAlign w:val="bottom"/>
            <w:hideMark/>
          </w:tcPr>
          <w:p w14:paraId="1DCE7B3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23.25</w:t>
            </w:r>
          </w:p>
        </w:tc>
      </w:tr>
      <w:tr w:rsidR="001709B0" w:rsidRPr="00DE77C3" w14:paraId="3BAE3D27"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127A2E0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14</w:t>
            </w:r>
          </w:p>
        </w:tc>
        <w:tc>
          <w:tcPr>
            <w:tcW w:w="672" w:type="dxa"/>
            <w:tcBorders>
              <w:top w:val="nil"/>
              <w:left w:val="nil"/>
              <w:bottom w:val="single" w:sz="4" w:space="0" w:color="auto"/>
              <w:right w:val="single" w:sz="4" w:space="0" w:color="auto"/>
            </w:tcBorders>
            <w:noWrap/>
            <w:vAlign w:val="bottom"/>
            <w:hideMark/>
          </w:tcPr>
          <w:p w14:paraId="7444A0F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37.39</w:t>
            </w:r>
          </w:p>
        </w:tc>
        <w:tc>
          <w:tcPr>
            <w:tcW w:w="0" w:type="auto"/>
            <w:tcBorders>
              <w:top w:val="nil"/>
              <w:left w:val="nil"/>
              <w:bottom w:val="single" w:sz="4" w:space="0" w:color="auto"/>
              <w:right w:val="single" w:sz="4" w:space="0" w:color="auto"/>
            </w:tcBorders>
            <w:noWrap/>
            <w:vAlign w:val="bottom"/>
            <w:hideMark/>
          </w:tcPr>
          <w:p w14:paraId="07DF856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37.35</w:t>
            </w:r>
          </w:p>
        </w:tc>
        <w:tc>
          <w:tcPr>
            <w:tcW w:w="0" w:type="auto"/>
            <w:tcBorders>
              <w:top w:val="nil"/>
              <w:left w:val="nil"/>
              <w:bottom w:val="single" w:sz="4" w:space="0" w:color="auto"/>
              <w:right w:val="single" w:sz="4" w:space="0" w:color="auto"/>
            </w:tcBorders>
            <w:noWrap/>
            <w:vAlign w:val="bottom"/>
            <w:hideMark/>
          </w:tcPr>
          <w:p w14:paraId="250CEB3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28.35</w:t>
            </w:r>
          </w:p>
        </w:tc>
        <w:tc>
          <w:tcPr>
            <w:tcW w:w="0" w:type="auto"/>
            <w:tcBorders>
              <w:top w:val="nil"/>
              <w:left w:val="nil"/>
              <w:bottom w:val="single" w:sz="4" w:space="0" w:color="auto"/>
              <w:right w:val="single" w:sz="4" w:space="0" w:color="auto"/>
            </w:tcBorders>
            <w:noWrap/>
            <w:vAlign w:val="bottom"/>
            <w:hideMark/>
          </w:tcPr>
          <w:p w14:paraId="7BA8D5C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171D241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67.83</w:t>
            </w:r>
          </w:p>
        </w:tc>
        <w:tc>
          <w:tcPr>
            <w:tcW w:w="0" w:type="auto"/>
            <w:tcBorders>
              <w:top w:val="nil"/>
              <w:left w:val="nil"/>
              <w:bottom w:val="single" w:sz="4" w:space="0" w:color="auto"/>
              <w:right w:val="single" w:sz="4" w:space="0" w:color="auto"/>
            </w:tcBorders>
            <w:noWrap/>
            <w:vAlign w:val="bottom"/>
            <w:hideMark/>
          </w:tcPr>
          <w:p w14:paraId="53FEF54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59.00</w:t>
            </w:r>
          </w:p>
        </w:tc>
        <w:tc>
          <w:tcPr>
            <w:tcW w:w="0" w:type="auto"/>
            <w:tcBorders>
              <w:top w:val="nil"/>
              <w:left w:val="nil"/>
              <w:bottom w:val="single" w:sz="4" w:space="0" w:color="auto"/>
              <w:right w:val="single" w:sz="4" w:space="0" w:color="auto"/>
            </w:tcBorders>
            <w:noWrap/>
            <w:vAlign w:val="bottom"/>
            <w:hideMark/>
          </w:tcPr>
          <w:p w14:paraId="77156E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C3C208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79B9A02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12.50</w:t>
            </w:r>
          </w:p>
        </w:tc>
        <w:tc>
          <w:tcPr>
            <w:tcW w:w="1034" w:type="dxa"/>
            <w:tcBorders>
              <w:top w:val="nil"/>
              <w:left w:val="nil"/>
              <w:bottom w:val="single" w:sz="4" w:space="0" w:color="auto"/>
              <w:right w:val="single" w:sz="4" w:space="0" w:color="auto"/>
            </w:tcBorders>
            <w:noWrap/>
            <w:vAlign w:val="bottom"/>
            <w:hideMark/>
          </w:tcPr>
          <w:p w14:paraId="6141FDB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28.75</w:t>
            </w:r>
          </w:p>
        </w:tc>
      </w:tr>
      <w:tr w:rsidR="001709B0" w:rsidRPr="00DE77C3" w14:paraId="28E19141"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266CD07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15</w:t>
            </w:r>
          </w:p>
        </w:tc>
        <w:tc>
          <w:tcPr>
            <w:tcW w:w="672" w:type="dxa"/>
            <w:tcBorders>
              <w:top w:val="nil"/>
              <w:left w:val="nil"/>
              <w:bottom w:val="single" w:sz="4" w:space="0" w:color="auto"/>
              <w:right w:val="single" w:sz="4" w:space="0" w:color="auto"/>
            </w:tcBorders>
            <w:noWrap/>
            <w:vAlign w:val="bottom"/>
            <w:hideMark/>
          </w:tcPr>
          <w:p w14:paraId="37855FA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38.50</w:t>
            </w:r>
          </w:p>
        </w:tc>
        <w:tc>
          <w:tcPr>
            <w:tcW w:w="0" w:type="auto"/>
            <w:tcBorders>
              <w:top w:val="nil"/>
              <w:left w:val="nil"/>
              <w:bottom w:val="single" w:sz="4" w:space="0" w:color="auto"/>
              <w:right w:val="single" w:sz="4" w:space="0" w:color="auto"/>
            </w:tcBorders>
            <w:noWrap/>
            <w:vAlign w:val="bottom"/>
            <w:hideMark/>
          </w:tcPr>
          <w:p w14:paraId="12B2A8D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37.78</w:t>
            </w:r>
          </w:p>
        </w:tc>
        <w:tc>
          <w:tcPr>
            <w:tcW w:w="0" w:type="auto"/>
            <w:tcBorders>
              <w:top w:val="nil"/>
              <w:left w:val="nil"/>
              <w:bottom w:val="single" w:sz="4" w:space="0" w:color="auto"/>
              <w:right w:val="single" w:sz="4" w:space="0" w:color="auto"/>
            </w:tcBorders>
            <w:noWrap/>
            <w:vAlign w:val="bottom"/>
            <w:hideMark/>
          </w:tcPr>
          <w:p w14:paraId="6B04E60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28.35</w:t>
            </w:r>
          </w:p>
        </w:tc>
        <w:tc>
          <w:tcPr>
            <w:tcW w:w="0" w:type="auto"/>
            <w:tcBorders>
              <w:top w:val="nil"/>
              <w:left w:val="nil"/>
              <w:bottom w:val="single" w:sz="4" w:space="0" w:color="auto"/>
              <w:right w:val="single" w:sz="4" w:space="0" w:color="auto"/>
            </w:tcBorders>
            <w:noWrap/>
            <w:vAlign w:val="bottom"/>
            <w:hideMark/>
          </w:tcPr>
          <w:p w14:paraId="35FA4A4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5E01543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72.14</w:t>
            </w:r>
          </w:p>
        </w:tc>
        <w:tc>
          <w:tcPr>
            <w:tcW w:w="0" w:type="auto"/>
            <w:tcBorders>
              <w:top w:val="nil"/>
              <w:left w:val="nil"/>
              <w:bottom w:val="single" w:sz="4" w:space="0" w:color="auto"/>
              <w:right w:val="single" w:sz="4" w:space="0" w:color="auto"/>
            </w:tcBorders>
            <w:noWrap/>
            <w:vAlign w:val="bottom"/>
            <w:hideMark/>
          </w:tcPr>
          <w:p w14:paraId="7407F56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63.00</w:t>
            </w:r>
          </w:p>
        </w:tc>
        <w:tc>
          <w:tcPr>
            <w:tcW w:w="0" w:type="auto"/>
            <w:tcBorders>
              <w:top w:val="nil"/>
              <w:left w:val="nil"/>
              <w:bottom w:val="single" w:sz="4" w:space="0" w:color="auto"/>
              <w:right w:val="single" w:sz="4" w:space="0" w:color="auto"/>
            </w:tcBorders>
            <w:noWrap/>
            <w:vAlign w:val="bottom"/>
            <w:hideMark/>
          </w:tcPr>
          <w:p w14:paraId="705E583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E6A3FA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4.28</w:t>
            </w:r>
          </w:p>
        </w:tc>
        <w:tc>
          <w:tcPr>
            <w:tcW w:w="1060" w:type="dxa"/>
            <w:tcBorders>
              <w:top w:val="nil"/>
              <w:left w:val="nil"/>
              <w:bottom w:val="single" w:sz="4" w:space="0" w:color="auto"/>
              <w:right w:val="single" w:sz="4" w:space="0" w:color="auto"/>
            </w:tcBorders>
            <w:noWrap/>
            <w:vAlign w:val="bottom"/>
            <w:hideMark/>
          </w:tcPr>
          <w:p w14:paraId="7D19644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11.95</w:t>
            </w:r>
          </w:p>
        </w:tc>
        <w:tc>
          <w:tcPr>
            <w:tcW w:w="1034" w:type="dxa"/>
            <w:tcBorders>
              <w:top w:val="nil"/>
              <w:left w:val="nil"/>
              <w:bottom w:val="single" w:sz="4" w:space="0" w:color="auto"/>
              <w:right w:val="single" w:sz="4" w:space="0" w:color="auto"/>
            </w:tcBorders>
            <w:noWrap/>
            <w:vAlign w:val="bottom"/>
            <w:hideMark/>
          </w:tcPr>
          <w:p w14:paraId="5229CE7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12.50</w:t>
            </w:r>
          </w:p>
        </w:tc>
      </w:tr>
      <w:tr w:rsidR="001709B0" w:rsidRPr="00DE77C3" w14:paraId="7DA699E5"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08E3A0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16</w:t>
            </w:r>
          </w:p>
        </w:tc>
        <w:tc>
          <w:tcPr>
            <w:tcW w:w="672" w:type="dxa"/>
            <w:tcBorders>
              <w:top w:val="nil"/>
              <w:left w:val="nil"/>
              <w:bottom w:val="single" w:sz="4" w:space="0" w:color="auto"/>
              <w:right w:val="single" w:sz="4" w:space="0" w:color="auto"/>
            </w:tcBorders>
            <w:noWrap/>
            <w:vAlign w:val="bottom"/>
            <w:hideMark/>
          </w:tcPr>
          <w:p w14:paraId="1B5559C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39.50</w:t>
            </w:r>
          </w:p>
        </w:tc>
        <w:tc>
          <w:tcPr>
            <w:tcW w:w="0" w:type="auto"/>
            <w:tcBorders>
              <w:top w:val="nil"/>
              <w:left w:val="nil"/>
              <w:bottom w:val="single" w:sz="4" w:space="0" w:color="auto"/>
              <w:right w:val="single" w:sz="4" w:space="0" w:color="auto"/>
            </w:tcBorders>
            <w:noWrap/>
            <w:vAlign w:val="bottom"/>
            <w:hideMark/>
          </w:tcPr>
          <w:p w14:paraId="3462713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38.78</w:t>
            </w:r>
          </w:p>
        </w:tc>
        <w:tc>
          <w:tcPr>
            <w:tcW w:w="0" w:type="auto"/>
            <w:tcBorders>
              <w:top w:val="nil"/>
              <w:left w:val="nil"/>
              <w:bottom w:val="single" w:sz="4" w:space="0" w:color="auto"/>
              <w:right w:val="single" w:sz="4" w:space="0" w:color="auto"/>
            </w:tcBorders>
            <w:noWrap/>
            <w:vAlign w:val="bottom"/>
            <w:hideMark/>
          </w:tcPr>
          <w:p w14:paraId="3F9E858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30.42</w:t>
            </w:r>
          </w:p>
        </w:tc>
        <w:tc>
          <w:tcPr>
            <w:tcW w:w="0" w:type="auto"/>
            <w:tcBorders>
              <w:top w:val="nil"/>
              <w:left w:val="nil"/>
              <w:bottom w:val="single" w:sz="4" w:space="0" w:color="auto"/>
              <w:right w:val="single" w:sz="4" w:space="0" w:color="auto"/>
            </w:tcBorders>
            <w:noWrap/>
            <w:vAlign w:val="bottom"/>
            <w:hideMark/>
          </w:tcPr>
          <w:p w14:paraId="3F76570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29.82</w:t>
            </w:r>
          </w:p>
        </w:tc>
        <w:tc>
          <w:tcPr>
            <w:tcW w:w="0" w:type="auto"/>
            <w:tcBorders>
              <w:top w:val="nil"/>
              <w:left w:val="nil"/>
              <w:bottom w:val="single" w:sz="4" w:space="0" w:color="auto"/>
              <w:right w:val="single" w:sz="4" w:space="0" w:color="auto"/>
            </w:tcBorders>
            <w:noWrap/>
            <w:vAlign w:val="bottom"/>
            <w:hideMark/>
          </w:tcPr>
          <w:p w14:paraId="39F4809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77.14</w:t>
            </w:r>
          </w:p>
        </w:tc>
        <w:tc>
          <w:tcPr>
            <w:tcW w:w="0" w:type="auto"/>
            <w:tcBorders>
              <w:top w:val="nil"/>
              <w:left w:val="nil"/>
              <w:bottom w:val="single" w:sz="4" w:space="0" w:color="auto"/>
              <w:right w:val="single" w:sz="4" w:space="0" w:color="auto"/>
            </w:tcBorders>
            <w:noWrap/>
            <w:vAlign w:val="bottom"/>
            <w:hideMark/>
          </w:tcPr>
          <w:p w14:paraId="73F6797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59.14</w:t>
            </w:r>
          </w:p>
        </w:tc>
        <w:tc>
          <w:tcPr>
            <w:tcW w:w="0" w:type="auto"/>
            <w:tcBorders>
              <w:top w:val="nil"/>
              <w:left w:val="nil"/>
              <w:bottom w:val="single" w:sz="4" w:space="0" w:color="auto"/>
              <w:right w:val="single" w:sz="4" w:space="0" w:color="auto"/>
            </w:tcBorders>
            <w:noWrap/>
            <w:vAlign w:val="bottom"/>
            <w:hideMark/>
          </w:tcPr>
          <w:p w14:paraId="519EF58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1.25</w:t>
            </w:r>
          </w:p>
        </w:tc>
        <w:tc>
          <w:tcPr>
            <w:tcW w:w="0" w:type="auto"/>
            <w:tcBorders>
              <w:top w:val="nil"/>
              <w:left w:val="nil"/>
              <w:bottom w:val="single" w:sz="4" w:space="0" w:color="auto"/>
              <w:right w:val="single" w:sz="4" w:space="0" w:color="auto"/>
            </w:tcBorders>
            <w:noWrap/>
            <w:vAlign w:val="bottom"/>
            <w:hideMark/>
          </w:tcPr>
          <w:p w14:paraId="5A3DABC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0AF407E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5.10</w:t>
            </w:r>
          </w:p>
        </w:tc>
        <w:tc>
          <w:tcPr>
            <w:tcW w:w="1034" w:type="dxa"/>
            <w:tcBorders>
              <w:top w:val="nil"/>
              <w:left w:val="nil"/>
              <w:bottom w:val="single" w:sz="4" w:space="0" w:color="auto"/>
              <w:right w:val="single" w:sz="4" w:space="0" w:color="auto"/>
            </w:tcBorders>
            <w:noWrap/>
            <w:vAlign w:val="bottom"/>
            <w:hideMark/>
          </w:tcPr>
          <w:p w14:paraId="4EDFE02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6.75</w:t>
            </w:r>
          </w:p>
        </w:tc>
      </w:tr>
      <w:tr w:rsidR="001709B0" w:rsidRPr="00DE77C3" w14:paraId="3EE8099D"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B6AD7B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17</w:t>
            </w:r>
          </w:p>
        </w:tc>
        <w:tc>
          <w:tcPr>
            <w:tcW w:w="672" w:type="dxa"/>
            <w:tcBorders>
              <w:top w:val="nil"/>
              <w:left w:val="nil"/>
              <w:bottom w:val="single" w:sz="4" w:space="0" w:color="auto"/>
              <w:right w:val="single" w:sz="4" w:space="0" w:color="auto"/>
            </w:tcBorders>
            <w:noWrap/>
            <w:vAlign w:val="bottom"/>
            <w:hideMark/>
          </w:tcPr>
          <w:p w14:paraId="4CE21BC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40.85</w:t>
            </w:r>
          </w:p>
        </w:tc>
        <w:tc>
          <w:tcPr>
            <w:tcW w:w="0" w:type="auto"/>
            <w:tcBorders>
              <w:top w:val="nil"/>
              <w:left w:val="nil"/>
              <w:bottom w:val="single" w:sz="4" w:space="0" w:color="auto"/>
              <w:right w:val="single" w:sz="4" w:space="0" w:color="auto"/>
            </w:tcBorders>
            <w:noWrap/>
            <w:vAlign w:val="bottom"/>
            <w:hideMark/>
          </w:tcPr>
          <w:p w14:paraId="1950D08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40.53</w:t>
            </w:r>
          </w:p>
        </w:tc>
        <w:tc>
          <w:tcPr>
            <w:tcW w:w="0" w:type="auto"/>
            <w:tcBorders>
              <w:top w:val="nil"/>
              <w:left w:val="nil"/>
              <w:bottom w:val="single" w:sz="4" w:space="0" w:color="auto"/>
              <w:right w:val="single" w:sz="4" w:space="0" w:color="auto"/>
            </w:tcBorders>
            <w:noWrap/>
            <w:vAlign w:val="bottom"/>
            <w:hideMark/>
          </w:tcPr>
          <w:p w14:paraId="4C5D859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32.07</w:t>
            </w:r>
          </w:p>
        </w:tc>
        <w:tc>
          <w:tcPr>
            <w:tcW w:w="0" w:type="auto"/>
            <w:tcBorders>
              <w:top w:val="nil"/>
              <w:left w:val="nil"/>
              <w:bottom w:val="single" w:sz="4" w:space="0" w:color="auto"/>
              <w:right w:val="single" w:sz="4" w:space="0" w:color="auto"/>
            </w:tcBorders>
            <w:noWrap/>
            <w:vAlign w:val="bottom"/>
            <w:hideMark/>
          </w:tcPr>
          <w:p w14:paraId="3ADADFE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31.39</w:t>
            </w:r>
          </w:p>
        </w:tc>
        <w:tc>
          <w:tcPr>
            <w:tcW w:w="0" w:type="auto"/>
            <w:tcBorders>
              <w:top w:val="nil"/>
              <w:left w:val="nil"/>
              <w:bottom w:val="single" w:sz="4" w:space="0" w:color="auto"/>
              <w:right w:val="single" w:sz="4" w:space="0" w:color="auto"/>
            </w:tcBorders>
            <w:noWrap/>
            <w:vAlign w:val="bottom"/>
            <w:hideMark/>
          </w:tcPr>
          <w:p w14:paraId="79CD5A6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67.50</w:t>
            </w:r>
          </w:p>
        </w:tc>
        <w:tc>
          <w:tcPr>
            <w:tcW w:w="0" w:type="auto"/>
            <w:tcBorders>
              <w:top w:val="nil"/>
              <w:left w:val="nil"/>
              <w:bottom w:val="single" w:sz="4" w:space="0" w:color="auto"/>
              <w:right w:val="single" w:sz="4" w:space="0" w:color="auto"/>
            </w:tcBorders>
            <w:noWrap/>
            <w:vAlign w:val="bottom"/>
            <w:hideMark/>
          </w:tcPr>
          <w:p w14:paraId="5612941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63.35</w:t>
            </w:r>
          </w:p>
        </w:tc>
        <w:tc>
          <w:tcPr>
            <w:tcW w:w="0" w:type="auto"/>
            <w:tcBorders>
              <w:top w:val="nil"/>
              <w:left w:val="nil"/>
              <w:bottom w:val="single" w:sz="4" w:space="0" w:color="auto"/>
              <w:right w:val="single" w:sz="4" w:space="0" w:color="auto"/>
            </w:tcBorders>
            <w:noWrap/>
            <w:vAlign w:val="bottom"/>
            <w:hideMark/>
          </w:tcPr>
          <w:p w14:paraId="21C8DCE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31CF3E8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769E3B6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1.40</w:t>
            </w:r>
          </w:p>
        </w:tc>
        <w:tc>
          <w:tcPr>
            <w:tcW w:w="1034" w:type="dxa"/>
            <w:tcBorders>
              <w:top w:val="nil"/>
              <w:left w:val="nil"/>
              <w:bottom w:val="single" w:sz="4" w:space="0" w:color="auto"/>
              <w:right w:val="single" w:sz="4" w:space="0" w:color="auto"/>
            </w:tcBorders>
            <w:noWrap/>
            <w:vAlign w:val="bottom"/>
            <w:hideMark/>
          </w:tcPr>
          <w:p w14:paraId="2F5A868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1.25</w:t>
            </w:r>
          </w:p>
        </w:tc>
      </w:tr>
      <w:tr w:rsidR="001709B0" w:rsidRPr="00DE77C3" w14:paraId="6699D92F"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66C5AFB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w:t>
            </w:r>
          </w:p>
        </w:tc>
        <w:tc>
          <w:tcPr>
            <w:tcW w:w="672" w:type="dxa"/>
            <w:tcBorders>
              <w:top w:val="nil"/>
              <w:left w:val="nil"/>
              <w:bottom w:val="single" w:sz="4" w:space="0" w:color="auto"/>
              <w:right w:val="single" w:sz="4" w:space="0" w:color="auto"/>
            </w:tcBorders>
            <w:noWrap/>
            <w:vAlign w:val="bottom"/>
            <w:hideMark/>
          </w:tcPr>
          <w:p w14:paraId="48F1E31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39.82</w:t>
            </w:r>
          </w:p>
        </w:tc>
        <w:tc>
          <w:tcPr>
            <w:tcW w:w="0" w:type="auto"/>
            <w:tcBorders>
              <w:top w:val="nil"/>
              <w:left w:val="nil"/>
              <w:bottom w:val="single" w:sz="4" w:space="0" w:color="auto"/>
              <w:right w:val="single" w:sz="4" w:space="0" w:color="auto"/>
            </w:tcBorders>
            <w:noWrap/>
            <w:vAlign w:val="bottom"/>
            <w:hideMark/>
          </w:tcPr>
          <w:p w14:paraId="02A2596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36.78</w:t>
            </w:r>
          </w:p>
        </w:tc>
        <w:tc>
          <w:tcPr>
            <w:tcW w:w="0" w:type="auto"/>
            <w:tcBorders>
              <w:top w:val="nil"/>
              <w:left w:val="nil"/>
              <w:bottom w:val="single" w:sz="4" w:space="0" w:color="auto"/>
              <w:right w:val="single" w:sz="4" w:space="0" w:color="auto"/>
            </w:tcBorders>
            <w:noWrap/>
            <w:vAlign w:val="bottom"/>
            <w:hideMark/>
          </w:tcPr>
          <w:p w14:paraId="294D838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30.50</w:t>
            </w:r>
          </w:p>
        </w:tc>
        <w:tc>
          <w:tcPr>
            <w:tcW w:w="0" w:type="auto"/>
            <w:tcBorders>
              <w:top w:val="nil"/>
              <w:left w:val="nil"/>
              <w:bottom w:val="single" w:sz="4" w:space="0" w:color="auto"/>
              <w:right w:val="single" w:sz="4" w:space="0" w:color="auto"/>
            </w:tcBorders>
            <w:noWrap/>
            <w:vAlign w:val="bottom"/>
            <w:hideMark/>
          </w:tcPr>
          <w:p w14:paraId="1DBC0FE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29.25</w:t>
            </w:r>
          </w:p>
        </w:tc>
        <w:tc>
          <w:tcPr>
            <w:tcW w:w="0" w:type="auto"/>
            <w:tcBorders>
              <w:top w:val="nil"/>
              <w:left w:val="nil"/>
              <w:bottom w:val="single" w:sz="4" w:space="0" w:color="auto"/>
              <w:right w:val="single" w:sz="4" w:space="0" w:color="auto"/>
            </w:tcBorders>
            <w:noWrap/>
            <w:vAlign w:val="bottom"/>
            <w:hideMark/>
          </w:tcPr>
          <w:p w14:paraId="52BB592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60.14</w:t>
            </w:r>
          </w:p>
        </w:tc>
        <w:tc>
          <w:tcPr>
            <w:tcW w:w="0" w:type="auto"/>
            <w:tcBorders>
              <w:top w:val="nil"/>
              <w:left w:val="nil"/>
              <w:bottom w:val="single" w:sz="4" w:space="0" w:color="auto"/>
              <w:right w:val="single" w:sz="4" w:space="0" w:color="auto"/>
            </w:tcBorders>
            <w:noWrap/>
            <w:vAlign w:val="bottom"/>
            <w:hideMark/>
          </w:tcPr>
          <w:p w14:paraId="785707A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70.35</w:t>
            </w:r>
          </w:p>
        </w:tc>
        <w:tc>
          <w:tcPr>
            <w:tcW w:w="0" w:type="auto"/>
            <w:tcBorders>
              <w:top w:val="nil"/>
              <w:left w:val="nil"/>
              <w:bottom w:val="single" w:sz="4" w:space="0" w:color="auto"/>
              <w:right w:val="single" w:sz="4" w:space="0" w:color="auto"/>
            </w:tcBorders>
            <w:noWrap/>
            <w:vAlign w:val="bottom"/>
            <w:hideMark/>
          </w:tcPr>
          <w:p w14:paraId="3DCD622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B3ADC3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6C1EFB5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7B9D8F9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6690D50B"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372DD7B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19</w:t>
            </w:r>
          </w:p>
        </w:tc>
        <w:tc>
          <w:tcPr>
            <w:tcW w:w="672" w:type="dxa"/>
            <w:tcBorders>
              <w:top w:val="nil"/>
              <w:left w:val="nil"/>
              <w:bottom w:val="single" w:sz="4" w:space="0" w:color="auto"/>
              <w:right w:val="single" w:sz="4" w:space="0" w:color="auto"/>
            </w:tcBorders>
            <w:noWrap/>
            <w:vAlign w:val="bottom"/>
            <w:hideMark/>
          </w:tcPr>
          <w:p w14:paraId="74BA243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38.71</w:t>
            </w:r>
          </w:p>
        </w:tc>
        <w:tc>
          <w:tcPr>
            <w:tcW w:w="0" w:type="auto"/>
            <w:tcBorders>
              <w:top w:val="nil"/>
              <w:left w:val="nil"/>
              <w:bottom w:val="single" w:sz="4" w:space="0" w:color="auto"/>
              <w:right w:val="single" w:sz="4" w:space="0" w:color="auto"/>
            </w:tcBorders>
            <w:noWrap/>
            <w:vAlign w:val="bottom"/>
            <w:hideMark/>
          </w:tcPr>
          <w:p w14:paraId="240BE81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37.14</w:t>
            </w:r>
          </w:p>
        </w:tc>
        <w:tc>
          <w:tcPr>
            <w:tcW w:w="0" w:type="auto"/>
            <w:tcBorders>
              <w:top w:val="nil"/>
              <w:left w:val="nil"/>
              <w:bottom w:val="single" w:sz="4" w:space="0" w:color="auto"/>
              <w:right w:val="single" w:sz="4" w:space="0" w:color="auto"/>
            </w:tcBorders>
            <w:noWrap/>
            <w:vAlign w:val="bottom"/>
            <w:hideMark/>
          </w:tcPr>
          <w:p w14:paraId="77D35DF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30.25</w:t>
            </w:r>
          </w:p>
        </w:tc>
        <w:tc>
          <w:tcPr>
            <w:tcW w:w="0" w:type="auto"/>
            <w:tcBorders>
              <w:top w:val="nil"/>
              <w:left w:val="nil"/>
              <w:bottom w:val="single" w:sz="4" w:space="0" w:color="auto"/>
              <w:right w:val="single" w:sz="4" w:space="0" w:color="auto"/>
            </w:tcBorders>
            <w:noWrap/>
            <w:vAlign w:val="bottom"/>
            <w:hideMark/>
          </w:tcPr>
          <w:p w14:paraId="02C7F1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29.96</w:t>
            </w:r>
          </w:p>
        </w:tc>
        <w:tc>
          <w:tcPr>
            <w:tcW w:w="0" w:type="auto"/>
            <w:tcBorders>
              <w:top w:val="nil"/>
              <w:left w:val="nil"/>
              <w:bottom w:val="single" w:sz="4" w:space="0" w:color="auto"/>
              <w:right w:val="single" w:sz="4" w:space="0" w:color="auto"/>
            </w:tcBorders>
            <w:noWrap/>
            <w:vAlign w:val="bottom"/>
            <w:hideMark/>
          </w:tcPr>
          <w:p w14:paraId="4B87597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68.85</w:t>
            </w:r>
          </w:p>
        </w:tc>
        <w:tc>
          <w:tcPr>
            <w:tcW w:w="0" w:type="auto"/>
            <w:tcBorders>
              <w:top w:val="nil"/>
              <w:left w:val="nil"/>
              <w:bottom w:val="single" w:sz="4" w:space="0" w:color="auto"/>
              <w:right w:val="single" w:sz="4" w:space="0" w:color="auto"/>
            </w:tcBorders>
            <w:noWrap/>
            <w:vAlign w:val="bottom"/>
            <w:hideMark/>
          </w:tcPr>
          <w:p w14:paraId="227F1D8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72.64</w:t>
            </w:r>
          </w:p>
        </w:tc>
        <w:tc>
          <w:tcPr>
            <w:tcW w:w="0" w:type="auto"/>
            <w:tcBorders>
              <w:top w:val="nil"/>
              <w:left w:val="nil"/>
              <w:bottom w:val="single" w:sz="4" w:space="0" w:color="auto"/>
              <w:right w:val="single" w:sz="4" w:space="0" w:color="auto"/>
            </w:tcBorders>
            <w:noWrap/>
            <w:vAlign w:val="bottom"/>
            <w:hideMark/>
          </w:tcPr>
          <w:p w14:paraId="019C3D2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1E2BFB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0.28</w:t>
            </w:r>
          </w:p>
        </w:tc>
        <w:tc>
          <w:tcPr>
            <w:tcW w:w="1060" w:type="dxa"/>
            <w:tcBorders>
              <w:top w:val="nil"/>
              <w:left w:val="nil"/>
              <w:bottom w:val="single" w:sz="4" w:space="0" w:color="auto"/>
              <w:right w:val="single" w:sz="4" w:space="0" w:color="auto"/>
            </w:tcBorders>
            <w:noWrap/>
            <w:vAlign w:val="bottom"/>
            <w:hideMark/>
          </w:tcPr>
          <w:p w14:paraId="52E25C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510276B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2D374C2F"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5D49F84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20</w:t>
            </w:r>
          </w:p>
        </w:tc>
        <w:tc>
          <w:tcPr>
            <w:tcW w:w="672" w:type="dxa"/>
            <w:tcBorders>
              <w:top w:val="nil"/>
              <w:left w:val="nil"/>
              <w:bottom w:val="single" w:sz="4" w:space="0" w:color="auto"/>
              <w:right w:val="single" w:sz="4" w:space="0" w:color="auto"/>
            </w:tcBorders>
            <w:noWrap/>
            <w:vAlign w:val="bottom"/>
            <w:hideMark/>
          </w:tcPr>
          <w:p w14:paraId="79C6FAE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41.07</w:t>
            </w:r>
          </w:p>
        </w:tc>
        <w:tc>
          <w:tcPr>
            <w:tcW w:w="0" w:type="auto"/>
            <w:tcBorders>
              <w:top w:val="nil"/>
              <w:left w:val="nil"/>
              <w:bottom w:val="single" w:sz="4" w:space="0" w:color="auto"/>
              <w:right w:val="single" w:sz="4" w:space="0" w:color="auto"/>
            </w:tcBorders>
            <w:noWrap/>
            <w:vAlign w:val="bottom"/>
            <w:hideMark/>
          </w:tcPr>
          <w:p w14:paraId="61958AA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41.78</w:t>
            </w:r>
          </w:p>
        </w:tc>
        <w:tc>
          <w:tcPr>
            <w:tcW w:w="0" w:type="auto"/>
            <w:tcBorders>
              <w:top w:val="nil"/>
              <w:left w:val="nil"/>
              <w:bottom w:val="single" w:sz="4" w:space="0" w:color="auto"/>
              <w:right w:val="single" w:sz="4" w:space="0" w:color="auto"/>
            </w:tcBorders>
            <w:noWrap/>
            <w:vAlign w:val="bottom"/>
            <w:hideMark/>
          </w:tcPr>
          <w:p w14:paraId="40F5DF6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30.96</w:t>
            </w:r>
          </w:p>
        </w:tc>
        <w:tc>
          <w:tcPr>
            <w:tcW w:w="0" w:type="auto"/>
            <w:tcBorders>
              <w:top w:val="nil"/>
              <w:left w:val="nil"/>
              <w:bottom w:val="single" w:sz="4" w:space="0" w:color="auto"/>
              <w:right w:val="single" w:sz="4" w:space="0" w:color="auto"/>
            </w:tcBorders>
            <w:noWrap/>
            <w:vAlign w:val="bottom"/>
            <w:hideMark/>
          </w:tcPr>
          <w:p w14:paraId="338809A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33.57</w:t>
            </w:r>
          </w:p>
        </w:tc>
        <w:tc>
          <w:tcPr>
            <w:tcW w:w="0" w:type="auto"/>
            <w:tcBorders>
              <w:top w:val="nil"/>
              <w:left w:val="nil"/>
              <w:bottom w:val="single" w:sz="4" w:space="0" w:color="auto"/>
              <w:right w:val="single" w:sz="4" w:space="0" w:color="auto"/>
            </w:tcBorders>
            <w:noWrap/>
            <w:vAlign w:val="bottom"/>
            <w:hideMark/>
          </w:tcPr>
          <w:p w14:paraId="04E6E49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59.42</w:t>
            </w:r>
          </w:p>
        </w:tc>
        <w:tc>
          <w:tcPr>
            <w:tcW w:w="0" w:type="auto"/>
            <w:tcBorders>
              <w:top w:val="nil"/>
              <w:left w:val="nil"/>
              <w:bottom w:val="single" w:sz="4" w:space="0" w:color="auto"/>
              <w:right w:val="single" w:sz="4" w:space="0" w:color="auto"/>
            </w:tcBorders>
            <w:noWrap/>
            <w:vAlign w:val="bottom"/>
            <w:hideMark/>
          </w:tcPr>
          <w:p w14:paraId="28DD6DE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68.92</w:t>
            </w:r>
          </w:p>
        </w:tc>
        <w:tc>
          <w:tcPr>
            <w:tcW w:w="0" w:type="auto"/>
            <w:tcBorders>
              <w:top w:val="nil"/>
              <w:left w:val="nil"/>
              <w:bottom w:val="single" w:sz="4" w:space="0" w:color="auto"/>
              <w:right w:val="single" w:sz="4" w:space="0" w:color="auto"/>
            </w:tcBorders>
            <w:noWrap/>
            <w:vAlign w:val="bottom"/>
            <w:hideMark/>
          </w:tcPr>
          <w:p w14:paraId="51CDC4A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DFD378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single" w:sz="4" w:space="0" w:color="auto"/>
              <w:left w:val="nil"/>
              <w:bottom w:val="single" w:sz="4" w:space="0" w:color="auto"/>
              <w:right w:val="single" w:sz="4" w:space="0" w:color="auto"/>
            </w:tcBorders>
            <w:noWrap/>
            <w:vAlign w:val="bottom"/>
            <w:hideMark/>
          </w:tcPr>
          <w:p w14:paraId="5648AE4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3D52D16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5791E740"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3D7267A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21</w:t>
            </w:r>
          </w:p>
        </w:tc>
        <w:tc>
          <w:tcPr>
            <w:tcW w:w="672" w:type="dxa"/>
            <w:tcBorders>
              <w:top w:val="nil"/>
              <w:left w:val="nil"/>
              <w:bottom w:val="single" w:sz="4" w:space="0" w:color="auto"/>
              <w:right w:val="single" w:sz="4" w:space="0" w:color="auto"/>
            </w:tcBorders>
            <w:noWrap/>
            <w:vAlign w:val="bottom"/>
            <w:hideMark/>
          </w:tcPr>
          <w:p w14:paraId="68FFAE4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41.69</w:t>
            </w:r>
          </w:p>
        </w:tc>
        <w:tc>
          <w:tcPr>
            <w:tcW w:w="0" w:type="auto"/>
            <w:tcBorders>
              <w:top w:val="nil"/>
              <w:left w:val="nil"/>
              <w:bottom w:val="single" w:sz="4" w:space="0" w:color="auto"/>
              <w:right w:val="single" w:sz="4" w:space="0" w:color="auto"/>
            </w:tcBorders>
            <w:noWrap/>
            <w:vAlign w:val="bottom"/>
            <w:hideMark/>
          </w:tcPr>
          <w:p w14:paraId="33CD217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39.17</w:t>
            </w:r>
          </w:p>
        </w:tc>
        <w:tc>
          <w:tcPr>
            <w:tcW w:w="0" w:type="auto"/>
            <w:tcBorders>
              <w:top w:val="nil"/>
              <w:left w:val="nil"/>
              <w:bottom w:val="single" w:sz="4" w:space="0" w:color="auto"/>
              <w:right w:val="single" w:sz="4" w:space="0" w:color="auto"/>
            </w:tcBorders>
            <w:noWrap/>
            <w:vAlign w:val="bottom"/>
            <w:hideMark/>
          </w:tcPr>
          <w:p w14:paraId="5F88FBD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31.42</w:t>
            </w:r>
          </w:p>
        </w:tc>
        <w:tc>
          <w:tcPr>
            <w:tcW w:w="0" w:type="auto"/>
            <w:tcBorders>
              <w:top w:val="nil"/>
              <w:left w:val="nil"/>
              <w:bottom w:val="single" w:sz="4" w:space="0" w:color="auto"/>
              <w:right w:val="single" w:sz="4" w:space="0" w:color="auto"/>
            </w:tcBorders>
            <w:noWrap/>
            <w:vAlign w:val="bottom"/>
            <w:hideMark/>
          </w:tcPr>
          <w:p w14:paraId="2532306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31.89</w:t>
            </w:r>
          </w:p>
        </w:tc>
        <w:tc>
          <w:tcPr>
            <w:tcW w:w="0" w:type="auto"/>
            <w:tcBorders>
              <w:top w:val="nil"/>
              <w:left w:val="nil"/>
              <w:bottom w:val="single" w:sz="4" w:space="0" w:color="auto"/>
              <w:right w:val="single" w:sz="4" w:space="0" w:color="auto"/>
            </w:tcBorders>
            <w:noWrap/>
            <w:vAlign w:val="bottom"/>
            <w:hideMark/>
          </w:tcPr>
          <w:p w14:paraId="1177122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63.71</w:t>
            </w:r>
          </w:p>
        </w:tc>
        <w:tc>
          <w:tcPr>
            <w:tcW w:w="0" w:type="auto"/>
            <w:tcBorders>
              <w:top w:val="nil"/>
              <w:left w:val="nil"/>
              <w:bottom w:val="single" w:sz="4" w:space="0" w:color="auto"/>
              <w:right w:val="single" w:sz="4" w:space="0" w:color="auto"/>
            </w:tcBorders>
            <w:noWrap/>
            <w:vAlign w:val="bottom"/>
            <w:hideMark/>
          </w:tcPr>
          <w:p w14:paraId="2000CB0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66.53</w:t>
            </w:r>
          </w:p>
        </w:tc>
        <w:tc>
          <w:tcPr>
            <w:tcW w:w="0" w:type="auto"/>
            <w:tcBorders>
              <w:top w:val="nil"/>
              <w:left w:val="nil"/>
              <w:bottom w:val="single" w:sz="4" w:space="0" w:color="auto"/>
              <w:right w:val="single" w:sz="4" w:space="0" w:color="auto"/>
            </w:tcBorders>
            <w:noWrap/>
            <w:vAlign w:val="bottom"/>
            <w:hideMark/>
          </w:tcPr>
          <w:p w14:paraId="597A538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44E2C5B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single" w:sz="4" w:space="0" w:color="auto"/>
              <w:left w:val="nil"/>
              <w:bottom w:val="nil"/>
              <w:right w:val="single" w:sz="4" w:space="0" w:color="auto"/>
            </w:tcBorders>
            <w:noWrap/>
            <w:vAlign w:val="bottom"/>
            <w:hideMark/>
          </w:tcPr>
          <w:p w14:paraId="4AC80AB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77501DB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2D1C5BF9"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13616B6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22</w:t>
            </w:r>
          </w:p>
        </w:tc>
        <w:tc>
          <w:tcPr>
            <w:tcW w:w="672" w:type="dxa"/>
            <w:tcBorders>
              <w:top w:val="nil"/>
              <w:left w:val="nil"/>
              <w:bottom w:val="single" w:sz="4" w:space="0" w:color="auto"/>
              <w:right w:val="single" w:sz="4" w:space="0" w:color="auto"/>
            </w:tcBorders>
            <w:noWrap/>
            <w:vAlign w:val="bottom"/>
            <w:hideMark/>
          </w:tcPr>
          <w:p w14:paraId="1B6115A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45.25</w:t>
            </w:r>
          </w:p>
        </w:tc>
        <w:tc>
          <w:tcPr>
            <w:tcW w:w="0" w:type="auto"/>
            <w:tcBorders>
              <w:top w:val="nil"/>
              <w:left w:val="nil"/>
              <w:bottom w:val="single" w:sz="4" w:space="0" w:color="auto"/>
              <w:right w:val="single" w:sz="4" w:space="0" w:color="auto"/>
            </w:tcBorders>
            <w:noWrap/>
            <w:vAlign w:val="bottom"/>
            <w:hideMark/>
          </w:tcPr>
          <w:p w14:paraId="768837A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37.57</w:t>
            </w:r>
          </w:p>
        </w:tc>
        <w:tc>
          <w:tcPr>
            <w:tcW w:w="0" w:type="auto"/>
            <w:tcBorders>
              <w:top w:val="nil"/>
              <w:left w:val="nil"/>
              <w:bottom w:val="single" w:sz="4" w:space="0" w:color="auto"/>
              <w:right w:val="single" w:sz="4" w:space="0" w:color="auto"/>
            </w:tcBorders>
            <w:noWrap/>
            <w:vAlign w:val="bottom"/>
            <w:hideMark/>
          </w:tcPr>
          <w:p w14:paraId="62CAE96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31.57</w:t>
            </w:r>
          </w:p>
        </w:tc>
        <w:tc>
          <w:tcPr>
            <w:tcW w:w="0" w:type="auto"/>
            <w:tcBorders>
              <w:top w:val="nil"/>
              <w:left w:val="nil"/>
              <w:bottom w:val="single" w:sz="4" w:space="0" w:color="auto"/>
              <w:right w:val="single" w:sz="4" w:space="0" w:color="auto"/>
            </w:tcBorders>
            <w:noWrap/>
            <w:vAlign w:val="bottom"/>
            <w:hideMark/>
          </w:tcPr>
          <w:p w14:paraId="1D695DC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32.10</w:t>
            </w:r>
          </w:p>
        </w:tc>
        <w:tc>
          <w:tcPr>
            <w:tcW w:w="0" w:type="auto"/>
            <w:tcBorders>
              <w:top w:val="nil"/>
              <w:left w:val="nil"/>
              <w:bottom w:val="single" w:sz="4" w:space="0" w:color="auto"/>
              <w:right w:val="single" w:sz="4" w:space="0" w:color="auto"/>
            </w:tcBorders>
            <w:noWrap/>
            <w:vAlign w:val="bottom"/>
            <w:hideMark/>
          </w:tcPr>
          <w:p w14:paraId="6E3E6B3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64.50</w:t>
            </w:r>
          </w:p>
        </w:tc>
        <w:tc>
          <w:tcPr>
            <w:tcW w:w="0" w:type="auto"/>
            <w:tcBorders>
              <w:top w:val="nil"/>
              <w:left w:val="nil"/>
              <w:bottom w:val="single" w:sz="4" w:space="0" w:color="auto"/>
              <w:right w:val="single" w:sz="4" w:space="0" w:color="auto"/>
            </w:tcBorders>
            <w:noWrap/>
            <w:vAlign w:val="bottom"/>
            <w:hideMark/>
          </w:tcPr>
          <w:p w14:paraId="6BA3D60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77.64</w:t>
            </w:r>
          </w:p>
        </w:tc>
        <w:tc>
          <w:tcPr>
            <w:tcW w:w="0" w:type="auto"/>
            <w:tcBorders>
              <w:top w:val="nil"/>
              <w:left w:val="nil"/>
              <w:bottom w:val="single" w:sz="4" w:space="0" w:color="auto"/>
              <w:right w:val="single" w:sz="4" w:space="0" w:color="auto"/>
            </w:tcBorders>
            <w:noWrap/>
            <w:vAlign w:val="bottom"/>
            <w:hideMark/>
          </w:tcPr>
          <w:p w14:paraId="0755A0A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7B02159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4.00</w:t>
            </w:r>
          </w:p>
        </w:tc>
        <w:tc>
          <w:tcPr>
            <w:tcW w:w="1060" w:type="dxa"/>
            <w:tcBorders>
              <w:top w:val="single" w:sz="4" w:space="0" w:color="auto"/>
              <w:left w:val="nil"/>
              <w:bottom w:val="single" w:sz="4" w:space="0" w:color="auto"/>
              <w:right w:val="single" w:sz="4" w:space="0" w:color="auto"/>
            </w:tcBorders>
            <w:noWrap/>
            <w:vAlign w:val="bottom"/>
            <w:hideMark/>
          </w:tcPr>
          <w:p w14:paraId="1A032EA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07218C9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1D782E42"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3401196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23</w:t>
            </w:r>
          </w:p>
        </w:tc>
        <w:tc>
          <w:tcPr>
            <w:tcW w:w="672" w:type="dxa"/>
            <w:tcBorders>
              <w:top w:val="nil"/>
              <w:left w:val="nil"/>
              <w:bottom w:val="single" w:sz="4" w:space="0" w:color="auto"/>
              <w:right w:val="single" w:sz="4" w:space="0" w:color="auto"/>
            </w:tcBorders>
            <w:noWrap/>
            <w:vAlign w:val="bottom"/>
            <w:hideMark/>
          </w:tcPr>
          <w:p w14:paraId="2937616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44.32</w:t>
            </w:r>
          </w:p>
        </w:tc>
        <w:tc>
          <w:tcPr>
            <w:tcW w:w="0" w:type="auto"/>
            <w:tcBorders>
              <w:top w:val="nil"/>
              <w:left w:val="nil"/>
              <w:bottom w:val="single" w:sz="4" w:space="0" w:color="auto"/>
              <w:right w:val="single" w:sz="4" w:space="0" w:color="auto"/>
            </w:tcBorders>
            <w:noWrap/>
            <w:vAlign w:val="bottom"/>
            <w:hideMark/>
          </w:tcPr>
          <w:p w14:paraId="4C9F701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37.67</w:t>
            </w:r>
          </w:p>
        </w:tc>
        <w:tc>
          <w:tcPr>
            <w:tcW w:w="0" w:type="auto"/>
            <w:tcBorders>
              <w:top w:val="nil"/>
              <w:left w:val="nil"/>
              <w:bottom w:val="single" w:sz="4" w:space="0" w:color="auto"/>
              <w:right w:val="single" w:sz="4" w:space="0" w:color="auto"/>
            </w:tcBorders>
            <w:noWrap/>
            <w:vAlign w:val="bottom"/>
            <w:hideMark/>
          </w:tcPr>
          <w:p w14:paraId="1B9D43B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29.42</w:t>
            </w:r>
          </w:p>
        </w:tc>
        <w:tc>
          <w:tcPr>
            <w:tcW w:w="0" w:type="auto"/>
            <w:tcBorders>
              <w:top w:val="nil"/>
              <w:left w:val="nil"/>
              <w:bottom w:val="single" w:sz="4" w:space="0" w:color="auto"/>
              <w:right w:val="single" w:sz="4" w:space="0" w:color="auto"/>
            </w:tcBorders>
            <w:noWrap/>
            <w:vAlign w:val="bottom"/>
            <w:hideMark/>
          </w:tcPr>
          <w:p w14:paraId="7B3B468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31.82</w:t>
            </w:r>
          </w:p>
        </w:tc>
        <w:tc>
          <w:tcPr>
            <w:tcW w:w="0" w:type="auto"/>
            <w:tcBorders>
              <w:top w:val="nil"/>
              <w:left w:val="nil"/>
              <w:bottom w:val="single" w:sz="4" w:space="0" w:color="auto"/>
              <w:right w:val="single" w:sz="4" w:space="0" w:color="auto"/>
            </w:tcBorders>
            <w:noWrap/>
            <w:vAlign w:val="bottom"/>
            <w:hideMark/>
          </w:tcPr>
          <w:p w14:paraId="2C0E7A3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55.71</w:t>
            </w:r>
          </w:p>
        </w:tc>
        <w:tc>
          <w:tcPr>
            <w:tcW w:w="0" w:type="auto"/>
            <w:tcBorders>
              <w:top w:val="nil"/>
              <w:left w:val="nil"/>
              <w:bottom w:val="single" w:sz="4" w:space="0" w:color="auto"/>
              <w:right w:val="single" w:sz="4" w:space="0" w:color="auto"/>
            </w:tcBorders>
            <w:noWrap/>
            <w:vAlign w:val="bottom"/>
            <w:hideMark/>
          </w:tcPr>
          <w:p w14:paraId="42739ED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64.14</w:t>
            </w:r>
          </w:p>
        </w:tc>
        <w:tc>
          <w:tcPr>
            <w:tcW w:w="0" w:type="auto"/>
            <w:tcBorders>
              <w:top w:val="nil"/>
              <w:left w:val="nil"/>
              <w:bottom w:val="single" w:sz="4" w:space="0" w:color="auto"/>
              <w:right w:val="single" w:sz="4" w:space="0" w:color="auto"/>
            </w:tcBorders>
            <w:noWrap/>
            <w:vAlign w:val="bottom"/>
            <w:hideMark/>
          </w:tcPr>
          <w:p w14:paraId="68A2936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3FFD875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0.50</w:t>
            </w:r>
          </w:p>
        </w:tc>
        <w:tc>
          <w:tcPr>
            <w:tcW w:w="1060" w:type="dxa"/>
            <w:tcBorders>
              <w:top w:val="nil"/>
              <w:left w:val="nil"/>
              <w:bottom w:val="single" w:sz="4" w:space="0" w:color="auto"/>
              <w:right w:val="single" w:sz="4" w:space="0" w:color="auto"/>
            </w:tcBorders>
            <w:noWrap/>
            <w:vAlign w:val="bottom"/>
            <w:hideMark/>
          </w:tcPr>
          <w:p w14:paraId="7C3E2C4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7834D26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4D92D6DB"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26934B0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24</w:t>
            </w:r>
          </w:p>
        </w:tc>
        <w:tc>
          <w:tcPr>
            <w:tcW w:w="672" w:type="dxa"/>
            <w:tcBorders>
              <w:top w:val="nil"/>
              <w:left w:val="nil"/>
              <w:bottom w:val="single" w:sz="4" w:space="0" w:color="auto"/>
              <w:right w:val="single" w:sz="4" w:space="0" w:color="auto"/>
            </w:tcBorders>
            <w:noWrap/>
            <w:vAlign w:val="bottom"/>
            <w:hideMark/>
          </w:tcPr>
          <w:p w14:paraId="7BB330F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44.89</w:t>
            </w:r>
          </w:p>
        </w:tc>
        <w:tc>
          <w:tcPr>
            <w:tcW w:w="0" w:type="auto"/>
            <w:tcBorders>
              <w:top w:val="nil"/>
              <w:left w:val="nil"/>
              <w:bottom w:val="single" w:sz="4" w:space="0" w:color="auto"/>
              <w:right w:val="single" w:sz="4" w:space="0" w:color="auto"/>
            </w:tcBorders>
            <w:noWrap/>
            <w:vAlign w:val="bottom"/>
            <w:hideMark/>
          </w:tcPr>
          <w:p w14:paraId="2469C47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40.78</w:t>
            </w:r>
          </w:p>
        </w:tc>
        <w:tc>
          <w:tcPr>
            <w:tcW w:w="0" w:type="auto"/>
            <w:tcBorders>
              <w:top w:val="nil"/>
              <w:left w:val="nil"/>
              <w:bottom w:val="single" w:sz="4" w:space="0" w:color="auto"/>
              <w:right w:val="single" w:sz="4" w:space="0" w:color="auto"/>
            </w:tcBorders>
            <w:noWrap/>
            <w:vAlign w:val="bottom"/>
            <w:hideMark/>
          </w:tcPr>
          <w:p w14:paraId="08A2587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29.39</w:t>
            </w:r>
          </w:p>
        </w:tc>
        <w:tc>
          <w:tcPr>
            <w:tcW w:w="0" w:type="auto"/>
            <w:tcBorders>
              <w:top w:val="nil"/>
              <w:left w:val="nil"/>
              <w:bottom w:val="single" w:sz="4" w:space="0" w:color="auto"/>
              <w:right w:val="single" w:sz="4" w:space="0" w:color="auto"/>
            </w:tcBorders>
            <w:noWrap/>
            <w:vAlign w:val="bottom"/>
            <w:hideMark/>
          </w:tcPr>
          <w:p w14:paraId="57282A7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33.46</w:t>
            </w:r>
          </w:p>
        </w:tc>
        <w:tc>
          <w:tcPr>
            <w:tcW w:w="0" w:type="auto"/>
            <w:tcBorders>
              <w:top w:val="nil"/>
              <w:left w:val="nil"/>
              <w:bottom w:val="single" w:sz="4" w:space="0" w:color="auto"/>
              <w:right w:val="single" w:sz="4" w:space="0" w:color="auto"/>
            </w:tcBorders>
            <w:noWrap/>
            <w:vAlign w:val="bottom"/>
            <w:hideMark/>
          </w:tcPr>
          <w:p w14:paraId="3AF1E64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45.57</w:t>
            </w:r>
          </w:p>
        </w:tc>
        <w:tc>
          <w:tcPr>
            <w:tcW w:w="0" w:type="auto"/>
            <w:tcBorders>
              <w:top w:val="nil"/>
              <w:left w:val="nil"/>
              <w:bottom w:val="single" w:sz="4" w:space="0" w:color="auto"/>
              <w:right w:val="single" w:sz="4" w:space="0" w:color="auto"/>
            </w:tcBorders>
            <w:noWrap/>
            <w:vAlign w:val="bottom"/>
            <w:hideMark/>
          </w:tcPr>
          <w:p w14:paraId="6D1C23D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76.78</w:t>
            </w:r>
          </w:p>
        </w:tc>
        <w:tc>
          <w:tcPr>
            <w:tcW w:w="0" w:type="auto"/>
            <w:tcBorders>
              <w:top w:val="nil"/>
              <w:left w:val="nil"/>
              <w:bottom w:val="single" w:sz="4" w:space="0" w:color="auto"/>
              <w:right w:val="single" w:sz="4" w:space="0" w:color="auto"/>
            </w:tcBorders>
            <w:noWrap/>
            <w:vAlign w:val="bottom"/>
            <w:hideMark/>
          </w:tcPr>
          <w:p w14:paraId="6B978DC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3025E3D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6.14</w:t>
            </w:r>
          </w:p>
        </w:tc>
        <w:tc>
          <w:tcPr>
            <w:tcW w:w="1060" w:type="dxa"/>
            <w:tcBorders>
              <w:top w:val="nil"/>
              <w:left w:val="nil"/>
              <w:bottom w:val="single" w:sz="4" w:space="0" w:color="auto"/>
              <w:right w:val="single" w:sz="4" w:space="0" w:color="auto"/>
            </w:tcBorders>
            <w:noWrap/>
            <w:vAlign w:val="bottom"/>
            <w:hideMark/>
          </w:tcPr>
          <w:p w14:paraId="38A2173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3D6101E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3E26DBC8"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1549648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w:t>
            </w:r>
          </w:p>
        </w:tc>
        <w:tc>
          <w:tcPr>
            <w:tcW w:w="672" w:type="dxa"/>
            <w:tcBorders>
              <w:top w:val="nil"/>
              <w:left w:val="nil"/>
              <w:bottom w:val="single" w:sz="4" w:space="0" w:color="auto"/>
              <w:right w:val="single" w:sz="4" w:space="0" w:color="auto"/>
            </w:tcBorders>
            <w:noWrap/>
            <w:vAlign w:val="bottom"/>
            <w:hideMark/>
          </w:tcPr>
          <w:p w14:paraId="3BA2682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42.03</w:t>
            </w:r>
          </w:p>
        </w:tc>
        <w:tc>
          <w:tcPr>
            <w:tcW w:w="0" w:type="auto"/>
            <w:tcBorders>
              <w:top w:val="nil"/>
              <w:left w:val="nil"/>
              <w:bottom w:val="single" w:sz="4" w:space="0" w:color="auto"/>
              <w:right w:val="single" w:sz="4" w:space="0" w:color="auto"/>
            </w:tcBorders>
            <w:noWrap/>
            <w:vAlign w:val="bottom"/>
            <w:hideMark/>
          </w:tcPr>
          <w:p w14:paraId="6081B91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33.67</w:t>
            </w:r>
          </w:p>
        </w:tc>
        <w:tc>
          <w:tcPr>
            <w:tcW w:w="0" w:type="auto"/>
            <w:tcBorders>
              <w:top w:val="nil"/>
              <w:left w:val="nil"/>
              <w:bottom w:val="single" w:sz="4" w:space="0" w:color="auto"/>
              <w:right w:val="single" w:sz="4" w:space="0" w:color="auto"/>
            </w:tcBorders>
            <w:noWrap/>
            <w:vAlign w:val="bottom"/>
            <w:hideMark/>
          </w:tcPr>
          <w:p w14:paraId="6BA59D6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28.78</w:t>
            </w:r>
          </w:p>
        </w:tc>
        <w:tc>
          <w:tcPr>
            <w:tcW w:w="0" w:type="auto"/>
            <w:tcBorders>
              <w:top w:val="nil"/>
              <w:left w:val="nil"/>
              <w:bottom w:val="single" w:sz="4" w:space="0" w:color="auto"/>
              <w:right w:val="single" w:sz="4" w:space="0" w:color="auto"/>
            </w:tcBorders>
            <w:noWrap/>
            <w:vAlign w:val="bottom"/>
            <w:hideMark/>
          </w:tcPr>
          <w:p w14:paraId="4B94B5F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231673A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65.50</w:t>
            </w:r>
          </w:p>
        </w:tc>
        <w:tc>
          <w:tcPr>
            <w:tcW w:w="0" w:type="auto"/>
            <w:tcBorders>
              <w:top w:val="nil"/>
              <w:left w:val="nil"/>
              <w:bottom w:val="single" w:sz="4" w:space="0" w:color="auto"/>
              <w:right w:val="single" w:sz="4" w:space="0" w:color="auto"/>
            </w:tcBorders>
            <w:noWrap/>
            <w:vAlign w:val="bottom"/>
            <w:hideMark/>
          </w:tcPr>
          <w:p w14:paraId="2F6028E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81.57</w:t>
            </w:r>
          </w:p>
        </w:tc>
        <w:tc>
          <w:tcPr>
            <w:tcW w:w="0" w:type="auto"/>
            <w:tcBorders>
              <w:top w:val="nil"/>
              <w:left w:val="nil"/>
              <w:bottom w:val="single" w:sz="4" w:space="0" w:color="auto"/>
              <w:right w:val="single" w:sz="4" w:space="0" w:color="auto"/>
            </w:tcBorders>
            <w:noWrap/>
            <w:vAlign w:val="bottom"/>
            <w:hideMark/>
          </w:tcPr>
          <w:p w14:paraId="170E388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4.57</w:t>
            </w:r>
          </w:p>
        </w:tc>
        <w:tc>
          <w:tcPr>
            <w:tcW w:w="0" w:type="auto"/>
            <w:tcBorders>
              <w:top w:val="nil"/>
              <w:left w:val="nil"/>
              <w:bottom w:val="single" w:sz="4" w:space="0" w:color="auto"/>
              <w:right w:val="single" w:sz="4" w:space="0" w:color="auto"/>
            </w:tcBorders>
            <w:noWrap/>
            <w:vAlign w:val="bottom"/>
            <w:hideMark/>
          </w:tcPr>
          <w:p w14:paraId="179C651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5.85</w:t>
            </w:r>
          </w:p>
        </w:tc>
        <w:tc>
          <w:tcPr>
            <w:tcW w:w="1060" w:type="dxa"/>
            <w:tcBorders>
              <w:top w:val="nil"/>
              <w:left w:val="nil"/>
              <w:bottom w:val="single" w:sz="4" w:space="0" w:color="auto"/>
              <w:right w:val="single" w:sz="4" w:space="0" w:color="auto"/>
            </w:tcBorders>
            <w:noWrap/>
            <w:vAlign w:val="bottom"/>
            <w:hideMark/>
          </w:tcPr>
          <w:p w14:paraId="65E01F5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621E441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15CBB98D"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3CA4EA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26</w:t>
            </w:r>
          </w:p>
        </w:tc>
        <w:tc>
          <w:tcPr>
            <w:tcW w:w="672" w:type="dxa"/>
            <w:tcBorders>
              <w:top w:val="nil"/>
              <w:left w:val="nil"/>
              <w:bottom w:val="single" w:sz="4" w:space="0" w:color="auto"/>
              <w:right w:val="single" w:sz="4" w:space="0" w:color="auto"/>
            </w:tcBorders>
            <w:noWrap/>
            <w:vAlign w:val="bottom"/>
            <w:hideMark/>
          </w:tcPr>
          <w:p w14:paraId="3339974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38.64</w:t>
            </w:r>
          </w:p>
        </w:tc>
        <w:tc>
          <w:tcPr>
            <w:tcW w:w="0" w:type="auto"/>
            <w:tcBorders>
              <w:top w:val="nil"/>
              <w:left w:val="nil"/>
              <w:bottom w:val="single" w:sz="4" w:space="0" w:color="auto"/>
              <w:right w:val="single" w:sz="4" w:space="0" w:color="auto"/>
            </w:tcBorders>
            <w:noWrap/>
            <w:vAlign w:val="bottom"/>
            <w:hideMark/>
          </w:tcPr>
          <w:p w14:paraId="436D0A1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33.39</w:t>
            </w:r>
          </w:p>
        </w:tc>
        <w:tc>
          <w:tcPr>
            <w:tcW w:w="0" w:type="auto"/>
            <w:tcBorders>
              <w:top w:val="nil"/>
              <w:left w:val="nil"/>
              <w:bottom w:val="single" w:sz="4" w:space="0" w:color="auto"/>
              <w:right w:val="single" w:sz="4" w:space="0" w:color="auto"/>
            </w:tcBorders>
            <w:noWrap/>
            <w:vAlign w:val="bottom"/>
            <w:hideMark/>
          </w:tcPr>
          <w:p w14:paraId="4929980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29.07</w:t>
            </w:r>
          </w:p>
        </w:tc>
        <w:tc>
          <w:tcPr>
            <w:tcW w:w="0" w:type="auto"/>
            <w:tcBorders>
              <w:top w:val="nil"/>
              <w:left w:val="nil"/>
              <w:bottom w:val="single" w:sz="4" w:space="0" w:color="auto"/>
              <w:right w:val="single" w:sz="4" w:space="0" w:color="auto"/>
            </w:tcBorders>
            <w:noWrap/>
            <w:vAlign w:val="bottom"/>
            <w:hideMark/>
          </w:tcPr>
          <w:p w14:paraId="5BBB40A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39AC324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69.64</w:t>
            </w:r>
          </w:p>
        </w:tc>
        <w:tc>
          <w:tcPr>
            <w:tcW w:w="0" w:type="auto"/>
            <w:tcBorders>
              <w:top w:val="nil"/>
              <w:left w:val="nil"/>
              <w:bottom w:val="single" w:sz="4" w:space="0" w:color="auto"/>
              <w:right w:val="single" w:sz="4" w:space="0" w:color="auto"/>
            </w:tcBorders>
            <w:noWrap/>
            <w:vAlign w:val="bottom"/>
            <w:hideMark/>
          </w:tcPr>
          <w:p w14:paraId="1E112E4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85.50</w:t>
            </w:r>
          </w:p>
        </w:tc>
        <w:tc>
          <w:tcPr>
            <w:tcW w:w="0" w:type="auto"/>
            <w:tcBorders>
              <w:top w:val="nil"/>
              <w:left w:val="nil"/>
              <w:bottom w:val="single" w:sz="4" w:space="0" w:color="auto"/>
              <w:right w:val="single" w:sz="4" w:space="0" w:color="auto"/>
            </w:tcBorders>
            <w:noWrap/>
            <w:vAlign w:val="bottom"/>
            <w:hideMark/>
          </w:tcPr>
          <w:p w14:paraId="1428150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9.87</w:t>
            </w:r>
          </w:p>
        </w:tc>
        <w:tc>
          <w:tcPr>
            <w:tcW w:w="0" w:type="auto"/>
            <w:tcBorders>
              <w:top w:val="nil"/>
              <w:left w:val="nil"/>
              <w:bottom w:val="single" w:sz="4" w:space="0" w:color="auto"/>
              <w:right w:val="single" w:sz="4" w:space="0" w:color="auto"/>
            </w:tcBorders>
            <w:noWrap/>
            <w:vAlign w:val="bottom"/>
            <w:hideMark/>
          </w:tcPr>
          <w:p w14:paraId="60BBAE3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6.92</w:t>
            </w:r>
          </w:p>
        </w:tc>
        <w:tc>
          <w:tcPr>
            <w:tcW w:w="1060" w:type="dxa"/>
            <w:tcBorders>
              <w:top w:val="nil"/>
              <w:left w:val="nil"/>
              <w:bottom w:val="single" w:sz="4" w:space="0" w:color="auto"/>
              <w:right w:val="single" w:sz="4" w:space="0" w:color="auto"/>
            </w:tcBorders>
            <w:noWrap/>
            <w:vAlign w:val="bottom"/>
            <w:hideMark/>
          </w:tcPr>
          <w:p w14:paraId="1B16894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4A9D762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7E20F348"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439A0CD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27</w:t>
            </w:r>
          </w:p>
        </w:tc>
        <w:tc>
          <w:tcPr>
            <w:tcW w:w="672" w:type="dxa"/>
            <w:tcBorders>
              <w:top w:val="nil"/>
              <w:left w:val="nil"/>
              <w:bottom w:val="single" w:sz="4" w:space="0" w:color="auto"/>
              <w:right w:val="single" w:sz="4" w:space="0" w:color="auto"/>
            </w:tcBorders>
            <w:noWrap/>
            <w:vAlign w:val="bottom"/>
            <w:hideMark/>
          </w:tcPr>
          <w:p w14:paraId="07EBA44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34.67</w:t>
            </w:r>
          </w:p>
        </w:tc>
        <w:tc>
          <w:tcPr>
            <w:tcW w:w="0" w:type="auto"/>
            <w:tcBorders>
              <w:top w:val="nil"/>
              <w:left w:val="nil"/>
              <w:bottom w:val="single" w:sz="4" w:space="0" w:color="auto"/>
              <w:right w:val="single" w:sz="4" w:space="0" w:color="auto"/>
            </w:tcBorders>
            <w:noWrap/>
            <w:vAlign w:val="bottom"/>
            <w:hideMark/>
          </w:tcPr>
          <w:p w14:paraId="7609B0D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34.39</w:t>
            </w:r>
          </w:p>
        </w:tc>
        <w:tc>
          <w:tcPr>
            <w:tcW w:w="0" w:type="auto"/>
            <w:tcBorders>
              <w:top w:val="nil"/>
              <w:left w:val="nil"/>
              <w:bottom w:val="single" w:sz="4" w:space="0" w:color="auto"/>
              <w:right w:val="single" w:sz="4" w:space="0" w:color="auto"/>
            </w:tcBorders>
            <w:noWrap/>
            <w:vAlign w:val="bottom"/>
            <w:hideMark/>
          </w:tcPr>
          <w:p w14:paraId="6CD16C9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3940947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28.89</w:t>
            </w:r>
          </w:p>
        </w:tc>
        <w:tc>
          <w:tcPr>
            <w:tcW w:w="0" w:type="auto"/>
            <w:tcBorders>
              <w:top w:val="nil"/>
              <w:left w:val="nil"/>
              <w:bottom w:val="single" w:sz="4" w:space="0" w:color="auto"/>
              <w:right w:val="single" w:sz="4" w:space="0" w:color="auto"/>
            </w:tcBorders>
            <w:noWrap/>
            <w:vAlign w:val="bottom"/>
            <w:hideMark/>
          </w:tcPr>
          <w:p w14:paraId="7D8D1D9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80.14</w:t>
            </w:r>
          </w:p>
        </w:tc>
        <w:tc>
          <w:tcPr>
            <w:tcW w:w="0" w:type="auto"/>
            <w:tcBorders>
              <w:top w:val="nil"/>
              <w:left w:val="nil"/>
              <w:bottom w:val="single" w:sz="4" w:space="0" w:color="auto"/>
              <w:right w:val="single" w:sz="4" w:space="0" w:color="auto"/>
            </w:tcBorders>
            <w:noWrap/>
            <w:vAlign w:val="bottom"/>
            <w:hideMark/>
          </w:tcPr>
          <w:p w14:paraId="29B5A4D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88.71</w:t>
            </w:r>
          </w:p>
        </w:tc>
        <w:tc>
          <w:tcPr>
            <w:tcW w:w="0" w:type="auto"/>
            <w:tcBorders>
              <w:top w:val="nil"/>
              <w:left w:val="nil"/>
              <w:bottom w:val="single" w:sz="4" w:space="0" w:color="auto"/>
              <w:right w:val="single" w:sz="4" w:space="0" w:color="auto"/>
            </w:tcBorders>
            <w:noWrap/>
            <w:vAlign w:val="bottom"/>
            <w:hideMark/>
          </w:tcPr>
          <w:p w14:paraId="38829F4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7.21</w:t>
            </w:r>
          </w:p>
        </w:tc>
        <w:tc>
          <w:tcPr>
            <w:tcW w:w="0" w:type="auto"/>
            <w:tcBorders>
              <w:top w:val="nil"/>
              <w:left w:val="nil"/>
              <w:bottom w:val="single" w:sz="4" w:space="0" w:color="auto"/>
              <w:right w:val="single" w:sz="4" w:space="0" w:color="auto"/>
            </w:tcBorders>
            <w:noWrap/>
            <w:vAlign w:val="bottom"/>
            <w:hideMark/>
          </w:tcPr>
          <w:p w14:paraId="0626583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2.01</w:t>
            </w:r>
          </w:p>
        </w:tc>
        <w:tc>
          <w:tcPr>
            <w:tcW w:w="1060" w:type="dxa"/>
            <w:tcBorders>
              <w:top w:val="nil"/>
              <w:left w:val="nil"/>
              <w:bottom w:val="single" w:sz="4" w:space="0" w:color="auto"/>
              <w:right w:val="single" w:sz="4" w:space="0" w:color="auto"/>
            </w:tcBorders>
            <w:noWrap/>
            <w:vAlign w:val="bottom"/>
            <w:hideMark/>
          </w:tcPr>
          <w:p w14:paraId="0812160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38E32C2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696D692F"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512216A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w:t>
            </w:r>
          </w:p>
        </w:tc>
        <w:tc>
          <w:tcPr>
            <w:tcW w:w="672" w:type="dxa"/>
            <w:tcBorders>
              <w:top w:val="nil"/>
              <w:left w:val="nil"/>
              <w:bottom w:val="single" w:sz="4" w:space="0" w:color="auto"/>
              <w:right w:val="single" w:sz="4" w:space="0" w:color="auto"/>
            </w:tcBorders>
            <w:noWrap/>
            <w:vAlign w:val="bottom"/>
            <w:hideMark/>
          </w:tcPr>
          <w:p w14:paraId="23CCDF1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36.26</w:t>
            </w:r>
          </w:p>
        </w:tc>
        <w:tc>
          <w:tcPr>
            <w:tcW w:w="0" w:type="auto"/>
            <w:tcBorders>
              <w:top w:val="nil"/>
              <w:left w:val="nil"/>
              <w:bottom w:val="single" w:sz="4" w:space="0" w:color="auto"/>
              <w:right w:val="single" w:sz="4" w:space="0" w:color="auto"/>
            </w:tcBorders>
            <w:noWrap/>
            <w:vAlign w:val="bottom"/>
            <w:hideMark/>
          </w:tcPr>
          <w:p w14:paraId="0596381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32.14</w:t>
            </w:r>
          </w:p>
        </w:tc>
        <w:tc>
          <w:tcPr>
            <w:tcW w:w="0" w:type="auto"/>
            <w:tcBorders>
              <w:top w:val="nil"/>
              <w:left w:val="nil"/>
              <w:bottom w:val="single" w:sz="4" w:space="0" w:color="auto"/>
              <w:right w:val="single" w:sz="4" w:space="0" w:color="auto"/>
            </w:tcBorders>
            <w:noWrap/>
            <w:vAlign w:val="bottom"/>
            <w:hideMark/>
          </w:tcPr>
          <w:p w14:paraId="6EF2849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68D4DA6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28.46</w:t>
            </w:r>
          </w:p>
        </w:tc>
        <w:tc>
          <w:tcPr>
            <w:tcW w:w="0" w:type="auto"/>
            <w:tcBorders>
              <w:top w:val="nil"/>
              <w:left w:val="nil"/>
              <w:bottom w:val="single" w:sz="4" w:space="0" w:color="auto"/>
              <w:right w:val="single" w:sz="4" w:space="0" w:color="auto"/>
            </w:tcBorders>
            <w:noWrap/>
            <w:vAlign w:val="bottom"/>
            <w:hideMark/>
          </w:tcPr>
          <w:p w14:paraId="48CBD44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80.21</w:t>
            </w:r>
          </w:p>
        </w:tc>
        <w:tc>
          <w:tcPr>
            <w:tcW w:w="0" w:type="auto"/>
            <w:tcBorders>
              <w:top w:val="nil"/>
              <w:left w:val="nil"/>
              <w:bottom w:val="single" w:sz="4" w:space="0" w:color="auto"/>
              <w:right w:val="single" w:sz="4" w:space="0" w:color="auto"/>
            </w:tcBorders>
            <w:noWrap/>
            <w:vAlign w:val="bottom"/>
            <w:hideMark/>
          </w:tcPr>
          <w:p w14:paraId="4E9B4B0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88.28</w:t>
            </w:r>
          </w:p>
        </w:tc>
        <w:tc>
          <w:tcPr>
            <w:tcW w:w="0" w:type="auto"/>
            <w:tcBorders>
              <w:top w:val="nil"/>
              <w:left w:val="nil"/>
              <w:bottom w:val="single" w:sz="4" w:space="0" w:color="auto"/>
              <w:right w:val="single" w:sz="4" w:space="0" w:color="auto"/>
            </w:tcBorders>
            <w:noWrap/>
            <w:vAlign w:val="bottom"/>
            <w:hideMark/>
          </w:tcPr>
          <w:p w14:paraId="369973C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1.42</w:t>
            </w:r>
          </w:p>
        </w:tc>
        <w:tc>
          <w:tcPr>
            <w:tcW w:w="0" w:type="auto"/>
            <w:tcBorders>
              <w:top w:val="nil"/>
              <w:left w:val="nil"/>
              <w:bottom w:val="single" w:sz="4" w:space="0" w:color="auto"/>
              <w:right w:val="single" w:sz="4" w:space="0" w:color="auto"/>
            </w:tcBorders>
            <w:noWrap/>
            <w:vAlign w:val="bottom"/>
            <w:hideMark/>
          </w:tcPr>
          <w:p w14:paraId="37FC64C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23.15</w:t>
            </w:r>
          </w:p>
        </w:tc>
        <w:tc>
          <w:tcPr>
            <w:tcW w:w="1060" w:type="dxa"/>
            <w:tcBorders>
              <w:top w:val="nil"/>
              <w:left w:val="nil"/>
              <w:bottom w:val="single" w:sz="4" w:space="0" w:color="auto"/>
              <w:right w:val="single" w:sz="4" w:space="0" w:color="auto"/>
            </w:tcBorders>
            <w:noWrap/>
            <w:vAlign w:val="bottom"/>
            <w:hideMark/>
          </w:tcPr>
          <w:p w14:paraId="68B2EFF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33AC05F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0C530B47"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2569207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w:t>
            </w:r>
          </w:p>
        </w:tc>
        <w:tc>
          <w:tcPr>
            <w:tcW w:w="672" w:type="dxa"/>
            <w:tcBorders>
              <w:top w:val="nil"/>
              <w:left w:val="nil"/>
              <w:bottom w:val="single" w:sz="4" w:space="0" w:color="auto"/>
              <w:right w:val="single" w:sz="4" w:space="0" w:color="auto"/>
            </w:tcBorders>
            <w:noWrap/>
            <w:vAlign w:val="bottom"/>
            <w:hideMark/>
          </w:tcPr>
          <w:p w14:paraId="4D0F60C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35.89</w:t>
            </w:r>
          </w:p>
        </w:tc>
        <w:tc>
          <w:tcPr>
            <w:tcW w:w="0" w:type="auto"/>
            <w:tcBorders>
              <w:top w:val="nil"/>
              <w:left w:val="nil"/>
              <w:bottom w:val="single" w:sz="4" w:space="0" w:color="auto"/>
              <w:right w:val="single" w:sz="4" w:space="0" w:color="auto"/>
            </w:tcBorders>
            <w:noWrap/>
            <w:vAlign w:val="bottom"/>
            <w:hideMark/>
          </w:tcPr>
          <w:p w14:paraId="61FF98B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33.14</w:t>
            </w:r>
          </w:p>
        </w:tc>
        <w:tc>
          <w:tcPr>
            <w:tcW w:w="0" w:type="auto"/>
            <w:tcBorders>
              <w:top w:val="nil"/>
              <w:left w:val="nil"/>
              <w:bottom w:val="single" w:sz="4" w:space="0" w:color="auto"/>
              <w:right w:val="single" w:sz="4" w:space="0" w:color="auto"/>
            </w:tcBorders>
            <w:noWrap/>
            <w:vAlign w:val="bottom"/>
            <w:hideMark/>
          </w:tcPr>
          <w:p w14:paraId="25918A3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29.42</w:t>
            </w:r>
          </w:p>
        </w:tc>
        <w:tc>
          <w:tcPr>
            <w:tcW w:w="0" w:type="auto"/>
            <w:tcBorders>
              <w:top w:val="nil"/>
              <w:left w:val="nil"/>
              <w:bottom w:val="single" w:sz="4" w:space="0" w:color="auto"/>
              <w:right w:val="single" w:sz="4" w:space="0" w:color="auto"/>
            </w:tcBorders>
            <w:noWrap/>
            <w:vAlign w:val="bottom"/>
            <w:hideMark/>
          </w:tcPr>
          <w:p w14:paraId="5B6FC6C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29.07</w:t>
            </w:r>
          </w:p>
        </w:tc>
        <w:tc>
          <w:tcPr>
            <w:tcW w:w="0" w:type="auto"/>
            <w:tcBorders>
              <w:top w:val="nil"/>
              <w:left w:val="nil"/>
              <w:bottom w:val="single" w:sz="4" w:space="0" w:color="auto"/>
              <w:right w:val="single" w:sz="4" w:space="0" w:color="auto"/>
            </w:tcBorders>
            <w:noWrap/>
            <w:vAlign w:val="bottom"/>
            <w:hideMark/>
          </w:tcPr>
          <w:p w14:paraId="6A2AA5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79.07</w:t>
            </w:r>
          </w:p>
        </w:tc>
        <w:tc>
          <w:tcPr>
            <w:tcW w:w="0" w:type="auto"/>
            <w:tcBorders>
              <w:top w:val="nil"/>
              <w:left w:val="nil"/>
              <w:bottom w:val="single" w:sz="4" w:space="0" w:color="auto"/>
              <w:right w:val="single" w:sz="4" w:space="0" w:color="auto"/>
            </w:tcBorders>
            <w:noWrap/>
            <w:vAlign w:val="bottom"/>
            <w:hideMark/>
          </w:tcPr>
          <w:p w14:paraId="011B0E9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78.00</w:t>
            </w:r>
          </w:p>
        </w:tc>
        <w:tc>
          <w:tcPr>
            <w:tcW w:w="0" w:type="auto"/>
            <w:tcBorders>
              <w:top w:val="nil"/>
              <w:left w:val="nil"/>
              <w:bottom w:val="single" w:sz="4" w:space="0" w:color="auto"/>
              <w:right w:val="single" w:sz="4" w:space="0" w:color="auto"/>
            </w:tcBorders>
            <w:noWrap/>
            <w:vAlign w:val="bottom"/>
            <w:hideMark/>
          </w:tcPr>
          <w:p w14:paraId="060B857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1.51</w:t>
            </w:r>
          </w:p>
        </w:tc>
        <w:tc>
          <w:tcPr>
            <w:tcW w:w="0" w:type="auto"/>
            <w:tcBorders>
              <w:top w:val="nil"/>
              <w:left w:val="nil"/>
              <w:bottom w:val="single" w:sz="4" w:space="0" w:color="auto"/>
              <w:right w:val="single" w:sz="4" w:space="0" w:color="auto"/>
            </w:tcBorders>
            <w:noWrap/>
            <w:vAlign w:val="bottom"/>
            <w:hideMark/>
          </w:tcPr>
          <w:p w14:paraId="030BA1B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19.80</w:t>
            </w:r>
          </w:p>
        </w:tc>
        <w:tc>
          <w:tcPr>
            <w:tcW w:w="1060" w:type="dxa"/>
            <w:tcBorders>
              <w:top w:val="nil"/>
              <w:left w:val="nil"/>
              <w:bottom w:val="single" w:sz="4" w:space="0" w:color="auto"/>
              <w:right w:val="single" w:sz="4" w:space="0" w:color="auto"/>
            </w:tcBorders>
            <w:noWrap/>
            <w:vAlign w:val="bottom"/>
            <w:hideMark/>
          </w:tcPr>
          <w:p w14:paraId="7048928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2B2A2ED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13D202E8"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68E4663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w:t>
            </w:r>
          </w:p>
        </w:tc>
        <w:tc>
          <w:tcPr>
            <w:tcW w:w="672" w:type="dxa"/>
            <w:tcBorders>
              <w:top w:val="nil"/>
              <w:left w:val="nil"/>
              <w:bottom w:val="single" w:sz="4" w:space="0" w:color="auto"/>
              <w:right w:val="single" w:sz="4" w:space="0" w:color="auto"/>
            </w:tcBorders>
            <w:noWrap/>
            <w:vAlign w:val="bottom"/>
            <w:hideMark/>
          </w:tcPr>
          <w:p w14:paraId="1D32AB3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33.71</w:t>
            </w:r>
          </w:p>
        </w:tc>
        <w:tc>
          <w:tcPr>
            <w:tcW w:w="0" w:type="auto"/>
            <w:tcBorders>
              <w:top w:val="nil"/>
              <w:left w:val="nil"/>
              <w:bottom w:val="single" w:sz="4" w:space="0" w:color="auto"/>
              <w:right w:val="single" w:sz="4" w:space="0" w:color="auto"/>
            </w:tcBorders>
            <w:noWrap/>
            <w:vAlign w:val="bottom"/>
            <w:hideMark/>
          </w:tcPr>
          <w:p w14:paraId="3BDE54C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32.35</w:t>
            </w:r>
          </w:p>
        </w:tc>
        <w:tc>
          <w:tcPr>
            <w:tcW w:w="0" w:type="auto"/>
            <w:tcBorders>
              <w:top w:val="nil"/>
              <w:left w:val="nil"/>
              <w:bottom w:val="single" w:sz="4" w:space="0" w:color="auto"/>
              <w:right w:val="single" w:sz="4" w:space="0" w:color="auto"/>
            </w:tcBorders>
            <w:noWrap/>
            <w:vAlign w:val="bottom"/>
            <w:hideMark/>
          </w:tcPr>
          <w:p w14:paraId="5B668E2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27.82</w:t>
            </w:r>
          </w:p>
        </w:tc>
        <w:tc>
          <w:tcPr>
            <w:tcW w:w="0" w:type="auto"/>
            <w:tcBorders>
              <w:top w:val="nil"/>
              <w:left w:val="nil"/>
              <w:bottom w:val="single" w:sz="4" w:space="0" w:color="auto"/>
              <w:right w:val="single" w:sz="4" w:space="0" w:color="auto"/>
            </w:tcBorders>
            <w:noWrap/>
            <w:vAlign w:val="bottom"/>
            <w:hideMark/>
          </w:tcPr>
          <w:p w14:paraId="0867B1A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29.10</w:t>
            </w:r>
          </w:p>
        </w:tc>
        <w:tc>
          <w:tcPr>
            <w:tcW w:w="0" w:type="auto"/>
            <w:tcBorders>
              <w:top w:val="nil"/>
              <w:left w:val="nil"/>
              <w:bottom w:val="single" w:sz="4" w:space="0" w:color="auto"/>
              <w:right w:val="single" w:sz="4" w:space="0" w:color="auto"/>
            </w:tcBorders>
            <w:noWrap/>
            <w:vAlign w:val="bottom"/>
            <w:hideMark/>
          </w:tcPr>
          <w:p w14:paraId="0D1629F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89.14</w:t>
            </w:r>
          </w:p>
        </w:tc>
        <w:tc>
          <w:tcPr>
            <w:tcW w:w="0" w:type="auto"/>
            <w:tcBorders>
              <w:top w:val="nil"/>
              <w:left w:val="nil"/>
              <w:bottom w:val="single" w:sz="4" w:space="0" w:color="auto"/>
              <w:right w:val="single" w:sz="4" w:space="0" w:color="auto"/>
            </w:tcBorders>
            <w:noWrap/>
            <w:vAlign w:val="bottom"/>
            <w:hideMark/>
          </w:tcPr>
          <w:p w14:paraId="265465E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88.42</w:t>
            </w:r>
          </w:p>
        </w:tc>
        <w:tc>
          <w:tcPr>
            <w:tcW w:w="0" w:type="auto"/>
            <w:tcBorders>
              <w:top w:val="nil"/>
              <w:left w:val="nil"/>
              <w:bottom w:val="single" w:sz="4" w:space="0" w:color="auto"/>
              <w:right w:val="single" w:sz="4" w:space="0" w:color="auto"/>
            </w:tcBorders>
            <w:noWrap/>
            <w:vAlign w:val="bottom"/>
            <w:hideMark/>
          </w:tcPr>
          <w:p w14:paraId="0ED56CB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6.14</w:t>
            </w:r>
          </w:p>
        </w:tc>
        <w:tc>
          <w:tcPr>
            <w:tcW w:w="0" w:type="auto"/>
            <w:tcBorders>
              <w:top w:val="nil"/>
              <w:left w:val="nil"/>
              <w:bottom w:val="single" w:sz="4" w:space="0" w:color="auto"/>
              <w:right w:val="single" w:sz="4" w:space="0" w:color="auto"/>
            </w:tcBorders>
            <w:noWrap/>
            <w:vAlign w:val="bottom"/>
            <w:hideMark/>
          </w:tcPr>
          <w:p w14:paraId="2CB770C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11.34</w:t>
            </w:r>
          </w:p>
        </w:tc>
        <w:tc>
          <w:tcPr>
            <w:tcW w:w="1060" w:type="dxa"/>
            <w:tcBorders>
              <w:top w:val="nil"/>
              <w:left w:val="nil"/>
              <w:bottom w:val="single" w:sz="4" w:space="0" w:color="auto"/>
              <w:right w:val="single" w:sz="4" w:space="0" w:color="auto"/>
            </w:tcBorders>
            <w:noWrap/>
            <w:vAlign w:val="bottom"/>
            <w:hideMark/>
          </w:tcPr>
          <w:p w14:paraId="146D8DA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49DF3A7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556314A6"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AC6297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w:t>
            </w:r>
          </w:p>
        </w:tc>
        <w:tc>
          <w:tcPr>
            <w:tcW w:w="672" w:type="dxa"/>
            <w:tcBorders>
              <w:top w:val="nil"/>
              <w:left w:val="nil"/>
              <w:bottom w:val="single" w:sz="4" w:space="0" w:color="auto"/>
              <w:right w:val="single" w:sz="4" w:space="0" w:color="auto"/>
            </w:tcBorders>
            <w:noWrap/>
            <w:vAlign w:val="bottom"/>
            <w:hideMark/>
          </w:tcPr>
          <w:p w14:paraId="1F309F8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33.82</w:t>
            </w:r>
          </w:p>
        </w:tc>
        <w:tc>
          <w:tcPr>
            <w:tcW w:w="0" w:type="auto"/>
            <w:tcBorders>
              <w:top w:val="nil"/>
              <w:left w:val="nil"/>
              <w:bottom w:val="single" w:sz="4" w:space="0" w:color="auto"/>
              <w:right w:val="single" w:sz="4" w:space="0" w:color="auto"/>
            </w:tcBorders>
            <w:noWrap/>
            <w:vAlign w:val="bottom"/>
            <w:hideMark/>
          </w:tcPr>
          <w:p w14:paraId="2763EE6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29.46</w:t>
            </w:r>
          </w:p>
        </w:tc>
        <w:tc>
          <w:tcPr>
            <w:tcW w:w="0" w:type="auto"/>
            <w:tcBorders>
              <w:top w:val="nil"/>
              <w:left w:val="nil"/>
              <w:bottom w:val="single" w:sz="4" w:space="0" w:color="auto"/>
              <w:right w:val="single" w:sz="4" w:space="0" w:color="auto"/>
            </w:tcBorders>
            <w:noWrap/>
            <w:vAlign w:val="bottom"/>
            <w:hideMark/>
          </w:tcPr>
          <w:p w14:paraId="3FBDDDC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29.28</w:t>
            </w:r>
          </w:p>
        </w:tc>
        <w:tc>
          <w:tcPr>
            <w:tcW w:w="0" w:type="auto"/>
            <w:tcBorders>
              <w:top w:val="nil"/>
              <w:left w:val="nil"/>
              <w:bottom w:val="single" w:sz="4" w:space="0" w:color="auto"/>
              <w:right w:val="single" w:sz="4" w:space="0" w:color="auto"/>
            </w:tcBorders>
            <w:noWrap/>
            <w:vAlign w:val="bottom"/>
            <w:hideMark/>
          </w:tcPr>
          <w:p w14:paraId="71F1040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27.10</w:t>
            </w:r>
          </w:p>
        </w:tc>
        <w:tc>
          <w:tcPr>
            <w:tcW w:w="0" w:type="auto"/>
            <w:tcBorders>
              <w:top w:val="nil"/>
              <w:left w:val="nil"/>
              <w:bottom w:val="single" w:sz="4" w:space="0" w:color="auto"/>
              <w:right w:val="single" w:sz="4" w:space="0" w:color="auto"/>
            </w:tcBorders>
            <w:noWrap/>
            <w:vAlign w:val="bottom"/>
            <w:hideMark/>
          </w:tcPr>
          <w:p w14:paraId="4633CB3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90.07</w:t>
            </w:r>
          </w:p>
        </w:tc>
        <w:tc>
          <w:tcPr>
            <w:tcW w:w="0" w:type="auto"/>
            <w:tcBorders>
              <w:top w:val="nil"/>
              <w:left w:val="nil"/>
              <w:bottom w:val="single" w:sz="4" w:space="0" w:color="auto"/>
              <w:right w:val="single" w:sz="4" w:space="0" w:color="auto"/>
            </w:tcBorders>
            <w:noWrap/>
            <w:vAlign w:val="bottom"/>
            <w:hideMark/>
          </w:tcPr>
          <w:p w14:paraId="4C070A6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94.07</w:t>
            </w:r>
          </w:p>
        </w:tc>
        <w:tc>
          <w:tcPr>
            <w:tcW w:w="0" w:type="auto"/>
            <w:tcBorders>
              <w:top w:val="nil"/>
              <w:left w:val="nil"/>
              <w:bottom w:val="single" w:sz="4" w:space="0" w:color="auto"/>
              <w:right w:val="single" w:sz="4" w:space="0" w:color="auto"/>
            </w:tcBorders>
            <w:noWrap/>
            <w:vAlign w:val="bottom"/>
            <w:hideMark/>
          </w:tcPr>
          <w:p w14:paraId="452768C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7.35</w:t>
            </w:r>
          </w:p>
        </w:tc>
        <w:tc>
          <w:tcPr>
            <w:tcW w:w="0" w:type="auto"/>
            <w:tcBorders>
              <w:top w:val="nil"/>
              <w:left w:val="nil"/>
              <w:bottom w:val="single" w:sz="4" w:space="0" w:color="auto"/>
              <w:right w:val="single" w:sz="4" w:space="0" w:color="auto"/>
            </w:tcBorders>
            <w:noWrap/>
            <w:vAlign w:val="bottom"/>
            <w:hideMark/>
          </w:tcPr>
          <w:p w14:paraId="13EADC0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10.14</w:t>
            </w:r>
          </w:p>
        </w:tc>
        <w:tc>
          <w:tcPr>
            <w:tcW w:w="1060" w:type="dxa"/>
            <w:tcBorders>
              <w:top w:val="nil"/>
              <w:left w:val="nil"/>
              <w:bottom w:val="single" w:sz="4" w:space="0" w:color="auto"/>
              <w:right w:val="single" w:sz="4" w:space="0" w:color="auto"/>
            </w:tcBorders>
            <w:noWrap/>
            <w:vAlign w:val="bottom"/>
            <w:hideMark/>
          </w:tcPr>
          <w:p w14:paraId="3407D48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2B72278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2554BD7B"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551BFD6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w:t>
            </w:r>
          </w:p>
        </w:tc>
        <w:tc>
          <w:tcPr>
            <w:tcW w:w="672" w:type="dxa"/>
            <w:tcBorders>
              <w:top w:val="nil"/>
              <w:left w:val="nil"/>
              <w:bottom w:val="single" w:sz="4" w:space="0" w:color="auto"/>
              <w:right w:val="single" w:sz="4" w:space="0" w:color="auto"/>
            </w:tcBorders>
            <w:noWrap/>
            <w:vAlign w:val="bottom"/>
            <w:hideMark/>
          </w:tcPr>
          <w:p w14:paraId="2DD4E46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32.42</w:t>
            </w:r>
          </w:p>
        </w:tc>
        <w:tc>
          <w:tcPr>
            <w:tcW w:w="0" w:type="auto"/>
            <w:tcBorders>
              <w:top w:val="nil"/>
              <w:left w:val="nil"/>
              <w:bottom w:val="single" w:sz="4" w:space="0" w:color="auto"/>
              <w:right w:val="single" w:sz="4" w:space="0" w:color="auto"/>
            </w:tcBorders>
            <w:noWrap/>
            <w:vAlign w:val="bottom"/>
            <w:hideMark/>
          </w:tcPr>
          <w:p w14:paraId="5B4B460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32.71</w:t>
            </w:r>
          </w:p>
        </w:tc>
        <w:tc>
          <w:tcPr>
            <w:tcW w:w="0" w:type="auto"/>
            <w:tcBorders>
              <w:top w:val="nil"/>
              <w:left w:val="nil"/>
              <w:bottom w:val="single" w:sz="4" w:space="0" w:color="auto"/>
              <w:right w:val="single" w:sz="4" w:space="0" w:color="auto"/>
            </w:tcBorders>
            <w:noWrap/>
            <w:vAlign w:val="bottom"/>
            <w:hideMark/>
          </w:tcPr>
          <w:p w14:paraId="71C9F84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6C47443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0510CC4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89.93</w:t>
            </w:r>
          </w:p>
        </w:tc>
        <w:tc>
          <w:tcPr>
            <w:tcW w:w="0" w:type="auto"/>
            <w:tcBorders>
              <w:top w:val="nil"/>
              <w:left w:val="nil"/>
              <w:bottom w:val="single" w:sz="4" w:space="0" w:color="auto"/>
              <w:right w:val="single" w:sz="4" w:space="0" w:color="auto"/>
            </w:tcBorders>
            <w:noWrap/>
            <w:vAlign w:val="bottom"/>
            <w:hideMark/>
          </w:tcPr>
          <w:p w14:paraId="7079484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88.64</w:t>
            </w:r>
          </w:p>
        </w:tc>
        <w:tc>
          <w:tcPr>
            <w:tcW w:w="0" w:type="auto"/>
            <w:tcBorders>
              <w:top w:val="nil"/>
              <w:left w:val="nil"/>
              <w:bottom w:val="single" w:sz="4" w:space="0" w:color="auto"/>
              <w:right w:val="single" w:sz="4" w:space="0" w:color="auto"/>
            </w:tcBorders>
            <w:noWrap/>
            <w:vAlign w:val="bottom"/>
            <w:hideMark/>
          </w:tcPr>
          <w:p w14:paraId="77D5F9F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5.02</w:t>
            </w:r>
          </w:p>
        </w:tc>
        <w:tc>
          <w:tcPr>
            <w:tcW w:w="0" w:type="auto"/>
            <w:tcBorders>
              <w:top w:val="nil"/>
              <w:left w:val="nil"/>
              <w:bottom w:val="single" w:sz="4" w:space="0" w:color="auto"/>
              <w:right w:val="single" w:sz="4" w:space="0" w:color="auto"/>
            </w:tcBorders>
            <w:noWrap/>
            <w:vAlign w:val="bottom"/>
            <w:hideMark/>
          </w:tcPr>
          <w:p w14:paraId="66E391C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9.92</w:t>
            </w:r>
          </w:p>
        </w:tc>
        <w:tc>
          <w:tcPr>
            <w:tcW w:w="1060" w:type="dxa"/>
            <w:tcBorders>
              <w:top w:val="nil"/>
              <w:left w:val="nil"/>
              <w:bottom w:val="single" w:sz="4" w:space="0" w:color="auto"/>
              <w:right w:val="single" w:sz="4" w:space="0" w:color="auto"/>
            </w:tcBorders>
            <w:noWrap/>
            <w:vAlign w:val="bottom"/>
            <w:hideMark/>
          </w:tcPr>
          <w:p w14:paraId="435D8FA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775C271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2616A545"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3EF5D19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w:t>
            </w:r>
          </w:p>
        </w:tc>
        <w:tc>
          <w:tcPr>
            <w:tcW w:w="672" w:type="dxa"/>
            <w:tcBorders>
              <w:top w:val="nil"/>
              <w:left w:val="nil"/>
              <w:bottom w:val="single" w:sz="4" w:space="0" w:color="auto"/>
              <w:right w:val="single" w:sz="4" w:space="0" w:color="auto"/>
            </w:tcBorders>
            <w:noWrap/>
            <w:vAlign w:val="bottom"/>
            <w:hideMark/>
          </w:tcPr>
          <w:p w14:paraId="7776EA7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33.67</w:t>
            </w:r>
          </w:p>
        </w:tc>
        <w:tc>
          <w:tcPr>
            <w:tcW w:w="0" w:type="auto"/>
            <w:tcBorders>
              <w:top w:val="nil"/>
              <w:left w:val="nil"/>
              <w:bottom w:val="single" w:sz="4" w:space="0" w:color="auto"/>
              <w:right w:val="single" w:sz="4" w:space="0" w:color="auto"/>
            </w:tcBorders>
            <w:noWrap/>
            <w:vAlign w:val="bottom"/>
            <w:hideMark/>
          </w:tcPr>
          <w:p w14:paraId="280CE7A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33.03</w:t>
            </w:r>
          </w:p>
        </w:tc>
        <w:tc>
          <w:tcPr>
            <w:tcW w:w="0" w:type="auto"/>
            <w:tcBorders>
              <w:top w:val="nil"/>
              <w:left w:val="nil"/>
              <w:bottom w:val="single" w:sz="4" w:space="0" w:color="auto"/>
              <w:right w:val="single" w:sz="4" w:space="0" w:color="auto"/>
            </w:tcBorders>
            <w:noWrap/>
            <w:vAlign w:val="bottom"/>
            <w:hideMark/>
          </w:tcPr>
          <w:p w14:paraId="12202CE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28.89</w:t>
            </w:r>
          </w:p>
        </w:tc>
        <w:tc>
          <w:tcPr>
            <w:tcW w:w="0" w:type="auto"/>
            <w:tcBorders>
              <w:top w:val="nil"/>
              <w:left w:val="nil"/>
              <w:bottom w:val="single" w:sz="4" w:space="0" w:color="auto"/>
              <w:right w:val="single" w:sz="4" w:space="0" w:color="auto"/>
            </w:tcBorders>
            <w:noWrap/>
            <w:vAlign w:val="bottom"/>
            <w:hideMark/>
          </w:tcPr>
          <w:p w14:paraId="7767E3C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29.57</w:t>
            </w:r>
          </w:p>
        </w:tc>
        <w:tc>
          <w:tcPr>
            <w:tcW w:w="0" w:type="auto"/>
            <w:tcBorders>
              <w:top w:val="nil"/>
              <w:left w:val="nil"/>
              <w:bottom w:val="single" w:sz="4" w:space="0" w:color="auto"/>
              <w:right w:val="single" w:sz="4" w:space="0" w:color="auto"/>
            </w:tcBorders>
            <w:noWrap/>
            <w:vAlign w:val="bottom"/>
            <w:hideMark/>
          </w:tcPr>
          <w:p w14:paraId="679A09C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87.43</w:t>
            </w:r>
          </w:p>
        </w:tc>
        <w:tc>
          <w:tcPr>
            <w:tcW w:w="0" w:type="auto"/>
            <w:tcBorders>
              <w:top w:val="nil"/>
              <w:left w:val="nil"/>
              <w:bottom w:val="single" w:sz="4" w:space="0" w:color="auto"/>
              <w:right w:val="single" w:sz="4" w:space="0" w:color="auto"/>
            </w:tcBorders>
            <w:noWrap/>
            <w:vAlign w:val="bottom"/>
            <w:hideMark/>
          </w:tcPr>
          <w:p w14:paraId="1B770CD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86.28</w:t>
            </w:r>
          </w:p>
        </w:tc>
        <w:tc>
          <w:tcPr>
            <w:tcW w:w="0" w:type="auto"/>
            <w:tcBorders>
              <w:top w:val="nil"/>
              <w:left w:val="nil"/>
              <w:bottom w:val="single" w:sz="4" w:space="0" w:color="auto"/>
              <w:right w:val="single" w:sz="4" w:space="0" w:color="auto"/>
            </w:tcBorders>
            <w:noWrap/>
            <w:vAlign w:val="bottom"/>
            <w:hideMark/>
          </w:tcPr>
          <w:p w14:paraId="41334D6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4.97</w:t>
            </w:r>
          </w:p>
        </w:tc>
        <w:tc>
          <w:tcPr>
            <w:tcW w:w="0" w:type="auto"/>
            <w:tcBorders>
              <w:top w:val="nil"/>
              <w:left w:val="nil"/>
              <w:bottom w:val="single" w:sz="4" w:space="0" w:color="auto"/>
              <w:right w:val="single" w:sz="4" w:space="0" w:color="auto"/>
            </w:tcBorders>
            <w:noWrap/>
            <w:vAlign w:val="bottom"/>
            <w:hideMark/>
          </w:tcPr>
          <w:p w14:paraId="682D009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0.14</w:t>
            </w:r>
          </w:p>
        </w:tc>
        <w:tc>
          <w:tcPr>
            <w:tcW w:w="1060" w:type="dxa"/>
            <w:tcBorders>
              <w:top w:val="nil"/>
              <w:left w:val="nil"/>
              <w:bottom w:val="single" w:sz="4" w:space="0" w:color="auto"/>
              <w:right w:val="single" w:sz="4" w:space="0" w:color="auto"/>
            </w:tcBorders>
            <w:noWrap/>
            <w:vAlign w:val="bottom"/>
            <w:hideMark/>
          </w:tcPr>
          <w:p w14:paraId="217DA0F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6B93F4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32B096A1"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4DCEFD5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34</w:t>
            </w:r>
          </w:p>
        </w:tc>
        <w:tc>
          <w:tcPr>
            <w:tcW w:w="672" w:type="dxa"/>
            <w:tcBorders>
              <w:top w:val="nil"/>
              <w:left w:val="nil"/>
              <w:bottom w:val="single" w:sz="4" w:space="0" w:color="auto"/>
              <w:right w:val="single" w:sz="4" w:space="0" w:color="auto"/>
            </w:tcBorders>
            <w:noWrap/>
            <w:vAlign w:val="bottom"/>
            <w:hideMark/>
          </w:tcPr>
          <w:p w14:paraId="18D9D21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32.60</w:t>
            </w:r>
          </w:p>
        </w:tc>
        <w:tc>
          <w:tcPr>
            <w:tcW w:w="0" w:type="auto"/>
            <w:tcBorders>
              <w:top w:val="nil"/>
              <w:left w:val="nil"/>
              <w:bottom w:val="single" w:sz="4" w:space="0" w:color="auto"/>
              <w:right w:val="single" w:sz="4" w:space="0" w:color="auto"/>
            </w:tcBorders>
            <w:noWrap/>
            <w:vAlign w:val="bottom"/>
            <w:hideMark/>
          </w:tcPr>
          <w:p w14:paraId="775C996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32.42</w:t>
            </w:r>
          </w:p>
        </w:tc>
        <w:tc>
          <w:tcPr>
            <w:tcW w:w="0" w:type="auto"/>
            <w:tcBorders>
              <w:top w:val="nil"/>
              <w:left w:val="nil"/>
              <w:bottom w:val="single" w:sz="4" w:space="0" w:color="auto"/>
              <w:right w:val="single" w:sz="4" w:space="0" w:color="auto"/>
            </w:tcBorders>
            <w:noWrap/>
            <w:vAlign w:val="bottom"/>
            <w:hideMark/>
          </w:tcPr>
          <w:p w14:paraId="3675422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28.57</w:t>
            </w:r>
          </w:p>
        </w:tc>
        <w:tc>
          <w:tcPr>
            <w:tcW w:w="0" w:type="auto"/>
            <w:tcBorders>
              <w:top w:val="nil"/>
              <w:left w:val="nil"/>
              <w:bottom w:val="single" w:sz="4" w:space="0" w:color="auto"/>
              <w:right w:val="single" w:sz="4" w:space="0" w:color="auto"/>
            </w:tcBorders>
            <w:noWrap/>
            <w:vAlign w:val="bottom"/>
            <w:hideMark/>
          </w:tcPr>
          <w:p w14:paraId="4B78C90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31.32</w:t>
            </w:r>
          </w:p>
        </w:tc>
        <w:tc>
          <w:tcPr>
            <w:tcW w:w="0" w:type="auto"/>
            <w:tcBorders>
              <w:top w:val="nil"/>
              <w:left w:val="nil"/>
              <w:bottom w:val="single" w:sz="4" w:space="0" w:color="auto"/>
              <w:right w:val="single" w:sz="4" w:space="0" w:color="auto"/>
            </w:tcBorders>
            <w:noWrap/>
            <w:vAlign w:val="bottom"/>
            <w:hideMark/>
          </w:tcPr>
          <w:p w14:paraId="73C52E7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88.71</w:t>
            </w:r>
          </w:p>
        </w:tc>
        <w:tc>
          <w:tcPr>
            <w:tcW w:w="0" w:type="auto"/>
            <w:tcBorders>
              <w:top w:val="nil"/>
              <w:left w:val="nil"/>
              <w:bottom w:val="single" w:sz="4" w:space="0" w:color="auto"/>
              <w:right w:val="single" w:sz="4" w:space="0" w:color="auto"/>
            </w:tcBorders>
            <w:noWrap/>
            <w:vAlign w:val="bottom"/>
            <w:hideMark/>
          </w:tcPr>
          <w:p w14:paraId="6E938C8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85.78</w:t>
            </w:r>
          </w:p>
        </w:tc>
        <w:tc>
          <w:tcPr>
            <w:tcW w:w="0" w:type="auto"/>
            <w:tcBorders>
              <w:top w:val="nil"/>
              <w:left w:val="nil"/>
              <w:bottom w:val="single" w:sz="4" w:space="0" w:color="auto"/>
              <w:right w:val="single" w:sz="4" w:space="0" w:color="auto"/>
            </w:tcBorders>
            <w:noWrap/>
            <w:vAlign w:val="bottom"/>
            <w:hideMark/>
          </w:tcPr>
          <w:p w14:paraId="2D82EB0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19.00</w:t>
            </w:r>
          </w:p>
        </w:tc>
        <w:tc>
          <w:tcPr>
            <w:tcW w:w="0" w:type="auto"/>
            <w:tcBorders>
              <w:top w:val="nil"/>
              <w:left w:val="nil"/>
              <w:bottom w:val="single" w:sz="4" w:space="0" w:color="auto"/>
              <w:right w:val="single" w:sz="4" w:space="0" w:color="auto"/>
            </w:tcBorders>
            <w:noWrap/>
            <w:vAlign w:val="bottom"/>
            <w:hideMark/>
          </w:tcPr>
          <w:p w14:paraId="127FA9F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5.24</w:t>
            </w:r>
          </w:p>
        </w:tc>
        <w:tc>
          <w:tcPr>
            <w:tcW w:w="1060" w:type="dxa"/>
            <w:tcBorders>
              <w:top w:val="nil"/>
              <w:left w:val="nil"/>
              <w:bottom w:val="nil"/>
              <w:right w:val="single" w:sz="4" w:space="0" w:color="auto"/>
            </w:tcBorders>
            <w:noWrap/>
            <w:vAlign w:val="bottom"/>
            <w:hideMark/>
          </w:tcPr>
          <w:p w14:paraId="46A724B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15387A1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r w:rsidR="001709B0" w:rsidRPr="00DE77C3" w14:paraId="14952408"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3B8F62E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35</w:t>
            </w:r>
          </w:p>
        </w:tc>
        <w:tc>
          <w:tcPr>
            <w:tcW w:w="672" w:type="dxa"/>
            <w:tcBorders>
              <w:top w:val="nil"/>
              <w:left w:val="nil"/>
              <w:bottom w:val="single" w:sz="4" w:space="0" w:color="auto"/>
              <w:right w:val="single" w:sz="4" w:space="0" w:color="auto"/>
            </w:tcBorders>
            <w:noWrap/>
            <w:vAlign w:val="bottom"/>
            <w:hideMark/>
          </w:tcPr>
          <w:p w14:paraId="06D1E52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32.71</w:t>
            </w:r>
          </w:p>
        </w:tc>
        <w:tc>
          <w:tcPr>
            <w:tcW w:w="0" w:type="auto"/>
            <w:tcBorders>
              <w:top w:val="nil"/>
              <w:left w:val="nil"/>
              <w:bottom w:val="single" w:sz="4" w:space="0" w:color="auto"/>
              <w:right w:val="single" w:sz="4" w:space="0" w:color="auto"/>
            </w:tcBorders>
            <w:noWrap/>
            <w:vAlign w:val="bottom"/>
            <w:hideMark/>
          </w:tcPr>
          <w:p w14:paraId="3D51BE1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32.82</w:t>
            </w:r>
          </w:p>
        </w:tc>
        <w:tc>
          <w:tcPr>
            <w:tcW w:w="0" w:type="auto"/>
            <w:tcBorders>
              <w:top w:val="nil"/>
              <w:left w:val="nil"/>
              <w:bottom w:val="single" w:sz="4" w:space="0" w:color="auto"/>
              <w:right w:val="single" w:sz="4" w:space="0" w:color="auto"/>
            </w:tcBorders>
            <w:noWrap/>
            <w:vAlign w:val="bottom"/>
            <w:hideMark/>
          </w:tcPr>
          <w:p w14:paraId="03F69B4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28.42</w:t>
            </w:r>
          </w:p>
        </w:tc>
        <w:tc>
          <w:tcPr>
            <w:tcW w:w="0" w:type="auto"/>
            <w:tcBorders>
              <w:top w:val="nil"/>
              <w:left w:val="nil"/>
              <w:bottom w:val="single" w:sz="4" w:space="0" w:color="auto"/>
              <w:right w:val="single" w:sz="4" w:space="0" w:color="auto"/>
            </w:tcBorders>
            <w:noWrap/>
            <w:vAlign w:val="bottom"/>
            <w:hideMark/>
          </w:tcPr>
          <w:p w14:paraId="26AEBBB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30.53</w:t>
            </w:r>
          </w:p>
        </w:tc>
        <w:tc>
          <w:tcPr>
            <w:tcW w:w="0" w:type="auto"/>
            <w:tcBorders>
              <w:top w:val="nil"/>
              <w:left w:val="nil"/>
              <w:bottom w:val="single" w:sz="4" w:space="0" w:color="auto"/>
              <w:right w:val="single" w:sz="4" w:space="0" w:color="auto"/>
            </w:tcBorders>
            <w:noWrap/>
            <w:vAlign w:val="bottom"/>
            <w:hideMark/>
          </w:tcPr>
          <w:p w14:paraId="18654B8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79.93</w:t>
            </w:r>
          </w:p>
        </w:tc>
        <w:tc>
          <w:tcPr>
            <w:tcW w:w="0" w:type="auto"/>
            <w:tcBorders>
              <w:top w:val="nil"/>
              <w:left w:val="nil"/>
              <w:bottom w:val="single" w:sz="4" w:space="0" w:color="auto"/>
              <w:right w:val="single" w:sz="4" w:space="0" w:color="auto"/>
            </w:tcBorders>
            <w:noWrap/>
            <w:vAlign w:val="bottom"/>
            <w:hideMark/>
          </w:tcPr>
          <w:p w14:paraId="010F5C4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86.35</w:t>
            </w:r>
          </w:p>
        </w:tc>
        <w:tc>
          <w:tcPr>
            <w:tcW w:w="0" w:type="auto"/>
            <w:tcBorders>
              <w:top w:val="nil"/>
              <w:left w:val="nil"/>
              <w:bottom w:val="single" w:sz="4" w:space="0" w:color="auto"/>
              <w:right w:val="single" w:sz="4" w:space="0" w:color="auto"/>
            </w:tcBorders>
            <w:noWrap/>
            <w:vAlign w:val="bottom"/>
            <w:hideMark/>
          </w:tcPr>
          <w:p w14:paraId="4553C84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6.75</w:t>
            </w:r>
          </w:p>
        </w:tc>
        <w:tc>
          <w:tcPr>
            <w:tcW w:w="0" w:type="auto"/>
            <w:tcBorders>
              <w:top w:val="nil"/>
              <w:left w:val="nil"/>
              <w:bottom w:val="single" w:sz="4" w:space="0" w:color="auto"/>
              <w:right w:val="single" w:sz="4" w:space="0" w:color="auto"/>
            </w:tcBorders>
            <w:noWrap/>
            <w:vAlign w:val="bottom"/>
            <w:hideMark/>
          </w:tcPr>
          <w:p w14:paraId="3A37971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1.35</w:t>
            </w:r>
          </w:p>
        </w:tc>
        <w:tc>
          <w:tcPr>
            <w:tcW w:w="1060" w:type="dxa"/>
            <w:tcBorders>
              <w:top w:val="single" w:sz="4" w:space="0" w:color="auto"/>
              <w:left w:val="nil"/>
              <w:bottom w:val="single" w:sz="4" w:space="0" w:color="auto"/>
              <w:right w:val="single" w:sz="4" w:space="0" w:color="auto"/>
            </w:tcBorders>
            <w:noWrap/>
            <w:vAlign w:val="bottom"/>
            <w:hideMark/>
          </w:tcPr>
          <w:p w14:paraId="01AB913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1.85</w:t>
            </w:r>
          </w:p>
        </w:tc>
        <w:tc>
          <w:tcPr>
            <w:tcW w:w="1034" w:type="dxa"/>
            <w:tcBorders>
              <w:top w:val="nil"/>
              <w:left w:val="nil"/>
              <w:bottom w:val="single" w:sz="4" w:space="0" w:color="auto"/>
              <w:right w:val="single" w:sz="4" w:space="0" w:color="auto"/>
            </w:tcBorders>
            <w:noWrap/>
            <w:vAlign w:val="bottom"/>
            <w:hideMark/>
          </w:tcPr>
          <w:p w14:paraId="2DEDBDB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3.00</w:t>
            </w:r>
          </w:p>
        </w:tc>
      </w:tr>
      <w:tr w:rsidR="001709B0" w:rsidRPr="00DE77C3" w14:paraId="52B3C829"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3893F0A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36</w:t>
            </w:r>
          </w:p>
        </w:tc>
        <w:tc>
          <w:tcPr>
            <w:tcW w:w="672" w:type="dxa"/>
            <w:tcBorders>
              <w:top w:val="nil"/>
              <w:left w:val="nil"/>
              <w:bottom w:val="single" w:sz="4" w:space="0" w:color="auto"/>
              <w:right w:val="single" w:sz="4" w:space="0" w:color="auto"/>
            </w:tcBorders>
            <w:noWrap/>
            <w:vAlign w:val="bottom"/>
            <w:hideMark/>
          </w:tcPr>
          <w:p w14:paraId="1E83A41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34.57</w:t>
            </w:r>
          </w:p>
        </w:tc>
        <w:tc>
          <w:tcPr>
            <w:tcW w:w="0" w:type="auto"/>
            <w:tcBorders>
              <w:top w:val="nil"/>
              <w:left w:val="nil"/>
              <w:bottom w:val="single" w:sz="4" w:space="0" w:color="auto"/>
              <w:right w:val="single" w:sz="4" w:space="0" w:color="auto"/>
            </w:tcBorders>
            <w:noWrap/>
            <w:vAlign w:val="bottom"/>
            <w:hideMark/>
          </w:tcPr>
          <w:p w14:paraId="3B3AB80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33.10</w:t>
            </w:r>
          </w:p>
        </w:tc>
        <w:tc>
          <w:tcPr>
            <w:tcW w:w="0" w:type="auto"/>
            <w:tcBorders>
              <w:top w:val="nil"/>
              <w:left w:val="nil"/>
              <w:bottom w:val="single" w:sz="4" w:space="0" w:color="auto"/>
              <w:right w:val="single" w:sz="4" w:space="0" w:color="auto"/>
            </w:tcBorders>
            <w:noWrap/>
            <w:vAlign w:val="bottom"/>
            <w:hideMark/>
          </w:tcPr>
          <w:p w14:paraId="56B2F52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29.71</w:t>
            </w:r>
          </w:p>
        </w:tc>
        <w:tc>
          <w:tcPr>
            <w:tcW w:w="0" w:type="auto"/>
            <w:tcBorders>
              <w:top w:val="nil"/>
              <w:left w:val="nil"/>
              <w:bottom w:val="single" w:sz="4" w:space="0" w:color="auto"/>
              <w:right w:val="single" w:sz="4" w:space="0" w:color="auto"/>
            </w:tcBorders>
            <w:noWrap/>
            <w:vAlign w:val="bottom"/>
            <w:hideMark/>
          </w:tcPr>
          <w:p w14:paraId="2A73C8B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29.42</w:t>
            </w:r>
          </w:p>
        </w:tc>
        <w:tc>
          <w:tcPr>
            <w:tcW w:w="0" w:type="auto"/>
            <w:tcBorders>
              <w:top w:val="nil"/>
              <w:left w:val="nil"/>
              <w:bottom w:val="single" w:sz="4" w:space="0" w:color="auto"/>
              <w:right w:val="single" w:sz="4" w:space="0" w:color="auto"/>
            </w:tcBorders>
            <w:noWrap/>
            <w:vAlign w:val="bottom"/>
            <w:hideMark/>
          </w:tcPr>
          <w:p w14:paraId="36E8BFE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81.92</w:t>
            </w:r>
          </w:p>
        </w:tc>
        <w:tc>
          <w:tcPr>
            <w:tcW w:w="0" w:type="auto"/>
            <w:tcBorders>
              <w:top w:val="nil"/>
              <w:left w:val="nil"/>
              <w:bottom w:val="single" w:sz="4" w:space="0" w:color="auto"/>
              <w:right w:val="single" w:sz="4" w:space="0" w:color="auto"/>
            </w:tcBorders>
            <w:noWrap/>
            <w:vAlign w:val="bottom"/>
            <w:hideMark/>
          </w:tcPr>
          <w:p w14:paraId="1A1687B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84.21</w:t>
            </w:r>
          </w:p>
        </w:tc>
        <w:tc>
          <w:tcPr>
            <w:tcW w:w="0" w:type="auto"/>
            <w:tcBorders>
              <w:top w:val="nil"/>
              <w:left w:val="nil"/>
              <w:bottom w:val="single" w:sz="4" w:space="0" w:color="auto"/>
              <w:right w:val="single" w:sz="4" w:space="0" w:color="auto"/>
            </w:tcBorders>
            <w:noWrap/>
            <w:vAlign w:val="bottom"/>
            <w:hideMark/>
          </w:tcPr>
          <w:p w14:paraId="6D62257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1.78</w:t>
            </w:r>
          </w:p>
        </w:tc>
        <w:tc>
          <w:tcPr>
            <w:tcW w:w="0" w:type="auto"/>
            <w:tcBorders>
              <w:top w:val="nil"/>
              <w:left w:val="nil"/>
              <w:bottom w:val="single" w:sz="4" w:space="0" w:color="auto"/>
              <w:right w:val="single" w:sz="4" w:space="0" w:color="auto"/>
            </w:tcBorders>
            <w:noWrap/>
            <w:vAlign w:val="bottom"/>
            <w:hideMark/>
          </w:tcPr>
          <w:p w14:paraId="69433A5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2.57</w:t>
            </w:r>
          </w:p>
        </w:tc>
        <w:tc>
          <w:tcPr>
            <w:tcW w:w="1060" w:type="dxa"/>
            <w:tcBorders>
              <w:top w:val="nil"/>
              <w:left w:val="nil"/>
              <w:bottom w:val="single" w:sz="4" w:space="0" w:color="auto"/>
              <w:right w:val="single" w:sz="4" w:space="0" w:color="auto"/>
            </w:tcBorders>
            <w:noWrap/>
            <w:vAlign w:val="bottom"/>
            <w:hideMark/>
          </w:tcPr>
          <w:p w14:paraId="5321F0C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16.20</w:t>
            </w:r>
          </w:p>
        </w:tc>
        <w:tc>
          <w:tcPr>
            <w:tcW w:w="1034" w:type="dxa"/>
            <w:tcBorders>
              <w:top w:val="nil"/>
              <w:left w:val="nil"/>
              <w:bottom w:val="single" w:sz="4" w:space="0" w:color="auto"/>
              <w:right w:val="single" w:sz="4" w:space="0" w:color="auto"/>
            </w:tcBorders>
            <w:noWrap/>
            <w:vAlign w:val="bottom"/>
            <w:hideMark/>
          </w:tcPr>
          <w:p w14:paraId="581FB01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9.50</w:t>
            </w:r>
          </w:p>
        </w:tc>
      </w:tr>
      <w:tr w:rsidR="001709B0" w:rsidRPr="00DE77C3" w14:paraId="5E68A933"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5612AA4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w:t>
            </w:r>
          </w:p>
        </w:tc>
        <w:tc>
          <w:tcPr>
            <w:tcW w:w="672" w:type="dxa"/>
            <w:tcBorders>
              <w:top w:val="nil"/>
              <w:left w:val="nil"/>
              <w:bottom w:val="single" w:sz="4" w:space="0" w:color="auto"/>
              <w:right w:val="single" w:sz="4" w:space="0" w:color="auto"/>
            </w:tcBorders>
            <w:noWrap/>
            <w:vAlign w:val="bottom"/>
            <w:hideMark/>
          </w:tcPr>
          <w:p w14:paraId="251A65E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32.60</w:t>
            </w:r>
          </w:p>
        </w:tc>
        <w:tc>
          <w:tcPr>
            <w:tcW w:w="0" w:type="auto"/>
            <w:tcBorders>
              <w:top w:val="nil"/>
              <w:left w:val="nil"/>
              <w:bottom w:val="single" w:sz="4" w:space="0" w:color="auto"/>
              <w:right w:val="single" w:sz="4" w:space="0" w:color="auto"/>
            </w:tcBorders>
            <w:noWrap/>
            <w:vAlign w:val="bottom"/>
            <w:hideMark/>
          </w:tcPr>
          <w:p w14:paraId="00C3B35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33.03</w:t>
            </w:r>
          </w:p>
        </w:tc>
        <w:tc>
          <w:tcPr>
            <w:tcW w:w="0" w:type="auto"/>
            <w:tcBorders>
              <w:top w:val="nil"/>
              <w:left w:val="nil"/>
              <w:bottom w:val="single" w:sz="4" w:space="0" w:color="auto"/>
              <w:right w:val="single" w:sz="4" w:space="0" w:color="auto"/>
            </w:tcBorders>
            <w:noWrap/>
            <w:vAlign w:val="bottom"/>
            <w:hideMark/>
          </w:tcPr>
          <w:p w14:paraId="6EC416C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28.64</w:t>
            </w:r>
          </w:p>
        </w:tc>
        <w:tc>
          <w:tcPr>
            <w:tcW w:w="0" w:type="auto"/>
            <w:tcBorders>
              <w:top w:val="nil"/>
              <w:left w:val="nil"/>
              <w:bottom w:val="single" w:sz="4" w:space="0" w:color="auto"/>
              <w:right w:val="single" w:sz="4" w:space="0" w:color="auto"/>
            </w:tcBorders>
            <w:noWrap/>
            <w:vAlign w:val="bottom"/>
            <w:hideMark/>
          </w:tcPr>
          <w:p w14:paraId="73AB9C8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29.32</w:t>
            </w:r>
          </w:p>
        </w:tc>
        <w:tc>
          <w:tcPr>
            <w:tcW w:w="0" w:type="auto"/>
            <w:tcBorders>
              <w:top w:val="nil"/>
              <w:left w:val="nil"/>
              <w:bottom w:val="single" w:sz="4" w:space="0" w:color="auto"/>
              <w:right w:val="single" w:sz="4" w:space="0" w:color="auto"/>
            </w:tcBorders>
            <w:noWrap/>
            <w:vAlign w:val="bottom"/>
            <w:hideMark/>
          </w:tcPr>
          <w:p w14:paraId="19A0B53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85.64</w:t>
            </w:r>
          </w:p>
        </w:tc>
        <w:tc>
          <w:tcPr>
            <w:tcW w:w="0" w:type="auto"/>
            <w:tcBorders>
              <w:top w:val="nil"/>
              <w:left w:val="nil"/>
              <w:bottom w:val="single" w:sz="4" w:space="0" w:color="auto"/>
              <w:right w:val="single" w:sz="4" w:space="0" w:color="auto"/>
            </w:tcBorders>
            <w:noWrap/>
            <w:vAlign w:val="bottom"/>
            <w:hideMark/>
          </w:tcPr>
          <w:p w14:paraId="4554040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85.80</w:t>
            </w:r>
          </w:p>
        </w:tc>
        <w:tc>
          <w:tcPr>
            <w:tcW w:w="0" w:type="auto"/>
            <w:tcBorders>
              <w:top w:val="nil"/>
              <w:left w:val="nil"/>
              <w:bottom w:val="single" w:sz="4" w:space="0" w:color="auto"/>
              <w:right w:val="single" w:sz="4" w:space="0" w:color="auto"/>
            </w:tcBorders>
            <w:noWrap/>
            <w:vAlign w:val="bottom"/>
            <w:hideMark/>
          </w:tcPr>
          <w:p w14:paraId="432B313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2.17</w:t>
            </w:r>
          </w:p>
        </w:tc>
        <w:tc>
          <w:tcPr>
            <w:tcW w:w="0" w:type="auto"/>
            <w:tcBorders>
              <w:top w:val="nil"/>
              <w:left w:val="nil"/>
              <w:bottom w:val="single" w:sz="4" w:space="0" w:color="auto"/>
              <w:right w:val="single" w:sz="4" w:space="0" w:color="auto"/>
            </w:tcBorders>
            <w:noWrap/>
            <w:vAlign w:val="bottom"/>
            <w:hideMark/>
          </w:tcPr>
          <w:p w14:paraId="6B0D1A4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70B5C7D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18.50</w:t>
            </w:r>
          </w:p>
        </w:tc>
        <w:tc>
          <w:tcPr>
            <w:tcW w:w="1034" w:type="dxa"/>
            <w:tcBorders>
              <w:top w:val="nil"/>
              <w:left w:val="nil"/>
              <w:bottom w:val="single" w:sz="4" w:space="0" w:color="auto"/>
              <w:right w:val="single" w:sz="4" w:space="0" w:color="auto"/>
            </w:tcBorders>
            <w:noWrap/>
            <w:vAlign w:val="bottom"/>
            <w:hideMark/>
          </w:tcPr>
          <w:p w14:paraId="08C0903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17.25</w:t>
            </w:r>
          </w:p>
        </w:tc>
      </w:tr>
      <w:tr w:rsidR="001709B0" w:rsidRPr="00DE77C3" w14:paraId="54E5FFD7"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02FFDF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38</w:t>
            </w:r>
          </w:p>
        </w:tc>
        <w:tc>
          <w:tcPr>
            <w:tcW w:w="672" w:type="dxa"/>
            <w:tcBorders>
              <w:top w:val="nil"/>
              <w:left w:val="nil"/>
              <w:bottom w:val="single" w:sz="4" w:space="0" w:color="auto"/>
              <w:right w:val="single" w:sz="4" w:space="0" w:color="auto"/>
            </w:tcBorders>
            <w:noWrap/>
            <w:vAlign w:val="bottom"/>
            <w:hideMark/>
          </w:tcPr>
          <w:p w14:paraId="7C2ED0E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32.82</w:t>
            </w:r>
          </w:p>
        </w:tc>
        <w:tc>
          <w:tcPr>
            <w:tcW w:w="0" w:type="auto"/>
            <w:tcBorders>
              <w:top w:val="nil"/>
              <w:left w:val="nil"/>
              <w:bottom w:val="single" w:sz="4" w:space="0" w:color="auto"/>
              <w:right w:val="single" w:sz="4" w:space="0" w:color="auto"/>
            </w:tcBorders>
            <w:noWrap/>
            <w:vAlign w:val="bottom"/>
            <w:hideMark/>
          </w:tcPr>
          <w:p w14:paraId="2B114EF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32.71</w:t>
            </w:r>
          </w:p>
        </w:tc>
        <w:tc>
          <w:tcPr>
            <w:tcW w:w="0" w:type="auto"/>
            <w:tcBorders>
              <w:top w:val="nil"/>
              <w:left w:val="nil"/>
              <w:bottom w:val="single" w:sz="4" w:space="0" w:color="auto"/>
              <w:right w:val="single" w:sz="4" w:space="0" w:color="auto"/>
            </w:tcBorders>
            <w:noWrap/>
            <w:vAlign w:val="bottom"/>
            <w:hideMark/>
          </w:tcPr>
          <w:p w14:paraId="520E345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05FBB23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29.35</w:t>
            </w:r>
          </w:p>
        </w:tc>
        <w:tc>
          <w:tcPr>
            <w:tcW w:w="0" w:type="auto"/>
            <w:tcBorders>
              <w:top w:val="nil"/>
              <w:left w:val="nil"/>
              <w:bottom w:val="single" w:sz="4" w:space="0" w:color="auto"/>
              <w:right w:val="single" w:sz="4" w:space="0" w:color="auto"/>
            </w:tcBorders>
            <w:noWrap/>
            <w:vAlign w:val="bottom"/>
            <w:hideMark/>
          </w:tcPr>
          <w:p w14:paraId="23EFFCE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86.36</w:t>
            </w:r>
          </w:p>
        </w:tc>
        <w:tc>
          <w:tcPr>
            <w:tcW w:w="0" w:type="auto"/>
            <w:tcBorders>
              <w:top w:val="nil"/>
              <w:left w:val="nil"/>
              <w:bottom w:val="single" w:sz="4" w:space="0" w:color="auto"/>
              <w:right w:val="single" w:sz="4" w:space="0" w:color="auto"/>
            </w:tcBorders>
            <w:noWrap/>
            <w:vAlign w:val="bottom"/>
            <w:hideMark/>
          </w:tcPr>
          <w:p w14:paraId="48C63AD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84.71</w:t>
            </w:r>
          </w:p>
        </w:tc>
        <w:tc>
          <w:tcPr>
            <w:tcW w:w="0" w:type="auto"/>
            <w:tcBorders>
              <w:top w:val="nil"/>
              <w:left w:val="nil"/>
              <w:bottom w:val="single" w:sz="4" w:space="0" w:color="auto"/>
              <w:right w:val="single" w:sz="4" w:space="0" w:color="auto"/>
            </w:tcBorders>
            <w:noWrap/>
            <w:vAlign w:val="bottom"/>
            <w:hideMark/>
          </w:tcPr>
          <w:p w14:paraId="77CBBC1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10.35</w:t>
            </w:r>
          </w:p>
        </w:tc>
        <w:tc>
          <w:tcPr>
            <w:tcW w:w="0" w:type="auto"/>
            <w:tcBorders>
              <w:top w:val="nil"/>
              <w:left w:val="nil"/>
              <w:bottom w:val="single" w:sz="4" w:space="0" w:color="auto"/>
              <w:right w:val="single" w:sz="4" w:space="0" w:color="auto"/>
            </w:tcBorders>
            <w:noWrap/>
            <w:vAlign w:val="bottom"/>
            <w:hideMark/>
          </w:tcPr>
          <w:p w14:paraId="5DFBBFD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2.57</w:t>
            </w:r>
          </w:p>
        </w:tc>
        <w:tc>
          <w:tcPr>
            <w:tcW w:w="1060" w:type="dxa"/>
            <w:tcBorders>
              <w:top w:val="nil"/>
              <w:left w:val="nil"/>
              <w:bottom w:val="single" w:sz="4" w:space="0" w:color="auto"/>
              <w:right w:val="single" w:sz="4" w:space="0" w:color="auto"/>
            </w:tcBorders>
            <w:noWrap/>
            <w:vAlign w:val="bottom"/>
            <w:hideMark/>
          </w:tcPr>
          <w:p w14:paraId="1DFB236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6.10</w:t>
            </w:r>
          </w:p>
        </w:tc>
        <w:tc>
          <w:tcPr>
            <w:tcW w:w="1034" w:type="dxa"/>
            <w:tcBorders>
              <w:top w:val="nil"/>
              <w:left w:val="nil"/>
              <w:bottom w:val="single" w:sz="4" w:space="0" w:color="auto"/>
              <w:right w:val="single" w:sz="4" w:space="0" w:color="auto"/>
            </w:tcBorders>
            <w:noWrap/>
            <w:vAlign w:val="bottom"/>
            <w:hideMark/>
          </w:tcPr>
          <w:p w14:paraId="468AC64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14.00</w:t>
            </w:r>
          </w:p>
        </w:tc>
      </w:tr>
      <w:tr w:rsidR="001709B0" w:rsidRPr="00DE77C3" w14:paraId="2961D111"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1694B7B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39</w:t>
            </w:r>
          </w:p>
        </w:tc>
        <w:tc>
          <w:tcPr>
            <w:tcW w:w="672" w:type="dxa"/>
            <w:tcBorders>
              <w:top w:val="nil"/>
              <w:left w:val="nil"/>
              <w:bottom w:val="single" w:sz="4" w:space="0" w:color="auto"/>
              <w:right w:val="single" w:sz="4" w:space="0" w:color="auto"/>
            </w:tcBorders>
            <w:noWrap/>
            <w:vAlign w:val="bottom"/>
            <w:hideMark/>
          </w:tcPr>
          <w:p w14:paraId="6258D4C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33.46</w:t>
            </w:r>
          </w:p>
        </w:tc>
        <w:tc>
          <w:tcPr>
            <w:tcW w:w="0" w:type="auto"/>
            <w:tcBorders>
              <w:top w:val="nil"/>
              <w:left w:val="nil"/>
              <w:bottom w:val="single" w:sz="4" w:space="0" w:color="auto"/>
              <w:right w:val="single" w:sz="4" w:space="0" w:color="auto"/>
            </w:tcBorders>
            <w:noWrap/>
            <w:vAlign w:val="bottom"/>
            <w:hideMark/>
          </w:tcPr>
          <w:p w14:paraId="04E896D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33.89</w:t>
            </w:r>
          </w:p>
        </w:tc>
        <w:tc>
          <w:tcPr>
            <w:tcW w:w="0" w:type="auto"/>
            <w:tcBorders>
              <w:top w:val="nil"/>
              <w:left w:val="nil"/>
              <w:bottom w:val="single" w:sz="4" w:space="0" w:color="auto"/>
              <w:right w:val="single" w:sz="4" w:space="0" w:color="auto"/>
            </w:tcBorders>
            <w:noWrap/>
            <w:vAlign w:val="bottom"/>
            <w:hideMark/>
          </w:tcPr>
          <w:p w14:paraId="69EF6BD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28.50</w:t>
            </w:r>
          </w:p>
        </w:tc>
        <w:tc>
          <w:tcPr>
            <w:tcW w:w="0" w:type="auto"/>
            <w:tcBorders>
              <w:top w:val="nil"/>
              <w:left w:val="nil"/>
              <w:bottom w:val="single" w:sz="4" w:space="0" w:color="auto"/>
              <w:right w:val="single" w:sz="4" w:space="0" w:color="auto"/>
            </w:tcBorders>
            <w:noWrap/>
            <w:vAlign w:val="bottom"/>
            <w:hideMark/>
          </w:tcPr>
          <w:p w14:paraId="210886E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29.46</w:t>
            </w:r>
          </w:p>
        </w:tc>
        <w:tc>
          <w:tcPr>
            <w:tcW w:w="0" w:type="auto"/>
            <w:tcBorders>
              <w:top w:val="nil"/>
              <w:left w:val="nil"/>
              <w:bottom w:val="single" w:sz="4" w:space="0" w:color="auto"/>
              <w:right w:val="single" w:sz="4" w:space="0" w:color="auto"/>
            </w:tcBorders>
            <w:noWrap/>
            <w:vAlign w:val="bottom"/>
            <w:hideMark/>
          </w:tcPr>
          <w:p w14:paraId="5F2CDC9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88.14</w:t>
            </w:r>
          </w:p>
        </w:tc>
        <w:tc>
          <w:tcPr>
            <w:tcW w:w="0" w:type="auto"/>
            <w:tcBorders>
              <w:top w:val="nil"/>
              <w:left w:val="nil"/>
              <w:bottom w:val="single" w:sz="4" w:space="0" w:color="auto"/>
              <w:right w:val="single" w:sz="4" w:space="0" w:color="auto"/>
            </w:tcBorders>
            <w:noWrap/>
            <w:vAlign w:val="bottom"/>
            <w:hideMark/>
          </w:tcPr>
          <w:p w14:paraId="5717199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84.10</w:t>
            </w:r>
          </w:p>
        </w:tc>
        <w:tc>
          <w:tcPr>
            <w:tcW w:w="0" w:type="auto"/>
            <w:tcBorders>
              <w:top w:val="nil"/>
              <w:left w:val="nil"/>
              <w:bottom w:val="single" w:sz="4" w:space="0" w:color="auto"/>
              <w:right w:val="single" w:sz="4" w:space="0" w:color="auto"/>
            </w:tcBorders>
            <w:noWrap/>
            <w:vAlign w:val="bottom"/>
            <w:hideMark/>
          </w:tcPr>
          <w:p w14:paraId="2C3DB16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28.78</w:t>
            </w:r>
          </w:p>
        </w:tc>
        <w:tc>
          <w:tcPr>
            <w:tcW w:w="0" w:type="auto"/>
            <w:tcBorders>
              <w:top w:val="nil"/>
              <w:left w:val="nil"/>
              <w:bottom w:val="single" w:sz="4" w:space="0" w:color="auto"/>
              <w:right w:val="single" w:sz="4" w:space="0" w:color="auto"/>
            </w:tcBorders>
            <w:noWrap/>
            <w:vAlign w:val="bottom"/>
            <w:hideMark/>
          </w:tcPr>
          <w:p w14:paraId="55CBF72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6.00</w:t>
            </w:r>
          </w:p>
        </w:tc>
        <w:tc>
          <w:tcPr>
            <w:tcW w:w="1060" w:type="dxa"/>
            <w:tcBorders>
              <w:top w:val="nil"/>
              <w:left w:val="nil"/>
              <w:bottom w:val="single" w:sz="4" w:space="0" w:color="auto"/>
              <w:right w:val="single" w:sz="4" w:space="0" w:color="auto"/>
            </w:tcBorders>
            <w:noWrap/>
            <w:vAlign w:val="bottom"/>
            <w:hideMark/>
          </w:tcPr>
          <w:p w14:paraId="0CD4EC6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2.80</w:t>
            </w:r>
          </w:p>
        </w:tc>
        <w:tc>
          <w:tcPr>
            <w:tcW w:w="1034" w:type="dxa"/>
            <w:tcBorders>
              <w:top w:val="nil"/>
              <w:left w:val="nil"/>
              <w:bottom w:val="single" w:sz="4" w:space="0" w:color="auto"/>
              <w:right w:val="single" w:sz="4" w:space="0" w:color="auto"/>
            </w:tcBorders>
            <w:noWrap/>
            <w:vAlign w:val="bottom"/>
            <w:hideMark/>
          </w:tcPr>
          <w:p w14:paraId="5F7F155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10.25</w:t>
            </w:r>
          </w:p>
        </w:tc>
      </w:tr>
      <w:tr w:rsidR="001709B0" w:rsidRPr="00DE77C3" w14:paraId="13AF8901"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289E50B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40</w:t>
            </w:r>
          </w:p>
        </w:tc>
        <w:tc>
          <w:tcPr>
            <w:tcW w:w="672" w:type="dxa"/>
            <w:tcBorders>
              <w:top w:val="nil"/>
              <w:left w:val="nil"/>
              <w:bottom w:val="single" w:sz="4" w:space="0" w:color="auto"/>
              <w:right w:val="single" w:sz="4" w:space="0" w:color="auto"/>
            </w:tcBorders>
            <w:noWrap/>
            <w:vAlign w:val="bottom"/>
            <w:hideMark/>
          </w:tcPr>
          <w:p w14:paraId="5C8A762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33.39</w:t>
            </w:r>
          </w:p>
        </w:tc>
        <w:tc>
          <w:tcPr>
            <w:tcW w:w="0" w:type="auto"/>
            <w:tcBorders>
              <w:top w:val="nil"/>
              <w:left w:val="nil"/>
              <w:bottom w:val="single" w:sz="4" w:space="0" w:color="auto"/>
              <w:right w:val="single" w:sz="4" w:space="0" w:color="auto"/>
            </w:tcBorders>
            <w:noWrap/>
            <w:vAlign w:val="bottom"/>
            <w:hideMark/>
          </w:tcPr>
          <w:p w14:paraId="46E2DC6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30.82</w:t>
            </w:r>
          </w:p>
        </w:tc>
        <w:tc>
          <w:tcPr>
            <w:tcW w:w="0" w:type="auto"/>
            <w:tcBorders>
              <w:top w:val="nil"/>
              <w:left w:val="nil"/>
              <w:bottom w:val="single" w:sz="4" w:space="0" w:color="auto"/>
              <w:right w:val="single" w:sz="4" w:space="0" w:color="auto"/>
            </w:tcBorders>
            <w:noWrap/>
            <w:vAlign w:val="bottom"/>
            <w:hideMark/>
          </w:tcPr>
          <w:p w14:paraId="082E446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72029C8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26.57</w:t>
            </w:r>
          </w:p>
        </w:tc>
        <w:tc>
          <w:tcPr>
            <w:tcW w:w="0" w:type="auto"/>
            <w:tcBorders>
              <w:top w:val="nil"/>
              <w:left w:val="nil"/>
              <w:bottom w:val="single" w:sz="4" w:space="0" w:color="auto"/>
              <w:right w:val="single" w:sz="4" w:space="0" w:color="auto"/>
            </w:tcBorders>
            <w:noWrap/>
            <w:vAlign w:val="bottom"/>
            <w:hideMark/>
          </w:tcPr>
          <w:p w14:paraId="693BA59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81.28</w:t>
            </w:r>
          </w:p>
        </w:tc>
        <w:tc>
          <w:tcPr>
            <w:tcW w:w="0" w:type="auto"/>
            <w:tcBorders>
              <w:top w:val="nil"/>
              <w:left w:val="nil"/>
              <w:bottom w:val="single" w:sz="4" w:space="0" w:color="auto"/>
              <w:right w:val="single" w:sz="4" w:space="0" w:color="auto"/>
            </w:tcBorders>
            <w:noWrap/>
            <w:vAlign w:val="bottom"/>
            <w:hideMark/>
          </w:tcPr>
          <w:p w14:paraId="304D1EE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87.73</w:t>
            </w:r>
          </w:p>
        </w:tc>
        <w:tc>
          <w:tcPr>
            <w:tcW w:w="0" w:type="auto"/>
            <w:tcBorders>
              <w:top w:val="nil"/>
              <w:left w:val="nil"/>
              <w:bottom w:val="single" w:sz="4" w:space="0" w:color="auto"/>
              <w:right w:val="single" w:sz="4" w:space="0" w:color="auto"/>
            </w:tcBorders>
            <w:noWrap/>
            <w:vAlign w:val="bottom"/>
            <w:hideMark/>
          </w:tcPr>
          <w:p w14:paraId="19A827F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312F01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2.42</w:t>
            </w:r>
          </w:p>
        </w:tc>
        <w:tc>
          <w:tcPr>
            <w:tcW w:w="1060" w:type="dxa"/>
            <w:tcBorders>
              <w:top w:val="nil"/>
              <w:left w:val="nil"/>
              <w:bottom w:val="single" w:sz="4" w:space="0" w:color="auto"/>
              <w:right w:val="single" w:sz="4" w:space="0" w:color="auto"/>
            </w:tcBorders>
            <w:noWrap/>
            <w:vAlign w:val="bottom"/>
            <w:hideMark/>
          </w:tcPr>
          <w:p w14:paraId="6891CB1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11.50</w:t>
            </w:r>
          </w:p>
        </w:tc>
        <w:tc>
          <w:tcPr>
            <w:tcW w:w="1034" w:type="dxa"/>
            <w:tcBorders>
              <w:top w:val="nil"/>
              <w:left w:val="nil"/>
              <w:bottom w:val="single" w:sz="4" w:space="0" w:color="auto"/>
              <w:right w:val="single" w:sz="4" w:space="0" w:color="auto"/>
            </w:tcBorders>
            <w:noWrap/>
            <w:vAlign w:val="bottom"/>
            <w:hideMark/>
          </w:tcPr>
          <w:p w14:paraId="3C2933A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19.75</w:t>
            </w:r>
          </w:p>
        </w:tc>
      </w:tr>
      <w:tr w:rsidR="001709B0" w:rsidRPr="00DE77C3" w14:paraId="1D06FA1A"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50279E1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41</w:t>
            </w:r>
          </w:p>
        </w:tc>
        <w:tc>
          <w:tcPr>
            <w:tcW w:w="672" w:type="dxa"/>
            <w:tcBorders>
              <w:top w:val="nil"/>
              <w:left w:val="nil"/>
              <w:bottom w:val="single" w:sz="4" w:space="0" w:color="auto"/>
              <w:right w:val="single" w:sz="4" w:space="0" w:color="auto"/>
            </w:tcBorders>
            <w:noWrap/>
            <w:vAlign w:val="bottom"/>
            <w:hideMark/>
          </w:tcPr>
          <w:p w14:paraId="1AE8B11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33.82</w:t>
            </w:r>
          </w:p>
        </w:tc>
        <w:tc>
          <w:tcPr>
            <w:tcW w:w="0" w:type="auto"/>
            <w:tcBorders>
              <w:top w:val="nil"/>
              <w:left w:val="nil"/>
              <w:bottom w:val="single" w:sz="4" w:space="0" w:color="auto"/>
              <w:right w:val="single" w:sz="4" w:space="0" w:color="auto"/>
            </w:tcBorders>
            <w:noWrap/>
            <w:vAlign w:val="bottom"/>
            <w:hideMark/>
          </w:tcPr>
          <w:p w14:paraId="6BDDDBC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30.60</w:t>
            </w:r>
          </w:p>
        </w:tc>
        <w:tc>
          <w:tcPr>
            <w:tcW w:w="0" w:type="auto"/>
            <w:tcBorders>
              <w:top w:val="nil"/>
              <w:left w:val="nil"/>
              <w:bottom w:val="single" w:sz="4" w:space="0" w:color="auto"/>
              <w:right w:val="single" w:sz="4" w:space="0" w:color="auto"/>
            </w:tcBorders>
            <w:noWrap/>
            <w:vAlign w:val="bottom"/>
            <w:hideMark/>
          </w:tcPr>
          <w:p w14:paraId="39452BC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2DAD13B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25.75</w:t>
            </w:r>
          </w:p>
        </w:tc>
        <w:tc>
          <w:tcPr>
            <w:tcW w:w="0" w:type="auto"/>
            <w:tcBorders>
              <w:top w:val="nil"/>
              <w:left w:val="nil"/>
              <w:bottom w:val="single" w:sz="4" w:space="0" w:color="auto"/>
              <w:right w:val="single" w:sz="4" w:space="0" w:color="auto"/>
            </w:tcBorders>
            <w:noWrap/>
            <w:vAlign w:val="bottom"/>
            <w:hideMark/>
          </w:tcPr>
          <w:p w14:paraId="63D908B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78.85</w:t>
            </w:r>
          </w:p>
        </w:tc>
        <w:tc>
          <w:tcPr>
            <w:tcW w:w="0" w:type="auto"/>
            <w:tcBorders>
              <w:top w:val="nil"/>
              <w:left w:val="nil"/>
              <w:bottom w:val="single" w:sz="4" w:space="0" w:color="auto"/>
              <w:right w:val="single" w:sz="4" w:space="0" w:color="auto"/>
            </w:tcBorders>
            <w:noWrap/>
            <w:vAlign w:val="bottom"/>
            <w:hideMark/>
          </w:tcPr>
          <w:p w14:paraId="18308D7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76.78</w:t>
            </w:r>
          </w:p>
        </w:tc>
        <w:tc>
          <w:tcPr>
            <w:tcW w:w="0" w:type="auto"/>
            <w:tcBorders>
              <w:top w:val="nil"/>
              <w:left w:val="nil"/>
              <w:bottom w:val="single" w:sz="4" w:space="0" w:color="auto"/>
              <w:right w:val="single" w:sz="4" w:space="0" w:color="auto"/>
            </w:tcBorders>
            <w:noWrap/>
            <w:vAlign w:val="bottom"/>
            <w:hideMark/>
          </w:tcPr>
          <w:p w14:paraId="19B06D3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205AC66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22.40</w:t>
            </w:r>
          </w:p>
        </w:tc>
        <w:tc>
          <w:tcPr>
            <w:tcW w:w="1060" w:type="dxa"/>
            <w:tcBorders>
              <w:top w:val="nil"/>
              <w:left w:val="nil"/>
              <w:bottom w:val="single" w:sz="4" w:space="0" w:color="auto"/>
              <w:right w:val="single" w:sz="4" w:space="0" w:color="auto"/>
            </w:tcBorders>
            <w:noWrap/>
            <w:vAlign w:val="bottom"/>
            <w:hideMark/>
          </w:tcPr>
          <w:p w14:paraId="557A14B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13.10</w:t>
            </w:r>
          </w:p>
        </w:tc>
        <w:tc>
          <w:tcPr>
            <w:tcW w:w="1034" w:type="dxa"/>
            <w:tcBorders>
              <w:top w:val="nil"/>
              <w:left w:val="nil"/>
              <w:bottom w:val="single" w:sz="4" w:space="0" w:color="auto"/>
              <w:right w:val="single" w:sz="4" w:space="0" w:color="auto"/>
            </w:tcBorders>
            <w:noWrap/>
            <w:vAlign w:val="bottom"/>
            <w:hideMark/>
          </w:tcPr>
          <w:p w14:paraId="47798C4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8.50</w:t>
            </w:r>
          </w:p>
        </w:tc>
      </w:tr>
      <w:tr w:rsidR="001709B0" w:rsidRPr="00DE77C3" w14:paraId="29F9DF8C"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2FB5726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42</w:t>
            </w:r>
          </w:p>
        </w:tc>
        <w:tc>
          <w:tcPr>
            <w:tcW w:w="672" w:type="dxa"/>
            <w:tcBorders>
              <w:top w:val="nil"/>
              <w:left w:val="nil"/>
              <w:bottom w:val="single" w:sz="4" w:space="0" w:color="auto"/>
              <w:right w:val="single" w:sz="4" w:space="0" w:color="auto"/>
            </w:tcBorders>
            <w:noWrap/>
            <w:vAlign w:val="bottom"/>
            <w:hideMark/>
          </w:tcPr>
          <w:p w14:paraId="5EF3247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33.85</w:t>
            </w:r>
          </w:p>
        </w:tc>
        <w:tc>
          <w:tcPr>
            <w:tcW w:w="0" w:type="auto"/>
            <w:tcBorders>
              <w:top w:val="nil"/>
              <w:left w:val="nil"/>
              <w:bottom w:val="single" w:sz="4" w:space="0" w:color="auto"/>
              <w:right w:val="single" w:sz="4" w:space="0" w:color="auto"/>
            </w:tcBorders>
            <w:noWrap/>
            <w:vAlign w:val="bottom"/>
            <w:hideMark/>
          </w:tcPr>
          <w:p w14:paraId="30CB193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31.85</w:t>
            </w:r>
          </w:p>
        </w:tc>
        <w:tc>
          <w:tcPr>
            <w:tcW w:w="0" w:type="auto"/>
            <w:tcBorders>
              <w:top w:val="nil"/>
              <w:left w:val="nil"/>
              <w:bottom w:val="single" w:sz="4" w:space="0" w:color="auto"/>
              <w:right w:val="single" w:sz="4" w:space="0" w:color="auto"/>
            </w:tcBorders>
            <w:noWrap/>
            <w:vAlign w:val="bottom"/>
            <w:hideMark/>
          </w:tcPr>
          <w:p w14:paraId="7A94067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29.78</w:t>
            </w:r>
          </w:p>
        </w:tc>
        <w:tc>
          <w:tcPr>
            <w:tcW w:w="0" w:type="auto"/>
            <w:tcBorders>
              <w:top w:val="nil"/>
              <w:left w:val="nil"/>
              <w:bottom w:val="single" w:sz="4" w:space="0" w:color="auto"/>
              <w:right w:val="single" w:sz="4" w:space="0" w:color="auto"/>
            </w:tcBorders>
            <w:noWrap/>
            <w:vAlign w:val="bottom"/>
            <w:hideMark/>
          </w:tcPr>
          <w:p w14:paraId="1BC9AE4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25.92</w:t>
            </w:r>
          </w:p>
        </w:tc>
        <w:tc>
          <w:tcPr>
            <w:tcW w:w="0" w:type="auto"/>
            <w:tcBorders>
              <w:top w:val="nil"/>
              <w:left w:val="nil"/>
              <w:bottom w:val="single" w:sz="4" w:space="0" w:color="auto"/>
              <w:right w:val="single" w:sz="4" w:space="0" w:color="auto"/>
            </w:tcBorders>
            <w:noWrap/>
            <w:vAlign w:val="bottom"/>
            <w:hideMark/>
          </w:tcPr>
          <w:p w14:paraId="232F643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75.36</w:t>
            </w:r>
          </w:p>
        </w:tc>
        <w:tc>
          <w:tcPr>
            <w:tcW w:w="0" w:type="auto"/>
            <w:tcBorders>
              <w:top w:val="nil"/>
              <w:left w:val="nil"/>
              <w:bottom w:val="single" w:sz="4" w:space="0" w:color="auto"/>
              <w:right w:val="single" w:sz="4" w:space="0" w:color="auto"/>
            </w:tcBorders>
            <w:noWrap/>
            <w:vAlign w:val="bottom"/>
            <w:hideMark/>
          </w:tcPr>
          <w:p w14:paraId="6C24289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70.85</w:t>
            </w:r>
          </w:p>
        </w:tc>
        <w:tc>
          <w:tcPr>
            <w:tcW w:w="0" w:type="auto"/>
            <w:tcBorders>
              <w:top w:val="nil"/>
              <w:left w:val="nil"/>
              <w:bottom w:val="single" w:sz="4" w:space="0" w:color="auto"/>
              <w:right w:val="single" w:sz="4" w:space="0" w:color="auto"/>
            </w:tcBorders>
            <w:noWrap/>
            <w:vAlign w:val="bottom"/>
            <w:hideMark/>
          </w:tcPr>
          <w:p w14:paraId="4236BCF7"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48FC36E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0ED340B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37.10</w:t>
            </w:r>
          </w:p>
        </w:tc>
        <w:tc>
          <w:tcPr>
            <w:tcW w:w="1034" w:type="dxa"/>
            <w:tcBorders>
              <w:top w:val="nil"/>
              <w:left w:val="nil"/>
              <w:bottom w:val="single" w:sz="4" w:space="0" w:color="auto"/>
              <w:right w:val="single" w:sz="4" w:space="0" w:color="auto"/>
            </w:tcBorders>
            <w:noWrap/>
            <w:vAlign w:val="bottom"/>
            <w:hideMark/>
          </w:tcPr>
          <w:p w14:paraId="59659B0B"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39.50</w:t>
            </w:r>
          </w:p>
        </w:tc>
      </w:tr>
      <w:tr w:rsidR="001709B0" w:rsidRPr="00DE77C3" w14:paraId="0459C3F2"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7201BC9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43</w:t>
            </w:r>
          </w:p>
        </w:tc>
        <w:tc>
          <w:tcPr>
            <w:tcW w:w="672" w:type="dxa"/>
            <w:tcBorders>
              <w:top w:val="nil"/>
              <w:left w:val="nil"/>
              <w:bottom w:val="single" w:sz="4" w:space="0" w:color="auto"/>
              <w:right w:val="single" w:sz="4" w:space="0" w:color="auto"/>
            </w:tcBorders>
            <w:noWrap/>
            <w:vAlign w:val="bottom"/>
            <w:hideMark/>
          </w:tcPr>
          <w:p w14:paraId="47AC2E84"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33.28</w:t>
            </w:r>
          </w:p>
        </w:tc>
        <w:tc>
          <w:tcPr>
            <w:tcW w:w="0" w:type="auto"/>
            <w:tcBorders>
              <w:top w:val="nil"/>
              <w:left w:val="nil"/>
              <w:bottom w:val="single" w:sz="4" w:space="0" w:color="auto"/>
              <w:right w:val="single" w:sz="4" w:space="0" w:color="auto"/>
            </w:tcBorders>
            <w:noWrap/>
            <w:vAlign w:val="bottom"/>
            <w:hideMark/>
          </w:tcPr>
          <w:p w14:paraId="338152F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28.50</w:t>
            </w:r>
          </w:p>
        </w:tc>
        <w:tc>
          <w:tcPr>
            <w:tcW w:w="0" w:type="auto"/>
            <w:tcBorders>
              <w:top w:val="nil"/>
              <w:left w:val="nil"/>
              <w:bottom w:val="single" w:sz="4" w:space="0" w:color="auto"/>
              <w:right w:val="single" w:sz="4" w:space="0" w:color="auto"/>
            </w:tcBorders>
            <w:noWrap/>
            <w:vAlign w:val="bottom"/>
            <w:hideMark/>
          </w:tcPr>
          <w:p w14:paraId="0359E0B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29.39</w:t>
            </w:r>
          </w:p>
        </w:tc>
        <w:tc>
          <w:tcPr>
            <w:tcW w:w="0" w:type="auto"/>
            <w:tcBorders>
              <w:top w:val="nil"/>
              <w:left w:val="nil"/>
              <w:bottom w:val="single" w:sz="4" w:space="0" w:color="auto"/>
              <w:right w:val="single" w:sz="4" w:space="0" w:color="auto"/>
            </w:tcBorders>
            <w:noWrap/>
            <w:vAlign w:val="bottom"/>
            <w:hideMark/>
          </w:tcPr>
          <w:p w14:paraId="2A0DE14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24.32</w:t>
            </w:r>
          </w:p>
        </w:tc>
        <w:tc>
          <w:tcPr>
            <w:tcW w:w="0" w:type="auto"/>
            <w:tcBorders>
              <w:top w:val="nil"/>
              <w:left w:val="nil"/>
              <w:bottom w:val="single" w:sz="4" w:space="0" w:color="auto"/>
              <w:right w:val="single" w:sz="4" w:space="0" w:color="auto"/>
            </w:tcBorders>
            <w:noWrap/>
            <w:vAlign w:val="bottom"/>
            <w:hideMark/>
          </w:tcPr>
          <w:p w14:paraId="71877D9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76.07</w:t>
            </w:r>
          </w:p>
        </w:tc>
        <w:tc>
          <w:tcPr>
            <w:tcW w:w="0" w:type="auto"/>
            <w:tcBorders>
              <w:top w:val="nil"/>
              <w:left w:val="nil"/>
              <w:bottom w:val="single" w:sz="4" w:space="0" w:color="auto"/>
              <w:right w:val="single" w:sz="4" w:space="0" w:color="auto"/>
            </w:tcBorders>
            <w:noWrap/>
            <w:vAlign w:val="bottom"/>
            <w:hideMark/>
          </w:tcPr>
          <w:p w14:paraId="75E9D0C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83.80</w:t>
            </w:r>
          </w:p>
        </w:tc>
        <w:tc>
          <w:tcPr>
            <w:tcW w:w="0" w:type="auto"/>
            <w:tcBorders>
              <w:top w:val="nil"/>
              <w:left w:val="nil"/>
              <w:bottom w:val="single" w:sz="4" w:space="0" w:color="auto"/>
              <w:right w:val="single" w:sz="4" w:space="0" w:color="auto"/>
            </w:tcBorders>
            <w:noWrap/>
            <w:vAlign w:val="bottom"/>
            <w:hideMark/>
          </w:tcPr>
          <w:p w14:paraId="25FC960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613612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1.57</w:t>
            </w:r>
          </w:p>
        </w:tc>
        <w:tc>
          <w:tcPr>
            <w:tcW w:w="1060" w:type="dxa"/>
            <w:tcBorders>
              <w:top w:val="nil"/>
              <w:left w:val="nil"/>
              <w:bottom w:val="single" w:sz="4" w:space="0" w:color="auto"/>
              <w:right w:val="single" w:sz="4" w:space="0" w:color="auto"/>
            </w:tcBorders>
            <w:noWrap/>
            <w:vAlign w:val="bottom"/>
            <w:hideMark/>
          </w:tcPr>
          <w:p w14:paraId="108214B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28.40</w:t>
            </w:r>
          </w:p>
        </w:tc>
        <w:tc>
          <w:tcPr>
            <w:tcW w:w="1034" w:type="dxa"/>
            <w:tcBorders>
              <w:top w:val="nil"/>
              <w:left w:val="nil"/>
              <w:bottom w:val="single" w:sz="4" w:space="0" w:color="auto"/>
              <w:right w:val="single" w:sz="4" w:space="0" w:color="auto"/>
            </w:tcBorders>
            <w:noWrap/>
            <w:vAlign w:val="bottom"/>
            <w:hideMark/>
          </w:tcPr>
          <w:p w14:paraId="69628A1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30.25</w:t>
            </w:r>
          </w:p>
        </w:tc>
      </w:tr>
      <w:tr w:rsidR="001709B0" w:rsidRPr="00DE77C3" w14:paraId="6C41BD45" w14:textId="77777777" w:rsidTr="000627FC">
        <w:trPr>
          <w:trHeight w:val="186"/>
        </w:trPr>
        <w:tc>
          <w:tcPr>
            <w:tcW w:w="1829" w:type="dxa"/>
            <w:tcBorders>
              <w:top w:val="nil"/>
              <w:left w:val="single" w:sz="4" w:space="0" w:color="auto"/>
              <w:bottom w:val="single" w:sz="4" w:space="0" w:color="auto"/>
              <w:right w:val="single" w:sz="4" w:space="0" w:color="auto"/>
            </w:tcBorders>
            <w:noWrap/>
            <w:vAlign w:val="bottom"/>
            <w:hideMark/>
          </w:tcPr>
          <w:p w14:paraId="02BED7F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44</w:t>
            </w:r>
          </w:p>
        </w:tc>
        <w:tc>
          <w:tcPr>
            <w:tcW w:w="672" w:type="dxa"/>
            <w:tcBorders>
              <w:top w:val="nil"/>
              <w:left w:val="nil"/>
              <w:bottom w:val="single" w:sz="4" w:space="0" w:color="auto"/>
              <w:right w:val="single" w:sz="4" w:space="0" w:color="auto"/>
            </w:tcBorders>
            <w:noWrap/>
            <w:vAlign w:val="bottom"/>
            <w:hideMark/>
          </w:tcPr>
          <w:p w14:paraId="6E70937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33.64</w:t>
            </w:r>
          </w:p>
        </w:tc>
        <w:tc>
          <w:tcPr>
            <w:tcW w:w="0" w:type="auto"/>
            <w:tcBorders>
              <w:top w:val="nil"/>
              <w:left w:val="nil"/>
              <w:bottom w:val="single" w:sz="4" w:space="0" w:color="auto"/>
              <w:right w:val="single" w:sz="4" w:space="0" w:color="auto"/>
            </w:tcBorders>
            <w:noWrap/>
            <w:vAlign w:val="bottom"/>
            <w:hideMark/>
          </w:tcPr>
          <w:p w14:paraId="6FD55F65"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26.64</w:t>
            </w:r>
          </w:p>
        </w:tc>
        <w:tc>
          <w:tcPr>
            <w:tcW w:w="0" w:type="auto"/>
            <w:tcBorders>
              <w:top w:val="nil"/>
              <w:left w:val="nil"/>
              <w:bottom w:val="single" w:sz="4" w:space="0" w:color="auto"/>
              <w:right w:val="single" w:sz="4" w:space="0" w:color="auto"/>
            </w:tcBorders>
            <w:noWrap/>
            <w:vAlign w:val="bottom"/>
            <w:hideMark/>
          </w:tcPr>
          <w:p w14:paraId="67B99482"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29.67</w:t>
            </w:r>
          </w:p>
        </w:tc>
        <w:tc>
          <w:tcPr>
            <w:tcW w:w="0" w:type="auto"/>
            <w:tcBorders>
              <w:top w:val="nil"/>
              <w:left w:val="nil"/>
              <w:bottom w:val="single" w:sz="4" w:space="0" w:color="auto"/>
              <w:right w:val="single" w:sz="4" w:space="0" w:color="auto"/>
            </w:tcBorders>
            <w:noWrap/>
            <w:vAlign w:val="bottom"/>
            <w:hideMark/>
          </w:tcPr>
          <w:p w14:paraId="558331F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21.86</w:t>
            </w:r>
          </w:p>
        </w:tc>
        <w:tc>
          <w:tcPr>
            <w:tcW w:w="0" w:type="auto"/>
            <w:tcBorders>
              <w:top w:val="nil"/>
              <w:left w:val="nil"/>
              <w:bottom w:val="single" w:sz="4" w:space="0" w:color="auto"/>
              <w:right w:val="single" w:sz="4" w:space="0" w:color="auto"/>
            </w:tcBorders>
            <w:noWrap/>
            <w:vAlign w:val="bottom"/>
            <w:hideMark/>
          </w:tcPr>
          <w:p w14:paraId="251FC7E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84.93</w:t>
            </w:r>
          </w:p>
        </w:tc>
        <w:tc>
          <w:tcPr>
            <w:tcW w:w="0" w:type="auto"/>
            <w:tcBorders>
              <w:top w:val="nil"/>
              <w:left w:val="nil"/>
              <w:bottom w:val="single" w:sz="4" w:space="0" w:color="auto"/>
              <w:right w:val="single" w:sz="4" w:space="0" w:color="auto"/>
            </w:tcBorders>
            <w:noWrap/>
            <w:vAlign w:val="bottom"/>
            <w:hideMark/>
          </w:tcPr>
          <w:p w14:paraId="4F451BEC"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85.00</w:t>
            </w:r>
          </w:p>
        </w:tc>
        <w:tc>
          <w:tcPr>
            <w:tcW w:w="0" w:type="auto"/>
            <w:tcBorders>
              <w:top w:val="nil"/>
              <w:left w:val="nil"/>
              <w:bottom w:val="single" w:sz="4" w:space="0" w:color="auto"/>
              <w:right w:val="single" w:sz="4" w:space="0" w:color="auto"/>
            </w:tcBorders>
            <w:noWrap/>
            <w:vAlign w:val="bottom"/>
            <w:hideMark/>
          </w:tcPr>
          <w:p w14:paraId="294D044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AA8EB16"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4.50</w:t>
            </w:r>
          </w:p>
        </w:tc>
        <w:tc>
          <w:tcPr>
            <w:tcW w:w="1060" w:type="dxa"/>
            <w:tcBorders>
              <w:top w:val="nil"/>
              <w:left w:val="nil"/>
              <w:bottom w:val="single" w:sz="4" w:space="0" w:color="auto"/>
              <w:right w:val="single" w:sz="4" w:space="0" w:color="auto"/>
            </w:tcBorders>
            <w:noWrap/>
            <w:vAlign w:val="bottom"/>
            <w:hideMark/>
          </w:tcPr>
          <w:p w14:paraId="0D4F6AA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15.30</w:t>
            </w:r>
          </w:p>
        </w:tc>
        <w:tc>
          <w:tcPr>
            <w:tcW w:w="1034" w:type="dxa"/>
            <w:tcBorders>
              <w:top w:val="nil"/>
              <w:left w:val="nil"/>
              <w:bottom w:val="single" w:sz="4" w:space="0" w:color="auto"/>
              <w:right w:val="single" w:sz="4" w:space="0" w:color="auto"/>
            </w:tcBorders>
            <w:noWrap/>
            <w:vAlign w:val="bottom"/>
            <w:hideMark/>
          </w:tcPr>
          <w:p w14:paraId="3ABC7E30"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6.50</w:t>
            </w:r>
          </w:p>
        </w:tc>
      </w:tr>
      <w:tr w:rsidR="001709B0" w:rsidRPr="00DE77C3" w14:paraId="1B84B1E7" w14:textId="77777777" w:rsidTr="000627FC">
        <w:trPr>
          <w:trHeight w:val="59"/>
        </w:trPr>
        <w:tc>
          <w:tcPr>
            <w:tcW w:w="1829" w:type="dxa"/>
            <w:tcBorders>
              <w:top w:val="nil"/>
              <w:left w:val="single" w:sz="4" w:space="0" w:color="auto"/>
              <w:bottom w:val="single" w:sz="4" w:space="0" w:color="auto"/>
              <w:right w:val="single" w:sz="4" w:space="0" w:color="auto"/>
            </w:tcBorders>
            <w:noWrap/>
            <w:vAlign w:val="bottom"/>
            <w:hideMark/>
          </w:tcPr>
          <w:p w14:paraId="3106E4FF"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45</w:t>
            </w:r>
          </w:p>
        </w:tc>
        <w:tc>
          <w:tcPr>
            <w:tcW w:w="672" w:type="dxa"/>
            <w:tcBorders>
              <w:top w:val="nil"/>
              <w:left w:val="nil"/>
              <w:bottom w:val="single" w:sz="4" w:space="0" w:color="auto"/>
              <w:right w:val="single" w:sz="4" w:space="0" w:color="auto"/>
            </w:tcBorders>
            <w:noWrap/>
            <w:vAlign w:val="bottom"/>
            <w:hideMark/>
          </w:tcPr>
          <w:p w14:paraId="708BD7E3"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31.00</w:t>
            </w:r>
          </w:p>
        </w:tc>
        <w:tc>
          <w:tcPr>
            <w:tcW w:w="0" w:type="auto"/>
            <w:tcBorders>
              <w:top w:val="nil"/>
              <w:left w:val="nil"/>
              <w:bottom w:val="single" w:sz="4" w:space="0" w:color="auto"/>
              <w:right w:val="single" w:sz="4" w:space="0" w:color="auto"/>
            </w:tcBorders>
            <w:noWrap/>
            <w:vAlign w:val="bottom"/>
            <w:hideMark/>
          </w:tcPr>
          <w:p w14:paraId="3FE603B8"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28.64</w:t>
            </w:r>
          </w:p>
        </w:tc>
        <w:tc>
          <w:tcPr>
            <w:tcW w:w="0" w:type="auto"/>
            <w:tcBorders>
              <w:top w:val="nil"/>
              <w:left w:val="nil"/>
              <w:bottom w:val="single" w:sz="4" w:space="0" w:color="auto"/>
              <w:right w:val="single" w:sz="4" w:space="0" w:color="auto"/>
            </w:tcBorders>
            <w:noWrap/>
            <w:vAlign w:val="bottom"/>
            <w:hideMark/>
          </w:tcPr>
          <w:p w14:paraId="7629852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27.14</w:t>
            </w:r>
          </w:p>
        </w:tc>
        <w:tc>
          <w:tcPr>
            <w:tcW w:w="0" w:type="auto"/>
            <w:tcBorders>
              <w:top w:val="nil"/>
              <w:left w:val="nil"/>
              <w:bottom w:val="single" w:sz="4" w:space="0" w:color="auto"/>
              <w:right w:val="single" w:sz="4" w:space="0" w:color="auto"/>
            </w:tcBorders>
            <w:noWrap/>
            <w:vAlign w:val="bottom"/>
            <w:hideMark/>
          </w:tcPr>
          <w:p w14:paraId="31E71FA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19.29</w:t>
            </w:r>
          </w:p>
        </w:tc>
        <w:tc>
          <w:tcPr>
            <w:tcW w:w="0" w:type="auto"/>
            <w:tcBorders>
              <w:top w:val="nil"/>
              <w:left w:val="nil"/>
              <w:bottom w:val="single" w:sz="4" w:space="0" w:color="auto"/>
              <w:right w:val="single" w:sz="4" w:space="0" w:color="auto"/>
            </w:tcBorders>
            <w:noWrap/>
            <w:vAlign w:val="bottom"/>
            <w:hideMark/>
          </w:tcPr>
          <w:p w14:paraId="0AB66A3E"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72.78</w:t>
            </w:r>
          </w:p>
        </w:tc>
        <w:tc>
          <w:tcPr>
            <w:tcW w:w="0" w:type="auto"/>
            <w:tcBorders>
              <w:top w:val="nil"/>
              <w:left w:val="nil"/>
              <w:bottom w:val="single" w:sz="4" w:space="0" w:color="auto"/>
              <w:right w:val="single" w:sz="4" w:space="0" w:color="auto"/>
            </w:tcBorders>
            <w:noWrap/>
            <w:vAlign w:val="bottom"/>
            <w:hideMark/>
          </w:tcPr>
          <w:p w14:paraId="131689D1"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76.25</w:t>
            </w:r>
          </w:p>
        </w:tc>
        <w:tc>
          <w:tcPr>
            <w:tcW w:w="0" w:type="auto"/>
            <w:tcBorders>
              <w:top w:val="nil"/>
              <w:left w:val="nil"/>
              <w:bottom w:val="single" w:sz="4" w:space="0" w:color="auto"/>
              <w:right w:val="single" w:sz="4" w:space="0" w:color="auto"/>
            </w:tcBorders>
            <w:noWrap/>
            <w:vAlign w:val="bottom"/>
            <w:hideMark/>
          </w:tcPr>
          <w:p w14:paraId="62B1E0B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D073C8D"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60" w:type="dxa"/>
            <w:tcBorders>
              <w:top w:val="nil"/>
              <w:left w:val="nil"/>
              <w:bottom w:val="single" w:sz="4" w:space="0" w:color="auto"/>
              <w:right w:val="single" w:sz="4" w:space="0" w:color="auto"/>
            </w:tcBorders>
            <w:noWrap/>
            <w:vAlign w:val="bottom"/>
            <w:hideMark/>
          </w:tcPr>
          <w:p w14:paraId="79AAC629"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c>
          <w:tcPr>
            <w:tcW w:w="1034" w:type="dxa"/>
            <w:tcBorders>
              <w:top w:val="nil"/>
              <w:left w:val="nil"/>
              <w:bottom w:val="single" w:sz="4" w:space="0" w:color="auto"/>
              <w:right w:val="single" w:sz="4" w:space="0" w:color="auto"/>
            </w:tcBorders>
            <w:noWrap/>
            <w:vAlign w:val="bottom"/>
            <w:hideMark/>
          </w:tcPr>
          <w:p w14:paraId="2781040A" w14:textId="77777777" w:rsidR="00017F1D" w:rsidRPr="00DE77C3" w:rsidRDefault="00017F1D" w:rsidP="00044B99">
            <w:pPr>
              <w:spacing w:after="0" w:line="240" w:lineRule="auto"/>
              <w:jc w:val="both"/>
              <w:rPr>
                <w:rFonts w:ascii="Times New Roman" w:eastAsia="Times New Roman" w:hAnsi="Times New Roman" w:cs="Times New Roman"/>
                <w:color w:val="000000"/>
                <w:sz w:val="19"/>
                <w:szCs w:val="19"/>
                <w:lang w:eastAsia="en-IN" w:bidi="hi-IN"/>
              </w:rPr>
            </w:pPr>
            <w:r w:rsidRPr="00DE77C3">
              <w:rPr>
                <w:rFonts w:ascii="Times New Roman" w:eastAsia="Times New Roman" w:hAnsi="Times New Roman" w:cs="Times New Roman"/>
                <w:color w:val="000000"/>
                <w:sz w:val="19"/>
                <w:szCs w:val="19"/>
                <w:lang w:eastAsia="en-IN" w:bidi="hi-IN"/>
              </w:rPr>
              <w:t>0.00</w:t>
            </w:r>
          </w:p>
        </w:tc>
      </w:tr>
    </w:tbl>
    <w:p w14:paraId="4CA99C38" w14:textId="77777777" w:rsidR="00F914DE" w:rsidRPr="00DE77C3" w:rsidRDefault="00F914DE" w:rsidP="00044B99">
      <w:pPr>
        <w:spacing w:after="0" w:line="360" w:lineRule="auto"/>
        <w:jc w:val="both"/>
        <w:rPr>
          <w:rFonts w:ascii="Times New Roman" w:eastAsiaTheme="minorEastAsia" w:hAnsi="Times New Roman" w:cs="Times New Roman"/>
          <w:iCs/>
          <w:sz w:val="24"/>
        </w:rPr>
      </w:pPr>
    </w:p>
    <w:tbl>
      <w:tblPr>
        <w:tblpPr w:leftFromText="180" w:rightFromText="180" w:vertAnchor="text" w:horzAnchor="margin" w:tblpY="660"/>
        <w:tblW w:w="9700" w:type="dxa"/>
        <w:tblLook w:val="04A0" w:firstRow="1" w:lastRow="0" w:firstColumn="1" w:lastColumn="0" w:noHBand="0" w:noVBand="1"/>
      </w:tblPr>
      <w:tblGrid>
        <w:gridCol w:w="985"/>
        <w:gridCol w:w="2630"/>
        <w:gridCol w:w="2931"/>
        <w:gridCol w:w="3154"/>
      </w:tblGrid>
      <w:tr w:rsidR="000627FC" w:rsidRPr="00DE77C3" w14:paraId="00C6303A" w14:textId="77777777" w:rsidTr="000627FC">
        <w:trPr>
          <w:trHeight w:val="255"/>
        </w:trPr>
        <w:tc>
          <w:tcPr>
            <w:tcW w:w="985" w:type="dxa"/>
            <w:vMerge w:val="restart"/>
            <w:tcBorders>
              <w:top w:val="single" w:sz="4" w:space="0" w:color="auto"/>
              <w:left w:val="single" w:sz="4" w:space="0" w:color="auto"/>
              <w:right w:val="single" w:sz="4" w:space="0" w:color="auto"/>
            </w:tcBorders>
            <w:noWrap/>
            <w:vAlign w:val="center"/>
            <w:hideMark/>
          </w:tcPr>
          <w:p w14:paraId="21DAFE1E" w14:textId="77777777" w:rsidR="000627FC" w:rsidRPr="00DE77C3" w:rsidRDefault="000627FC" w:rsidP="00044B99">
            <w:pPr>
              <w:spacing w:after="0" w:line="240" w:lineRule="auto"/>
              <w:jc w:val="both"/>
              <w:rPr>
                <w:rFonts w:ascii="Times New Roman" w:eastAsia="Times New Roman" w:hAnsi="Times New Roman" w:cs="Times New Roman"/>
                <w:b/>
                <w:bCs/>
                <w:color w:val="000000"/>
                <w:sz w:val="24"/>
                <w:szCs w:val="24"/>
                <w:lang w:eastAsia="en-IN" w:bidi="hi-IN"/>
              </w:rPr>
            </w:pPr>
            <w:r w:rsidRPr="00DE77C3">
              <w:rPr>
                <w:rFonts w:ascii="Times New Roman" w:eastAsia="Times New Roman" w:hAnsi="Times New Roman" w:cs="Times New Roman"/>
                <w:b/>
                <w:bCs/>
                <w:color w:val="000000"/>
                <w:sz w:val="24"/>
                <w:szCs w:val="24"/>
                <w:lang w:eastAsia="en-IN" w:bidi="hi-IN"/>
              </w:rPr>
              <w:t>Sr. No.</w:t>
            </w:r>
          </w:p>
        </w:tc>
        <w:tc>
          <w:tcPr>
            <w:tcW w:w="2630" w:type="dxa"/>
            <w:vMerge w:val="restart"/>
            <w:tcBorders>
              <w:top w:val="single" w:sz="4" w:space="0" w:color="auto"/>
              <w:left w:val="nil"/>
              <w:right w:val="single" w:sz="4" w:space="0" w:color="auto"/>
            </w:tcBorders>
            <w:noWrap/>
            <w:vAlign w:val="center"/>
            <w:hideMark/>
          </w:tcPr>
          <w:p w14:paraId="69537C58" w14:textId="77777777" w:rsidR="000627FC" w:rsidRPr="00DE77C3" w:rsidRDefault="000627FC" w:rsidP="00044B99">
            <w:pPr>
              <w:spacing w:after="0" w:line="240" w:lineRule="auto"/>
              <w:jc w:val="both"/>
              <w:rPr>
                <w:rFonts w:ascii="Times New Roman" w:eastAsia="Times New Roman" w:hAnsi="Times New Roman" w:cs="Times New Roman"/>
                <w:b/>
                <w:bCs/>
                <w:color w:val="000000"/>
                <w:sz w:val="24"/>
                <w:szCs w:val="24"/>
                <w:lang w:eastAsia="en-IN" w:bidi="hi-IN"/>
              </w:rPr>
            </w:pPr>
            <w:r w:rsidRPr="00DE77C3">
              <w:rPr>
                <w:rFonts w:ascii="Times New Roman" w:eastAsia="Times New Roman" w:hAnsi="Times New Roman" w:cs="Times New Roman"/>
                <w:b/>
                <w:bCs/>
                <w:color w:val="000000"/>
                <w:sz w:val="24"/>
                <w:szCs w:val="24"/>
                <w:lang w:eastAsia="en-IN" w:bidi="hi-IN"/>
              </w:rPr>
              <w:t>Weather Parameters</w:t>
            </w:r>
          </w:p>
        </w:tc>
        <w:tc>
          <w:tcPr>
            <w:tcW w:w="2931" w:type="dxa"/>
            <w:tcBorders>
              <w:top w:val="single" w:sz="4" w:space="0" w:color="auto"/>
              <w:left w:val="nil"/>
              <w:bottom w:val="single" w:sz="4" w:space="0" w:color="auto"/>
              <w:right w:val="single" w:sz="4" w:space="0" w:color="auto"/>
            </w:tcBorders>
            <w:noWrap/>
            <w:vAlign w:val="center"/>
            <w:hideMark/>
          </w:tcPr>
          <w:p w14:paraId="42D625B1" w14:textId="77777777" w:rsidR="000627FC" w:rsidRPr="00DE77C3" w:rsidRDefault="000627FC" w:rsidP="00044B99">
            <w:pPr>
              <w:spacing w:after="0" w:line="240" w:lineRule="auto"/>
              <w:jc w:val="both"/>
              <w:rPr>
                <w:rFonts w:ascii="Times New Roman" w:eastAsia="Times New Roman" w:hAnsi="Times New Roman" w:cs="Times New Roman"/>
                <w:b/>
                <w:bCs/>
                <w:color w:val="000000"/>
                <w:sz w:val="24"/>
                <w:szCs w:val="24"/>
                <w:lang w:eastAsia="en-IN" w:bidi="hi-IN"/>
              </w:rPr>
            </w:pPr>
            <w:r w:rsidRPr="00DE77C3">
              <w:rPr>
                <w:rFonts w:ascii="Times New Roman" w:eastAsia="Times New Roman" w:hAnsi="Times New Roman" w:cs="Times New Roman"/>
                <w:b/>
                <w:bCs/>
                <w:color w:val="000000"/>
                <w:sz w:val="24"/>
                <w:szCs w:val="24"/>
                <w:lang w:eastAsia="en-IN" w:bidi="hi-IN"/>
              </w:rPr>
              <w:t>Correlation Coefficient (r)</w:t>
            </w:r>
          </w:p>
        </w:tc>
        <w:tc>
          <w:tcPr>
            <w:tcW w:w="3154" w:type="dxa"/>
            <w:tcBorders>
              <w:top w:val="single" w:sz="4" w:space="0" w:color="auto"/>
              <w:left w:val="nil"/>
              <w:bottom w:val="single" w:sz="4" w:space="0" w:color="auto"/>
              <w:right w:val="single" w:sz="4" w:space="0" w:color="auto"/>
            </w:tcBorders>
            <w:noWrap/>
            <w:vAlign w:val="center"/>
            <w:hideMark/>
          </w:tcPr>
          <w:p w14:paraId="2C70DC75" w14:textId="77777777" w:rsidR="000627FC" w:rsidRPr="00DE77C3" w:rsidRDefault="000627FC" w:rsidP="00044B99">
            <w:pPr>
              <w:spacing w:after="0" w:line="240" w:lineRule="auto"/>
              <w:jc w:val="both"/>
              <w:rPr>
                <w:rFonts w:ascii="Calibri" w:eastAsia="Times New Roman" w:hAnsi="Calibri" w:cs="Calibri"/>
                <w:b/>
                <w:bCs/>
                <w:color w:val="000000"/>
                <w:lang w:eastAsia="en-IN" w:bidi="hi-IN"/>
              </w:rPr>
            </w:pPr>
            <w:r w:rsidRPr="00DE77C3">
              <w:rPr>
                <w:rFonts w:ascii="Times New Roman" w:eastAsia="Times New Roman" w:hAnsi="Times New Roman" w:cs="Times New Roman"/>
                <w:b/>
                <w:bCs/>
                <w:color w:val="000000"/>
                <w:sz w:val="24"/>
                <w:szCs w:val="24"/>
                <w:lang w:eastAsia="en-IN" w:bidi="hi-IN"/>
              </w:rPr>
              <w:t>Correlation Coefficient (r)</w:t>
            </w:r>
          </w:p>
        </w:tc>
      </w:tr>
      <w:tr w:rsidR="000627FC" w:rsidRPr="00DE77C3" w14:paraId="05CB555C" w14:textId="77777777" w:rsidTr="000627FC">
        <w:trPr>
          <w:trHeight w:val="332"/>
        </w:trPr>
        <w:tc>
          <w:tcPr>
            <w:tcW w:w="985" w:type="dxa"/>
            <w:vMerge/>
            <w:tcBorders>
              <w:left w:val="single" w:sz="4" w:space="0" w:color="auto"/>
              <w:bottom w:val="single" w:sz="4" w:space="0" w:color="auto"/>
              <w:right w:val="single" w:sz="4" w:space="0" w:color="auto"/>
            </w:tcBorders>
            <w:noWrap/>
            <w:vAlign w:val="center"/>
            <w:hideMark/>
          </w:tcPr>
          <w:p w14:paraId="4E34CBA1"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p>
        </w:tc>
        <w:tc>
          <w:tcPr>
            <w:tcW w:w="2630" w:type="dxa"/>
            <w:vMerge/>
            <w:tcBorders>
              <w:left w:val="nil"/>
              <w:bottom w:val="single" w:sz="4" w:space="0" w:color="auto"/>
              <w:right w:val="single" w:sz="4" w:space="0" w:color="auto"/>
            </w:tcBorders>
            <w:noWrap/>
            <w:vAlign w:val="center"/>
            <w:hideMark/>
          </w:tcPr>
          <w:p w14:paraId="5A74BFEC"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p>
        </w:tc>
        <w:tc>
          <w:tcPr>
            <w:tcW w:w="2931" w:type="dxa"/>
            <w:tcBorders>
              <w:top w:val="nil"/>
              <w:left w:val="nil"/>
              <w:bottom w:val="single" w:sz="4" w:space="0" w:color="auto"/>
              <w:right w:val="single" w:sz="4" w:space="0" w:color="auto"/>
            </w:tcBorders>
            <w:noWrap/>
            <w:vAlign w:val="center"/>
            <w:hideMark/>
          </w:tcPr>
          <w:p w14:paraId="4BF39D45" w14:textId="77777777" w:rsidR="000627FC" w:rsidRPr="00DE77C3" w:rsidRDefault="000627FC" w:rsidP="00044B99">
            <w:pPr>
              <w:spacing w:after="0" w:line="240" w:lineRule="auto"/>
              <w:jc w:val="both"/>
              <w:rPr>
                <w:rFonts w:ascii="Times New Roman" w:eastAsia="Times New Roman" w:hAnsi="Times New Roman" w:cs="Times New Roman"/>
                <w:b/>
                <w:bCs/>
                <w:color w:val="000000"/>
                <w:sz w:val="24"/>
                <w:szCs w:val="24"/>
                <w:lang w:eastAsia="en-IN" w:bidi="hi-IN"/>
              </w:rPr>
            </w:pPr>
            <w:r w:rsidRPr="00DE77C3">
              <w:rPr>
                <w:rFonts w:ascii="Times New Roman" w:eastAsia="Times New Roman" w:hAnsi="Times New Roman" w:cs="Times New Roman"/>
                <w:b/>
                <w:bCs/>
                <w:color w:val="000000"/>
                <w:sz w:val="24"/>
                <w:szCs w:val="24"/>
                <w:lang w:eastAsia="en-IN" w:bidi="hi-IN"/>
              </w:rPr>
              <w:t>2024</w:t>
            </w:r>
          </w:p>
        </w:tc>
        <w:tc>
          <w:tcPr>
            <w:tcW w:w="3154" w:type="dxa"/>
            <w:tcBorders>
              <w:top w:val="nil"/>
              <w:left w:val="nil"/>
              <w:bottom w:val="single" w:sz="4" w:space="0" w:color="auto"/>
              <w:right w:val="single" w:sz="4" w:space="0" w:color="auto"/>
            </w:tcBorders>
            <w:noWrap/>
            <w:vAlign w:val="center"/>
            <w:hideMark/>
          </w:tcPr>
          <w:p w14:paraId="5BE5466B" w14:textId="77777777" w:rsidR="000627FC" w:rsidRPr="00DE77C3" w:rsidRDefault="000627FC" w:rsidP="00044B99">
            <w:pPr>
              <w:spacing w:after="0" w:line="240" w:lineRule="auto"/>
              <w:jc w:val="both"/>
              <w:rPr>
                <w:rFonts w:ascii="Times New Roman" w:eastAsia="Times New Roman" w:hAnsi="Times New Roman" w:cs="Times New Roman"/>
                <w:b/>
                <w:bCs/>
                <w:color w:val="000000"/>
                <w:sz w:val="24"/>
                <w:szCs w:val="24"/>
                <w:lang w:eastAsia="en-IN" w:bidi="hi-IN"/>
              </w:rPr>
            </w:pPr>
            <w:r w:rsidRPr="00DE77C3">
              <w:rPr>
                <w:rFonts w:ascii="Times New Roman" w:eastAsia="Times New Roman" w:hAnsi="Times New Roman" w:cs="Times New Roman"/>
                <w:b/>
                <w:bCs/>
                <w:color w:val="000000"/>
                <w:sz w:val="24"/>
                <w:szCs w:val="24"/>
                <w:lang w:eastAsia="en-IN" w:bidi="hi-IN"/>
              </w:rPr>
              <w:t>2025</w:t>
            </w:r>
          </w:p>
        </w:tc>
      </w:tr>
      <w:tr w:rsidR="000627FC" w:rsidRPr="00DE77C3" w14:paraId="24594971" w14:textId="77777777" w:rsidTr="000627FC">
        <w:trPr>
          <w:trHeight w:val="255"/>
        </w:trPr>
        <w:tc>
          <w:tcPr>
            <w:tcW w:w="985" w:type="dxa"/>
            <w:tcBorders>
              <w:top w:val="nil"/>
              <w:left w:val="single" w:sz="4" w:space="0" w:color="auto"/>
              <w:bottom w:val="single" w:sz="4" w:space="0" w:color="auto"/>
              <w:right w:val="single" w:sz="4" w:space="0" w:color="auto"/>
            </w:tcBorders>
            <w:noWrap/>
            <w:vAlign w:val="center"/>
            <w:hideMark/>
          </w:tcPr>
          <w:p w14:paraId="64965FC5"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1</w:t>
            </w:r>
          </w:p>
        </w:tc>
        <w:tc>
          <w:tcPr>
            <w:tcW w:w="2630" w:type="dxa"/>
            <w:tcBorders>
              <w:top w:val="nil"/>
              <w:left w:val="nil"/>
              <w:bottom w:val="single" w:sz="4" w:space="0" w:color="auto"/>
              <w:right w:val="single" w:sz="4" w:space="0" w:color="auto"/>
            </w:tcBorders>
            <w:noWrap/>
            <w:vAlign w:val="center"/>
            <w:hideMark/>
          </w:tcPr>
          <w:p w14:paraId="77E4EEFE"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Maximum Temperature</w:t>
            </w:r>
          </w:p>
        </w:tc>
        <w:tc>
          <w:tcPr>
            <w:tcW w:w="2931" w:type="dxa"/>
            <w:tcBorders>
              <w:top w:val="nil"/>
              <w:left w:val="nil"/>
              <w:bottom w:val="single" w:sz="4" w:space="0" w:color="auto"/>
              <w:right w:val="single" w:sz="4" w:space="0" w:color="auto"/>
            </w:tcBorders>
            <w:noWrap/>
            <w:vAlign w:val="center"/>
            <w:hideMark/>
          </w:tcPr>
          <w:p w14:paraId="24B16BBA"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0.435*</w:t>
            </w:r>
          </w:p>
        </w:tc>
        <w:tc>
          <w:tcPr>
            <w:tcW w:w="3154" w:type="dxa"/>
            <w:tcBorders>
              <w:top w:val="nil"/>
              <w:left w:val="nil"/>
              <w:bottom w:val="single" w:sz="4" w:space="0" w:color="auto"/>
              <w:right w:val="single" w:sz="4" w:space="0" w:color="auto"/>
            </w:tcBorders>
            <w:noWrap/>
            <w:vAlign w:val="center"/>
            <w:hideMark/>
          </w:tcPr>
          <w:p w14:paraId="457E9650"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0.457*</w:t>
            </w:r>
          </w:p>
        </w:tc>
      </w:tr>
      <w:tr w:rsidR="000627FC" w:rsidRPr="00DE77C3" w14:paraId="354D362D" w14:textId="77777777" w:rsidTr="000627FC">
        <w:trPr>
          <w:trHeight w:val="255"/>
        </w:trPr>
        <w:tc>
          <w:tcPr>
            <w:tcW w:w="985" w:type="dxa"/>
            <w:tcBorders>
              <w:top w:val="nil"/>
              <w:left w:val="single" w:sz="4" w:space="0" w:color="auto"/>
              <w:bottom w:val="single" w:sz="4" w:space="0" w:color="auto"/>
              <w:right w:val="single" w:sz="4" w:space="0" w:color="auto"/>
            </w:tcBorders>
            <w:noWrap/>
            <w:vAlign w:val="center"/>
            <w:hideMark/>
          </w:tcPr>
          <w:p w14:paraId="10632761"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2</w:t>
            </w:r>
          </w:p>
        </w:tc>
        <w:tc>
          <w:tcPr>
            <w:tcW w:w="2630" w:type="dxa"/>
            <w:tcBorders>
              <w:top w:val="nil"/>
              <w:left w:val="nil"/>
              <w:bottom w:val="single" w:sz="4" w:space="0" w:color="auto"/>
              <w:right w:val="single" w:sz="4" w:space="0" w:color="auto"/>
            </w:tcBorders>
            <w:noWrap/>
            <w:vAlign w:val="center"/>
            <w:hideMark/>
          </w:tcPr>
          <w:p w14:paraId="46EA77F9"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Minimum Temperature</w:t>
            </w:r>
          </w:p>
        </w:tc>
        <w:tc>
          <w:tcPr>
            <w:tcW w:w="2931" w:type="dxa"/>
            <w:tcBorders>
              <w:top w:val="nil"/>
              <w:left w:val="nil"/>
              <w:bottom w:val="single" w:sz="4" w:space="0" w:color="auto"/>
              <w:right w:val="single" w:sz="4" w:space="0" w:color="auto"/>
            </w:tcBorders>
            <w:noWrap/>
            <w:vAlign w:val="center"/>
            <w:hideMark/>
          </w:tcPr>
          <w:p w14:paraId="2C096D17"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0.469*</w:t>
            </w:r>
          </w:p>
        </w:tc>
        <w:tc>
          <w:tcPr>
            <w:tcW w:w="3154" w:type="dxa"/>
            <w:tcBorders>
              <w:top w:val="nil"/>
              <w:left w:val="nil"/>
              <w:bottom w:val="single" w:sz="4" w:space="0" w:color="auto"/>
              <w:right w:val="single" w:sz="4" w:space="0" w:color="auto"/>
            </w:tcBorders>
            <w:noWrap/>
            <w:vAlign w:val="center"/>
            <w:hideMark/>
          </w:tcPr>
          <w:p w14:paraId="00AAD8D6"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0.453*</w:t>
            </w:r>
          </w:p>
        </w:tc>
      </w:tr>
      <w:tr w:rsidR="000627FC" w:rsidRPr="00DE77C3" w14:paraId="0D04C67A" w14:textId="77777777" w:rsidTr="000627FC">
        <w:trPr>
          <w:trHeight w:val="255"/>
        </w:trPr>
        <w:tc>
          <w:tcPr>
            <w:tcW w:w="985" w:type="dxa"/>
            <w:tcBorders>
              <w:top w:val="nil"/>
              <w:left w:val="single" w:sz="4" w:space="0" w:color="auto"/>
              <w:bottom w:val="single" w:sz="4" w:space="0" w:color="auto"/>
              <w:right w:val="single" w:sz="4" w:space="0" w:color="auto"/>
            </w:tcBorders>
            <w:noWrap/>
            <w:vAlign w:val="center"/>
            <w:hideMark/>
          </w:tcPr>
          <w:p w14:paraId="6E242B2C"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3</w:t>
            </w:r>
          </w:p>
        </w:tc>
        <w:tc>
          <w:tcPr>
            <w:tcW w:w="2630" w:type="dxa"/>
            <w:tcBorders>
              <w:top w:val="nil"/>
              <w:left w:val="nil"/>
              <w:bottom w:val="single" w:sz="4" w:space="0" w:color="auto"/>
              <w:right w:val="single" w:sz="4" w:space="0" w:color="auto"/>
            </w:tcBorders>
            <w:noWrap/>
            <w:vAlign w:val="center"/>
            <w:hideMark/>
          </w:tcPr>
          <w:p w14:paraId="7C991F9E"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Relative Humidity</w:t>
            </w:r>
          </w:p>
        </w:tc>
        <w:tc>
          <w:tcPr>
            <w:tcW w:w="2931" w:type="dxa"/>
            <w:tcBorders>
              <w:top w:val="nil"/>
              <w:left w:val="nil"/>
              <w:bottom w:val="single" w:sz="4" w:space="0" w:color="auto"/>
              <w:right w:val="single" w:sz="4" w:space="0" w:color="auto"/>
            </w:tcBorders>
            <w:noWrap/>
            <w:vAlign w:val="center"/>
            <w:hideMark/>
          </w:tcPr>
          <w:p w14:paraId="195EF6E6"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0.425*</w:t>
            </w:r>
          </w:p>
        </w:tc>
        <w:tc>
          <w:tcPr>
            <w:tcW w:w="3154" w:type="dxa"/>
            <w:tcBorders>
              <w:top w:val="nil"/>
              <w:left w:val="nil"/>
              <w:bottom w:val="single" w:sz="4" w:space="0" w:color="auto"/>
              <w:right w:val="single" w:sz="4" w:space="0" w:color="auto"/>
            </w:tcBorders>
            <w:noWrap/>
            <w:vAlign w:val="center"/>
            <w:hideMark/>
          </w:tcPr>
          <w:p w14:paraId="6B328AD4"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0.420*</w:t>
            </w:r>
          </w:p>
        </w:tc>
      </w:tr>
      <w:tr w:rsidR="000627FC" w:rsidRPr="00DE77C3" w14:paraId="5B749C78" w14:textId="77777777" w:rsidTr="000627FC">
        <w:trPr>
          <w:trHeight w:val="255"/>
        </w:trPr>
        <w:tc>
          <w:tcPr>
            <w:tcW w:w="985" w:type="dxa"/>
            <w:tcBorders>
              <w:top w:val="nil"/>
              <w:left w:val="single" w:sz="4" w:space="0" w:color="auto"/>
              <w:bottom w:val="single" w:sz="4" w:space="0" w:color="auto"/>
              <w:right w:val="single" w:sz="4" w:space="0" w:color="auto"/>
            </w:tcBorders>
            <w:noWrap/>
            <w:vAlign w:val="center"/>
            <w:hideMark/>
          </w:tcPr>
          <w:p w14:paraId="0B3EF9AF"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4</w:t>
            </w:r>
          </w:p>
        </w:tc>
        <w:tc>
          <w:tcPr>
            <w:tcW w:w="2630" w:type="dxa"/>
            <w:tcBorders>
              <w:top w:val="nil"/>
              <w:left w:val="nil"/>
              <w:bottom w:val="single" w:sz="4" w:space="0" w:color="auto"/>
              <w:right w:val="single" w:sz="4" w:space="0" w:color="auto"/>
            </w:tcBorders>
            <w:noWrap/>
            <w:vAlign w:val="center"/>
            <w:hideMark/>
          </w:tcPr>
          <w:p w14:paraId="09FD6D5E"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Rainfall</w:t>
            </w:r>
          </w:p>
        </w:tc>
        <w:tc>
          <w:tcPr>
            <w:tcW w:w="2931" w:type="dxa"/>
            <w:tcBorders>
              <w:top w:val="nil"/>
              <w:left w:val="nil"/>
              <w:bottom w:val="single" w:sz="4" w:space="0" w:color="auto"/>
              <w:right w:val="single" w:sz="4" w:space="0" w:color="auto"/>
            </w:tcBorders>
            <w:noWrap/>
            <w:vAlign w:val="center"/>
            <w:hideMark/>
          </w:tcPr>
          <w:p w14:paraId="5A596ADD"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-0.253</w:t>
            </w:r>
            <w:r w:rsidRPr="00DE77C3">
              <w:rPr>
                <w:rFonts w:ascii="Times New Roman" w:eastAsia="Times New Roman" w:hAnsi="Times New Roman" w:cs="Times New Roman"/>
                <w:color w:val="000000"/>
                <w:sz w:val="24"/>
                <w:szCs w:val="24"/>
                <w:vertAlign w:val="superscript"/>
                <w:lang w:eastAsia="en-IN" w:bidi="hi-IN"/>
              </w:rPr>
              <w:t>NS</w:t>
            </w:r>
          </w:p>
        </w:tc>
        <w:tc>
          <w:tcPr>
            <w:tcW w:w="3154" w:type="dxa"/>
            <w:tcBorders>
              <w:top w:val="nil"/>
              <w:left w:val="nil"/>
              <w:bottom w:val="single" w:sz="4" w:space="0" w:color="auto"/>
              <w:right w:val="single" w:sz="4" w:space="0" w:color="auto"/>
            </w:tcBorders>
            <w:noWrap/>
            <w:vAlign w:val="center"/>
            <w:hideMark/>
          </w:tcPr>
          <w:p w14:paraId="33659792" w14:textId="77777777" w:rsidR="000627FC" w:rsidRPr="00DE77C3" w:rsidRDefault="000627FC" w:rsidP="00044B99">
            <w:pPr>
              <w:spacing w:after="0" w:line="240" w:lineRule="auto"/>
              <w:jc w:val="both"/>
              <w:rPr>
                <w:rFonts w:ascii="Times New Roman" w:eastAsia="Times New Roman" w:hAnsi="Times New Roman" w:cs="Times New Roman"/>
                <w:color w:val="000000"/>
                <w:sz w:val="24"/>
                <w:szCs w:val="24"/>
                <w:lang w:eastAsia="en-IN" w:bidi="hi-IN"/>
              </w:rPr>
            </w:pPr>
            <w:r w:rsidRPr="00DE77C3">
              <w:rPr>
                <w:rFonts w:ascii="Times New Roman" w:eastAsia="Times New Roman" w:hAnsi="Times New Roman" w:cs="Times New Roman"/>
                <w:color w:val="000000"/>
                <w:sz w:val="24"/>
                <w:szCs w:val="24"/>
                <w:lang w:eastAsia="en-IN" w:bidi="hi-IN"/>
              </w:rPr>
              <w:t>-0.038</w:t>
            </w:r>
            <w:r w:rsidRPr="00DE77C3">
              <w:rPr>
                <w:rFonts w:ascii="Times New Roman" w:eastAsia="Times New Roman" w:hAnsi="Times New Roman" w:cs="Times New Roman"/>
                <w:color w:val="000000"/>
                <w:sz w:val="24"/>
                <w:szCs w:val="24"/>
                <w:vertAlign w:val="superscript"/>
                <w:lang w:eastAsia="en-IN" w:bidi="hi-IN"/>
              </w:rPr>
              <w:t>NS</w:t>
            </w:r>
          </w:p>
        </w:tc>
      </w:tr>
    </w:tbl>
    <w:p w14:paraId="23A39F08" w14:textId="77777777" w:rsidR="00017F1D" w:rsidRPr="00DE77C3" w:rsidRDefault="00017F1D" w:rsidP="00044B99">
      <w:pPr>
        <w:spacing w:after="0" w:line="240" w:lineRule="auto"/>
        <w:jc w:val="both"/>
        <w:rPr>
          <w:rFonts w:ascii="Times New Roman" w:hAnsi="Times New Roman" w:cs="Times New Roman"/>
          <w:b/>
          <w:bCs/>
          <w:color w:val="000000"/>
          <w:sz w:val="24"/>
          <w:szCs w:val="24"/>
        </w:rPr>
      </w:pPr>
      <w:r w:rsidRPr="00DE77C3">
        <w:rPr>
          <w:rFonts w:ascii="Times New Roman" w:hAnsi="Times New Roman" w:cs="Times New Roman"/>
          <w:b/>
          <w:bCs/>
          <w:color w:val="000000"/>
          <w:sz w:val="24"/>
          <w:szCs w:val="24"/>
        </w:rPr>
        <w:t xml:space="preserve">Table 2. Correlation coefficient between population of </w:t>
      </w:r>
      <w:r w:rsidRPr="00DE77C3">
        <w:rPr>
          <w:rFonts w:ascii="Times New Roman" w:hAnsi="Times New Roman" w:cs="Times New Roman"/>
          <w:b/>
          <w:bCs/>
          <w:i/>
          <w:iCs/>
          <w:color w:val="000000"/>
          <w:sz w:val="24"/>
          <w:szCs w:val="24"/>
        </w:rPr>
        <w:t xml:space="preserve">D. citri </w:t>
      </w:r>
      <w:r w:rsidRPr="00DE77C3">
        <w:rPr>
          <w:rFonts w:ascii="Times New Roman" w:hAnsi="Times New Roman" w:cs="Times New Roman"/>
          <w:b/>
          <w:bCs/>
          <w:color w:val="000000"/>
          <w:sz w:val="24"/>
          <w:szCs w:val="24"/>
        </w:rPr>
        <w:t>and weather parameters</w:t>
      </w:r>
      <w:r w:rsidR="00CD3EF4" w:rsidRPr="00DE77C3">
        <w:rPr>
          <w:rFonts w:ascii="Times New Roman" w:hAnsi="Times New Roman" w:cs="Times New Roman"/>
          <w:b/>
          <w:bCs/>
          <w:color w:val="000000"/>
          <w:sz w:val="24"/>
          <w:szCs w:val="24"/>
        </w:rPr>
        <w:t xml:space="preserve"> during 2024-25 and 2025-26</w:t>
      </w:r>
    </w:p>
    <w:p w14:paraId="5718BDE9" w14:textId="77777777" w:rsidR="000627FC" w:rsidRPr="00DE77C3" w:rsidRDefault="000627FC" w:rsidP="00044B99">
      <w:pPr>
        <w:jc w:val="both"/>
        <w:rPr>
          <w:rFonts w:ascii="Times New Roman" w:eastAsiaTheme="minorEastAsia" w:hAnsi="Times New Roman" w:cs="Times New Roman"/>
          <w:sz w:val="24"/>
          <w:szCs w:val="24"/>
        </w:rPr>
      </w:pPr>
      <w:r w:rsidRPr="00DE77C3">
        <w:rPr>
          <w:rFonts w:ascii="Times New Roman" w:hAnsi="Times New Roman" w:cs="Times New Roman"/>
          <w:sz w:val="24"/>
          <w:szCs w:val="24"/>
          <w:shd w:val="clear" w:color="auto" w:fill="FFFFFF"/>
        </w:rPr>
        <w:t xml:space="preserve">*Significant at 5% level; ** Significant at 1% level; NS = </w:t>
      </w:r>
      <w:proofErr w:type="gramStart"/>
      <w:r w:rsidRPr="00DE77C3">
        <w:rPr>
          <w:rFonts w:ascii="Times New Roman" w:hAnsi="Times New Roman" w:cs="Times New Roman"/>
          <w:sz w:val="24"/>
          <w:szCs w:val="24"/>
          <w:shd w:val="clear" w:color="auto" w:fill="FFFFFF"/>
        </w:rPr>
        <w:t>Non</w:t>
      </w:r>
      <w:r w:rsidR="00166D5A" w:rsidRPr="00DE77C3">
        <w:rPr>
          <w:rFonts w:ascii="Times New Roman" w:hAnsi="Times New Roman" w:cs="Times New Roman"/>
          <w:sz w:val="24"/>
          <w:szCs w:val="24"/>
          <w:shd w:val="clear" w:color="auto" w:fill="FFFFFF"/>
        </w:rPr>
        <w:t>-</w:t>
      </w:r>
      <w:r w:rsidRPr="00DE77C3">
        <w:rPr>
          <w:rFonts w:ascii="Times New Roman" w:hAnsi="Times New Roman" w:cs="Times New Roman"/>
          <w:sz w:val="24"/>
          <w:szCs w:val="24"/>
          <w:shd w:val="clear" w:color="auto" w:fill="FFFFFF"/>
        </w:rPr>
        <w:t>significant</w:t>
      </w:r>
      <w:proofErr w:type="gramEnd"/>
    </w:p>
    <w:p w14:paraId="6B3A82D6" w14:textId="77777777" w:rsidR="000627FC" w:rsidRPr="00DE77C3" w:rsidRDefault="000627FC" w:rsidP="00044B99">
      <w:pPr>
        <w:jc w:val="both"/>
        <w:rPr>
          <w:rFonts w:ascii="Times New Roman" w:eastAsiaTheme="minorEastAsia" w:hAnsi="Times New Roman" w:cs="Times New Roman"/>
          <w:sz w:val="32"/>
          <w:szCs w:val="28"/>
        </w:rPr>
      </w:pPr>
    </w:p>
    <w:p w14:paraId="3EBA3ADC" w14:textId="77777777" w:rsidR="000627FC" w:rsidRPr="00DE77C3" w:rsidRDefault="000627FC" w:rsidP="00044B99">
      <w:pPr>
        <w:jc w:val="both"/>
        <w:rPr>
          <w:rFonts w:ascii="Times New Roman" w:eastAsiaTheme="minorEastAsia" w:hAnsi="Times New Roman" w:cs="Times New Roman"/>
          <w:sz w:val="32"/>
          <w:szCs w:val="28"/>
        </w:rPr>
      </w:pPr>
    </w:p>
    <w:p w14:paraId="0970F227" w14:textId="77777777" w:rsidR="000627FC" w:rsidRPr="00DE77C3" w:rsidRDefault="000627FC" w:rsidP="00044B99">
      <w:pPr>
        <w:jc w:val="both"/>
        <w:rPr>
          <w:rFonts w:ascii="Times New Roman" w:eastAsiaTheme="minorEastAsia" w:hAnsi="Times New Roman" w:cs="Times New Roman"/>
          <w:sz w:val="32"/>
          <w:szCs w:val="28"/>
        </w:rPr>
        <w:sectPr w:rsidR="000627FC" w:rsidRPr="00DE77C3" w:rsidSect="00853027">
          <w:pgSz w:w="11906" w:h="16838"/>
          <w:pgMar w:top="1440" w:right="1440" w:bottom="1440" w:left="1440" w:header="708" w:footer="708" w:gutter="0"/>
          <w:cols w:space="708"/>
          <w:docGrid w:linePitch="360"/>
        </w:sectPr>
      </w:pPr>
    </w:p>
    <w:p w14:paraId="4D0668AE" w14:textId="77777777" w:rsidR="00F0596D" w:rsidRPr="00DE77C3" w:rsidRDefault="00F0596D" w:rsidP="00044B99">
      <w:pPr>
        <w:spacing w:after="0" w:line="360" w:lineRule="auto"/>
        <w:jc w:val="both"/>
        <w:rPr>
          <w:rFonts w:ascii="Times New Roman" w:eastAsiaTheme="minorEastAsia" w:hAnsi="Times New Roman" w:cs="Times New Roman"/>
          <w:iCs/>
          <w:noProof/>
          <w:sz w:val="24"/>
        </w:rPr>
      </w:pPr>
      <w:r w:rsidRPr="00DE77C3">
        <w:rPr>
          <w:rFonts w:ascii="Times New Roman" w:eastAsiaTheme="minorEastAsia" w:hAnsi="Times New Roman" w:cs="Times New Roman"/>
          <w:iCs/>
          <w:sz w:val="24"/>
        </w:rPr>
        <w:lastRenderedPageBreak/>
        <w:t xml:space="preserve">           </w:t>
      </w:r>
      <w:r w:rsidR="00053146" w:rsidRPr="00DE77C3">
        <w:rPr>
          <w:noProof/>
        </w:rPr>
        <w:drawing>
          <wp:inline distT="0" distB="0" distL="0" distR="0" wp14:anchorId="60AB1BAD" wp14:editId="2569B90C">
            <wp:extent cx="8863330" cy="4884420"/>
            <wp:effectExtent l="0" t="0" r="13970" b="11430"/>
            <wp:docPr id="2" name="Chart 2">
              <a:extLst xmlns:a="http://schemas.openxmlformats.org/drawingml/2006/main">
                <a:ext uri="{FF2B5EF4-FFF2-40B4-BE49-F238E27FC236}">
                  <a16:creationId xmlns:a16="http://schemas.microsoft.com/office/drawing/2014/main" id="{86FE9B63-97AA-4C9F-A143-B5C7743C02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9EAC2FE" w14:textId="77777777" w:rsidR="00853027" w:rsidRPr="00DE77C3" w:rsidRDefault="00853027" w:rsidP="00044B99">
      <w:pPr>
        <w:spacing w:after="0" w:line="360" w:lineRule="auto"/>
        <w:jc w:val="both"/>
        <w:rPr>
          <w:rFonts w:ascii="Times New Roman" w:eastAsiaTheme="minorEastAsia" w:hAnsi="Times New Roman" w:cs="Times New Roman"/>
          <w:b/>
          <w:bCs/>
          <w:iCs/>
          <w:sz w:val="36"/>
          <w:szCs w:val="32"/>
        </w:rPr>
      </w:pPr>
      <w:r w:rsidRPr="00DE77C3">
        <w:rPr>
          <w:rFonts w:ascii="Times New Roman" w:hAnsi="Times New Roman" w:cs="Times New Roman"/>
          <w:b/>
          <w:bCs/>
          <w:sz w:val="24"/>
          <w:szCs w:val="24"/>
        </w:rPr>
        <w:t xml:space="preserve">Fig 1. </w:t>
      </w:r>
      <w:r w:rsidR="008E09AB" w:rsidRPr="00DE77C3">
        <w:rPr>
          <w:rFonts w:ascii="Times New Roman" w:hAnsi="Times New Roman" w:cs="Times New Roman"/>
          <w:b/>
          <w:bCs/>
          <w:sz w:val="24"/>
          <w:szCs w:val="24"/>
        </w:rPr>
        <w:t>C</w:t>
      </w:r>
      <w:r w:rsidRPr="00DE77C3">
        <w:rPr>
          <w:rFonts w:ascii="Times New Roman" w:hAnsi="Times New Roman" w:cs="Times New Roman"/>
          <w:b/>
          <w:bCs/>
          <w:sz w:val="24"/>
          <w:szCs w:val="24"/>
        </w:rPr>
        <w:t xml:space="preserve">orrelation coefficient between the population of </w:t>
      </w:r>
      <w:proofErr w:type="spellStart"/>
      <w:r w:rsidRPr="00DE77C3">
        <w:rPr>
          <w:rFonts w:ascii="Times New Roman" w:hAnsi="Times New Roman" w:cs="Times New Roman"/>
          <w:b/>
          <w:bCs/>
          <w:i/>
          <w:iCs/>
          <w:sz w:val="24"/>
          <w:szCs w:val="24"/>
        </w:rPr>
        <w:t>Diaphorina</w:t>
      </w:r>
      <w:proofErr w:type="spellEnd"/>
      <w:r w:rsidRPr="00DE77C3">
        <w:rPr>
          <w:rFonts w:ascii="Times New Roman" w:hAnsi="Times New Roman" w:cs="Times New Roman"/>
          <w:b/>
          <w:bCs/>
          <w:i/>
          <w:iCs/>
          <w:sz w:val="24"/>
          <w:szCs w:val="24"/>
        </w:rPr>
        <w:t xml:space="preserve"> citri </w:t>
      </w:r>
      <w:r w:rsidRPr="00DE77C3">
        <w:rPr>
          <w:rFonts w:ascii="Times New Roman" w:hAnsi="Times New Roman" w:cs="Times New Roman"/>
          <w:b/>
          <w:bCs/>
          <w:sz w:val="24"/>
          <w:szCs w:val="24"/>
        </w:rPr>
        <w:t xml:space="preserve">on </w:t>
      </w:r>
      <w:proofErr w:type="spellStart"/>
      <w:r w:rsidRPr="00DE77C3">
        <w:rPr>
          <w:rFonts w:ascii="Times New Roman" w:hAnsi="Times New Roman" w:cs="Times New Roman"/>
          <w:b/>
          <w:bCs/>
          <w:sz w:val="24"/>
          <w:szCs w:val="24"/>
        </w:rPr>
        <w:t>Kinnow</w:t>
      </w:r>
      <w:proofErr w:type="spellEnd"/>
      <w:r w:rsidRPr="00DE77C3">
        <w:rPr>
          <w:rFonts w:ascii="Times New Roman" w:hAnsi="Times New Roman" w:cs="Times New Roman"/>
          <w:b/>
          <w:bCs/>
          <w:sz w:val="24"/>
          <w:szCs w:val="24"/>
        </w:rPr>
        <w:t xml:space="preserve"> with different weather parameters during 2024- 25.</w:t>
      </w:r>
      <w:r w:rsidRPr="00DE77C3">
        <w:rPr>
          <w:rFonts w:ascii="Times New Roman" w:eastAsiaTheme="minorEastAsia" w:hAnsi="Times New Roman" w:cs="Times New Roman"/>
          <w:b/>
          <w:bCs/>
          <w:iCs/>
          <w:sz w:val="36"/>
          <w:szCs w:val="32"/>
        </w:rPr>
        <w:t xml:space="preserve">       </w:t>
      </w:r>
    </w:p>
    <w:p w14:paraId="0E472D58" w14:textId="77777777" w:rsidR="00853027" w:rsidRPr="00DE77C3" w:rsidRDefault="00853027" w:rsidP="00044B99">
      <w:pPr>
        <w:tabs>
          <w:tab w:val="left" w:pos="1320"/>
        </w:tabs>
        <w:jc w:val="both"/>
        <w:rPr>
          <w:rFonts w:ascii="Times New Roman" w:eastAsiaTheme="minorEastAsia" w:hAnsi="Times New Roman" w:cs="Times New Roman"/>
          <w:sz w:val="24"/>
        </w:rPr>
      </w:pPr>
    </w:p>
    <w:p w14:paraId="5BA33CBE" w14:textId="77777777" w:rsidR="00F914DE" w:rsidRPr="00DE77C3" w:rsidRDefault="008E09AB" w:rsidP="00044B99">
      <w:pPr>
        <w:spacing w:after="0" w:line="360" w:lineRule="auto"/>
        <w:jc w:val="both"/>
        <w:rPr>
          <w:rFonts w:ascii="Times New Roman" w:eastAsiaTheme="minorEastAsia" w:hAnsi="Times New Roman" w:cs="Times New Roman"/>
          <w:iCs/>
          <w:sz w:val="24"/>
        </w:rPr>
      </w:pPr>
      <w:r w:rsidRPr="00DE77C3">
        <w:rPr>
          <w:rFonts w:ascii="Times New Roman" w:eastAsiaTheme="minorEastAsia" w:hAnsi="Times New Roman" w:cs="Times New Roman"/>
          <w:iCs/>
          <w:sz w:val="24"/>
        </w:rPr>
        <w:lastRenderedPageBreak/>
        <w:t xml:space="preserve">                   </w:t>
      </w:r>
      <w:r w:rsidR="00DF1D30" w:rsidRPr="00DE77C3">
        <w:rPr>
          <w:rFonts w:ascii="Times New Roman" w:eastAsiaTheme="minorEastAsia" w:hAnsi="Times New Roman" w:cs="Times New Roman"/>
          <w:iCs/>
          <w:sz w:val="24"/>
        </w:rPr>
        <w:t xml:space="preserve">   </w:t>
      </w:r>
      <w:r w:rsidR="00053146" w:rsidRPr="00DE77C3">
        <w:rPr>
          <w:noProof/>
        </w:rPr>
        <w:drawing>
          <wp:inline distT="0" distB="0" distL="0" distR="0" wp14:anchorId="303D4C72" wp14:editId="6BD98233">
            <wp:extent cx="8863330" cy="4581525"/>
            <wp:effectExtent l="0" t="0" r="13970" b="9525"/>
            <wp:docPr id="1" name="Chart 1">
              <a:extLst xmlns:a="http://schemas.openxmlformats.org/drawingml/2006/main">
                <a:ext uri="{FF2B5EF4-FFF2-40B4-BE49-F238E27FC236}">
                  <a16:creationId xmlns:a16="http://schemas.microsoft.com/office/drawing/2014/main" id="{5D35CE20-B0C7-416C-A438-D64F203411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5E3292" w14:textId="77777777" w:rsidR="00CD3EF4" w:rsidRPr="00DE77C3" w:rsidRDefault="008E09AB" w:rsidP="00044B99">
      <w:pPr>
        <w:spacing w:after="0" w:line="360" w:lineRule="auto"/>
        <w:jc w:val="both"/>
        <w:rPr>
          <w:rFonts w:ascii="Times New Roman" w:eastAsiaTheme="minorEastAsia" w:hAnsi="Times New Roman" w:cs="Times New Roman"/>
          <w:iCs/>
          <w:sz w:val="24"/>
        </w:rPr>
        <w:sectPr w:rsidR="00CD3EF4" w:rsidRPr="00DE77C3" w:rsidSect="00CD3EF4">
          <w:pgSz w:w="16838" w:h="11906" w:orient="landscape"/>
          <w:pgMar w:top="1440" w:right="1440" w:bottom="1440" w:left="1440" w:header="708" w:footer="708" w:gutter="0"/>
          <w:cols w:space="708"/>
          <w:docGrid w:linePitch="360"/>
        </w:sectPr>
      </w:pPr>
      <w:r w:rsidRPr="00DE77C3">
        <w:rPr>
          <w:rFonts w:ascii="Times New Roman" w:hAnsi="Times New Roman" w:cs="Times New Roman"/>
          <w:b/>
          <w:bCs/>
          <w:sz w:val="24"/>
          <w:szCs w:val="24"/>
        </w:rPr>
        <w:t xml:space="preserve">Fig. 2. Correlation coefficient between the population of </w:t>
      </w:r>
      <w:proofErr w:type="spellStart"/>
      <w:r w:rsidRPr="00DE77C3">
        <w:rPr>
          <w:rFonts w:ascii="Times New Roman" w:hAnsi="Times New Roman" w:cs="Times New Roman"/>
          <w:b/>
          <w:bCs/>
          <w:i/>
          <w:iCs/>
          <w:sz w:val="24"/>
          <w:szCs w:val="24"/>
        </w:rPr>
        <w:t>Diaphorina</w:t>
      </w:r>
      <w:proofErr w:type="spellEnd"/>
      <w:r w:rsidRPr="00DE77C3">
        <w:rPr>
          <w:rFonts w:ascii="Times New Roman" w:hAnsi="Times New Roman" w:cs="Times New Roman"/>
          <w:b/>
          <w:bCs/>
          <w:i/>
          <w:iCs/>
          <w:sz w:val="24"/>
          <w:szCs w:val="24"/>
        </w:rPr>
        <w:t xml:space="preserve"> citri </w:t>
      </w:r>
      <w:r w:rsidRPr="00DE77C3">
        <w:rPr>
          <w:rFonts w:ascii="Times New Roman" w:hAnsi="Times New Roman" w:cs="Times New Roman"/>
          <w:b/>
          <w:bCs/>
          <w:sz w:val="24"/>
          <w:szCs w:val="24"/>
        </w:rPr>
        <w:t xml:space="preserve">on </w:t>
      </w:r>
      <w:proofErr w:type="spellStart"/>
      <w:r w:rsidRPr="00DE77C3">
        <w:rPr>
          <w:rFonts w:ascii="Times New Roman" w:hAnsi="Times New Roman" w:cs="Times New Roman"/>
          <w:b/>
          <w:bCs/>
          <w:sz w:val="24"/>
          <w:szCs w:val="24"/>
        </w:rPr>
        <w:t>Kinnow</w:t>
      </w:r>
      <w:proofErr w:type="spellEnd"/>
      <w:r w:rsidRPr="00DE77C3">
        <w:rPr>
          <w:rFonts w:ascii="Times New Roman" w:hAnsi="Times New Roman" w:cs="Times New Roman"/>
          <w:b/>
          <w:bCs/>
          <w:sz w:val="24"/>
          <w:szCs w:val="24"/>
        </w:rPr>
        <w:t xml:space="preserve"> with different weather parameters during 2025- 26.</w:t>
      </w:r>
      <w:r w:rsidRPr="00DE77C3">
        <w:rPr>
          <w:rFonts w:ascii="Times New Roman" w:eastAsiaTheme="minorEastAsia" w:hAnsi="Times New Roman" w:cs="Times New Roman"/>
          <w:b/>
          <w:bCs/>
          <w:iCs/>
          <w:sz w:val="36"/>
          <w:szCs w:val="32"/>
        </w:rPr>
        <w:t xml:space="preserve"> </w:t>
      </w:r>
      <w:r w:rsidRPr="00DE77C3">
        <w:rPr>
          <w:rFonts w:ascii="Times New Roman" w:eastAsiaTheme="minorEastAsia" w:hAnsi="Times New Roman" w:cs="Times New Roman"/>
          <w:iCs/>
          <w:sz w:val="24"/>
        </w:rPr>
        <w:t xml:space="preserve">                                      </w:t>
      </w:r>
    </w:p>
    <w:p w14:paraId="58C6D3F1" w14:textId="77777777" w:rsidR="006B1B29" w:rsidRPr="00DE77C3" w:rsidRDefault="006B1B29" w:rsidP="00044B99">
      <w:pPr>
        <w:spacing w:before="100" w:beforeAutospacing="1" w:after="100" w:afterAutospacing="1" w:line="240" w:lineRule="auto"/>
        <w:jc w:val="both"/>
        <w:outlineLvl w:val="2"/>
        <w:rPr>
          <w:rFonts w:ascii="Times New Roman" w:eastAsia="Times New Roman" w:hAnsi="Times New Roman" w:cs="Times New Roman"/>
          <w:b/>
          <w:bCs/>
          <w:sz w:val="27"/>
          <w:szCs w:val="27"/>
          <w:lang w:val="en-GB" w:eastAsia="en-GB"/>
        </w:rPr>
      </w:pPr>
      <w:r w:rsidRPr="00DE77C3">
        <w:rPr>
          <w:rFonts w:ascii="Times New Roman" w:eastAsia="Times New Roman" w:hAnsi="Times New Roman" w:cs="Times New Roman"/>
          <w:b/>
          <w:bCs/>
          <w:sz w:val="27"/>
          <w:szCs w:val="27"/>
          <w:lang w:val="en-GB" w:eastAsia="en-GB"/>
        </w:rPr>
        <w:lastRenderedPageBreak/>
        <w:t>Conclusion</w:t>
      </w:r>
    </w:p>
    <w:p w14:paraId="4DD9D33D" w14:textId="77777777" w:rsidR="00DE77C3" w:rsidRDefault="00DE77C3" w:rsidP="00044B99">
      <w:pPr>
        <w:pStyle w:val="NormalWeb"/>
        <w:jc w:val="both"/>
      </w:pPr>
      <w:r>
        <w:t xml:space="preserve">The study showed that </w:t>
      </w:r>
      <w:proofErr w:type="spellStart"/>
      <w:r>
        <w:rPr>
          <w:rStyle w:val="Emphasis"/>
        </w:rPr>
        <w:t>Diaphorina</w:t>
      </w:r>
      <w:proofErr w:type="spellEnd"/>
      <w:r>
        <w:rPr>
          <w:rStyle w:val="Emphasis"/>
        </w:rPr>
        <w:t xml:space="preserve"> citri</w:t>
      </w:r>
      <w:r>
        <w:t xml:space="preserve"> on </w:t>
      </w:r>
      <w:proofErr w:type="spellStart"/>
      <w:r>
        <w:t>Kinnow</w:t>
      </w:r>
      <w:proofErr w:type="spellEnd"/>
      <w:r>
        <w:t xml:space="preserve"> mandarin followed a distinct seasonal pattern during both 2024–25 and 2025–26 in the Bundelkhand region. Nymphal populations were present early in the observation period, remained absent from the 18th to the 34th standard meteorological weeks, and reappeared from the 35th week onwards. The highest nymphal densities were recorded during the 42nd standard meteorological week, reaching 37.10 </w:t>
      </w:r>
      <w:proofErr w:type="gramStart"/>
      <w:r>
        <w:t>nymphs</w:t>
      </w:r>
      <w:proofErr w:type="gramEnd"/>
      <w:r>
        <w:t xml:space="preserve"> twig⁻¹ in 2024–25 and 39.50 </w:t>
      </w:r>
      <w:proofErr w:type="gramStart"/>
      <w:r>
        <w:t>nymphs</w:t>
      </w:r>
      <w:proofErr w:type="gramEnd"/>
      <w:r>
        <w:t xml:space="preserve"> twig⁻¹ in 2025–26. Maximum temperature, minimum temperature, and relative humidity were significantly and positively associated with nymphal abundance in both years, whereas rainfall showed a negative but non-significant relationship. The recurrence of similar seasonal patterns across the two study years indicates that psyllid abundance varied consistently with seasonal conditions at the study site. Accordingly, regular field surveillance during periods of renewed population activity may support timely pest monitoring on </w:t>
      </w:r>
      <w:proofErr w:type="spellStart"/>
      <w:r>
        <w:t>Kinnow</w:t>
      </w:r>
      <w:proofErr w:type="spellEnd"/>
      <w:r>
        <w:t xml:space="preserve"> mandarin under Bundelkhand conditions, while interpretation should remain specific to the environmental and orchard conditions evaluated in this study.</w:t>
      </w:r>
    </w:p>
    <w:p w14:paraId="061532DE" w14:textId="44776445" w:rsidR="00044B99" w:rsidRPr="00044B99" w:rsidRDefault="00044B99" w:rsidP="00044B99">
      <w:pPr>
        <w:pStyle w:val="NormalWeb"/>
        <w:jc w:val="both"/>
        <w:rPr>
          <w:b/>
          <w:bCs/>
        </w:rPr>
      </w:pPr>
      <w:r w:rsidRPr="00044B99">
        <w:rPr>
          <w:b/>
          <w:bCs/>
        </w:rPr>
        <w:t>Limitations</w:t>
      </w:r>
    </w:p>
    <w:p w14:paraId="2257202A" w14:textId="77777777" w:rsidR="00044B99" w:rsidRDefault="00044B99" w:rsidP="00044B99">
      <w:pPr>
        <w:pStyle w:val="NormalWeb"/>
        <w:jc w:val="both"/>
      </w:pPr>
      <w:r>
        <w:t xml:space="preserve">The study was conducted at a single orchard location in Banda over two consecutive seasons and focused on nymphal populations of </w:t>
      </w:r>
      <w:r>
        <w:rPr>
          <w:rStyle w:val="Emphasis"/>
        </w:rPr>
        <w:t>D. citri</w:t>
      </w:r>
      <w:r>
        <w:t xml:space="preserve"> in relation to selected abiotic variables. Consequently, the observed seasonal patterns and correlations are specific to the study site, years, host plants, and weather conditions evaluated. Correlation coefficients describe associations and do not establish causal effects of individual weather variables. The findings should therefore be interpreted within the </w:t>
      </w:r>
      <w:proofErr w:type="spellStart"/>
      <w:r>
        <w:t>agro</w:t>
      </w:r>
      <w:proofErr w:type="spellEnd"/>
      <w:r>
        <w:t>-climatic conditions and sampling framework used in this study.</w:t>
      </w:r>
    </w:p>
    <w:p w14:paraId="6886B058" w14:textId="77777777" w:rsidR="00044B99" w:rsidRDefault="00044B99" w:rsidP="00044B99">
      <w:pPr>
        <w:pStyle w:val="NormalWeb"/>
        <w:jc w:val="both"/>
      </w:pPr>
    </w:p>
    <w:p w14:paraId="2FADE33F" w14:textId="77777777" w:rsidR="00455568" w:rsidRPr="00DE77C3" w:rsidRDefault="0006323D" w:rsidP="00044B99">
      <w:pPr>
        <w:spacing w:after="0" w:line="360" w:lineRule="auto"/>
        <w:jc w:val="both"/>
        <w:rPr>
          <w:rFonts w:ascii="Times New Roman" w:eastAsia="Times New Roman" w:hAnsi="Times New Roman" w:cs="Times New Roman"/>
          <w:sz w:val="24"/>
          <w:szCs w:val="24"/>
          <w:lang w:val="en-GB" w:eastAsia="en-GB"/>
        </w:rPr>
      </w:pPr>
      <w:r w:rsidRPr="00DE77C3">
        <w:rPr>
          <w:rFonts w:ascii="Times New Roman" w:eastAsia="Calibri" w:hAnsi="Times New Roman" w:cs="Times New Roman"/>
          <w:b/>
          <w:sz w:val="24"/>
          <w:szCs w:val="24"/>
          <w:lang w:val="en-US"/>
        </w:rPr>
        <w:t>D</w:t>
      </w:r>
      <w:r w:rsidR="00455568" w:rsidRPr="00DE77C3">
        <w:rPr>
          <w:rFonts w:ascii="Times New Roman" w:eastAsia="Calibri" w:hAnsi="Times New Roman" w:cs="Times New Roman"/>
          <w:b/>
          <w:sz w:val="24"/>
          <w:szCs w:val="24"/>
          <w:lang w:val="en-US"/>
        </w:rPr>
        <w:t>ISCLAIMER (</w:t>
      </w:r>
      <w:r w:rsidRPr="00DE77C3">
        <w:rPr>
          <w:rFonts w:ascii="Times New Roman" w:eastAsia="Calibri" w:hAnsi="Times New Roman" w:cs="Times New Roman"/>
          <w:b/>
          <w:sz w:val="24"/>
          <w:szCs w:val="24"/>
          <w:lang w:val="en-US"/>
        </w:rPr>
        <w:t>A</w:t>
      </w:r>
      <w:r w:rsidR="00455568" w:rsidRPr="00DE77C3">
        <w:rPr>
          <w:rFonts w:ascii="Times New Roman" w:eastAsia="Calibri" w:hAnsi="Times New Roman" w:cs="Times New Roman"/>
          <w:b/>
          <w:sz w:val="24"/>
          <w:szCs w:val="24"/>
          <w:lang w:val="en-US"/>
        </w:rPr>
        <w:t>RTIFICIAL INTELLIGENCE)</w:t>
      </w:r>
    </w:p>
    <w:p w14:paraId="3CF3AE2C" w14:textId="77777777" w:rsidR="0006323D" w:rsidRDefault="0006323D" w:rsidP="00044B99">
      <w:pPr>
        <w:spacing w:after="0" w:line="360" w:lineRule="auto"/>
        <w:jc w:val="both"/>
        <w:rPr>
          <w:rFonts w:ascii="Times New Roman" w:eastAsia="Calibri" w:hAnsi="Times New Roman" w:cs="Times New Roman"/>
          <w:sz w:val="24"/>
          <w:szCs w:val="24"/>
          <w:lang w:val="en-US"/>
        </w:rPr>
      </w:pPr>
      <w:r w:rsidRPr="00DE77C3">
        <w:rPr>
          <w:rFonts w:ascii="Times New Roman" w:eastAsia="Calibri" w:hAnsi="Times New Roman" w:cs="Times New Roman"/>
          <w:sz w:val="24"/>
          <w:szCs w:val="24"/>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A28454" w14:textId="77777777" w:rsidR="00044B99" w:rsidRPr="00DE77C3" w:rsidRDefault="00044B99" w:rsidP="00044B99">
      <w:pPr>
        <w:spacing w:after="0" w:line="360" w:lineRule="auto"/>
        <w:jc w:val="both"/>
        <w:rPr>
          <w:rFonts w:ascii="Times New Roman" w:eastAsia="Times New Roman" w:hAnsi="Times New Roman" w:cs="Times New Roman"/>
          <w:sz w:val="24"/>
          <w:szCs w:val="24"/>
          <w:lang w:val="en-GB" w:eastAsia="en-GB"/>
        </w:rPr>
      </w:pPr>
    </w:p>
    <w:p w14:paraId="6B6D8FFE" w14:textId="77777777" w:rsidR="0006323D" w:rsidRPr="00DE77C3" w:rsidRDefault="00455568" w:rsidP="00044B99">
      <w:pPr>
        <w:spacing w:after="0" w:line="240" w:lineRule="auto"/>
        <w:jc w:val="both"/>
        <w:rPr>
          <w:rFonts w:ascii="Times New Roman" w:eastAsia="Calibri" w:hAnsi="Times New Roman" w:cs="Times New Roman"/>
          <w:b/>
          <w:bCs/>
          <w:sz w:val="24"/>
          <w:szCs w:val="24"/>
          <w:lang w:val="en-US"/>
        </w:rPr>
      </w:pPr>
      <w:r w:rsidRPr="00DE77C3">
        <w:rPr>
          <w:rFonts w:ascii="Times New Roman" w:eastAsia="Calibri" w:hAnsi="Times New Roman" w:cs="Times New Roman"/>
          <w:b/>
          <w:bCs/>
          <w:sz w:val="24"/>
          <w:szCs w:val="24"/>
          <w:lang w:val="en-US"/>
        </w:rPr>
        <w:t>ACKNOWLEDGEMENT</w:t>
      </w:r>
    </w:p>
    <w:p w14:paraId="653A0473" w14:textId="77777777" w:rsidR="00455568" w:rsidRDefault="009450D3" w:rsidP="00044B99">
      <w:pPr>
        <w:spacing w:after="0" w:line="360" w:lineRule="auto"/>
        <w:jc w:val="both"/>
      </w:pPr>
      <w:r w:rsidRPr="00DE77C3">
        <w:t>I would like to express my sincere gratitude to Dr. S. K. Singh (Advisor), Co-advisor Dr. M. K. Mishra, and Dr. A. K. Srivastava for their invaluable support and encouragement throughout the research process. I am also deeply grateful to Banda University of Agriculture and Technology, Banda, Uttar Pradesh, India, for providing the necessary resources and facilities to conduct this study.</w:t>
      </w:r>
    </w:p>
    <w:p w14:paraId="2A06F94E" w14:textId="77777777" w:rsidR="00044B99" w:rsidRPr="00DE77C3" w:rsidRDefault="00044B99" w:rsidP="00044B99">
      <w:pPr>
        <w:spacing w:after="0" w:line="360" w:lineRule="auto"/>
        <w:jc w:val="both"/>
        <w:rPr>
          <w:rFonts w:ascii="Times New Roman" w:eastAsia="Calibri" w:hAnsi="Times New Roman" w:cs="Times New Roman"/>
          <w:lang w:val="en-US"/>
        </w:rPr>
      </w:pPr>
    </w:p>
    <w:p w14:paraId="7DC98F4F" w14:textId="77777777" w:rsidR="0006323D" w:rsidRPr="00DE77C3" w:rsidRDefault="0006323D" w:rsidP="00044B99">
      <w:pPr>
        <w:spacing w:after="200" w:line="276" w:lineRule="auto"/>
        <w:jc w:val="both"/>
        <w:rPr>
          <w:rFonts w:ascii="Cambria" w:eastAsia="Times New Roman" w:hAnsi="Cambria" w:cs="Arial"/>
          <w:b/>
          <w:bCs/>
          <w:lang w:val="en-GB" w:eastAsia="en-GB"/>
        </w:rPr>
      </w:pPr>
      <w:r w:rsidRPr="00DE77C3">
        <w:rPr>
          <w:rFonts w:ascii="Cambria" w:eastAsia="Times New Roman" w:hAnsi="Cambria" w:cs="Arial"/>
          <w:b/>
          <w:bCs/>
          <w:lang w:val="en-GB" w:eastAsia="en-GB"/>
        </w:rPr>
        <w:t>COMPETING INTERESTS DISCLAIMER:</w:t>
      </w:r>
    </w:p>
    <w:p w14:paraId="388BBA3E" w14:textId="77777777" w:rsidR="0006323D" w:rsidRPr="00DE77C3" w:rsidRDefault="0006323D" w:rsidP="00044B99">
      <w:pPr>
        <w:spacing w:after="200" w:line="276" w:lineRule="auto"/>
        <w:jc w:val="both"/>
        <w:rPr>
          <w:rFonts w:ascii="Times New Roman" w:eastAsia="Times New Roman" w:hAnsi="Times New Roman" w:cs="Times New Roman"/>
          <w:sz w:val="24"/>
          <w:szCs w:val="24"/>
          <w:lang w:val="en-GB" w:eastAsia="en-GB"/>
        </w:rPr>
      </w:pPr>
      <w:r w:rsidRPr="00DE77C3">
        <w:rPr>
          <w:rFonts w:ascii="Times New Roman" w:eastAsia="Times New Roman" w:hAnsi="Times New Roman" w:cs="Times New Roman"/>
          <w:sz w:val="24"/>
          <w:szCs w:val="24"/>
          <w:lang w:val="en-GB" w:eastAsia="en-GB"/>
        </w:rPr>
        <w:lastRenderedPageBreak/>
        <w:t xml:space="preserve">Authors have declared that they have no known competing financial interests </w:t>
      </w:r>
      <w:r w:rsidR="00455568" w:rsidRPr="00DE77C3">
        <w:rPr>
          <w:rFonts w:ascii="Times New Roman" w:eastAsia="Times New Roman" w:hAnsi="Times New Roman" w:cs="Times New Roman"/>
          <w:sz w:val="24"/>
          <w:szCs w:val="24"/>
          <w:lang w:val="en-GB" w:eastAsia="en-GB"/>
        </w:rPr>
        <w:t>or</w:t>
      </w:r>
      <w:r w:rsidRPr="00DE77C3">
        <w:rPr>
          <w:rFonts w:ascii="Times New Roman" w:eastAsia="Times New Roman" w:hAnsi="Times New Roman" w:cs="Times New Roman"/>
          <w:sz w:val="24"/>
          <w:szCs w:val="24"/>
          <w:lang w:val="en-GB" w:eastAsia="en-GB"/>
        </w:rPr>
        <w:t xml:space="preserve"> non-financial interests </w:t>
      </w:r>
      <w:r w:rsidR="00455568" w:rsidRPr="00DE77C3">
        <w:rPr>
          <w:rFonts w:ascii="Times New Roman" w:eastAsia="Times New Roman" w:hAnsi="Times New Roman" w:cs="Times New Roman"/>
          <w:sz w:val="24"/>
          <w:szCs w:val="24"/>
          <w:lang w:val="en-GB" w:eastAsia="en-GB"/>
        </w:rPr>
        <w:t xml:space="preserve">or </w:t>
      </w:r>
      <w:r w:rsidRPr="00DE77C3">
        <w:rPr>
          <w:rFonts w:ascii="Times New Roman" w:eastAsia="Times New Roman" w:hAnsi="Times New Roman" w:cs="Times New Roman"/>
          <w:sz w:val="24"/>
          <w:szCs w:val="24"/>
          <w:lang w:val="en-GB" w:eastAsia="en-GB"/>
        </w:rPr>
        <w:t>personal relationships that could have appeared to influence the work reported in this paper.</w:t>
      </w:r>
    </w:p>
    <w:p w14:paraId="6374AFC4" w14:textId="77777777" w:rsidR="0006323D" w:rsidRPr="00DE77C3" w:rsidRDefault="0006323D" w:rsidP="00044B99">
      <w:pPr>
        <w:spacing w:line="360" w:lineRule="auto"/>
        <w:jc w:val="both"/>
        <w:rPr>
          <w:rFonts w:ascii="Times New Roman" w:hAnsi="Times New Roman" w:cs="Times New Roman"/>
          <w:b/>
          <w:bCs/>
          <w:color w:val="222222"/>
          <w:sz w:val="24"/>
          <w:szCs w:val="24"/>
          <w:shd w:val="clear" w:color="auto" w:fill="FFFFFF"/>
        </w:rPr>
      </w:pPr>
    </w:p>
    <w:p w14:paraId="0E87EAD7" w14:textId="77777777" w:rsidR="009450D3" w:rsidRPr="00DE77C3" w:rsidRDefault="009450D3" w:rsidP="00044B99">
      <w:pPr>
        <w:spacing w:line="360" w:lineRule="auto"/>
        <w:jc w:val="both"/>
        <w:rPr>
          <w:rFonts w:ascii="Times New Roman" w:hAnsi="Times New Roman" w:cs="Times New Roman"/>
          <w:b/>
          <w:bCs/>
          <w:color w:val="222222"/>
          <w:sz w:val="24"/>
          <w:szCs w:val="24"/>
          <w:shd w:val="clear" w:color="auto" w:fill="FFFFFF"/>
        </w:rPr>
      </w:pPr>
    </w:p>
    <w:p w14:paraId="0F48FE85" w14:textId="77777777" w:rsidR="009450D3" w:rsidRPr="00DE77C3" w:rsidRDefault="009450D3" w:rsidP="00044B99">
      <w:pPr>
        <w:spacing w:line="360" w:lineRule="auto"/>
        <w:jc w:val="both"/>
        <w:rPr>
          <w:rFonts w:ascii="Times New Roman" w:hAnsi="Times New Roman" w:cs="Times New Roman"/>
          <w:b/>
          <w:bCs/>
          <w:color w:val="222222"/>
          <w:sz w:val="24"/>
          <w:szCs w:val="24"/>
          <w:shd w:val="clear" w:color="auto" w:fill="FFFFFF"/>
        </w:rPr>
      </w:pPr>
    </w:p>
    <w:p w14:paraId="7E58E192" w14:textId="77777777" w:rsidR="009450D3" w:rsidRPr="00DE77C3" w:rsidRDefault="009450D3" w:rsidP="00044B99">
      <w:pPr>
        <w:spacing w:line="360" w:lineRule="auto"/>
        <w:jc w:val="both"/>
        <w:rPr>
          <w:rFonts w:ascii="Times New Roman" w:hAnsi="Times New Roman" w:cs="Times New Roman"/>
          <w:b/>
          <w:bCs/>
          <w:color w:val="222222"/>
          <w:sz w:val="24"/>
          <w:szCs w:val="24"/>
          <w:shd w:val="clear" w:color="auto" w:fill="FFFFFF"/>
        </w:rPr>
      </w:pPr>
    </w:p>
    <w:p w14:paraId="32D29327" w14:textId="77777777" w:rsidR="00407E7A" w:rsidRPr="00DE77C3" w:rsidRDefault="00467E62" w:rsidP="00044B99">
      <w:pPr>
        <w:keepNext/>
        <w:pageBreakBefore/>
        <w:spacing w:line="360" w:lineRule="auto"/>
        <w:jc w:val="both"/>
        <w:rPr>
          <w:rFonts w:ascii="Times New Roman" w:hAnsi="Times New Roman" w:cs="Times New Roman"/>
          <w:b/>
          <w:bCs/>
          <w:color w:val="222222"/>
          <w:sz w:val="24"/>
          <w:szCs w:val="24"/>
          <w:shd w:val="clear" w:color="auto" w:fill="FFFFFF"/>
        </w:rPr>
      </w:pPr>
      <w:r w:rsidRPr="00DE77C3">
        <w:rPr>
          <w:rFonts w:ascii="Times New Roman" w:hAnsi="Times New Roman" w:cs="Times New Roman"/>
          <w:b/>
          <w:bCs/>
          <w:color w:val="222222"/>
          <w:sz w:val="24"/>
          <w:szCs w:val="24"/>
          <w:shd w:val="clear" w:color="auto" w:fill="FFFFFF"/>
        </w:rPr>
        <w:lastRenderedPageBreak/>
        <w:t xml:space="preserve">REFERENCES </w:t>
      </w:r>
      <w:r w:rsidR="00DF1D30" w:rsidRPr="00DE77C3">
        <w:rPr>
          <w:rFonts w:ascii="Times New Roman" w:hAnsi="Times New Roman" w:cs="Times New Roman"/>
          <w:b/>
          <w:bCs/>
          <w:color w:val="222222"/>
          <w:sz w:val="24"/>
          <w:szCs w:val="24"/>
          <w:shd w:val="clear" w:color="auto" w:fill="FFFFFF"/>
        </w:rPr>
        <w:t>-</w:t>
      </w:r>
    </w:p>
    <w:p w14:paraId="53641569" w14:textId="77777777" w:rsidR="000C2D20" w:rsidRPr="00DE77C3" w:rsidRDefault="000C2D20" w:rsidP="00044B99">
      <w:pPr>
        <w:spacing w:after="0" w:line="240" w:lineRule="auto"/>
        <w:ind w:left="540" w:hanging="540"/>
        <w:jc w:val="both"/>
        <w:rPr>
          <w:rFonts w:ascii="Times New Roman" w:eastAsia="Times New Roman" w:hAnsi="Times New Roman" w:cs="Times New Roman"/>
          <w:sz w:val="24"/>
          <w:szCs w:val="24"/>
          <w:lang w:val="en-US"/>
        </w:rPr>
      </w:pPr>
      <w:proofErr w:type="spellStart"/>
      <w:r w:rsidRPr="00DE77C3">
        <w:rPr>
          <w:rFonts w:ascii="Times New Roman" w:eastAsia="Times New Roman" w:hAnsi="Times New Roman" w:cs="Times New Roman"/>
          <w:sz w:val="24"/>
          <w:szCs w:val="24"/>
          <w:lang w:val="en-US"/>
        </w:rPr>
        <w:t>Antolínez</w:t>
      </w:r>
      <w:proofErr w:type="spellEnd"/>
      <w:r w:rsidRPr="00DE77C3">
        <w:rPr>
          <w:rFonts w:ascii="Times New Roman" w:eastAsia="Times New Roman" w:hAnsi="Times New Roman" w:cs="Times New Roman"/>
          <w:sz w:val="24"/>
          <w:szCs w:val="24"/>
          <w:lang w:val="en-US"/>
        </w:rPr>
        <w:t xml:space="preserve">, C. A., </w:t>
      </w:r>
      <w:proofErr w:type="spellStart"/>
      <w:r w:rsidRPr="00DE77C3">
        <w:rPr>
          <w:rFonts w:ascii="Times New Roman" w:eastAsia="Times New Roman" w:hAnsi="Times New Roman" w:cs="Times New Roman"/>
          <w:sz w:val="24"/>
          <w:szCs w:val="24"/>
          <w:lang w:val="en-US"/>
        </w:rPr>
        <w:t>Szejbak</w:t>
      </w:r>
      <w:proofErr w:type="spellEnd"/>
      <w:r w:rsidRPr="00DE77C3">
        <w:rPr>
          <w:rFonts w:ascii="Times New Roman" w:eastAsia="Times New Roman" w:hAnsi="Times New Roman" w:cs="Times New Roman"/>
          <w:sz w:val="24"/>
          <w:szCs w:val="24"/>
          <w:lang w:val="en-US"/>
        </w:rPr>
        <w:t>, K., Mauck, K. E., &amp; Rivera, M. J. (2021). Assessment of variation in feeding behavior by color morph in the Asian citrus psyllid (</w:t>
      </w:r>
      <w:proofErr w:type="spellStart"/>
      <w:r w:rsidRPr="00DE77C3">
        <w:rPr>
          <w:rFonts w:ascii="Times New Roman" w:eastAsia="Times New Roman" w:hAnsi="Times New Roman" w:cs="Times New Roman"/>
          <w:i/>
          <w:iCs/>
          <w:sz w:val="24"/>
          <w:szCs w:val="24"/>
          <w:lang w:val="en-US"/>
        </w:rPr>
        <w:t>Diaphorina</w:t>
      </w:r>
      <w:proofErr w:type="spellEnd"/>
      <w:r w:rsidRPr="00DE77C3">
        <w:rPr>
          <w:rFonts w:ascii="Times New Roman" w:eastAsia="Times New Roman" w:hAnsi="Times New Roman" w:cs="Times New Roman"/>
          <w:i/>
          <w:iCs/>
          <w:sz w:val="24"/>
          <w:szCs w:val="24"/>
          <w:lang w:val="en-US"/>
        </w:rPr>
        <w:t xml:space="preserve"> citri</w:t>
      </w:r>
      <w:r w:rsidRPr="00DE77C3">
        <w:rPr>
          <w:rFonts w:ascii="Times New Roman" w:eastAsia="Times New Roman" w:hAnsi="Times New Roman" w:cs="Times New Roman"/>
          <w:sz w:val="24"/>
          <w:szCs w:val="24"/>
          <w:lang w:val="en-US"/>
        </w:rPr>
        <w:t xml:space="preserve">). </w:t>
      </w:r>
      <w:r w:rsidRPr="00DE77C3">
        <w:rPr>
          <w:rFonts w:ascii="Times New Roman" w:eastAsia="Times New Roman" w:hAnsi="Times New Roman" w:cs="Times New Roman"/>
          <w:i/>
          <w:iCs/>
          <w:sz w:val="24"/>
          <w:szCs w:val="24"/>
          <w:lang w:val="en-US"/>
        </w:rPr>
        <w:t>Journal of Insect Behavior, 34</w:t>
      </w:r>
      <w:r w:rsidRPr="00DE77C3">
        <w:rPr>
          <w:rFonts w:ascii="Times New Roman" w:eastAsia="Times New Roman" w:hAnsi="Times New Roman" w:cs="Times New Roman"/>
          <w:sz w:val="24"/>
          <w:szCs w:val="24"/>
          <w:lang w:val="en-US"/>
        </w:rPr>
        <w:t xml:space="preserve">, 312–318. </w:t>
      </w:r>
      <w:hyperlink r:id="rId16" w:history="1">
        <w:r w:rsidRPr="00DE77C3">
          <w:rPr>
            <w:rFonts w:ascii="Times New Roman" w:eastAsia="Times New Roman" w:hAnsi="Times New Roman" w:cs="Times New Roman"/>
            <w:color w:val="0000FF"/>
            <w:sz w:val="24"/>
            <w:szCs w:val="24"/>
            <w:u w:val="single"/>
            <w:lang w:val="en-US"/>
          </w:rPr>
          <w:t>https://doi.org/10.1007/s10905-021-09791-z</w:t>
        </w:r>
      </w:hyperlink>
    </w:p>
    <w:p w14:paraId="4196399B"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DE77C3">
        <w:rPr>
          <w:rFonts w:ascii="Times New Roman" w:eastAsia="Times New Roman" w:hAnsi="Times New Roman" w:cs="Times New Roman"/>
          <w:sz w:val="24"/>
          <w:szCs w:val="24"/>
          <w:lang w:val="en-US"/>
        </w:rPr>
        <w:t xml:space="preserve">Arora, P. K., Thind, S. K., Kaur, N., &amp; Grewal, I. S. (1997). Population dynamics of citrus </w:t>
      </w:r>
      <w:r w:rsidRPr="00044B99">
        <w:rPr>
          <w:rFonts w:ascii="Times New Roman" w:eastAsia="Times New Roman" w:hAnsi="Times New Roman" w:cs="Times New Roman"/>
          <w:sz w:val="24"/>
          <w:szCs w:val="24"/>
          <w:lang w:val="en-US"/>
        </w:rPr>
        <w:t xml:space="preserve">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on </w:t>
      </w:r>
      <w:proofErr w:type="spellStart"/>
      <w:r w:rsidRPr="00044B99">
        <w:rPr>
          <w:rFonts w:ascii="Times New Roman" w:eastAsia="Times New Roman" w:hAnsi="Times New Roman" w:cs="Times New Roman"/>
          <w:sz w:val="24"/>
          <w:szCs w:val="24"/>
          <w:lang w:val="en-US"/>
        </w:rPr>
        <w:t>Kinnow</w:t>
      </w:r>
      <w:proofErr w:type="spellEnd"/>
      <w:r w:rsidRPr="00044B99">
        <w:rPr>
          <w:rFonts w:ascii="Times New Roman" w:eastAsia="Times New Roman" w:hAnsi="Times New Roman" w:cs="Times New Roman"/>
          <w:sz w:val="24"/>
          <w:szCs w:val="24"/>
          <w:lang w:val="en-US"/>
        </w:rPr>
        <w:t xml:space="preserve"> mandarin in relation to temperature and relative humidity. </w:t>
      </w:r>
      <w:r w:rsidRPr="00044B99">
        <w:rPr>
          <w:rFonts w:ascii="Times New Roman" w:eastAsia="Times New Roman" w:hAnsi="Times New Roman" w:cs="Times New Roman"/>
          <w:i/>
          <w:iCs/>
          <w:sz w:val="24"/>
          <w:szCs w:val="24"/>
          <w:lang w:val="en-US"/>
        </w:rPr>
        <w:t>Indian Journal of Ecology, 24</w:t>
      </w:r>
      <w:r w:rsidRPr="00044B99">
        <w:rPr>
          <w:rFonts w:ascii="Times New Roman" w:eastAsia="Times New Roman" w:hAnsi="Times New Roman" w:cs="Times New Roman"/>
          <w:sz w:val="24"/>
          <w:szCs w:val="24"/>
          <w:lang w:val="en-US"/>
        </w:rPr>
        <w:t xml:space="preserve">(2), 179–183. </w:t>
      </w:r>
      <w:hyperlink r:id="rId17" w:history="1">
        <w:r w:rsidRPr="00044B99">
          <w:rPr>
            <w:rFonts w:ascii="Times New Roman" w:eastAsia="Times New Roman" w:hAnsi="Times New Roman" w:cs="Times New Roman"/>
            <w:color w:val="0000FF"/>
            <w:sz w:val="24"/>
            <w:szCs w:val="24"/>
            <w:u w:val="single"/>
            <w:lang w:val="en-US"/>
          </w:rPr>
          <w:t>https://swfrec.ifas.ufl.edu/hlb/database/pdf/00001517.pdf</w:t>
        </w:r>
      </w:hyperlink>
    </w:p>
    <w:p w14:paraId="3B2CCEB1" w14:textId="77777777" w:rsidR="00757318" w:rsidRPr="00044B99" w:rsidRDefault="00000000" w:rsidP="00044B99">
      <w:pPr>
        <w:spacing w:line="360" w:lineRule="auto"/>
        <w:ind w:left="540" w:hanging="540"/>
        <w:jc w:val="both"/>
        <w:rPr>
          <w:rFonts w:ascii="Times New Roman" w:hAnsi="Times New Roman" w:cs="Times New Roman"/>
          <w:sz w:val="24"/>
          <w:szCs w:val="24"/>
        </w:rPr>
      </w:pPr>
      <w:r w:rsidRPr="00044B99">
        <w:t>de Carvalho, D. U., Girardi, E. A., Pacheco, C. A., Primiano, I. V., Kharfan, D., Moreira, A. S., Laranjeira, F. F., &amp; Bassanezi, R. B. (2024). Topping sweet orange trees as Diaphorina citri bait on the farm edge for huanglongbing management: Opportunities and limitations. Scientia Horticulturae, 338, 113612. https://doi.org/10.1016/j.scienta.2024.113612</w:t>
      </w:r>
    </w:p>
    <w:p w14:paraId="41023EE8"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Debbarma, T., Hath, T. K., Gupta, D. S., &amp; Bhowmik, S. (2024). Seasonal incidence of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in Assam lemon and its relationship with weather factors in sub-Himalayan plains of West Bengal. </w:t>
      </w:r>
      <w:r w:rsidRPr="00044B99">
        <w:rPr>
          <w:rFonts w:ascii="Times New Roman" w:eastAsia="Times New Roman" w:hAnsi="Times New Roman" w:cs="Times New Roman"/>
          <w:i/>
          <w:iCs/>
          <w:sz w:val="24"/>
          <w:szCs w:val="24"/>
          <w:lang w:val="en-US"/>
        </w:rPr>
        <w:t>American Journal of Plant Sciences, 15</w:t>
      </w:r>
      <w:r w:rsidRPr="00044B99">
        <w:rPr>
          <w:rFonts w:ascii="Times New Roman" w:eastAsia="Times New Roman" w:hAnsi="Times New Roman" w:cs="Times New Roman"/>
          <w:sz w:val="24"/>
          <w:szCs w:val="24"/>
          <w:lang w:val="en-US"/>
        </w:rPr>
        <w:t xml:space="preserve">(12), 1222–1237. </w:t>
      </w:r>
      <w:hyperlink r:id="rId18" w:history="1">
        <w:r w:rsidRPr="00044B99">
          <w:rPr>
            <w:rFonts w:ascii="Times New Roman" w:eastAsia="Times New Roman" w:hAnsi="Times New Roman" w:cs="Times New Roman"/>
            <w:color w:val="0000FF"/>
            <w:sz w:val="24"/>
            <w:szCs w:val="24"/>
            <w:u w:val="single"/>
            <w:lang w:val="en-US"/>
          </w:rPr>
          <w:t>https://doi.org/10.4236/ajps.2024.1512077</w:t>
        </w:r>
      </w:hyperlink>
    </w:p>
    <w:p w14:paraId="0E34259F"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t xml:space="preserve">Department of Agriculture &amp; Farmers Welfare. (2025). </w:t>
      </w:r>
      <w:r w:rsidRPr="00044B99">
        <w:rPr>
          <w:i/>
        </w:rPr>
        <w:t>First advance estimates of area and production of horticultural crops for 2024–25</w:t>
      </w:r>
      <w:r w:rsidRPr="00044B99">
        <w:t>. Ministry of Agriculture &amp; Farmers Welfare, Government of India.</w:t>
      </w:r>
    </w:p>
    <w:p w14:paraId="0194085A"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Devi, H. S., &amp; Sharma, D. R. (2014). Impact of abiotic factors on build-up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population in Punjab, India. </w:t>
      </w:r>
      <w:r w:rsidRPr="00044B99">
        <w:rPr>
          <w:rFonts w:ascii="Times New Roman" w:eastAsia="Times New Roman" w:hAnsi="Times New Roman" w:cs="Times New Roman"/>
          <w:i/>
          <w:iCs/>
          <w:sz w:val="24"/>
          <w:szCs w:val="24"/>
          <w:lang w:val="en-US"/>
        </w:rPr>
        <w:t>Journal of Applied and Natural Science, 6</w:t>
      </w:r>
      <w:r w:rsidRPr="00044B99">
        <w:rPr>
          <w:rFonts w:ascii="Times New Roman" w:eastAsia="Times New Roman" w:hAnsi="Times New Roman" w:cs="Times New Roman"/>
          <w:sz w:val="24"/>
          <w:szCs w:val="24"/>
          <w:lang w:val="en-US"/>
        </w:rPr>
        <w:t xml:space="preserve">(2), 371–376. </w:t>
      </w:r>
      <w:hyperlink r:id="rId19" w:history="1">
        <w:r w:rsidRPr="00044B99">
          <w:rPr>
            <w:rFonts w:ascii="Times New Roman" w:eastAsia="Times New Roman" w:hAnsi="Times New Roman" w:cs="Times New Roman"/>
            <w:color w:val="0000FF"/>
            <w:sz w:val="24"/>
            <w:szCs w:val="24"/>
            <w:u w:val="single"/>
            <w:lang w:val="en-US"/>
          </w:rPr>
          <w:t>https://doi.org/10.31018/jans.v6i2.430</w:t>
        </w:r>
      </w:hyperlink>
    </w:p>
    <w:p w14:paraId="27111207"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t xml:space="preserve">Javed, Z., Asrar, M., Hussain, S. M., &amp; Rasul, A. (2025). Temporal patterns of </w:t>
      </w:r>
      <w:r w:rsidRPr="00044B99">
        <w:rPr>
          <w:i/>
        </w:rPr>
        <w:t>Diaphorina citri</w:t>
      </w:r>
      <w:r w:rsidRPr="00044B99">
        <w:t xml:space="preserve"> (Hemiptera: Liviidae) population on selected citrus varieties in response to weather variables in Faisalabad, Pakistan. </w:t>
      </w:r>
      <w:r w:rsidRPr="00044B99">
        <w:rPr>
          <w:i/>
        </w:rPr>
        <w:t>Modern Phytomorphology, 19</w:t>
      </w:r>
      <w:r w:rsidRPr="00044B99">
        <w:t>(1), 51–58. https://doi.org/10.5281/zenodo.16751464</w:t>
      </w:r>
    </w:p>
    <w:p w14:paraId="54ED6C43"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Khan, A. A., Afzal, M., </w:t>
      </w:r>
      <w:proofErr w:type="spellStart"/>
      <w:r w:rsidRPr="00044B99">
        <w:rPr>
          <w:rFonts w:ascii="Times New Roman" w:eastAsia="Times New Roman" w:hAnsi="Times New Roman" w:cs="Times New Roman"/>
          <w:sz w:val="24"/>
          <w:szCs w:val="24"/>
          <w:lang w:val="en-US"/>
        </w:rPr>
        <w:t>Stansly</w:t>
      </w:r>
      <w:proofErr w:type="spellEnd"/>
      <w:r w:rsidRPr="00044B99">
        <w:rPr>
          <w:rFonts w:ascii="Times New Roman" w:eastAsia="Times New Roman" w:hAnsi="Times New Roman" w:cs="Times New Roman"/>
          <w:sz w:val="24"/>
          <w:szCs w:val="24"/>
          <w:lang w:val="en-US"/>
        </w:rPr>
        <w:t xml:space="preserve">, P., &amp; Qureshi, J. A. (2020). Effectiveness of the brown lacewing, </w:t>
      </w:r>
      <w:proofErr w:type="spellStart"/>
      <w:r w:rsidRPr="00044B99">
        <w:rPr>
          <w:rFonts w:ascii="Times New Roman" w:eastAsia="Times New Roman" w:hAnsi="Times New Roman" w:cs="Times New Roman"/>
          <w:i/>
          <w:iCs/>
          <w:sz w:val="24"/>
          <w:szCs w:val="24"/>
          <w:lang w:val="en-US"/>
        </w:rPr>
        <w:t>Sympherobius</w:t>
      </w:r>
      <w:proofErr w:type="spellEnd"/>
      <w:r w:rsidRPr="00044B99">
        <w:rPr>
          <w:rFonts w:ascii="Times New Roman" w:eastAsia="Times New Roman" w:hAnsi="Times New Roman" w:cs="Times New Roman"/>
          <w:i/>
          <w:iCs/>
          <w:sz w:val="24"/>
          <w:szCs w:val="24"/>
          <w:lang w:val="en-US"/>
        </w:rPr>
        <w:t xml:space="preserve"> </w:t>
      </w:r>
      <w:proofErr w:type="spellStart"/>
      <w:r w:rsidRPr="00044B99">
        <w:rPr>
          <w:rFonts w:ascii="Times New Roman" w:eastAsia="Times New Roman" w:hAnsi="Times New Roman" w:cs="Times New Roman"/>
          <w:i/>
          <w:iCs/>
          <w:sz w:val="24"/>
          <w:szCs w:val="24"/>
          <w:lang w:val="en-US"/>
        </w:rPr>
        <w:t>barberi</w:t>
      </w:r>
      <w:proofErr w:type="spellEnd"/>
      <w:r w:rsidRPr="00044B99">
        <w:rPr>
          <w:rFonts w:ascii="Times New Roman" w:eastAsia="Times New Roman" w:hAnsi="Times New Roman" w:cs="Times New Roman"/>
          <w:sz w:val="24"/>
          <w:szCs w:val="24"/>
          <w:lang w:val="en-US"/>
        </w:rPr>
        <w:t xml:space="preserve"> Banks as a biological control agent of the Asian citrus psyllid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w:t>
      </w:r>
      <w:r w:rsidRPr="00044B99">
        <w:rPr>
          <w:rFonts w:ascii="Times New Roman" w:eastAsia="Times New Roman" w:hAnsi="Times New Roman" w:cs="Times New Roman"/>
          <w:i/>
          <w:iCs/>
          <w:sz w:val="24"/>
          <w:szCs w:val="24"/>
          <w:lang w:val="en-US"/>
        </w:rPr>
        <w:t>Frontiers in Plant Science, 11</w:t>
      </w:r>
      <w:r w:rsidRPr="00044B99">
        <w:rPr>
          <w:rFonts w:ascii="Times New Roman" w:eastAsia="Times New Roman" w:hAnsi="Times New Roman" w:cs="Times New Roman"/>
          <w:sz w:val="24"/>
          <w:szCs w:val="24"/>
          <w:lang w:val="en-US"/>
        </w:rPr>
        <w:t xml:space="preserve">, 567212. </w:t>
      </w:r>
      <w:hyperlink r:id="rId20" w:history="1">
        <w:r w:rsidRPr="00044B99">
          <w:rPr>
            <w:rFonts w:ascii="Times New Roman" w:eastAsia="Times New Roman" w:hAnsi="Times New Roman" w:cs="Times New Roman"/>
            <w:color w:val="0000FF"/>
            <w:sz w:val="24"/>
            <w:szCs w:val="24"/>
            <w:u w:val="single"/>
            <w:lang w:val="en-US"/>
          </w:rPr>
          <w:t>https://doi.org/10.3389/fpls.2020.567212</w:t>
        </w:r>
      </w:hyperlink>
    </w:p>
    <w:p w14:paraId="335F23E4"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Khan, M. M. H., &amp; Molla, M. N. (2021). Damage potential and control of the common Mormon butterfly, </w:t>
      </w:r>
      <w:r w:rsidRPr="00044B99">
        <w:rPr>
          <w:rFonts w:ascii="Times New Roman" w:eastAsia="Times New Roman" w:hAnsi="Times New Roman" w:cs="Times New Roman"/>
          <w:i/>
          <w:iCs/>
          <w:sz w:val="24"/>
          <w:szCs w:val="24"/>
          <w:lang w:val="en-US"/>
        </w:rPr>
        <w:t xml:space="preserve">Papilio </w:t>
      </w:r>
      <w:proofErr w:type="spellStart"/>
      <w:r w:rsidRPr="00044B99">
        <w:rPr>
          <w:rFonts w:ascii="Times New Roman" w:eastAsia="Times New Roman" w:hAnsi="Times New Roman" w:cs="Times New Roman"/>
          <w:i/>
          <w:iCs/>
          <w:sz w:val="24"/>
          <w:szCs w:val="24"/>
          <w:lang w:val="en-US"/>
        </w:rPr>
        <w:t>polytes</w:t>
      </w:r>
      <w:proofErr w:type="spellEnd"/>
      <w:r w:rsidRPr="00044B99">
        <w:rPr>
          <w:rFonts w:ascii="Times New Roman" w:eastAsia="Times New Roman" w:hAnsi="Times New Roman" w:cs="Times New Roman"/>
          <w:sz w:val="24"/>
          <w:szCs w:val="24"/>
          <w:lang w:val="en-US"/>
        </w:rPr>
        <w:t xml:space="preserve"> Cramer on citrus. </w:t>
      </w:r>
      <w:r w:rsidRPr="00044B99">
        <w:rPr>
          <w:rFonts w:ascii="Times New Roman" w:eastAsia="Times New Roman" w:hAnsi="Times New Roman" w:cs="Times New Roman"/>
          <w:i/>
          <w:iCs/>
          <w:sz w:val="24"/>
          <w:szCs w:val="24"/>
          <w:lang w:val="en-US"/>
        </w:rPr>
        <w:t>Journal of the Asiatic Society of Bangladesh, Science, 47</w:t>
      </w:r>
      <w:r w:rsidRPr="00044B99">
        <w:rPr>
          <w:rFonts w:ascii="Times New Roman" w:eastAsia="Times New Roman" w:hAnsi="Times New Roman" w:cs="Times New Roman"/>
          <w:sz w:val="24"/>
          <w:szCs w:val="24"/>
          <w:lang w:val="en-US"/>
        </w:rPr>
        <w:t xml:space="preserve">(1), 35–46. </w:t>
      </w:r>
      <w:hyperlink r:id="rId21" w:history="1">
        <w:r w:rsidRPr="00044B99">
          <w:rPr>
            <w:rFonts w:ascii="Times New Roman" w:eastAsia="Times New Roman" w:hAnsi="Times New Roman" w:cs="Times New Roman"/>
            <w:color w:val="0000FF"/>
            <w:sz w:val="24"/>
            <w:szCs w:val="24"/>
            <w:u w:val="single"/>
            <w:lang w:val="en-US"/>
          </w:rPr>
          <w:t>https://doi.org/10.3329/jasbs.v47i1.54185</w:t>
        </w:r>
      </w:hyperlink>
    </w:p>
    <w:p w14:paraId="63F0A004"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proofErr w:type="spellStart"/>
      <w:r w:rsidRPr="00044B99">
        <w:rPr>
          <w:rFonts w:ascii="Times New Roman" w:eastAsia="Times New Roman" w:hAnsi="Times New Roman" w:cs="Times New Roman"/>
          <w:sz w:val="24"/>
          <w:szCs w:val="24"/>
          <w:lang w:val="en-US"/>
        </w:rPr>
        <w:t>Killiny</w:t>
      </w:r>
      <w:proofErr w:type="spellEnd"/>
      <w:r w:rsidRPr="00044B99">
        <w:rPr>
          <w:rFonts w:ascii="Times New Roman" w:eastAsia="Times New Roman" w:hAnsi="Times New Roman" w:cs="Times New Roman"/>
          <w:sz w:val="24"/>
          <w:szCs w:val="24"/>
          <w:lang w:val="en-US"/>
        </w:rPr>
        <w:t>, N., &amp; Jones, S. E. (2024). A transmission assay of ‘</w:t>
      </w:r>
      <w:r w:rsidRPr="00044B99">
        <w:rPr>
          <w:rFonts w:ascii="Times New Roman" w:eastAsia="Times New Roman" w:hAnsi="Times New Roman" w:cs="Times New Roman"/>
          <w:i/>
          <w:iCs/>
          <w:sz w:val="24"/>
          <w:szCs w:val="24"/>
          <w:lang w:val="en-US"/>
        </w:rPr>
        <w:t xml:space="preserve">Candidatus </w:t>
      </w:r>
      <w:proofErr w:type="spellStart"/>
      <w:r w:rsidRPr="00044B99">
        <w:rPr>
          <w:rFonts w:ascii="Times New Roman" w:eastAsia="Times New Roman" w:hAnsi="Times New Roman" w:cs="Times New Roman"/>
          <w:i/>
          <w:iCs/>
          <w:sz w:val="24"/>
          <w:szCs w:val="24"/>
          <w:lang w:val="en-US"/>
        </w:rPr>
        <w:t>Liberibacter</w:t>
      </w:r>
      <w:proofErr w:type="spellEnd"/>
      <w:r w:rsidRPr="00044B99">
        <w:rPr>
          <w:rFonts w:ascii="Times New Roman" w:eastAsia="Times New Roman" w:hAnsi="Times New Roman" w:cs="Times New Roman"/>
          <w:i/>
          <w:iCs/>
          <w:sz w:val="24"/>
          <w:szCs w:val="24"/>
          <w:lang w:val="en-US"/>
        </w:rPr>
        <w:t xml:space="preserve"> asiaticus</w:t>
      </w:r>
      <w:r w:rsidRPr="00044B99">
        <w:rPr>
          <w:rFonts w:ascii="Times New Roman" w:eastAsia="Times New Roman" w:hAnsi="Times New Roman" w:cs="Times New Roman"/>
          <w:sz w:val="24"/>
          <w:szCs w:val="24"/>
          <w:lang w:val="en-US"/>
        </w:rPr>
        <w:t xml:space="preserve">’ using citrus phloem sap and topical feeding to its insect vector,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r w:rsidRPr="00044B99">
        <w:rPr>
          <w:rFonts w:ascii="Times New Roman" w:eastAsia="Times New Roman" w:hAnsi="Times New Roman" w:cs="Times New Roman"/>
          <w:i/>
          <w:iCs/>
          <w:sz w:val="24"/>
          <w:szCs w:val="24"/>
          <w:lang w:val="en-US"/>
        </w:rPr>
        <w:t>Phytopathology, 114</w:t>
      </w:r>
      <w:r w:rsidRPr="00044B99">
        <w:rPr>
          <w:rFonts w:ascii="Times New Roman" w:eastAsia="Times New Roman" w:hAnsi="Times New Roman" w:cs="Times New Roman"/>
          <w:sz w:val="24"/>
          <w:szCs w:val="24"/>
          <w:lang w:val="en-US"/>
        </w:rPr>
        <w:t xml:space="preserve">(9), 2176–2181. </w:t>
      </w:r>
      <w:hyperlink r:id="rId22" w:history="1">
        <w:r w:rsidRPr="00044B99">
          <w:rPr>
            <w:rFonts w:ascii="Times New Roman" w:eastAsia="Times New Roman" w:hAnsi="Times New Roman" w:cs="Times New Roman"/>
            <w:color w:val="0000FF"/>
            <w:sz w:val="24"/>
            <w:szCs w:val="24"/>
            <w:u w:val="single"/>
            <w:lang w:val="en-US"/>
          </w:rPr>
          <w:t>https://doi.org/10.1094/PHYTO-05-24-0171-SC</w:t>
        </w:r>
      </w:hyperlink>
    </w:p>
    <w:p w14:paraId="2137B084"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t xml:space="preserve">Kumar, S., Awosthi, O. P., &amp; Singh, A. (2019). Kinnow mandarin enriching citrus industry. </w:t>
      </w:r>
      <w:r w:rsidRPr="00044B99">
        <w:rPr>
          <w:i/>
        </w:rPr>
        <w:t>Indian Horticulture, 61</w:t>
      </w:r>
      <w:r w:rsidRPr="00044B99">
        <w:t>(3). https://epubs.icar.org.in/index.php/IndHort/article/view/88469</w:t>
      </w:r>
    </w:p>
    <w:p w14:paraId="707B837A" w14:textId="77777777" w:rsidR="00757318" w:rsidRPr="00044B99" w:rsidRDefault="00000000" w:rsidP="00044B99">
      <w:pPr>
        <w:spacing w:line="360" w:lineRule="auto"/>
        <w:ind w:left="540" w:hanging="540"/>
        <w:jc w:val="both"/>
        <w:rPr>
          <w:rFonts w:ascii="Times New Roman" w:hAnsi="Times New Roman" w:cs="Times New Roman"/>
          <w:sz w:val="24"/>
          <w:szCs w:val="24"/>
        </w:rPr>
      </w:pPr>
      <w:r w:rsidRPr="00044B99">
        <w:t>López-Galé, Y. D., Martínez, M. F., Barreto-Rojas, J. A., Pérez-Artiles, L., &amp; Kondo, T. (2025). Infestation and population dynamics of Diaphorina citri in the Cauca River Valley, Colombia. Pesquisa Agropecuária Brasileira, 60, e03963. https://doi.org/10.1590/S1678-3921.pab2025.v60.03963</w:t>
      </w:r>
    </w:p>
    <w:p w14:paraId="4D6FE31E"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nl-BE"/>
        </w:rPr>
        <w:t xml:space="preserve">Nehru, R. K., Bhagat, K. C., &amp; Koul, V. K. (2006). </w:t>
      </w:r>
      <w:r w:rsidRPr="00044B99">
        <w:rPr>
          <w:rFonts w:ascii="Times New Roman" w:eastAsia="Times New Roman" w:hAnsi="Times New Roman" w:cs="Times New Roman"/>
          <w:sz w:val="24"/>
          <w:szCs w:val="24"/>
          <w:lang w:val="en-US"/>
        </w:rPr>
        <w:t xml:space="preserve">Biology of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on </w:t>
      </w:r>
      <w:r w:rsidRPr="00044B99">
        <w:rPr>
          <w:rFonts w:ascii="Times New Roman" w:eastAsia="Times New Roman" w:hAnsi="Times New Roman" w:cs="Times New Roman"/>
          <w:i/>
          <w:iCs/>
          <w:sz w:val="24"/>
          <w:szCs w:val="24"/>
          <w:lang w:val="en-US"/>
        </w:rPr>
        <w:t>Citrus sinensis</w:t>
      </w:r>
      <w:r w:rsidRPr="00044B99">
        <w:rPr>
          <w:rFonts w:ascii="Times New Roman" w:eastAsia="Times New Roman" w:hAnsi="Times New Roman" w:cs="Times New Roman"/>
          <w:sz w:val="24"/>
          <w:szCs w:val="24"/>
          <w:lang w:val="en-US"/>
        </w:rPr>
        <w:t xml:space="preserve"> Osbeck. </w:t>
      </w:r>
      <w:r w:rsidRPr="00044B99">
        <w:rPr>
          <w:rFonts w:ascii="Times New Roman" w:eastAsia="Times New Roman" w:hAnsi="Times New Roman" w:cs="Times New Roman"/>
          <w:i/>
          <w:iCs/>
          <w:sz w:val="24"/>
          <w:szCs w:val="24"/>
          <w:lang w:val="en-US"/>
        </w:rPr>
        <w:t>Environment &amp; Ecology, 24</w:t>
      </w:r>
      <w:proofErr w:type="gramStart"/>
      <w:r w:rsidRPr="00044B99">
        <w:rPr>
          <w:rFonts w:ascii="Times New Roman" w:eastAsia="Times New Roman" w:hAnsi="Times New Roman" w:cs="Times New Roman"/>
          <w:i/>
          <w:iCs/>
          <w:sz w:val="24"/>
          <w:szCs w:val="24"/>
          <w:lang w:val="en-US"/>
        </w:rPr>
        <w:t>S</w:t>
      </w:r>
      <w:r w:rsidRPr="00044B99">
        <w:rPr>
          <w:rFonts w:ascii="Times New Roman" w:eastAsia="Times New Roman" w:hAnsi="Times New Roman" w:cs="Times New Roman"/>
          <w:sz w:val="24"/>
          <w:szCs w:val="24"/>
          <w:lang w:val="en-US"/>
        </w:rPr>
        <w:t>(</w:t>
      </w:r>
      <w:proofErr w:type="gramEnd"/>
      <w:r w:rsidRPr="00044B99">
        <w:rPr>
          <w:rFonts w:ascii="Times New Roman" w:eastAsia="Times New Roman" w:hAnsi="Times New Roman" w:cs="Times New Roman"/>
          <w:sz w:val="24"/>
          <w:szCs w:val="24"/>
          <w:lang w:val="en-US"/>
        </w:rPr>
        <w:t xml:space="preserve">2), 443–448. </w:t>
      </w:r>
      <w:hyperlink r:id="rId23" w:history="1">
        <w:r w:rsidRPr="00044B99">
          <w:rPr>
            <w:rFonts w:ascii="Times New Roman" w:eastAsia="Times New Roman" w:hAnsi="Times New Roman" w:cs="Times New Roman"/>
            <w:color w:val="0000FF"/>
            <w:sz w:val="24"/>
            <w:szCs w:val="24"/>
            <w:u w:val="single"/>
            <w:lang w:val="en-US"/>
          </w:rPr>
          <w:t>https://swfrec.ifas.ufl.edu/hlb/database/pdf/00002190.pdf</w:t>
        </w:r>
      </w:hyperlink>
    </w:p>
    <w:p w14:paraId="5868E338" w14:textId="77777777" w:rsidR="00757318" w:rsidRPr="00044B99" w:rsidRDefault="00000000" w:rsidP="00044B99">
      <w:pPr>
        <w:spacing w:line="360" w:lineRule="auto"/>
        <w:ind w:left="540" w:hanging="540"/>
        <w:jc w:val="both"/>
        <w:rPr>
          <w:rFonts w:ascii="Times New Roman" w:hAnsi="Times New Roman" w:cs="Times New Roman"/>
          <w:sz w:val="24"/>
          <w:szCs w:val="24"/>
        </w:rPr>
      </w:pPr>
      <w:r w:rsidRPr="00044B99">
        <w:lastRenderedPageBreak/>
        <w:t>Obregón-Zúñiga, J. A., González-Gaona, O. J., Azuara-Domínguez, A., Rangel-Lucio, J. A., Flores Gracia, J., &amp; Peña-Herrejón, G. A. (2025). Influencia de variables climáticas en la dinámica poblacional de Diaphorina citri Kuwayama, 1908 (Hemiptera: Liviidae) en huertas comerciales de naranja Valencia en Querétaro, México. Acta Zoológica Mexicana (nueva serie), 41, 1–13. https://doi.org/10.21829/azm.2025.4112782</w:t>
      </w:r>
    </w:p>
    <w:p w14:paraId="4AE1B5B5"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Randhawa, G. S. (1974). Horticulture: Importance of pest control. </w:t>
      </w:r>
      <w:r w:rsidRPr="00044B99">
        <w:rPr>
          <w:rFonts w:ascii="Times New Roman" w:eastAsia="Times New Roman" w:hAnsi="Times New Roman" w:cs="Times New Roman"/>
          <w:i/>
          <w:iCs/>
          <w:sz w:val="24"/>
          <w:szCs w:val="24"/>
          <w:lang w:val="en-US"/>
        </w:rPr>
        <w:t>Pesticides Annual, 8</w:t>
      </w:r>
      <w:r w:rsidRPr="00044B99">
        <w:rPr>
          <w:rFonts w:ascii="Times New Roman" w:eastAsia="Times New Roman" w:hAnsi="Times New Roman" w:cs="Times New Roman"/>
          <w:sz w:val="24"/>
          <w:szCs w:val="24"/>
          <w:lang w:val="en-US"/>
        </w:rPr>
        <w:t xml:space="preserve">, 85–87. </w:t>
      </w:r>
    </w:p>
    <w:p w14:paraId="5004BCD7" w14:textId="77777777" w:rsidR="00757318" w:rsidRPr="00044B99" w:rsidRDefault="00000000" w:rsidP="00044B99">
      <w:pPr>
        <w:spacing w:line="360" w:lineRule="auto"/>
        <w:ind w:left="540" w:hanging="540"/>
        <w:jc w:val="both"/>
        <w:rPr>
          <w:rFonts w:ascii="Times New Roman" w:hAnsi="Times New Roman" w:cs="Times New Roman"/>
          <w:sz w:val="24"/>
          <w:szCs w:val="24"/>
        </w:rPr>
      </w:pPr>
      <w:r w:rsidRPr="00044B99">
        <w:t>Savalkar, J. L., Bhosale, S. S., Devakate, A. M., &amp; Patil, B. V. (2025). The study on influence of weather parameters on pest population of sweet orange. Journal of Scientific Research and Reports, 31(8), 853–859. https://doi.org/10.9734/jsrr/2025/v31i83428</w:t>
      </w:r>
    </w:p>
    <w:p w14:paraId="60CD6702"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Sharma, D. R. (2008). Population dynamics in relation to abiotic factors and management of citrus psylla in Punjab. </w:t>
      </w:r>
      <w:r w:rsidRPr="00044B99">
        <w:rPr>
          <w:rFonts w:ascii="Times New Roman" w:eastAsia="Times New Roman" w:hAnsi="Times New Roman" w:cs="Times New Roman"/>
          <w:i/>
          <w:iCs/>
          <w:sz w:val="24"/>
          <w:szCs w:val="24"/>
          <w:lang w:val="en-US"/>
        </w:rPr>
        <w:t>Indian Journal of Horticulture, 65</w:t>
      </w:r>
      <w:r w:rsidRPr="00044B99">
        <w:rPr>
          <w:rFonts w:ascii="Times New Roman" w:eastAsia="Times New Roman" w:hAnsi="Times New Roman" w:cs="Times New Roman"/>
          <w:sz w:val="24"/>
          <w:szCs w:val="24"/>
          <w:lang w:val="en-US"/>
        </w:rPr>
        <w:t xml:space="preserve">(4), 417–422. </w:t>
      </w:r>
      <w:hyperlink r:id="rId24" w:history="1">
        <w:r w:rsidRPr="00044B99">
          <w:rPr>
            <w:rFonts w:ascii="Times New Roman" w:eastAsia="Times New Roman" w:hAnsi="Times New Roman" w:cs="Times New Roman"/>
            <w:color w:val="0000FF"/>
            <w:sz w:val="24"/>
            <w:szCs w:val="24"/>
            <w:u w:val="single"/>
            <w:lang w:val="en-US"/>
          </w:rPr>
          <w:t>https://swfrec.ifas.ufl.edu/hlb/database/pdf/00002332.pdf</w:t>
        </w:r>
      </w:hyperlink>
    </w:p>
    <w:p w14:paraId="42F5AEF0"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nl-BE"/>
        </w:rPr>
        <w:t xml:space="preserve">Sharma, P., Kumar, A., Kalkal, D., &amp; Maanju, S. (2025). </w:t>
      </w:r>
      <w:r w:rsidRPr="00044B99">
        <w:rPr>
          <w:rFonts w:ascii="Times New Roman" w:eastAsia="Times New Roman" w:hAnsi="Times New Roman" w:cs="Times New Roman"/>
          <w:sz w:val="24"/>
          <w:szCs w:val="24"/>
          <w:lang w:val="en-US"/>
        </w:rPr>
        <w:t xml:space="preserve">Biometrics and biology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on </w:t>
      </w:r>
      <w:proofErr w:type="spellStart"/>
      <w:r w:rsidRPr="00044B99">
        <w:rPr>
          <w:rFonts w:ascii="Times New Roman" w:eastAsia="Times New Roman" w:hAnsi="Times New Roman" w:cs="Times New Roman"/>
          <w:sz w:val="24"/>
          <w:szCs w:val="24"/>
          <w:lang w:val="en-US"/>
        </w:rPr>
        <w:t>Kinnow</w:t>
      </w:r>
      <w:proofErr w:type="spellEnd"/>
      <w:r w:rsidRPr="00044B99">
        <w:rPr>
          <w:rFonts w:ascii="Times New Roman" w:eastAsia="Times New Roman" w:hAnsi="Times New Roman" w:cs="Times New Roman"/>
          <w:sz w:val="24"/>
          <w:szCs w:val="24"/>
          <w:lang w:val="en-US"/>
        </w:rPr>
        <w:t xml:space="preserve">. </w:t>
      </w:r>
      <w:r w:rsidRPr="00044B99">
        <w:rPr>
          <w:rFonts w:ascii="Times New Roman" w:eastAsia="Times New Roman" w:hAnsi="Times New Roman" w:cs="Times New Roman"/>
          <w:i/>
          <w:iCs/>
          <w:sz w:val="24"/>
          <w:szCs w:val="24"/>
          <w:lang w:val="en-US"/>
        </w:rPr>
        <w:t>Journal of Advances in Biology &amp; Biotechnology, 28</w:t>
      </w:r>
      <w:r w:rsidRPr="00044B99">
        <w:rPr>
          <w:rFonts w:ascii="Times New Roman" w:eastAsia="Times New Roman" w:hAnsi="Times New Roman" w:cs="Times New Roman"/>
          <w:sz w:val="24"/>
          <w:szCs w:val="24"/>
          <w:lang w:val="en-US"/>
        </w:rPr>
        <w:t xml:space="preserve">(4), 125–134. </w:t>
      </w:r>
      <w:hyperlink r:id="rId25" w:history="1">
        <w:r w:rsidRPr="00044B99">
          <w:rPr>
            <w:rFonts w:ascii="Times New Roman" w:eastAsia="Times New Roman" w:hAnsi="Times New Roman" w:cs="Times New Roman"/>
            <w:color w:val="0000FF"/>
            <w:sz w:val="24"/>
            <w:szCs w:val="24"/>
            <w:u w:val="single"/>
            <w:lang w:val="en-US"/>
          </w:rPr>
          <w:t>https://doi.org/10.9734/jabb/2025/v28i42173</w:t>
        </w:r>
      </w:hyperlink>
    </w:p>
    <w:p w14:paraId="664506A6"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nl-BE"/>
        </w:rPr>
        <w:t xml:space="preserve">Sharma, P., Singh, A. K., Kalkal, D., &amp; Maanju, S. (2023). </w:t>
      </w:r>
      <w:r w:rsidRPr="00044B99">
        <w:rPr>
          <w:rFonts w:ascii="Times New Roman" w:eastAsia="Times New Roman" w:hAnsi="Times New Roman" w:cs="Times New Roman"/>
          <w:sz w:val="24"/>
          <w:szCs w:val="24"/>
          <w:lang w:val="en-US"/>
        </w:rPr>
        <w:t xml:space="preserve">Seasonal abundance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on </w:t>
      </w:r>
      <w:proofErr w:type="spellStart"/>
      <w:r w:rsidRPr="00044B99">
        <w:rPr>
          <w:rFonts w:ascii="Times New Roman" w:eastAsia="Times New Roman" w:hAnsi="Times New Roman" w:cs="Times New Roman"/>
          <w:sz w:val="24"/>
          <w:szCs w:val="24"/>
          <w:lang w:val="en-US"/>
        </w:rPr>
        <w:t>Kinnow</w:t>
      </w:r>
      <w:proofErr w:type="spellEnd"/>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i/>
          <w:iCs/>
          <w:sz w:val="24"/>
          <w:szCs w:val="24"/>
          <w:lang w:val="en-US"/>
        </w:rPr>
        <w:t>Hexapoda</w:t>
      </w:r>
      <w:proofErr w:type="spellEnd"/>
      <w:r w:rsidRPr="00044B99">
        <w:rPr>
          <w:rFonts w:ascii="Times New Roman" w:eastAsia="Times New Roman" w:hAnsi="Times New Roman" w:cs="Times New Roman"/>
          <w:i/>
          <w:iCs/>
          <w:sz w:val="24"/>
          <w:szCs w:val="24"/>
          <w:lang w:val="en-US"/>
        </w:rPr>
        <w:t>, 30</w:t>
      </w:r>
      <w:r w:rsidRPr="00044B99">
        <w:rPr>
          <w:rFonts w:ascii="Times New Roman" w:eastAsia="Times New Roman" w:hAnsi="Times New Roman" w:cs="Times New Roman"/>
          <w:sz w:val="24"/>
          <w:szCs w:val="24"/>
          <w:lang w:val="en-US"/>
        </w:rPr>
        <w:t xml:space="preserve">(1–2), 56–61. </w:t>
      </w:r>
      <w:hyperlink r:id="rId26" w:history="1">
        <w:r w:rsidRPr="00044B99">
          <w:rPr>
            <w:rFonts w:ascii="Times New Roman" w:eastAsia="Times New Roman" w:hAnsi="Times New Roman" w:cs="Times New Roman"/>
            <w:color w:val="0000FF"/>
            <w:sz w:val="24"/>
            <w:szCs w:val="24"/>
            <w:u w:val="single"/>
            <w:lang w:val="en-US"/>
          </w:rPr>
          <w:t>https://doi.org/10.55446/hexa.2023.594</w:t>
        </w:r>
      </w:hyperlink>
    </w:p>
    <w:p w14:paraId="011D09DE"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Singh, N. V., &amp; Yadav, G. S. (2018). Bio-ecology and management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on citrus—A review. </w:t>
      </w:r>
      <w:r w:rsidRPr="00044B99">
        <w:rPr>
          <w:rFonts w:ascii="Times New Roman" w:eastAsia="Times New Roman" w:hAnsi="Times New Roman" w:cs="Times New Roman"/>
          <w:i/>
          <w:iCs/>
          <w:sz w:val="24"/>
          <w:szCs w:val="24"/>
          <w:lang w:val="en-US"/>
        </w:rPr>
        <w:t>International Journal of Current Microbiology and Applied Sciences, 7</w:t>
      </w:r>
      <w:r w:rsidRPr="00044B99">
        <w:rPr>
          <w:rFonts w:ascii="Times New Roman" w:eastAsia="Times New Roman" w:hAnsi="Times New Roman" w:cs="Times New Roman"/>
          <w:sz w:val="24"/>
          <w:szCs w:val="24"/>
          <w:lang w:val="en-US"/>
        </w:rPr>
        <w:t xml:space="preserve">(4), 3091–3107. </w:t>
      </w:r>
      <w:hyperlink r:id="rId27" w:history="1">
        <w:r w:rsidRPr="00044B99">
          <w:rPr>
            <w:rFonts w:ascii="Times New Roman" w:eastAsia="Times New Roman" w:hAnsi="Times New Roman" w:cs="Times New Roman"/>
            <w:color w:val="0000FF"/>
            <w:sz w:val="24"/>
            <w:szCs w:val="24"/>
            <w:u w:val="single"/>
            <w:lang w:val="en-US"/>
          </w:rPr>
          <w:t>https://doi.org/10.20546/ijcmas.2018.704.351</w:t>
        </w:r>
      </w:hyperlink>
    </w:p>
    <w:p w14:paraId="52102AEA"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Singh, S., Sandhu, R. K., Sandhu, S. S., Gill, K. K., Siraj, M., Rami Reddy, P. V., &amp; Patil, P. (2024). Population prediction model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on </w:t>
      </w:r>
      <w:proofErr w:type="spellStart"/>
      <w:r w:rsidRPr="00044B99">
        <w:rPr>
          <w:rFonts w:ascii="Times New Roman" w:eastAsia="Times New Roman" w:hAnsi="Times New Roman" w:cs="Times New Roman"/>
          <w:sz w:val="24"/>
          <w:szCs w:val="24"/>
          <w:lang w:val="en-US"/>
        </w:rPr>
        <w:t>Kinnow</w:t>
      </w:r>
      <w:proofErr w:type="spellEnd"/>
      <w:r w:rsidRPr="00044B99">
        <w:rPr>
          <w:rFonts w:ascii="Times New Roman" w:eastAsia="Times New Roman" w:hAnsi="Times New Roman" w:cs="Times New Roman"/>
          <w:sz w:val="24"/>
          <w:szCs w:val="24"/>
          <w:lang w:val="en-US"/>
        </w:rPr>
        <w:t xml:space="preserve"> Mandarin using weather data in Punjab, India. </w:t>
      </w:r>
      <w:r w:rsidRPr="00044B99">
        <w:rPr>
          <w:rFonts w:ascii="Times New Roman" w:eastAsia="Times New Roman" w:hAnsi="Times New Roman" w:cs="Times New Roman"/>
          <w:i/>
          <w:iCs/>
          <w:sz w:val="24"/>
          <w:szCs w:val="24"/>
          <w:lang w:val="en-US"/>
        </w:rPr>
        <w:t>Journal of Agrometeorology, 26</w:t>
      </w:r>
      <w:r w:rsidRPr="00044B99">
        <w:rPr>
          <w:rFonts w:ascii="Times New Roman" w:eastAsia="Times New Roman" w:hAnsi="Times New Roman" w:cs="Times New Roman"/>
          <w:sz w:val="24"/>
          <w:szCs w:val="24"/>
          <w:lang w:val="en-US"/>
        </w:rPr>
        <w:t xml:space="preserve">(2), 243–248. </w:t>
      </w:r>
      <w:hyperlink r:id="rId28" w:history="1">
        <w:r w:rsidRPr="00044B99">
          <w:rPr>
            <w:rFonts w:ascii="Times New Roman" w:eastAsia="Times New Roman" w:hAnsi="Times New Roman" w:cs="Times New Roman"/>
            <w:color w:val="0000FF"/>
            <w:sz w:val="24"/>
            <w:szCs w:val="24"/>
            <w:u w:val="single"/>
            <w:lang w:val="en-US"/>
          </w:rPr>
          <w:t>https://doi.org/10.54386/jam.v26i2.2444</w:t>
        </w:r>
      </w:hyperlink>
    </w:p>
    <w:p w14:paraId="514B45B9"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Tandel, R., Patel, S., &amp; Pandya, H. V. (2020). Population dynamics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in relation to abiotic factor. </w:t>
      </w:r>
      <w:r w:rsidRPr="00044B99">
        <w:rPr>
          <w:rFonts w:ascii="Times New Roman" w:eastAsia="Times New Roman" w:hAnsi="Times New Roman" w:cs="Times New Roman"/>
          <w:i/>
          <w:iCs/>
          <w:sz w:val="24"/>
          <w:szCs w:val="24"/>
          <w:lang w:val="en-US"/>
        </w:rPr>
        <w:t>International Journal of Chemical Studies, 8</w:t>
      </w:r>
      <w:r w:rsidRPr="00044B99">
        <w:rPr>
          <w:rFonts w:ascii="Times New Roman" w:eastAsia="Times New Roman" w:hAnsi="Times New Roman" w:cs="Times New Roman"/>
          <w:sz w:val="24"/>
          <w:szCs w:val="24"/>
          <w:lang w:val="en-US"/>
        </w:rPr>
        <w:t xml:space="preserve">(6), 2112–2116. </w:t>
      </w:r>
      <w:hyperlink r:id="rId29" w:history="1">
        <w:r w:rsidRPr="00044B99">
          <w:rPr>
            <w:rFonts w:ascii="Times New Roman" w:eastAsia="Times New Roman" w:hAnsi="Times New Roman" w:cs="Times New Roman"/>
            <w:color w:val="0000FF"/>
            <w:sz w:val="24"/>
            <w:szCs w:val="24"/>
            <w:u w:val="single"/>
            <w:lang w:val="en-US"/>
          </w:rPr>
          <w:t>https://doi.org/10.22271/chemi.2020.v8.i6ad.11086</w:t>
        </w:r>
      </w:hyperlink>
    </w:p>
    <w:p w14:paraId="4FBEB308"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Wadhi, S. R., &amp; Batra, H. N. (1964). Pests of tropical and subtropical fruit trees. In N. C. Pant (Ed.), </w:t>
      </w:r>
      <w:r w:rsidRPr="00044B99">
        <w:rPr>
          <w:rFonts w:ascii="Times New Roman" w:eastAsia="Times New Roman" w:hAnsi="Times New Roman" w:cs="Times New Roman"/>
          <w:i/>
          <w:iCs/>
          <w:sz w:val="24"/>
          <w:szCs w:val="24"/>
          <w:lang w:val="en-US"/>
        </w:rPr>
        <w:t>Entomology in India</w:t>
      </w:r>
      <w:r w:rsidRPr="00044B99">
        <w:rPr>
          <w:rFonts w:ascii="Times New Roman" w:eastAsia="Times New Roman" w:hAnsi="Times New Roman" w:cs="Times New Roman"/>
          <w:sz w:val="24"/>
          <w:szCs w:val="24"/>
          <w:lang w:val="en-US"/>
        </w:rPr>
        <w:t xml:space="preserve"> (pp. 227–260). Entomological Society of India. </w:t>
      </w:r>
    </w:p>
    <w:p w14:paraId="61E7182A"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Wankhade, S. M., Kadam, U. K., Patil, S. K., &amp; Bansode, G. M. (2015). Studies on the seasonal incidence and management of citrus psylla (</w:t>
      </w:r>
      <w:proofErr w:type="spellStart"/>
      <w:r w:rsidRPr="00044B99">
        <w:rPr>
          <w:rFonts w:ascii="Times New Roman" w:eastAsia="Times New Roman" w:hAnsi="Times New Roman" w:cs="Times New Roman"/>
          <w:i/>
          <w:iCs/>
          <w:sz w:val="24"/>
          <w:szCs w:val="24"/>
          <w:lang w:val="en-US"/>
        </w:rPr>
        <w:t>Diaphorina</w:t>
      </w:r>
      <w:proofErr w:type="spellEnd"/>
      <w:r w:rsidRPr="00044B99">
        <w:rPr>
          <w:rFonts w:ascii="Times New Roman" w:eastAsia="Times New Roman" w:hAnsi="Times New Roman" w:cs="Times New Roman"/>
          <w:i/>
          <w:iCs/>
          <w:sz w:val="24"/>
          <w:szCs w:val="24"/>
          <w:lang w:val="en-US"/>
        </w:rPr>
        <w:t xml:space="preserve"> citri</w:t>
      </w:r>
      <w:r w:rsidRPr="00044B99">
        <w:rPr>
          <w:rFonts w:ascii="Times New Roman" w:eastAsia="Times New Roman" w:hAnsi="Times New Roman" w:cs="Times New Roman"/>
          <w:sz w:val="24"/>
          <w:szCs w:val="24"/>
          <w:lang w:val="en-US"/>
        </w:rPr>
        <w:t xml:space="preserve"> </w:t>
      </w:r>
      <w:proofErr w:type="spellStart"/>
      <w:r w:rsidRPr="00044B99">
        <w:rPr>
          <w:rFonts w:ascii="Times New Roman" w:eastAsia="Times New Roman" w:hAnsi="Times New Roman" w:cs="Times New Roman"/>
          <w:sz w:val="24"/>
          <w:szCs w:val="24"/>
          <w:lang w:val="en-US"/>
        </w:rPr>
        <w:t>Kuwayama</w:t>
      </w:r>
      <w:proofErr w:type="spellEnd"/>
      <w:r w:rsidRPr="00044B99">
        <w:rPr>
          <w:rFonts w:ascii="Times New Roman" w:eastAsia="Times New Roman" w:hAnsi="Times New Roman" w:cs="Times New Roman"/>
          <w:sz w:val="24"/>
          <w:szCs w:val="24"/>
          <w:lang w:val="en-US"/>
        </w:rPr>
        <w:t xml:space="preserve">) in sweet orange. </w:t>
      </w:r>
      <w:r w:rsidRPr="00044B99">
        <w:rPr>
          <w:rFonts w:ascii="Times New Roman" w:eastAsia="Times New Roman" w:hAnsi="Times New Roman" w:cs="Times New Roman"/>
          <w:i/>
          <w:iCs/>
          <w:sz w:val="24"/>
          <w:szCs w:val="24"/>
          <w:lang w:val="en-US"/>
        </w:rPr>
        <w:t>Indian Journal of Agricultural Research, 49</w:t>
      </w:r>
      <w:r w:rsidRPr="00044B99">
        <w:rPr>
          <w:rFonts w:ascii="Times New Roman" w:eastAsia="Times New Roman" w:hAnsi="Times New Roman" w:cs="Times New Roman"/>
          <w:sz w:val="24"/>
          <w:szCs w:val="24"/>
          <w:lang w:val="en-US"/>
        </w:rPr>
        <w:t xml:space="preserve">(4), 321–326. </w:t>
      </w:r>
      <w:hyperlink r:id="rId30" w:history="1">
        <w:r w:rsidRPr="00044B99">
          <w:rPr>
            <w:rFonts w:ascii="Times New Roman" w:eastAsia="Times New Roman" w:hAnsi="Times New Roman" w:cs="Times New Roman"/>
            <w:color w:val="0000FF"/>
            <w:sz w:val="24"/>
            <w:szCs w:val="24"/>
            <w:u w:val="single"/>
            <w:lang w:val="en-US"/>
          </w:rPr>
          <w:t>https://doi.org/10.5958/0976-058X.2015.00058.X</w:t>
        </w:r>
      </w:hyperlink>
    </w:p>
    <w:p w14:paraId="7996F06D" w14:textId="77777777" w:rsidR="000C2D20" w:rsidRPr="00044B99" w:rsidRDefault="000C2D20" w:rsidP="00044B99">
      <w:pPr>
        <w:spacing w:after="0" w:line="240" w:lineRule="auto"/>
        <w:ind w:left="540" w:hanging="540"/>
        <w:jc w:val="both"/>
        <w:rPr>
          <w:rFonts w:ascii="Times New Roman" w:eastAsia="Times New Roman" w:hAnsi="Times New Roman" w:cs="Times New Roman"/>
          <w:sz w:val="24"/>
          <w:szCs w:val="24"/>
          <w:lang w:val="en-US"/>
        </w:rPr>
      </w:pPr>
      <w:r w:rsidRPr="00044B99">
        <w:rPr>
          <w:rFonts w:ascii="Times New Roman" w:eastAsia="Times New Roman" w:hAnsi="Times New Roman" w:cs="Times New Roman"/>
          <w:sz w:val="24"/>
          <w:szCs w:val="24"/>
          <w:lang w:val="en-US"/>
        </w:rPr>
        <w:t xml:space="preserve">Wu, G. A., Terol, J., Ibanez, V., López-García, A., Pérez-Román, E., </w:t>
      </w:r>
      <w:proofErr w:type="spellStart"/>
      <w:r w:rsidRPr="00044B99">
        <w:rPr>
          <w:rFonts w:ascii="Times New Roman" w:eastAsia="Times New Roman" w:hAnsi="Times New Roman" w:cs="Times New Roman"/>
          <w:sz w:val="24"/>
          <w:szCs w:val="24"/>
          <w:lang w:val="en-US"/>
        </w:rPr>
        <w:t>Borredá</w:t>
      </w:r>
      <w:proofErr w:type="spellEnd"/>
      <w:r w:rsidRPr="00044B99">
        <w:rPr>
          <w:rFonts w:ascii="Times New Roman" w:eastAsia="Times New Roman" w:hAnsi="Times New Roman" w:cs="Times New Roman"/>
          <w:sz w:val="24"/>
          <w:szCs w:val="24"/>
          <w:lang w:val="en-US"/>
        </w:rPr>
        <w:t xml:space="preserve">, C., Domingo, C., Tadeo, F. R., Carbonell-Caballero, J., Alonso, R., Curk, F., Du, D., </w:t>
      </w:r>
      <w:proofErr w:type="spellStart"/>
      <w:r w:rsidRPr="00044B99">
        <w:rPr>
          <w:rFonts w:ascii="Times New Roman" w:eastAsia="Times New Roman" w:hAnsi="Times New Roman" w:cs="Times New Roman"/>
          <w:sz w:val="24"/>
          <w:szCs w:val="24"/>
          <w:lang w:val="en-US"/>
        </w:rPr>
        <w:t>Ollitrault</w:t>
      </w:r>
      <w:proofErr w:type="spellEnd"/>
      <w:r w:rsidRPr="00044B99">
        <w:rPr>
          <w:rFonts w:ascii="Times New Roman" w:eastAsia="Times New Roman" w:hAnsi="Times New Roman" w:cs="Times New Roman"/>
          <w:sz w:val="24"/>
          <w:szCs w:val="24"/>
          <w:lang w:val="en-US"/>
        </w:rPr>
        <w:t xml:space="preserve">, P., Roose, M. L., Dopazo, J., Gmitter, F. G., Rokhsar, D. S., &amp; Talon, M. (2018). Genomics of the origin and evolution of Citrus. </w:t>
      </w:r>
      <w:r w:rsidRPr="00044B99">
        <w:rPr>
          <w:rFonts w:ascii="Times New Roman" w:eastAsia="Times New Roman" w:hAnsi="Times New Roman" w:cs="Times New Roman"/>
          <w:i/>
          <w:iCs/>
          <w:sz w:val="24"/>
          <w:szCs w:val="24"/>
          <w:lang w:val="en-US"/>
        </w:rPr>
        <w:t>Nature, 554</w:t>
      </w:r>
      <w:r w:rsidRPr="00044B99">
        <w:rPr>
          <w:rFonts w:ascii="Times New Roman" w:eastAsia="Times New Roman" w:hAnsi="Times New Roman" w:cs="Times New Roman"/>
          <w:sz w:val="24"/>
          <w:szCs w:val="24"/>
          <w:lang w:val="en-US"/>
        </w:rPr>
        <w:t xml:space="preserve">(7692), 311–316. </w:t>
      </w:r>
      <w:hyperlink r:id="rId31" w:history="1">
        <w:r w:rsidRPr="00044B99">
          <w:rPr>
            <w:rFonts w:ascii="Times New Roman" w:eastAsia="Times New Roman" w:hAnsi="Times New Roman" w:cs="Times New Roman"/>
            <w:color w:val="0000FF"/>
            <w:sz w:val="24"/>
            <w:szCs w:val="24"/>
            <w:u w:val="single"/>
            <w:lang w:val="en-US"/>
          </w:rPr>
          <w:t>https://doi.org/10.1038/nature25447</w:t>
        </w:r>
      </w:hyperlink>
    </w:p>
    <w:p w14:paraId="2E927864" w14:textId="77777777" w:rsidR="00407E7A" w:rsidRPr="00044B99" w:rsidRDefault="000C2D20" w:rsidP="00044B99">
      <w:pPr>
        <w:spacing w:line="360" w:lineRule="auto"/>
        <w:ind w:left="540" w:hanging="540"/>
        <w:jc w:val="both"/>
        <w:rPr>
          <w:rFonts w:ascii="Times New Roman" w:hAnsi="Times New Roman" w:cs="Times New Roman"/>
          <w:sz w:val="24"/>
          <w:szCs w:val="24"/>
        </w:rPr>
      </w:pPr>
      <w:r w:rsidRPr="00044B99">
        <w:rPr>
          <w:rFonts w:ascii="Times New Roman" w:eastAsia="Times New Roman" w:hAnsi="Times New Roman" w:cs="Times New Roman"/>
          <w:sz w:val="24"/>
          <w:szCs w:val="24"/>
          <w:lang w:val="en-US"/>
        </w:rPr>
        <w:t xml:space="preserve">Younas, M., Zheng, Z., Atiq, M., Wei, T., &amp; Li, Y. (2025). Insights into the Huanglongbing pandemic focusing on transmission biology, virulence factors and multifaceted management strategies. </w:t>
      </w:r>
      <w:r w:rsidRPr="00044B99">
        <w:rPr>
          <w:rFonts w:ascii="Times New Roman" w:eastAsia="Times New Roman" w:hAnsi="Times New Roman" w:cs="Times New Roman"/>
          <w:i/>
          <w:iCs/>
          <w:sz w:val="24"/>
          <w:szCs w:val="24"/>
          <w:lang w:val="en-US"/>
        </w:rPr>
        <w:t>Pest Management Science, 81</w:t>
      </w:r>
      <w:r w:rsidRPr="00044B99">
        <w:rPr>
          <w:rFonts w:ascii="Times New Roman" w:eastAsia="Times New Roman" w:hAnsi="Times New Roman" w:cs="Times New Roman"/>
          <w:sz w:val="24"/>
          <w:szCs w:val="24"/>
          <w:lang w:val="en-US"/>
        </w:rPr>
        <w:t xml:space="preserve">(10), 6076–6094. </w:t>
      </w:r>
      <w:hyperlink r:id="rId32" w:history="1">
        <w:r w:rsidRPr="00044B99">
          <w:rPr>
            <w:rFonts w:ascii="Times New Roman" w:eastAsia="Times New Roman" w:hAnsi="Times New Roman" w:cs="Times New Roman"/>
            <w:color w:val="0000FF"/>
            <w:sz w:val="24"/>
            <w:szCs w:val="24"/>
            <w:u w:val="single"/>
            <w:lang w:val="en-US"/>
          </w:rPr>
          <w:t>https://doi.org/10.1002/ps.70073</w:t>
        </w:r>
      </w:hyperlink>
    </w:p>
    <w:p w14:paraId="4421524B" w14:textId="6896E10D" w:rsidR="00757318" w:rsidRPr="00044B99" w:rsidRDefault="00757318" w:rsidP="00044B99">
      <w:pPr>
        <w:spacing w:line="360" w:lineRule="auto"/>
        <w:ind w:left="540" w:hanging="540"/>
        <w:jc w:val="both"/>
        <w:rPr>
          <w:rFonts w:ascii="Times New Roman" w:hAnsi="Times New Roman" w:cs="Times New Roman"/>
          <w:sz w:val="24"/>
          <w:szCs w:val="24"/>
        </w:rPr>
      </w:pPr>
    </w:p>
    <w:sectPr w:rsidR="00757318" w:rsidRPr="00044B99" w:rsidSect="00CD3E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8B876" w14:textId="77777777" w:rsidR="00CD438A" w:rsidRDefault="00CD438A" w:rsidP="00017F1D">
      <w:pPr>
        <w:spacing w:after="0" w:line="240" w:lineRule="auto"/>
      </w:pPr>
      <w:r>
        <w:separator/>
      </w:r>
    </w:p>
  </w:endnote>
  <w:endnote w:type="continuationSeparator" w:id="0">
    <w:p w14:paraId="1C49BAAB" w14:textId="77777777" w:rsidR="00CD438A" w:rsidRDefault="00CD438A" w:rsidP="0001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A85C" w14:textId="77777777" w:rsidR="001B0D3A" w:rsidRDefault="001B0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F714" w14:textId="77777777" w:rsidR="001B0D3A" w:rsidRDefault="001B0D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2399" w14:textId="77777777" w:rsidR="001B0D3A" w:rsidRDefault="001B0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E4669" w14:textId="77777777" w:rsidR="00CD438A" w:rsidRDefault="00CD438A" w:rsidP="00017F1D">
      <w:pPr>
        <w:spacing w:after="0" w:line="240" w:lineRule="auto"/>
      </w:pPr>
      <w:r>
        <w:separator/>
      </w:r>
    </w:p>
  </w:footnote>
  <w:footnote w:type="continuationSeparator" w:id="0">
    <w:p w14:paraId="39973C50" w14:textId="77777777" w:rsidR="00CD438A" w:rsidRDefault="00CD438A" w:rsidP="00017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A3ED" w14:textId="77777777" w:rsidR="001B0D3A" w:rsidRDefault="00000000">
    <w:pPr>
      <w:pStyle w:val="Header"/>
    </w:pPr>
    <w:r>
      <w:rPr>
        <w:noProof/>
      </w:rPr>
      <w:pict w14:anchorId="28C8F7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69056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200E" w14:textId="77777777" w:rsidR="001B0D3A" w:rsidRDefault="00000000">
    <w:pPr>
      <w:pStyle w:val="Header"/>
    </w:pPr>
    <w:r>
      <w:rPr>
        <w:noProof/>
      </w:rPr>
      <w:pict w14:anchorId="7736CA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69056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82869" w14:textId="77777777" w:rsidR="001B0D3A" w:rsidRDefault="00000000">
    <w:pPr>
      <w:pStyle w:val="Header"/>
    </w:pPr>
    <w:r>
      <w:rPr>
        <w:noProof/>
      </w:rPr>
      <w:pict w14:anchorId="0A721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69056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06E35"/>
    <w:multiLevelType w:val="hybridMultilevel"/>
    <w:tmpl w:val="15E8BA8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9C26E4"/>
    <w:multiLevelType w:val="hybridMultilevel"/>
    <w:tmpl w:val="73B8F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247938">
    <w:abstractNumId w:val="1"/>
  </w:num>
  <w:num w:numId="2" w16cid:durableId="172451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xsTA2tTC1tDCwNLFU0lEKTi0uzszPAykwrAUAeR4bKSwAAAA="/>
  </w:docVars>
  <w:rsids>
    <w:rsidRoot w:val="009F746A"/>
    <w:rsid w:val="000122BF"/>
    <w:rsid w:val="00017F1D"/>
    <w:rsid w:val="0004356B"/>
    <w:rsid w:val="00044B99"/>
    <w:rsid w:val="00053146"/>
    <w:rsid w:val="000627FC"/>
    <w:rsid w:val="0006323D"/>
    <w:rsid w:val="000B7939"/>
    <w:rsid w:val="000C2D20"/>
    <w:rsid w:val="000D558D"/>
    <w:rsid w:val="00106AB2"/>
    <w:rsid w:val="00115A15"/>
    <w:rsid w:val="00146293"/>
    <w:rsid w:val="00166D5A"/>
    <w:rsid w:val="001709B0"/>
    <w:rsid w:val="00171001"/>
    <w:rsid w:val="001A1E67"/>
    <w:rsid w:val="001B0D3A"/>
    <w:rsid w:val="001B18E3"/>
    <w:rsid w:val="001C64B9"/>
    <w:rsid w:val="001E18F0"/>
    <w:rsid w:val="00205EE7"/>
    <w:rsid w:val="00242C39"/>
    <w:rsid w:val="00246F3B"/>
    <w:rsid w:val="00253137"/>
    <w:rsid w:val="002C12E4"/>
    <w:rsid w:val="00325FDE"/>
    <w:rsid w:val="003524B9"/>
    <w:rsid w:val="0036265B"/>
    <w:rsid w:val="003C08A8"/>
    <w:rsid w:val="003D6AFA"/>
    <w:rsid w:val="003E5085"/>
    <w:rsid w:val="003E54D7"/>
    <w:rsid w:val="003F0CA4"/>
    <w:rsid w:val="00407E7A"/>
    <w:rsid w:val="00455568"/>
    <w:rsid w:val="00457490"/>
    <w:rsid w:val="00463430"/>
    <w:rsid w:val="00467E62"/>
    <w:rsid w:val="00485CA9"/>
    <w:rsid w:val="004A2ACB"/>
    <w:rsid w:val="004A460F"/>
    <w:rsid w:val="004C444D"/>
    <w:rsid w:val="004E5381"/>
    <w:rsid w:val="00531F87"/>
    <w:rsid w:val="00554BE5"/>
    <w:rsid w:val="00557302"/>
    <w:rsid w:val="00562B00"/>
    <w:rsid w:val="0056342A"/>
    <w:rsid w:val="0056411A"/>
    <w:rsid w:val="00564243"/>
    <w:rsid w:val="00590636"/>
    <w:rsid w:val="005A08D8"/>
    <w:rsid w:val="005D5A17"/>
    <w:rsid w:val="005E0EA6"/>
    <w:rsid w:val="005F53F2"/>
    <w:rsid w:val="00603013"/>
    <w:rsid w:val="0061398A"/>
    <w:rsid w:val="00634347"/>
    <w:rsid w:val="00641416"/>
    <w:rsid w:val="00651AF8"/>
    <w:rsid w:val="0068340D"/>
    <w:rsid w:val="006A6CE7"/>
    <w:rsid w:val="006A7468"/>
    <w:rsid w:val="006B1B29"/>
    <w:rsid w:val="006C2EA0"/>
    <w:rsid w:val="006C530D"/>
    <w:rsid w:val="006C7822"/>
    <w:rsid w:val="006E22E1"/>
    <w:rsid w:val="00704094"/>
    <w:rsid w:val="007076EF"/>
    <w:rsid w:val="0072486E"/>
    <w:rsid w:val="00741B56"/>
    <w:rsid w:val="00742F6C"/>
    <w:rsid w:val="00757318"/>
    <w:rsid w:val="0076050E"/>
    <w:rsid w:val="00782AE9"/>
    <w:rsid w:val="007B0FC3"/>
    <w:rsid w:val="007B1F03"/>
    <w:rsid w:val="007C1533"/>
    <w:rsid w:val="007D01E7"/>
    <w:rsid w:val="00801CB0"/>
    <w:rsid w:val="00830B39"/>
    <w:rsid w:val="0083694D"/>
    <w:rsid w:val="00847B7E"/>
    <w:rsid w:val="00853027"/>
    <w:rsid w:val="00862E9D"/>
    <w:rsid w:val="0088411A"/>
    <w:rsid w:val="00893A9B"/>
    <w:rsid w:val="008E09AB"/>
    <w:rsid w:val="009035DB"/>
    <w:rsid w:val="009054CE"/>
    <w:rsid w:val="00917EA0"/>
    <w:rsid w:val="00922BB7"/>
    <w:rsid w:val="009450D3"/>
    <w:rsid w:val="0095088F"/>
    <w:rsid w:val="00980B47"/>
    <w:rsid w:val="009834AC"/>
    <w:rsid w:val="009C1CF1"/>
    <w:rsid w:val="009C5A46"/>
    <w:rsid w:val="009E27EA"/>
    <w:rsid w:val="009F287F"/>
    <w:rsid w:val="009F746A"/>
    <w:rsid w:val="00A046D2"/>
    <w:rsid w:val="00A053AC"/>
    <w:rsid w:val="00A20F12"/>
    <w:rsid w:val="00A95AEB"/>
    <w:rsid w:val="00AB61E3"/>
    <w:rsid w:val="00AC12BE"/>
    <w:rsid w:val="00AE1B1A"/>
    <w:rsid w:val="00AE7B51"/>
    <w:rsid w:val="00AF2F02"/>
    <w:rsid w:val="00B474CC"/>
    <w:rsid w:val="00B94170"/>
    <w:rsid w:val="00B96F26"/>
    <w:rsid w:val="00BA4C44"/>
    <w:rsid w:val="00BF7C22"/>
    <w:rsid w:val="00C02DF3"/>
    <w:rsid w:val="00C23947"/>
    <w:rsid w:val="00C26239"/>
    <w:rsid w:val="00C26E3A"/>
    <w:rsid w:val="00C33D31"/>
    <w:rsid w:val="00C36410"/>
    <w:rsid w:val="00C468AA"/>
    <w:rsid w:val="00C500B4"/>
    <w:rsid w:val="00C53E87"/>
    <w:rsid w:val="00C708B6"/>
    <w:rsid w:val="00CB595B"/>
    <w:rsid w:val="00CD3EF4"/>
    <w:rsid w:val="00CD438A"/>
    <w:rsid w:val="00D4090B"/>
    <w:rsid w:val="00D448DB"/>
    <w:rsid w:val="00D45B67"/>
    <w:rsid w:val="00D8274A"/>
    <w:rsid w:val="00D85A74"/>
    <w:rsid w:val="00DC1828"/>
    <w:rsid w:val="00DE77C3"/>
    <w:rsid w:val="00DF1D30"/>
    <w:rsid w:val="00DF6EA9"/>
    <w:rsid w:val="00DF79A5"/>
    <w:rsid w:val="00E04C62"/>
    <w:rsid w:val="00E10C64"/>
    <w:rsid w:val="00E40D56"/>
    <w:rsid w:val="00E46AD9"/>
    <w:rsid w:val="00E8068A"/>
    <w:rsid w:val="00EA504B"/>
    <w:rsid w:val="00EB0578"/>
    <w:rsid w:val="00EB06B2"/>
    <w:rsid w:val="00EB58BD"/>
    <w:rsid w:val="00EE62EA"/>
    <w:rsid w:val="00EF7CC9"/>
    <w:rsid w:val="00F0596D"/>
    <w:rsid w:val="00F31B71"/>
    <w:rsid w:val="00F452F0"/>
    <w:rsid w:val="00F50D44"/>
    <w:rsid w:val="00F6662C"/>
    <w:rsid w:val="00F914DE"/>
    <w:rsid w:val="00FA2A88"/>
    <w:rsid w:val="00FA5DFA"/>
    <w:rsid w:val="00FB5A2D"/>
    <w:rsid w:val="00FC2E4B"/>
    <w:rsid w:val="00FE33CC"/>
    <w:rsid w:val="00FE3507"/>
    <w:rsid w:val="00FF355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03BBF"/>
  <w15:chartTrackingRefBased/>
  <w15:docId w15:val="{14FD20F4-1060-4404-BD97-10B32148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746A"/>
    <w:pPr>
      <w:autoSpaceDE w:val="0"/>
      <w:autoSpaceDN w:val="0"/>
      <w:adjustRightInd w:val="0"/>
      <w:spacing w:after="0" w:line="240" w:lineRule="auto"/>
    </w:pPr>
    <w:rPr>
      <w:rFonts w:ascii="Times New Roman" w:hAnsi="Times New Roman" w:cs="Times New Roman"/>
      <w:color w:val="000000"/>
      <w:sz w:val="24"/>
      <w:szCs w:val="24"/>
      <w:lang w:bidi="hi-IN"/>
    </w:rPr>
  </w:style>
  <w:style w:type="character" w:customStyle="1" w:styleId="A5">
    <w:name w:val="A5"/>
    <w:uiPriority w:val="99"/>
    <w:rsid w:val="009F746A"/>
    <w:rPr>
      <w:rFonts w:cs="Times New Roman"/>
      <w:b/>
      <w:bCs/>
      <w:color w:val="000000"/>
      <w:sz w:val="10"/>
      <w:szCs w:val="10"/>
    </w:rPr>
  </w:style>
  <w:style w:type="character" w:styleId="Strong">
    <w:name w:val="Strong"/>
    <w:basedOn w:val="DefaultParagraphFont"/>
    <w:uiPriority w:val="22"/>
    <w:qFormat/>
    <w:rsid w:val="0056342A"/>
    <w:rPr>
      <w:b/>
      <w:bCs/>
    </w:rPr>
  </w:style>
  <w:style w:type="character" w:styleId="Emphasis">
    <w:name w:val="Emphasis"/>
    <w:basedOn w:val="DefaultParagraphFont"/>
    <w:uiPriority w:val="20"/>
    <w:qFormat/>
    <w:rsid w:val="0056342A"/>
    <w:rPr>
      <w:i/>
      <w:iCs/>
    </w:rPr>
  </w:style>
  <w:style w:type="character" w:customStyle="1" w:styleId="contents">
    <w:name w:val="contents"/>
    <w:basedOn w:val="DefaultParagraphFont"/>
    <w:rsid w:val="0056342A"/>
  </w:style>
  <w:style w:type="character" w:styleId="Hyperlink">
    <w:name w:val="Hyperlink"/>
    <w:basedOn w:val="DefaultParagraphFont"/>
    <w:uiPriority w:val="99"/>
    <w:unhideWhenUsed/>
    <w:rsid w:val="0056342A"/>
    <w:rPr>
      <w:color w:val="0000FF"/>
      <w:u w:val="single"/>
    </w:rPr>
  </w:style>
  <w:style w:type="paragraph" w:customStyle="1" w:styleId="Pa9">
    <w:name w:val="Pa9"/>
    <w:basedOn w:val="Default"/>
    <w:next w:val="Default"/>
    <w:uiPriority w:val="99"/>
    <w:rsid w:val="00FC2E4B"/>
    <w:pPr>
      <w:spacing w:line="211" w:lineRule="atLeast"/>
    </w:pPr>
    <w:rPr>
      <w:rFonts w:cs="Mangal"/>
      <w:color w:val="auto"/>
    </w:rPr>
  </w:style>
  <w:style w:type="paragraph" w:styleId="Header">
    <w:name w:val="header"/>
    <w:basedOn w:val="Normal"/>
    <w:link w:val="HeaderChar"/>
    <w:uiPriority w:val="99"/>
    <w:unhideWhenUsed/>
    <w:rsid w:val="00017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F1D"/>
  </w:style>
  <w:style w:type="paragraph" w:styleId="Footer">
    <w:name w:val="footer"/>
    <w:basedOn w:val="Normal"/>
    <w:link w:val="FooterChar"/>
    <w:uiPriority w:val="99"/>
    <w:unhideWhenUsed/>
    <w:rsid w:val="00017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F1D"/>
  </w:style>
  <w:style w:type="character" w:styleId="UnresolvedMention">
    <w:name w:val="Unresolved Mention"/>
    <w:basedOn w:val="DefaultParagraphFont"/>
    <w:uiPriority w:val="99"/>
    <w:semiHidden/>
    <w:unhideWhenUsed/>
    <w:rsid w:val="00893A9B"/>
    <w:rPr>
      <w:color w:val="605E5C"/>
      <w:shd w:val="clear" w:color="auto" w:fill="E1DFDD"/>
    </w:rPr>
  </w:style>
  <w:style w:type="paragraph" w:styleId="ListParagraph">
    <w:name w:val="List Paragraph"/>
    <w:basedOn w:val="Normal"/>
    <w:uiPriority w:val="34"/>
    <w:qFormat/>
    <w:rsid w:val="000C2D20"/>
    <w:pPr>
      <w:ind w:left="720"/>
      <w:contextualSpacing/>
    </w:pPr>
  </w:style>
  <w:style w:type="paragraph" w:styleId="NormalWeb">
    <w:name w:val="Normal (Web)"/>
    <w:basedOn w:val="Normal"/>
    <w:uiPriority w:val="99"/>
    <w:semiHidden/>
    <w:unhideWhenUsed/>
    <w:rsid w:val="00DE77C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3889">
      <w:bodyDiv w:val="1"/>
      <w:marLeft w:val="0"/>
      <w:marRight w:val="0"/>
      <w:marTop w:val="0"/>
      <w:marBottom w:val="0"/>
      <w:divBdr>
        <w:top w:val="none" w:sz="0" w:space="0" w:color="auto"/>
        <w:left w:val="none" w:sz="0" w:space="0" w:color="auto"/>
        <w:bottom w:val="none" w:sz="0" w:space="0" w:color="auto"/>
        <w:right w:val="none" w:sz="0" w:space="0" w:color="auto"/>
      </w:divBdr>
    </w:div>
    <w:div w:id="655501667">
      <w:bodyDiv w:val="1"/>
      <w:marLeft w:val="0"/>
      <w:marRight w:val="0"/>
      <w:marTop w:val="0"/>
      <w:marBottom w:val="0"/>
      <w:divBdr>
        <w:top w:val="none" w:sz="0" w:space="0" w:color="auto"/>
        <w:left w:val="none" w:sz="0" w:space="0" w:color="auto"/>
        <w:bottom w:val="none" w:sz="0" w:space="0" w:color="auto"/>
        <w:right w:val="none" w:sz="0" w:space="0" w:color="auto"/>
      </w:divBdr>
    </w:div>
    <w:div w:id="141370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4236/ajps.2024.1512077" TargetMode="External"/><Relationship Id="rId26" Type="http://schemas.openxmlformats.org/officeDocument/2006/relationships/hyperlink" Target="https://doi.org/10.55446/hexa.2023.594" TargetMode="External"/><Relationship Id="rId3" Type="http://schemas.openxmlformats.org/officeDocument/2006/relationships/styles" Target="styles.xml"/><Relationship Id="rId21" Type="http://schemas.openxmlformats.org/officeDocument/2006/relationships/hyperlink" Target="https://doi.org/10.3329/jasbs.v47i1.5418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wfrec.ifas.ufl.edu/hlb/database/pdf/00001517.pdf" TargetMode="External"/><Relationship Id="rId25" Type="http://schemas.openxmlformats.org/officeDocument/2006/relationships/hyperlink" Target="https://doi.org/10.9734/jabb/2025/v28i4217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07/s10905-021-09791-z" TargetMode="External"/><Relationship Id="rId20" Type="http://schemas.openxmlformats.org/officeDocument/2006/relationships/hyperlink" Target="https://doi.org/10.3389/fpls.2020.567212" TargetMode="External"/><Relationship Id="rId29" Type="http://schemas.openxmlformats.org/officeDocument/2006/relationships/hyperlink" Target="https://doi.org/10.22271/chemi.2020.v8.i6ad.110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wfrec.ifas.ufl.edu/hlb/database/pdf/00002332.pdf" TargetMode="External"/><Relationship Id="rId32" Type="http://schemas.openxmlformats.org/officeDocument/2006/relationships/hyperlink" Target="https://doi.org/10.1002/ps.70073"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swfrec.ifas.ufl.edu/hlb/database/pdf/00002190.pdf" TargetMode="External"/><Relationship Id="rId28" Type="http://schemas.openxmlformats.org/officeDocument/2006/relationships/hyperlink" Target="https://doi.org/10.54386/jam.v26i2.2444" TargetMode="External"/><Relationship Id="rId10" Type="http://schemas.openxmlformats.org/officeDocument/2006/relationships/footer" Target="footer1.xml"/><Relationship Id="rId19" Type="http://schemas.openxmlformats.org/officeDocument/2006/relationships/hyperlink" Target="https://doi.org/10.31018/jans.v6i2.430" TargetMode="External"/><Relationship Id="rId31" Type="http://schemas.openxmlformats.org/officeDocument/2006/relationships/hyperlink" Target="https://doi.org/10.1038/nature2544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1094/PHYTO-05-24-0171-SC" TargetMode="External"/><Relationship Id="rId27" Type="http://schemas.openxmlformats.org/officeDocument/2006/relationships/hyperlink" Target="https://doi.org/10.20546/ijcmas.2018.704.351" TargetMode="External"/><Relationship Id="rId30" Type="http://schemas.openxmlformats.org/officeDocument/2006/relationships/hyperlink" Target="https://doi.org/10.5958/0976-058X.2015.00058.X" TargetMode="Externa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RAJU%20PSYLLA%20GRAPH%202024%202025%20(2)%200809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RAJU%20PSYLLA%20GRAPH%202024%202025%20(2)%200809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38312801170672E-2"/>
          <c:y val="8.4199426817971282E-2"/>
          <c:w val="0.85183390441290119"/>
          <c:h val="0.80895889378882246"/>
        </c:manualLayout>
      </c:layout>
      <c:barChart>
        <c:barDir val="col"/>
        <c:grouping val="clustered"/>
        <c:varyColors val="0"/>
        <c:ser>
          <c:idx val="4"/>
          <c:order val="4"/>
          <c:tx>
            <c:strRef>
              <c:f>Sheet1!$F$2</c:f>
              <c:strCache>
                <c:ptCount val="1"/>
                <c:pt idx="0">
                  <c:v> Psyllid nymphal population/twig</c:v>
                </c:pt>
              </c:strCache>
            </c:strRef>
          </c:tx>
          <c:spPr>
            <a:solidFill>
              <a:schemeClr val="accent5"/>
            </a:solidFill>
            <a:ln w="12700">
              <a:solidFill>
                <a:sysClr val="windowText" lastClr="000000"/>
              </a:solidFill>
            </a:ln>
            <a:effectLst/>
          </c:spPr>
          <c:invertIfNegative val="0"/>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Sheet1!$F$3:$F$40</c:f>
              <c:numCache>
                <c:formatCode>0.00</c:formatCode>
                <c:ptCount val="38"/>
                <c:pt idx="0">
                  <c:v>0.9</c:v>
                </c:pt>
                <c:pt idx="1">
                  <c:v>1.5</c:v>
                </c:pt>
                <c:pt idx="2">
                  <c:v>11.75</c:v>
                </c:pt>
                <c:pt idx="3">
                  <c:v>13.1</c:v>
                </c:pt>
                <c:pt idx="4">
                  <c:v>21.6</c:v>
                </c:pt>
                <c:pt idx="5">
                  <c:v>15.95</c:v>
                </c:pt>
                <c:pt idx="6">
                  <c:v>12.5</c:v>
                </c:pt>
                <c:pt idx="7">
                  <c:v>11.95</c:v>
                </c:pt>
                <c:pt idx="8">
                  <c:v>5.0999999999999996</c:v>
                </c:pt>
                <c:pt idx="9">
                  <c:v>1.4</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1.85</c:v>
                </c:pt>
                <c:pt idx="28">
                  <c:v>16.2</c:v>
                </c:pt>
                <c:pt idx="29">
                  <c:v>18.5</c:v>
                </c:pt>
                <c:pt idx="30">
                  <c:v>6.1</c:v>
                </c:pt>
                <c:pt idx="31">
                  <c:v>2.8</c:v>
                </c:pt>
                <c:pt idx="32">
                  <c:v>11.5</c:v>
                </c:pt>
                <c:pt idx="33">
                  <c:v>13.1</c:v>
                </c:pt>
                <c:pt idx="34">
                  <c:v>37.1</c:v>
                </c:pt>
                <c:pt idx="35">
                  <c:v>28.4</c:v>
                </c:pt>
                <c:pt idx="36">
                  <c:v>15.3</c:v>
                </c:pt>
                <c:pt idx="37">
                  <c:v>0</c:v>
                </c:pt>
              </c:numCache>
            </c:numRef>
          </c:val>
          <c:extLst>
            <c:ext xmlns:c16="http://schemas.microsoft.com/office/drawing/2014/chart" uri="{C3380CC4-5D6E-409C-BE32-E72D297353CC}">
              <c16:uniqueId val="{00000000-5DBF-40AC-B46C-F551A6FD3D03}"/>
            </c:ext>
          </c:extLst>
        </c:ser>
        <c:dLbls>
          <c:showLegendKey val="0"/>
          <c:showVal val="0"/>
          <c:showCatName val="0"/>
          <c:showSerName val="0"/>
          <c:showPercent val="0"/>
          <c:showBubbleSize val="0"/>
        </c:dLbls>
        <c:gapWidth val="219"/>
        <c:axId val="1046026063"/>
        <c:axId val="1046026895"/>
      </c:barChart>
      <c:lineChart>
        <c:grouping val="standard"/>
        <c:varyColors val="0"/>
        <c:ser>
          <c:idx val="0"/>
          <c:order val="0"/>
          <c:tx>
            <c:strRef>
              <c:f>Sheet1!$B$2</c:f>
              <c:strCache>
                <c:ptCount val="1"/>
                <c:pt idx="0">
                  <c:v>Max. Temp.℃</c:v>
                </c:pt>
              </c:strCache>
            </c:strRef>
          </c:tx>
          <c:spPr>
            <a:ln w="28575" cap="rnd">
              <a:solidFill>
                <a:schemeClr val="accent4"/>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Sheet1!$B$3:$B$40</c:f>
              <c:numCache>
                <c:formatCode>0.00</c:formatCode>
                <c:ptCount val="38"/>
                <c:pt idx="0">
                  <c:v>28.89</c:v>
                </c:pt>
                <c:pt idx="1">
                  <c:v>29.28</c:v>
                </c:pt>
                <c:pt idx="2">
                  <c:v>25.21</c:v>
                </c:pt>
                <c:pt idx="3">
                  <c:v>30.35</c:v>
                </c:pt>
                <c:pt idx="4">
                  <c:v>31.21</c:v>
                </c:pt>
                <c:pt idx="5">
                  <c:v>36.21</c:v>
                </c:pt>
                <c:pt idx="6">
                  <c:v>37.39</c:v>
                </c:pt>
                <c:pt idx="7">
                  <c:v>38.5</c:v>
                </c:pt>
                <c:pt idx="8">
                  <c:v>39.5</c:v>
                </c:pt>
                <c:pt idx="9">
                  <c:v>40.85</c:v>
                </c:pt>
                <c:pt idx="10">
                  <c:v>39.82</c:v>
                </c:pt>
                <c:pt idx="11">
                  <c:v>38.71</c:v>
                </c:pt>
                <c:pt idx="12">
                  <c:v>41.07</c:v>
                </c:pt>
                <c:pt idx="13">
                  <c:v>41.69</c:v>
                </c:pt>
                <c:pt idx="14">
                  <c:v>45.25</c:v>
                </c:pt>
                <c:pt idx="15">
                  <c:v>44.32</c:v>
                </c:pt>
                <c:pt idx="16">
                  <c:v>44.89</c:v>
                </c:pt>
                <c:pt idx="17">
                  <c:v>42.03</c:v>
                </c:pt>
                <c:pt idx="18">
                  <c:v>38.64</c:v>
                </c:pt>
                <c:pt idx="19">
                  <c:v>34.67</c:v>
                </c:pt>
                <c:pt idx="20">
                  <c:v>36.26</c:v>
                </c:pt>
                <c:pt idx="21">
                  <c:v>35.89</c:v>
                </c:pt>
                <c:pt idx="22">
                  <c:v>33.71</c:v>
                </c:pt>
                <c:pt idx="23">
                  <c:v>33.82</c:v>
                </c:pt>
                <c:pt idx="24">
                  <c:v>32.42</c:v>
                </c:pt>
                <c:pt idx="25">
                  <c:v>33.67</c:v>
                </c:pt>
                <c:pt idx="26">
                  <c:v>32.6</c:v>
                </c:pt>
                <c:pt idx="27">
                  <c:v>32.71</c:v>
                </c:pt>
                <c:pt idx="28">
                  <c:v>34.57</c:v>
                </c:pt>
                <c:pt idx="29">
                  <c:v>32.6</c:v>
                </c:pt>
                <c:pt idx="30">
                  <c:v>32.82</c:v>
                </c:pt>
                <c:pt idx="31">
                  <c:v>33.46</c:v>
                </c:pt>
                <c:pt idx="32">
                  <c:v>33.39</c:v>
                </c:pt>
                <c:pt idx="33">
                  <c:v>33.82</c:v>
                </c:pt>
                <c:pt idx="34">
                  <c:v>33.85</c:v>
                </c:pt>
                <c:pt idx="35">
                  <c:v>33.28</c:v>
                </c:pt>
                <c:pt idx="36">
                  <c:v>33.64</c:v>
                </c:pt>
                <c:pt idx="37">
                  <c:v>31</c:v>
                </c:pt>
              </c:numCache>
            </c:numRef>
          </c:val>
          <c:smooth val="0"/>
          <c:extLst>
            <c:ext xmlns:c16="http://schemas.microsoft.com/office/drawing/2014/chart" uri="{C3380CC4-5D6E-409C-BE32-E72D297353CC}">
              <c16:uniqueId val="{00000001-5DBF-40AC-B46C-F551A6FD3D03}"/>
            </c:ext>
          </c:extLst>
        </c:ser>
        <c:ser>
          <c:idx val="1"/>
          <c:order val="1"/>
          <c:tx>
            <c:strRef>
              <c:f>Sheet1!$C$2</c:f>
              <c:strCache>
                <c:ptCount val="1"/>
                <c:pt idx="0">
                  <c:v>Min.Temp.℃</c:v>
                </c:pt>
              </c:strCache>
            </c:strRef>
          </c:tx>
          <c:spPr>
            <a:ln w="28575" cap="rnd">
              <a:solidFill>
                <a:schemeClr val="accent2">
                  <a:lumMod val="75000"/>
                </a:schemeClr>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Sheet1!$C$3:$C$40</c:f>
              <c:numCache>
                <c:formatCode>0.00</c:formatCode>
                <c:ptCount val="38"/>
                <c:pt idx="0">
                  <c:v>18.64</c:v>
                </c:pt>
                <c:pt idx="1">
                  <c:v>18.32</c:v>
                </c:pt>
                <c:pt idx="2">
                  <c:v>18.57</c:v>
                </c:pt>
                <c:pt idx="3">
                  <c:v>20.64</c:v>
                </c:pt>
                <c:pt idx="4">
                  <c:v>22.14</c:v>
                </c:pt>
                <c:pt idx="5">
                  <c:v>27</c:v>
                </c:pt>
                <c:pt idx="6">
                  <c:v>28.35</c:v>
                </c:pt>
                <c:pt idx="7">
                  <c:v>28.35</c:v>
                </c:pt>
                <c:pt idx="8">
                  <c:v>30.42</c:v>
                </c:pt>
                <c:pt idx="9">
                  <c:v>32.07</c:v>
                </c:pt>
                <c:pt idx="10">
                  <c:v>30.5</c:v>
                </c:pt>
                <c:pt idx="11">
                  <c:v>30.25</c:v>
                </c:pt>
                <c:pt idx="12">
                  <c:v>30.96</c:v>
                </c:pt>
                <c:pt idx="13">
                  <c:v>31.42</c:v>
                </c:pt>
                <c:pt idx="14">
                  <c:v>31.57</c:v>
                </c:pt>
                <c:pt idx="15">
                  <c:v>29.42</c:v>
                </c:pt>
                <c:pt idx="16">
                  <c:v>29.39</c:v>
                </c:pt>
                <c:pt idx="17">
                  <c:v>28.78</c:v>
                </c:pt>
                <c:pt idx="18">
                  <c:v>29.07</c:v>
                </c:pt>
                <c:pt idx="19">
                  <c:v>28</c:v>
                </c:pt>
                <c:pt idx="20">
                  <c:v>28.71</c:v>
                </c:pt>
                <c:pt idx="21">
                  <c:v>29.42</c:v>
                </c:pt>
                <c:pt idx="22">
                  <c:v>27.82</c:v>
                </c:pt>
                <c:pt idx="23">
                  <c:v>29.28</c:v>
                </c:pt>
                <c:pt idx="24">
                  <c:v>28.71</c:v>
                </c:pt>
                <c:pt idx="25">
                  <c:v>28.89</c:v>
                </c:pt>
                <c:pt idx="26">
                  <c:v>28.57</c:v>
                </c:pt>
                <c:pt idx="27">
                  <c:v>28.42</c:v>
                </c:pt>
                <c:pt idx="28">
                  <c:v>29.71</c:v>
                </c:pt>
                <c:pt idx="29">
                  <c:v>28.64</c:v>
                </c:pt>
                <c:pt idx="30">
                  <c:v>28.85</c:v>
                </c:pt>
                <c:pt idx="31">
                  <c:v>28.5</c:v>
                </c:pt>
                <c:pt idx="32">
                  <c:v>28.71</c:v>
                </c:pt>
                <c:pt idx="33">
                  <c:v>28.85</c:v>
                </c:pt>
                <c:pt idx="34">
                  <c:v>29.78</c:v>
                </c:pt>
                <c:pt idx="35">
                  <c:v>29.39</c:v>
                </c:pt>
                <c:pt idx="36">
                  <c:v>29.67</c:v>
                </c:pt>
                <c:pt idx="37">
                  <c:v>27.14</c:v>
                </c:pt>
              </c:numCache>
            </c:numRef>
          </c:val>
          <c:smooth val="0"/>
          <c:extLst>
            <c:ext xmlns:c16="http://schemas.microsoft.com/office/drawing/2014/chart" uri="{C3380CC4-5D6E-409C-BE32-E72D297353CC}">
              <c16:uniqueId val="{00000002-5DBF-40AC-B46C-F551A6FD3D03}"/>
            </c:ext>
          </c:extLst>
        </c:ser>
        <c:ser>
          <c:idx val="2"/>
          <c:order val="2"/>
          <c:tx>
            <c:strRef>
              <c:f>Sheet1!$D$2</c:f>
              <c:strCache>
                <c:ptCount val="1"/>
                <c:pt idx="0">
                  <c:v>R.H. (%)</c:v>
                </c:pt>
              </c:strCache>
            </c:strRef>
          </c:tx>
          <c:spPr>
            <a:ln w="28575" cap="rnd">
              <a:solidFill>
                <a:schemeClr val="accent6"/>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Sheet1!$D$3:$D$40</c:f>
              <c:numCache>
                <c:formatCode>0.00</c:formatCode>
                <c:ptCount val="38"/>
                <c:pt idx="0">
                  <c:v>72.78</c:v>
                </c:pt>
                <c:pt idx="1">
                  <c:v>74.564999999999998</c:v>
                </c:pt>
                <c:pt idx="2">
                  <c:v>75.35499999999999</c:v>
                </c:pt>
                <c:pt idx="3">
                  <c:v>72.064999999999998</c:v>
                </c:pt>
                <c:pt idx="4">
                  <c:v>71.064999999999998</c:v>
                </c:pt>
                <c:pt idx="5">
                  <c:v>69.495000000000005</c:v>
                </c:pt>
                <c:pt idx="6">
                  <c:v>67.83</c:v>
                </c:pt>
                <c:pt idx="7">
                  <c:v>72.139999999999986</c:v>
                </c:pt>
                <c:pt idx="8">
                  <c:v>77.139999999999986</c:v>
                </c:pt>
                <c:pt idx="9">
                  <c:v>67.495000000000005</c:v>
                </c:pt>
                <c:pt idx="10">
                  <c:v>60.14</c:v>
                </c:pt>
                <c:pt idx="11">
                  <c:v>68.849999999999994</c:v>
                </c:pt>
                <c:pt idx="12">
                  <c:v>59.42</c:v>
                </c:pt>
                <c:pt idx="13">
                  <c:v>63.709999999999994</c:v>
                </c:pt>
                <c:pt idx="14">
                  <c:v>64.495000000000005</c:v>
                </c:pt>
                <c:pt idx="15">
                  <c:v>55.71</c:v>
                </c:pt>
                <c:pt idx="16">
                  <c:v>45.57</c:v>
                </c:pt>
                <c:pt idx="17">
                  <c:v>65.495000000000005</c:v>
                </c:pt>
                <c:pt idx="18">
                  <c:v>69.634999999999991</c:v>
                </c:pt>
                <c:pt idx="19">
                  <c:v>80.14</c:v>
                </c:pt>
                <c:pt idx="20">
                  <c:v>80.210000000000008</c:v>
                </c:pt>
                <c:pt idx="21">
                  <c:v>79.069999999999993</c:v>
                </c:pt>
                <c:pt idx="22">
                  <c:v>89.14</c:v>
                </c:pt>
                <c:pt idx="23">
                  <c:v>90.064999999999998</c:v>
                </c:pt>
                <c:pt idx="24">
                  <c:v>89.924999999999997</c:v>
                </c:pt>
                <c:pt idx="25">
                  <c:v>87.424999999999997</c:v>
                </c:pt>
                <c:pt idx="26">
                  <c:v>88.710000000000008</c:v>
                </c:pt>
                <c:pt idx="27">
                  <c:v>79.924999999999997</c:v>
                </c:pt>
                <c:pt idx="28">
                  <c:v>81.92</c:v>
                </c:pt>
                <c:pt idx="29">
                  <c:v>85.639999999999986</c:v>
                </c:pt>
                <c:pt idx="30">
                  <c:v>86.35499999999999</c:v>
                </c:pt>
                <c:pt idx="31">
                  <c:v>88.134999999999991</c:v>
                </c:pt>
                <c:pt idx="32">
                  <c:v>81.28</c:v>
                </c:pt>
                <c:pt idx="33">
                  <c:v>78.849999999999994</c:v>
                </c:pt>
                <c:pt idx="34">
                  <c:v>75.35499999999999</c:v>
                </c:pt>
                <c:pt idx="35">
                  <c:v>76.069999999999993</c:v>
                </c:pt>
                <c:pt idx="36">
                  <c:v>84.924999999999997</c:v>
                </c:pt>
                <c:pt idx="37">
                  <c:v>72.78</c:v>
                </c:pt>
              </c:numCache>
            </c:numRef>
          </c:val>
          <c:smooth val="0"/>
          <c:extLst>
            <c:ext xmlns:c16="http://schemas.microsoft.com/office/drawing/2014/chart" uri="{C3380CC4-5D6E-409C-BE32-E72D297353CC}">
              <c16:uniqueId val="{00000003-5DBF-40AC-B46C-F551A6FD3D03}"/>
            </c:ext>
          </c:extLst>
        </c:ser>
        <c:ser>
          <c:idx val="3"/>
          <c:order val="3"/>
          <c:tx>
            <c:strRef>
              <c:f>Sheet1!$E$2</c:f>
              <c:strCache>
                <c:ptCount val="1"/>
                <c:pt idx="0">
                  <c:v>R.F.(mm)</c:v>
                </c:pt>
              </c:strCache>
            </c:strRef>
          </c:tx>
          <c:spPr>
            <a:ln w="28575" cap="rnd">
              <a:solidFill>
                <a:schemeClr val="tx1"/>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Sheet1!$E$3:$E$40</c:f>
              <c:numCache>
                <c:formatCode>0.00</c:formatCode>
                <c:ptCount val="38"/>
                <c:pt idx="0">
                  <c:v>0</c:v>
                </c:pt>
                <c:pt idx="1">
                  <c:v>2.77</c:v>
                </c:pt>
                <c:pt idx="2">
                  <c:v>0</c:v>
                </c:pt>
                <c:pt idx="3">
                  <c:v>0</c:v>
                </c:pt>
                <c:pt idx="4">
                  <c:v>0</c:v>
                </c:pt>
                <c:pt idx="5">
                  <c:v>0</c:v>
                </c:pt>
                <c:pt idx="6">
                  <c:v>0</c:v>
                </c:pt>
                <c:pt idx="7">
                  <c:v>0</c:v>
                </c:pt>
                <c:pt idx="8">
                  <c:v>1.25</c:v>
                </c:pt>
                <c:pt idx="9">
                  <c:v>0</c:v>
                </c:pt>
                <c:pt idx="10">
                  <c:v>0</c:v>
                </c:pt>
                <c:pt idx="11">
                  <c:v>0</c:v>
                </c:pt>
                <c:pt idx="12">
                  <c:v>0</c:v>
                </c:pt>
                <c:pt idx="13">
                  <c:v>0</c:v>
                </c:pt>
                <c:pt idx="14">
                  <c:v>0</c:v>
                </c:pt>
                <c:pt idx="15">
                  <c:v>0</c:v>
                </c:pt>
                <c:pt idx="16">
                  <c:v>0</c:v>
                </c:pt>
                <c:pt idx="17">
                  <c:v>4.57</c:v>
                </c:pt>
                <c:pt idx="18">
                  <c:v>9.8699999999999992</c:v>
                </c:pt>
                <c:pt idx="19">
                  <c:v>7.21</c:v>
                </c:pt>
                <c:pt idx="20">
                  <c:v>1.42</c:v>
                </c:pt>
                <c:pt idx="21">
                  <c:v>1.51</c:v>
                </c:pt>
                <c:pt idx="22">
                  <c:v>6.14</c:v>
                </c:pt>
                <c:pt idx="23">
                  <c:v>7.35</c:v>
                </c:pt>
                <c:pt idx="24">
                  <c:v>5.0199999999999996</c:v>
                </c:pt>
                <c:pt idx="25">
                  <c:v>4.97</c:v>
                </c:pt>
                <c:pt idx="26">
                  <c:v>19</c:v>
                </c:pt>
                <c:pt idx="27">
                  <c:v>6.75</c:v>
                </c:pt>
                <c:pt idx="28">
                  <c:v>1.78</c:v>
                </c:pt>
                <c:pt idx="29">
                  <c:v>2.17</c:v>
                </c:pt>
                <c:pt idx="30">
                  <c:v>10.35</c:v>
                </c:pt>
                <c:pt idx="31">
                  <c:v>28.78</c:v>
                </c:pt>
                <c:pt idx="32">
                  <c:v>0</c:v>
                </c:pt>
                <c:pt idx="33">
                  <c:v>0</c:v>
                </c:pt>
                <c:pt idx="34">
                  <c:v>0</c:v>
                </c:pt>
                <c:pt idx="35">
                  <c:v>0</c:v>
                </c:pt>
                <c:pt idx="36">
                  <c:v>0</c:v>
                </c:pt>
                <c:pt idx="37">
                  <c:v>0</c:v>
                </c:pt>
              </c:numCache>
            </c:numRef>
          </c:val>
          <c:smooth val="0"/>
          <c:extLst>
            <c:ext xmlns:c16="http://schemas.microsoft.com/office/drawing/2014/chart" uri="{C3380CC4-5D6E-409C-BE32-E72D297353CC}">
              <c16:uniqueId val="{00000004-5DBF-40AC-B46C-F551A6FD3D03}"/>
            </c:ext>
          </c:extLst>
        </c:ser>
        <c:dLbls>
          <c:showLegendKey val="0"/>
          <c:showVal val="0"/>
          <c:showCatName val="0"/>
          <c:showSerName val="0"/>
          <c:showPercent val="0"/>
          <c:showBubbleSize val="0"/>
        </c:dLbls>
        <c:marker val="1"/>
        <c:smooth val="0"/>
        <c:axId val="937412367"/>
        <c:axId val="937409871"/>
      </c:lineChart>
      <c:catAx>
        <c:axId val="937412367"/>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accent2">
                        <a:lumMod val="50000"/>
                      </a:schemeClr>
                    </a:solidFill>
                    <a:latin typeface="+mn-lt"/>
                    <a:ea typeface="+mn-ea"/>
                    <a:cs typeface="+mn-cs"/>
                  </a:defRPr>
                </a:pPr>
                <a:r>
                  <a:rPr lang="en-IN" sz="1100" b="1">
                    <a:solidFill>
                      <a:schemeClr val="accent2">
                        <a:lumMod val="50000"/>
                      </a:schemeClr>
                    </a:solidFill>
                    <a:latin typeface="Times New Roman" panose="02020603050405020304" pitchFamily="18" charset="0"/>
                    <a:cs typeface="Times New Roman" panose="02020603050405020304" pitchFamily="18" charset="0"/>
                  </a:rPr>
                  <a:t>Standard</a:t>
                </a:r>
                <a:r>
                  <a:rPr lang="en-IN" sz="1100" b="1" baseline="0">
                    <a:solidFill>
                      <a:schemeClr val="accent2">
                        <a:lumMod val="50000"/>
                      </a:schemeClr>
                    </a:solidFill>
                    <a:latin typeface="Times New Roman" panose="02020603050405020304" pitchFamily="18" charset="0"/>
                    <a:cs typeface="Times New Roman" panose="02020603050405020304" pitchFamily="18" charset="0"/>
                  </a:rPr>
                  <a:t> Meteorological Weeks (SMW)</a:t>
                </a:r>
                <a:endParaRPr lang="en-IN" sz="1100" b="1">
                  <a:solidFill>
                    <a:schemeClr val="accent2">
                      <a:lumMod val="50000"/>
                    </a:schemeClr>
                  </a:solidFill>
                  <a:latin typeface="Times New Roman" panose="02020603050405020304" pitchFamily="18" charset="0"/>
                  <a:cs typeface="Times New Roman" panose="02020603050405020304" pitchFamily="18" charset="0"/>
                </a:endParaRPr>
              </a:p>
            </c:rich>
          </c:tx>
          <c:layout>
            <c:manualLayout>
              <c:xMode val="edge"/>
              <c:yMode val="edge"/>
              <c:x val="0.39412466871931884"/>
              <c:y val="0.94862051174960405"/>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accent2">
                      <a:lumMod val="50000"/>
                    </a:schemeClr>
                  </a:solidFill>
                  <a:latin typeface="+mn-lt"/>
                  <a:ea typeface="+mn-ea"/>
                  <a:cs typeface="+mn-cs"/>
                </a:defRPr>
              </a:pPr>
              <a:endParaRPr lang="en-IN"/>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7409871"/>
        <c:crosses val="autoZero"/>
        <c:auto val="1"/>
        <c:lblAlgn val="ctr"/>
        <c:lblOffset val="100"/>
        <c:noMultiLvlLbl val="0"/>
      </c:catAx>
      <c:valAx>
        <c:axId val="937409871"/>
        <c:scaling>
          <c:orientation val="minMax"/>
        </c:scaling>
        <c:delete val="0"/>
        <c:axPos val="l"/>
        <c:title>
          <c:tx>
            <c:rich>
              <a:bodyPr rot="-5400000" spcFirstLastPara="1" vertOverflow="ellipsis" vert="horz" wrap="square" anchor="ctr" anchorCtr="1"/>
              <a:lstStyle/>
              <a:p>
                <a:pPr>
                  <a:defRPr sz="1100" b="1" i="0" u="none" strike="noStrike" kern="1200" baseline="0">
                    <a:solidFill>
                      <a:srgbClr val="FF0000"/>
                    </a:solidFill>
                    <a:latin typeface="+mn-lt"/>
                    <a:ea typeface="+mn-ea"/>
                    <a:cs typeface="+mn-cs"/>
                  </a:defRPr>
                </a:pPr>
                <a:r>
                  <a:rPr lang="en-IN" sz="1100" b="1" i="0" baseline="0">
                    <a:solidFill>
                      <a:srgbClr val="FF0000"/>
                    </a:solidFill>
                    <a:effectLst/>
                    <a:latin typeface="Times New Roman" panose="02020603050405020304" pitchFamily="18" charset="0"/>
                    <a:cs typeface="Times New Roman" panose="02020603050405020304" pitchFamily="18" charset="0"/>
                  </a:rPr>
                  <a:t>Weather </a:t>
                </a:r>
                <a:r>
                  <a:rPr lang="en-US" sz="1100" b="1" i="0" baseline="0">
                    <a:solidFill>
                      <a:srgbClr val="FF0000"/>
                    </a:solidFill>
                    <a:effectLst/>
                    <a:latin typeface="Times New Roman" panose="02020603050405020304" pitchFamily="18" charset="0"/>
                    <a:cs typeface="Times New Roman" panose="02020603050405020304" pitchFamily="18" charset="0"/>
                  </a:rPr>
                  <a:t>parameters </a:t>
                </a:r>
                <a:endParaRPr lang="en-IN" sz="1100" b="1">
                  <a:solidFill>
                    <a:srgbClr val="FF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100" b="1" i="0" u="none" strike="noStrike" kern="1200" baseline="0">
                  <a:solidFill>
                    <a:srgbClr val="FF0000"/>
                  </a:solidFill>
                  <a:latin typeface="+mn-lt"/>
                  <a:ea typeface="+mn-ea"/>
                  <a:cs typeface="+mn-cs"/>
                </a:defRPr>
              </a:pPr>
              <a:endParaRPr lang="en-IN"/>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7412367"/>
        <c:crosses val="autoZero"/>
        <c:crossBetween val="between"/>
      </c:valAx>
      <c:valAx>
        <c:axId val="1046026895"/>
        <c:scaling>
          <c:orientation val="minMax"/>
        </c:scaling>
        <c:delete val="0"/>
        <c:axPos val="r"/>
        <c:title>
          <c:tx>
            <c:rich>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r>
                  <a:rPr lang="en-IN" sz="1100" b="1" i="0" baseline="0">
                    <a:solidFill>
                      <a:srgbClr val="FF0000"/>
                    </a:solidFill>
                    <a:effectLst/>
                    <a:latin typeface="Times New Roman" panose="02020603050405020304" pitchFamily="18" charset="0"/>
                    <a:cs typeface="Times New Roman" panose="02020603050405020304" pitchFamily="18" charset="0"/>
                  </a:rPr>
                  <a:t>Psyllid Nymphal population/twig</a:t>
                </a:r>
                <a:endParaRPr lang="en-IN" sz="1100">
                  <a:solidFill>
                    <a:srgbClr val="FF0000"/>
                  </a:solidFill>
                  <a:effectLst/>
                  <a:latin typeface="Times New Roman" panose="02020603050405020304" pitchFamily="18" charset="0"/>
                  <a:cs typeface="Times New Roman" panose="02020603050405020304" pitchFamily="18" charset="0"/>
                </a:endParaRPr>
              </a:p>
            </c:rich>
          </c:tx>
          <c:layout>
            <c:manualLayout>
              <c:xMode val="edge"/>
              <c:yMode val="edge"/>
              <c:x val="0.97030065592314019"/>
              <c:y val="0.37170142583528409"/>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endParaRPr lang="en-IN"/>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46026063"/>
        <c:crosses val="max"/>
        <c:crossBetween val="between"/>
      </c:valAx>
      <c:catAx>
        <c:axId val="1046026063"/>
        <c:scaling>
          <c:orientation val="minMax"/>
        </c:scaling>
        <c:delete val="1"/>
        <c:axPos val="b"/>
        <c:numFmt formatCode="0" sourceLinked="1"/>
        <c:majorTickMark val="out"/>
        <c:minorTickMark val="none"/>
        <c:tickLblPos val="nextTo"/>
        <c:crossAx val="1046026895"/>
        <c:crosses val="autoZero"/>
        <c:auto val="1"/>
        <c:lblAlgn val="ctr"/>
        <c:lblOffset val="100"/>
        <c:noMultiLvlLbl val="0"/>
      </c:catAx>
      <c:spPr>
        <a:noFill/>
        <a:ln w="12700">
          <a:solidFill>
            <a:sysClr val="windowText" lastClr="000000"/>
          </a:solidFill>
        </a:ln>
        <a:effectLst/>
      </c:spPr>
    </c:plotArea>
    <c:legend>
      <c:legendPos val="b"/>
      <c:layout>
        <c:manualLayout>
          <c:xMode val="edge"/>
          <c:yMode val="edge"/>
          <c:x val="7.5637284786696443E-2"/>
          <c:y val="9.9885653080129914E-3"/>
          <c:w val="0.81257804236690567"/>
          <c:h val="5.0441287744437353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3879185362612E-2"/>
          <c:y val="9.4758064516129031E-2"/>
          <c:w val="0.84229674400027987"/>
          <c:h val="0.81186055372110744"/>
        </c:manualLayout>
      </c:layout>
      <c:barChart>
        <c:barDir val="col"/>
        <c:grouping val="clustered"/>
        <c:varyColors val="0"/>
        <c:ser>
          <c:idx val="4"/>
          <c:order val="4"/>
          <c:tx>
            <c:strRef>
              <c:f>Sheet1!$W$2</c:f>
              <c:strCache>
                <c:ptCount val="1"/>
                <c:pt idx="0">
                  <c:v> Psyllid nymphal population/twig</c:v>
                </c:pt>
              </c:strCache>
            </c:strRef>
          </c:tx>
          <c:spPr>
            <a:solidFill>
              <a:srgbClr val="92D050"/>
            </a:solidFill>
            <a:ln w="12700">
              <a:solidFill>
                <a:sysClr val="windowText" lastClr="000000"/>
              </a:solidFill>
            </a:ln>
            <a:effectLst/>
          </c:spPr>
          <c:invertIfNegative val="0"/>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Sheet1!$W$3:$W$40</c:f>
              <c:numCache>
                <c:formatCode>0.00</c:formatCode>
                <c:ptCount val="38"/>
                <c:pt idx="0">
                  <c:v>0</c:v>
                </c:pt>
                <c:pt idx="1">
                  <c:v>1.25</c:v>
                </c:pt>
                <c:pt idx="2">
                  <c:v>12.5</c:v>
                </c:pt>
                <c:pt idx="3">
                  <c:v>14</c:v>
                </c:pt>
                <c:pt idx="4">
                  <c:v>18.600000000000001</c:v>
                </c:pt>
                <c:pt idx="5">
                  <c:v>23.25</c:v>
                </c:pt>
                <c:pt idx="6">
                  <c:v>28.75</c:v>
                </c:pt>
                <c:pt idx="7">
                  <c:v>12.5</c:v>
                </c:pt>
                <c:pt idx="8">
                  <c:v>6.75</c:v>
                </c:pt>
                <c:pt idx="9">
                  <c:v>1.25</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3</c:v>
                </c:pt>
                <c:pt idx="28">
                  <c:v>9.5</c:v>
                </c:pt>
                <c:pt idx="29">
                  <c:v>17.25</c:v>
                </c:pt>
                <c:pt idx="30">
                  <c:v>14</c:v>
                </c:pt>
                <c:pt idx="31">
                  <c:v>10.25</c:v>
                </c:pt>
                <c:pt idx="32">
                  <c:v>19.75</c:v>
                </c:pt>
                <c:pt idx="33">
                  <c:v>8.5</c:v>
                </c:pt>
                <c:pt idx="34">
                  <c:v>39.5</c:v>
                </c:pt>
                <c:pt idx="35">
                  <c:v>30.25</c:v>
                </c:pt>
                <c:pt idx="36">
                  <c:v>6.5</c:v>
                </c:pt>
                <c:pt idx="37">
                  <c:v>0</c:v>
                </c:pt>
              </c:numCache>
            </c:numRef>
          </c:val>
          <c:extLst>
            <c:ext xmlns:c16="http://schemas.microsoft.com/office/drawing/2014/chart" uri="{C3380CC4-5D6E-409C-BE32-E72D297353CC}">
              <c16:uniqueId val="{00000000-8E56-402F-9FD2-4B9265245550}"/>
            </c:ext>
          </c:extLst>
        </c:ser>
        <c:dLbls>
          <c:showLegendKey val="0"/>
          <c:showVal val="0"/>
          <c:showCatName val="0"/>
          <c:showSerName val="0"/>
          <c:showPercent val="0"/>
          <c:showBubbleSize val="0"/>
        </c:dLbls>
        <c:gapWidth val="219"/>
        <c:axId val="1055496943"/>
        <c:axId val="1055492367"/>
      </c:barChart>
      <c:lineChart>
        <c:grouping val="standard"/>
        <c:varyColors val="0"/>
        <c:ser>
          <c:idx val="0"/>
          <c:order val="0"/>
          <c:tx>
            <c:strRef>
              <c:f>Sheet1!$S$2</c:f>
              <c:strCache>
                <c:ptCount val="1"/>
                <c:pt idx="0">
                  <c:v>Max. Temp.℃</c:v>
                </c:pt>
              </c:strCache>
            </c:strRef>
          </c:tx>
          <c:spPr>
            <a:ln w="28575" cap="rnd">
              <a:solidFill>
                <a:schemeClr val="accent4"/>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Sheet1!$S$3:$S$40</c:f>
              <c:numCache>
                <c:formatCode>0.00</c:formatCode>
                <c:ptCount val="38"/>
                <c:pt idx="0">
                  <c:v>26.64</c:v>
                </c:pt>
                <c:pt idx="1">
                  <c:v>28.85</c:v>
                </c:pt>
                <c:pt idx="2">
                  <c:v>29.67</c:v>
                </c:pt>
                <c:pt idx="3">
                  <c:v>33.53</c:v>
                </c:pt>
                <c:pt idx="4">
                  <c:v>33.1</c:v>
                </c:pt>
                <c:pt idx="5">
                  <c:v>32.21</c:v>
                </c:pt>
                <c:pt idx="6">
                  <c:v>37.35</c:v>
                </c:pt>
                <c:pt idx="7">
                  <c:v>37.78</c:v>
                </c:pt>
                <c:pt idx="8">
                  <c:v>38.78</c:v>
                </c:pt>
                <c:pt idx="9">
                  <c:v>40.53</c:v>
                </c:pt>
                <c:pt idx="10">
                  <c:v>36.78</c:v>
                </c:pt>
                <c:pt idx="11">
                  <c:v>37.14</c:v>
                </c:pt>
                <c:pt idx="12">
                  <c:v>41.78</c:v>
                </c:pt>
                <c:pt idx="13">
                  <c:v>39.17</c:v>
                </c:pt>
                <c:pt idx="14">
                  <c:v>37.57</c:v>
                </c:pt>
                <c:pt idx="15">
                  <c:v>37.67</c:v>
                </c:pt>
                <c:pt idx="16">
                  <c:v>40.78</c:v>
                </c:pt>
                <c:pt idx="17">
                  <c:v>33.67</c:v>
                </c:pt>
                <c:pt idx="18">
                  <c:v>33.39</c:v>
                </c:pt>
                <c:pt idx="19">
                  <c:v>34.39</c:v>
                </c:pt>
                <c:pt idx="20">
                  <c:v>32.14</c:v>
                </c:pt>
                <c:pt idx="21">
                  <c:v>33.14</c:v>
                </c:pt>
                <c:pt idx="22">
                  <c:v>32.35</c:v>
                </c:pt>
                <c:pt idx="23">
                  <c:v>29.46</c:v>
                </c:pt>
                <c:pt idx="24">
                  <c:v>32.71</c:v>
                </c:pt>
                <c:pt idx="25">
                  <c:v>33.03</c:v>
                </c:pt>
                <c:pt idx="26">
                  <c:v>32.42</c:v>
                </c:pt>
                <c:pt idx="27">
                  <c:v>32.82</c:v>
                </c:pt>
                <c:pt idx="28">
                  <c:v>33.1</c:v>
                </c:pt>
                <c:pt idx="29">
                  <c:v>33.03</c:v>
                </c:pt>
                <c:pt idx="30">
                  <c:v>32.71</c:v>
                </c:pt>
                <c:pt idx="31">
                  <c:v>33.89</c:v>
                </c:pt>
                <c:pt idx="32">
                  <c:v>30.82</c:v>
                </c:pt>
                <c:pt idx="33">
                  <c:v>30.6</c:v>
                </c:pt>
                <c:pt idx="34">
                  <c:v>31.85</c:v>
                </c:pt>
                <c:pt idx="35">
                  <c:v>28.5</c:v>
                </c:pt>
                <c:pt idx="36">
                  <c:v>26.64</c:v>
                </c:pt>
                <c:pt idx="37">
                  <c:v>28.64</c:v>
                </c:pt>
              </c:numCache>
            </c:numRef>
          </c:val>
          <c:smooth val="0"/>
          <c:extLst>
            <c:ext xmlns:c16="http://schemas.microsoft.com/office/drawing/2014/chart" uri="{C3380CC4-5D6E-409C-BE32-E72D297353CC}">
              <c16:uniqueId val="{00000001-8E56-402F-9FD2-4B9265245550}"/>
            </c:ext>
          </c:extLst>
        </c:ser>
        <c:ser>
          <c:idx val="1"/>
          <c:order val="1"/>
          <c:tx>
            <c:strRef>
              <c:f>Sheet1!$T$2</c:f>
              <c:strCache>
                <c:ptCount val="1"/>
                <c:pt idx="0">
                  <c:v>Min.Temp.℃</c:v>
                </c:pt>
              </c:strCache>
            </c:strRef>
          </c:tx>
          <c:spPr>
            <a:ln w="28575" cap="rnd">
              <a:solidFill>
                <a:schemeClr val="accent1"/>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Sheet1!$T$3:$T$40</c:f>
              <c:numCache>
                <c:formatCode>0.00</c:formatCode>
                <c:ptCount val="38"/>
                <c:pt idx="0">
                  <c:v>17.53</c:v>
                </c:pt>
                <c:pt idx="1">
                  <c:v>19.350000000000001</c:v>
                </c:pt>
                <c:pt idx="2">
                  <c:v>20</c:v>
                </c:pt>
                <c:pt idx="3">
                  <c:v>23.17</c:v>
                </c:pt>
                <c:pt idx="4">
                  <c:v>22.67</c:v>
                </c:pt>
                <c:pt idx="5">
                  <c:v>25.65</c:v>
                </c:pt>
                <c:pt idx="6">
                  <c:v>28</c:v>
                </c:pt>
                <c:pt idx="7">
                  <c:v>28</c:v>
                </c:pt>
                <c:pt idx="8">
                  <c:v>29.82</c:v>
                </c:pt>
                <c:pt idx="9">
                  <c:v>31.39</c:v>
                </c:pt>
                <c:pt idx="10">
                  <c:v>29.25</c:v>
                </c:pt>
                <c:pt idx="11">
                  <c:v>29.96</c:v>
                </c:pt>
                <c:pt idx="12">
                  <c:v>33.57</c:v>
                </c:pt>
                <c:pt idx="13">
                  <c:v>31.89</c:v>
                </c:pt>
                <c:pt idx="14">
                  <c:v>32.1</c:v>
                </c:pt>
                <c:pt idx="15">
                  <c:v>31.82</c:v>
                </c:pt>
                <c:pt idx="16">
                  <c:v>33.46</c:v>
                </c:pt>
                <c:pt idx="17">
                  <c:v>28.71</c:v>
                </c:pt>
                <c:pt idx="18">
                  <c:v>28.85</c:v>
                </c:pt>
                <c:pt idx="19">
                  <c:v>28.89</c:v>
                </c:pt>
                <c:pt idx="20">
                  <c:v>28.46</c:v>
                </c:pt>
                <c:pt idx="21">
                  <c:v>29.07</c:v>
                </c:pt>
                <c:pt idx="22">
                  <c:v>29.1</c:v>
                </c:pt>
                <c:pt idx="23">
                  <c:v>27.1</c:v>
                </c:pt>
                <c:pt idx="24">
                  <c:v>28</c:v>
                </c:pt>
                <c:pt idx="25">
                  <c:v>29.57</c:v>
                </c:pt>
                <c:pt idx="26">
                  <c:v>31.32</c:v>
                </c:pt>
                <c:pt idx="27">
                  <c:v>30.53</c:v>
                </c:pt>
                <c:pt idx="28">
                  <c:v>29.42</c:v>
                </c:pt>
                <c:pt idx="29">
                  <c:v>29.32</c:v>
                </c:pt>
                <c:pt idx="30">
                  <c:v>29.35</c:v>
                </c:pt>
                <c:pt idx="31">
                  <c:v>29.46</c:v>
                </c:pt>
                <c:pt idx="32">
                  <c:v>26.57</c:v>
                </c:pt>
                <c:pt idx="33">
                  <c:v>25.75</c:v>
                </c:pt>
                <c:pt idx="34">
                  <c:v>25.92</c:v>
                </c:pt>
                <c:pt idx="35">
                  <c:v>24.32</c:v>
                </c:pt>
                <c:pt idx="36">
                  <c:v>21.86</c:v>
                </c:pt>
                <c:pt idx="37">
                  <c:v>19.29</c:v>
                </c:pt>
              </c:numCache>
            </c:numRef>
          </c:val>
          <c:smooth val="0"/>
          <c:extLst>
            <c:ext xmlns:c16="http://schemas.microsoft.com/office/drawing/2014/chart" uri="{C3380CC4-5D6E-409C-BE32-E72D297353CC}">
              <c16:uniqueId val="{00000002-8E56-402F-9FD2-4B9265245550}"/>
            </c:ext>
          </c:extLst>
        </c:ser>
        <c:ser>
          <c:idx val="2"/>
          <c:order val="2"/>
          <c:tx>
            <c:strRef>
              <c:f>Sheet1!$U$2</c:f>
              <c:strCache>
                <c:ptCount val="1"/>
                <c:pt idx="0">
                  <c:v>R.H. (%)</c:v>
                </c:pt>
              </c:strCache>
            </c:strRef>
          </c:tx>
          <c:spPr>
            <a:ln w="28575" cap="rnd">
              <a:solidFill>
                <a:schemeClr val="accent2"/>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Sheet1!$U$3:$U$40</c:f>
              <c:numCache>
                <c:formatCode>0.00</c:formatCode>
                <c:ptCount val="38"/>
                <c:pt idx="0">
                  <c:v>73.78</c:v>
                </c:pt>
                <c:pt idx="1">
                  <c:v>70.569999999999993</c:v>
                </c:pt>
                <c:pt idx="2">
                  <c:v>64.92</c:v>
                </c:pt>
                <c:pt idx="3">
                  <c:v>72.569999999999993</c:v>
                </c:pt>
                <c:pt idx="4">
                  <c:v>68.64</c:v>
                </c:pt>
                <c:pt idx="5">
                  <c:v>76.569999999999993</c:v>
                </c:pt>
                <c:pt idx="6">
                  <c:v>59</c:v>
                </c:pt>
                <c:pt idx="7">
                  <c:v>63</c:v>
                </c:pt>
                <c:pt idx="8">
                  <c:v>59.14</c:v>
                </c:pt>
                <c:pt idx="9">
                  <c:v>63.35</c:v>
                </c:pt>
                <c:pt idx="10">
                  <c:v>70.349999999999994</c:v>
                </c:pt>
                <c:pt idx="11">
                  <c:v>72.64</c:v>
                </c:pt>
                <c:pt idx="12">
                  <c:v>68.92</c:v>
                </c:pt>
                <c:pt idx="13">
                  <c:v>66.53</c:v>
                </c:pt>
                <c:pt idx="14">
                  <c:v>77.64</c:v>
                </c:pt>
                <c:pt idx="15">
                  <c:v>64.14</c:v>
                </c:pt>
                <c:pt idx="16">
                  <c:v>76.78</c:v>
                </c:pt>
                <c:pt idx="17">
                  <c:v>81.569999999999993</c:v>
                </c:pt>
                <c:pt idx="18">
                  <c:v>85.5</c:v>
                </c:pt>
                <c:pt idx="19">
                  <c:v>88.71</c:v>
                </c:pt>
                <c:pt idx="20">
                  <c:v>88.28</c:v>
                </c:pt>
                <c:pt idx="21">
                  <c:v>78</c:v>
                </c:pt>
                <c:pt idx="22">
                  <c:v>88.42</c:v>
                </c:pt>
                <c:pt idx="23">
                  <c:v>94.07</c:v>
                </c:pt>
                <c:pt idx="24">
                  <c:v>88.64</c:v>
                </c:pt>
                <c:pt idx="25">
                  <c:v>86.28</c:v>
                </c:pt>
                <c:pt idx="26">
                  <c:v>85.78</c:v>
                </c:pt>
                <c:pt idx="27">
                  <c:v>86.35</c:v>
                </c:pt>
                <c:pt idx="28">
                  <c:v>84.21</c:v>
                </c:pt>
                <c:pt idx="29">
                  <c:v>85.8</c:v>
                </c:pt>
                <c:pt idx="30">
                  <c:v>84.71</c:v>
                </c:pt>
                <c:pt idx="31">
                  <c:v>84.1</c:v>
                </c:pt>
                <c:pt idx="32">
                  <c:v>87.73</c:v>
                </c:pt>
                <c:pt idx="33">
                  <c:v>76.78</c:v>
                </c:pt>
                <c:pt idx="34">
                  <c:v>70.849999999999994</c:v>
                </c:pt>
                <c:pt idx="35">
                  <c:v>83.8</c:v>
                </c:pt>
                <c:pt idx="36">
                  <c:v>85</c:v>
                </c:pt>
                <c:pt idx="37">
                  <c:v>76.25</c:v>
                </c:pt>
              </c:numCache>
            </c:numRef>
          </c:val>
          <c:smooth val="0"/>
          <c:extLst>
            <c:ext xmlns:c16="http://schemas.microsoft.com/office/drawing/2014/chart" uri="{C3380CC4-5D6E-409C-BE32-E72D297353CC}">
              <c16:uniqueId val="{00000003-8E56-402F-9FD2-4B9265245550}"/>
            </c:ext>
          </c:extLst>
        </c:ser>
        <c:ser>
          <c:idx val="3"/>
          <c:order val="3"/>
          <c:tx>
            <c:strRef>
              <c:f>Sheet1!$V$2</c:f>
              <c:strCache>
                <c:ptCount val="1"/>
                <c:pt idx="0">
                  <c:v>R.F.(mm)</c:v>
                </c:pt>
              </c:strCache>
            </c:strRef>
          </c:tx>
          <c:spPr>
            <a:ln w="28575" cap="rnd">
              <a:solidFill>
                <a:schemeClr val="tx1"/>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Sheet1!$V$3:$V$40</c:f>
              <c:numCache>
                <c:formatCode>0.00</c:formatCode>
                <c:ptCount val="38"/>
                <c:pt idx="0">
                  <c:v>0</c:v>
                </c:pt>
                <c:pt idx="1">
                  <c:v>0</c:v>
                </c:pt>
                <c:pt idx="2">
                  <c:v>0</c:v>
                </c:pt>
                <c:pt idx="3">
                  <c:v>0</c:v>
                </c:pt>
                <c:pt idx="4">
                  <c:v>0</c:v>
                </c:pt>
                <c:pt idx="5">
                  <c:v>0</c:v>
                </c:pt>
                <c:pt idx="6">
                  <c:v>0</c:v>
                </c:pt>
                <c:pt idx="7">
                  <c:v>4.28</c:v>
                </c:pt>
                <c:pt idx="8">
                  <c:v>0</c:v>
                </c:pt>
                <c:pt idx="9">
                  <c:v>0</c:v>
                </c:pt>
                <c:pt idx="10">
                  <c:v>0</c:v>
                </c:pt>
                <c:pt idx="11">
                  <c:v>0.28000000000000003</c:v>
                </c:pt>
                <c:pt idx="12">
                  <c:v>0</c:v>
                </c:pt>
                <c:pt idx="13">
                  <c:v>0</c:v>
                </c:pt>
                <c:pt idx="14">
                  <c:v>4</c:v>
                </c:pt>
                <c:pt idx="15">
                  <c:v>0.5</c:v>
                </c:pt>
                <c:pt idx="16">
                  <c:v>6.14</c:v>
                </c:pt>
                <c:pt idx="17">
                  <c:v>5.85</c:v>
                </c:pt>
                <c:pt idx="18">
                  <c:v>6.92</c:v>
                </c:pt>
                <c:pt idx="19">
                  <c:v>2.0070000000000001</c:v>
                </c:pt>
                <c:pt idx="20">
                  <c:v>23.15</c:v>
                </c:pt>
                <c:pt idx="21">
                  <c:v>19.8</c:v>
                </c:pt>
                <c:pt idx="22">
                  <c:v>11.34</c:v>
                </c:pt>
                <c:pt idx="23">
                  <c:v>10.14</c:v>
                </c:pt>
                <c:pt idx="24">
                  <c:v>9.92</c:v>
                </c:pt>
                <c:pt idx="25">
                  <c:v>0.14000000000000001</c:v>
                </c:pt>
                <c:pt idx="26">
                  <c:v>5.24</c:v>
                </c:pt>
                <c:pt idx="27">
                  <c:v>1.35</c:v>
                </c:pt>
                <c:pt idx="28">
                  <c:v>2.57</c:v>
                </c:pt>
                <c:pt idx="29">
                  <c:v>0</c:v>
                </c:pt>
                <c:pt idx="30">
                  <c:v>2.57</c:v>
                </c:pt>
                <c:pt idx="31">
                  <c:v>6</c:v>
                </c:pt>
                <c:pt idx="32">
                  <c:v>2.42</c:v>
                </c:pt>
                <c:pt idx="33">
                  <c:v>22.4</c:v>
                </c:pt>
                <c:pt idx="34">
                  <c:v>0</c:v>
                </c:pt>
                <c:pt idx="35">
                  <c:v>1.57</c:v>
                </c:pt>
                <c:pt idx="36">
                  <c:v>4.5</c:v>
                </c:pt>
                <c:pt idx="37">
                  <c:v>0</c:v>
                </c:pt>
              </c:numCache>
            </c:numRef>
          </c:val>
          <c:smooth val="0"/>
          <c:extLst>
            <c:ext xmlns:c16="http://schemas.microsoft.com/office/drawing/2014/chart" uri="{C3380CC4-5D6E-409C-BE32-E72D297353CC}">
              <c16:uniqueId val="{00000004-8E56-402F-9FD2-4B9265245550}"/>
            </c:ext>
          </c:extLst>
        </c:ser>
        <c:dLbls>
          <c:showLegendKey val="0"/>
          <c:showVal val="0"/>
          <c:showCatName val="0"/>
          <c:showSerName val="0"/>
          <c:showPercent val="0"/>
          <c:showBubbleSize val="0"/>
        </c:dLbls>
        <c:marker val="1"/>
        <c:smooth val="0"/>
        <c:axId val="1055513999"/>
        <c:axId val="1055514415"/>
      </c:lineChart>
      <c:catAx>
        <c:axId val="10555139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accent2">
                        <a:lumMod val="50000"/>
                      </a:schemeClr>
                    </a:solidFill>
                    <a:latin typeface="+mn-lt"/>
                    <a:ea typeface="+mn-ea"/>
                    <a:cs typeface="+mn-cs"/>
                  </a:defRPr>
                </a:pPr>
                <a:r>
                  <a:rPr lang="en-IN" sz="1100" b="1" i="0" baseline="0">
                    <a:solidFill>
                      <a:schemeClr val="accent2">
                        <a:lumMod val="50000"/>
                      </a:schemeClr>
                    </a:solidFill>
                    <a:effectLst/>
                    <a:latin typeface="Times New Roman" panose="02020603050405020304" pitchFamily="18" charset="0"/>
                    <a:cs typeface="Times New Roman" panose="02020603050405020304" pitchFamily="18" charset="0"/>
                  </a:rPr>
                  <a:t>Standard Meteorological Weeks (SMW)</a:t>
                </a:r>
                <a:endParaRPr lang="en-IN" sz="1100">
                  <a:solidFill>
                    <a:schemeClr val="accent2">
                      <a:lumMod val="50000"/>
                    </a:schemeClr>
                  </a:solidFill>
                  <a:effectLst/>
                  <a:latin typeface="Times New Roman" panose="02020603050405020304" pitchFamily="18" charset="0"/>
                  <a:cs typeface="Times New Roman" panose="02020603050405020304" pitchFamily="18" charset="0"/>
                </a:endParaRPr>
              </a:p>
            </c:rich>
          </c:tx>
          <c:layout>
            <c:manualLayout>
              <c:xMode val="edge"/>
              <c:yMode val="edge"/>
              <c:x val="0.41156901525724532"/>
              <c:y val="0.955066271601704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accent2">
                      <a:lumMod val="50000"/>
                    </a:schemeClr>
                  </a:solidFill>
                  <a:latin typeface="+mn-lt"/>
                  <a:ea typeface="+mn-ea"/>
                  <a:cs typeface="+mn-cs"/>
                </a:defRPr>
              </a:pPr>
              <a:endParaRPr lang="en-IN"/>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55514415"/>
        <c:crosses val="autoZero"/>
        <c:auto val="1"/>
        <c:lblAlgn val="ctr"/>
        <c:lblOffset val="100"/>
        <c:noMultiLvlLbl val="0"/>
      </c:catAx>
      <c:valAx>
        <c:axId val="1055514415"/>
        <c:scaling>
          <c:orientation val="minMax"/>
        </c:scaling>
        <c:delete val="0"/>
        <c:axPos val="l"/>
        <c:title>
          <c:tx>
            <c:rich>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r>
                  <a:rPr lang="en-IN" sz="1100" b="1" i="0" baseline="0">
                    <a:solidFill>
                      <a:srgbClr val="FF0000"/>
                    </a:solidFill>
                    <a:effectLst/>
                    <a:latin typeface="Times New Roman" panose="02020603050405020304" pitchFamily="18" charset="0"/>
                    <a:cs typeface="Times New Roman" panose="02020603050405020304" pitchFamily="18" charset="0"/>
                  </a:rPr>
                  <a:t>Weather </a:t>
                </a:r>
                <a:r>
                  <a:rPr lang="en-US" sz="1100" b="1" i="0" baseline="0">
                    <a:solidFill>
                      <a:srgbClr val="FF0000"/>
                    </a:solidFill>
                    <a:effectLst/>
                    <a:latin typeface="Times New Roman" panose="02020603050405020304" pitchFamily="18" charset="0"/>
                    <a:cs typeface="Times New Roman" panose="02020603050405020304" pitchFamily="18" charset="0"/>
                  </a:rPr>
                  <a:t>parameters </a:t>
                </a:r>
                <a:endParaRPr lang="en-IN" sz="1100">
                  <a:solidFill>
                    <a:srgbClr val="FF0000"/>
                  </a:solidFill>
                  <a:effectLst/>
                  <a:latin typeface="Times New Roman" panose="02020603050405020304" pitchFamily="18" charset="0"/>
                  <a:cs typeface="Times New Roman" panose="02020603050405020304" pitchFamily="18" charset="0"/>
                </a:endParaRPr>
              </a:p>
            </c:rich>
          </c:tx>
          <c:layout>
            <c:manualLayout>
              <c:xMode val="edge"/>
              <c:yMode val="edge"/>
              <c:x val="2.9582560956209459E-3"/>
              <c:y val="0.3645842814346751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endParaRPr lang="en-IN"/>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55513999"/>
        <c:crosses val="autoZero"/>
        <c:crossBetween val="between"/>
      </c:valAx>
      <c:valAx>
        <c:axId val="1055492367"/>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sz="1100" b="1" i="0" baseline="0">
                    <a:solidFill>
                      <a:sysClr val="windowText" lastClr="000000"/>
                    </a:solidFill>
                    <a:effectLst/>
                    <a:latin typeface="Times New Roman" panose="02020603050405020304" pitchFamily="18" charset="0"/>
                    <a:cs typeface="Times New Roman" panose="02020603050405020304" pitchFamily="18" charset="0"/>
                  </a:rPr>
                  <a:t> </a:t>
                </a:r>
                <a:r>
                  <a:rPr lang="en-IN" sz="1100" b="1" i="0" baseline="0">
                    <a:solidFill>
                      <a:srgbClr val="FF0000"/>
                    </a:solidFill>
                    <a:effectLst/>
                    <a:latin typeface="Times New Roman" panose="02020603050405020304" pitchFamily="18" charset="0"/>
                    <a:cs typeface="Times New Roman" panose="02020603050405020304" pitchFamily="18" charset="0"/>
                  </a:rPr>
                  <a:t>Psyllid Nymphal population/twig</a:t>
                </a:r>
                <a:endParaRPr lang="en-IN" sz="1100">
                  <a:solidFill>
                    <a:srgbClr val="FF0000"/>
                  </a:solidFill>
                  <a:effectLst/>
                  <a:latin typeface="Times New Roman" panose="02020603050405020304" pitchFamily="18" charset="0"/>
                  <a:cs typeface="Times New Roman" panose="02020603050405020304" pitchFamily="18" charset="0"/>
                </a:endParaRPr>
              </a:p>
            </c:rich>
          </c:tx>
          <c:layout>
            <c:manualLayout>
              <c:xMode val="edge"/>
              <c:yMode val="edge"/>
              <c:x val="0.97328408171646552"/>
              <c:y val="0.2985621599794828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55496943"/>
        <c:crosses val="max"/>
        <c:crossBetween val="between"/>
      </c:valAx>
      <c:catAx>
        <c:axId val="1055496943"/>
        <c:scaling>
          <c:orientation val="minMax"/>
        </c:scaling>
        <c:delete val="1"/>
        <c:axPos val="b"/>
        <c:numFmt formatCode="0" sourceLinked="1"/>
        <c:majorTickMark val="out"/>
        <c:minorTickMark val="none"/>
        <c:tickLblPos val="nextTo"/>
        <c:crossAx val="1055492367"/>
        <c:crosses val="autoZero"/>
        <c:auto val="1"/>
        <c:lblAlgn val="ctr"/>
        <c:lblOffset val="100"/>
        <c:noMultiLvlLbl val="0"/>
      </c:catAx>
      <c:spPr>
        <a:noFill/>
        <a:ln w="12700">
          <a:solidFill>
            <a:sysClr val="windowText" lastClr="000000"/>
          </a:solidFill>
        </a:ln>
        <a:effectLst/>
      </c:spPr>
    </c:plotArea>
    <c:legend>
      <c:legendPos val="b"/>
      <c:layout>
        <c:manualLayout>
          <c:xMode val="edge"/>
          <c:yMode val="edge"/>
          <c:x val="0.13940529181856623"/>
          <c:y val="2.244697739395474E-2"/>
          <c:w val="0.74386713884095401"/>
          <c:h val="3.9712036928219792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84D57-9256-441C-8627-71A0FA09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4172</Words>
  <Characters>23787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HP;Raju</dc:creator>
  <cp:keywords/>
  <dc:description/>
  <cp:lastModifiedBy>SDI PC New 16</cp:lastModifiedBy>
  <cp:revision>8</cp:revision>
  <dcterms:created xsi:type="dcterms:W3CDTF">2026-09-18T17:33:00Z</dcterms:created>
  <dcterms:modified xsi:type="dcterms:W3CDTF">2026-09-21T07:14:00Z</dcterms:modified>
</cp:coreProperties>
</file>