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917A" w14:textId="77777777" w:rsidR="00ED07E1" w:rsidRPr="00ED07E1" w:rsidRDefault="00ED07E1" w:rsidP="00ED07E1">
      <w:pPr>
        <w:pStyle w:val="Author"/>
        <w:spacing w:line="240" w:lineRule="auto"/>
        <w:jc w:val="left"/>
        <w:rPr>
          <w:rFonts w:ascii="Arial" w:hAnsi="Arial" w:cs="Arial"/>
          <w:bCs/>
          <w:iCs/>
          <w:kern w:val="28"/>
          <w:sz w:val="36"/>
          <w:u w:val="single"/>
          <w:lang w:val="en-IN"/>
        </w:rPr>
      </w:pPr>
      <w:r w:rsidRPr="00ED07E1">
        <w:rPr>
          <w:rFonts w:ascii="Arial" w:hAnsi="Arial" w:cs="Arial"/>
          <w:bCs/>
          <w:iCs/>
          <w:kern w:val="28"/>
          <w:sz w:val="36"/>
          <w:u w:val="single"/>
          <w:lang w:val="en-IN"/>
        </w:rPr>
        <w:t>Original Research Article</w:t>
      </w:r>
    </w:p>
    <w:p w14:paraId="389FCE69" w14:textId="77777777" w:rsidR="001E3FD0" w:rsidRPr="001E3FD0" w:rsidRDefault="001E3FD0" w:rsidP="00160774">
      <w:pPr>
        <w:pStyle w:val="Author"/>
        <w:spacing w:line="240" w:lineRule="auto"/>
        <w:rPr>
          <w:rFonts w:ascii="Arial" w:hAnsi="Arial" w:cs="Arial"/>
          <w:bCs/>
          <w:iCs/>
          <w:kern w:val="28"/>
          <w:sz w:val="36"/>
          <w:lang w:val="en-IN"/>
        </w:rPr>
      </w:pPr>
      <w:r>
        <w:rPr>
          <w:rFonts w:ascii="Arial" w:hAnsi="Arial" w:cs="Arial"/>
          <w:bCs/>
          <w:iCs/>
          <w:kern w:val="28"/>
          <w:sz w:val="36"/>
          <w:lang w:val="en-IN"/>
        </w:rPr>
        <w:t>D</w:t>
      </w:r>
      <w:r w:rsidRPr="001E3FD0">
        <w:rPr>
          <w:rFonts w:ascii="Arial" w:hAnsi="Arial" w:cs="Arial"/>
          <w:bCs/>
          <w:iCs/>
          <w:kern w:val="28"/>
          <w:sz w:val="36"/>
          <w:lang w:val="en-IN"/>
        </w:rPr>
        <w:t xml:space="preserve">ietary Quercetin Pretreatment Protects Against UV-C Radiation-Induced Seizure Vulnerability, Motor, and Visual Biomarker Impairments in </w:t>
      </w:r>
      <w:r w:rsidRPr="001E3FD0">
        <w:rPr>
          <w:rFonts w:ascii="Arial" w:hAnsi="Arial" w:cs="Arial"/>
          <w:bCs/>
          <w:i/>
          <w:iCs/>
          <w:kern w:val="28"/>
          <w:sz w:val="36"/>
          <w:lang w:val="en-IN"/>
        </w:rPr>
        <w:t>Drosophila melanogaster</w:t>
      </w:r>
    </w:p>
    <w:p w14:paraId="65BE6ADC" w14:textId="77777777" w:rsidR="007830CE" w:rsidRDefault="007830CE" w:rsidP="00441B6F">
      <w:pPr>
        <w:pStyle w:val="Author"/>
        <w:spacing w:line="240" w:lineRule="auto"/>
        <w:rPr>
          <w:rFonts w:ascii="Arial" w:hAnsi="Arial" w:cs="Arial"/>
        </w:rPr>
      </w:pPr>
    </w:p>
    <w:p w14:paraId="55165628" w14:textId="77777777" w:rsidR="00ED07E1" w:rsidRDefault="00ED07E1" w:rsidP="00441B6F">
      <w:pPr>
        <w:pStyle w:val="Affiliation"/>
        <w:spacing w:after="0" w:line="240" w:lineRule="auto"/>
        <w:rPr>
          <w:rFonts w:ascii="Arial" w:hAnsi="Arial" w:cs="Arial"/>
          <w:i/>
        </w:rPr>
      </w:pPr>
    </w:p>
    <w:p w14:paraId="54F42D5F" w14:textId="77777777" w:rsidR="00790ADA" w:rsidRDefault="00790ADA" w:rsidP="00441B6F">
      <w:pPr>
        <w:pStyle w:val="Affiliation"/>
        <w:spacing w:after="0" w:line="240" w:lineRule="auto"/>
        <w:jc w:val="both"/>
        <w:rPr>
          <w:rFonts w:ascii="Arial" w:hAnsi="Arial" w:cs="Arial"/>
        </w:rPr>
      </w:pPr>
    </w:p>
    <w:p w14:paraId="367D847B" w14:textId="77777777" w:rsidR="002C57D2" w:rsidRPr="00FB3A86" w:rsidRDefault="002C57D2" w:rsidP="00441B6F">
      <w:pPr>
        <w:pStyle w:val="Affiliation"/>
        <w:spacing w:after="0" w:line="240" w:lineRule="auto"/>
        <w:jc w:val="both"/>
        <w:rPr>
          <w:rFonts w:ascii="Arial" w:hAnsi="Arial" w:cs="Arial"/>
        </w:rPr>
      </w:pPr>
    </w:p>
    <w:p w14:paraId="08503CE7" w14:textId="77777777" w:rsidR="00B01FCD" w:rsidRPr="00FB3A86" w:rsidRDefault="005C34EC" w:rsidP="00441B6F">
      <w:pPr>
        <w:pStyle w:val="Copyright"/>
        <w:spacing w:after="0" w:line="240" w:lineRule="auto"/>
        <w:jc w:val="both"/>
        <w:rPr>
          <w:rFonts w:ascii="Arial" w:hAnsi="Arial" w:cs="Arial"/>
        </w:rPr>
        <w:sectPr w:rsidR="00B01FCD" w:rsidRPr="00FB3A86" w:rsidSect="00131E35">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323A8F6" wp14:editId="74032732">
                <wp:extent cx="5303520" cy="635"/>
                <wp:effectExtent l="13335" t="13335" r="17145" b="15240"/>
                <wp:docPr id="40834166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0654A7E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093D11B5" w14:textId="77777777" w:rsidR="00B01FCD" w:rsidRDefault="00B01FCD" w:rsidP="00153002">
      <w:pPr>
        <w:pStyle w:val="AbstHead"/>
        <w:spacing w:after="0"/>
        <w:rPr>
          <w:rFonts w:ascii="Arial" w:hAnsi="Arial" w:cs="Arial"/>
        </w:rPr>
      </w:pPr>
      <w:r w:rsidRPr="00FB3A86">
        <w:rPr>
          <w:rFonts w:ascii="Arial" w:hAnsi="Arial" w:cs="Arial"/>
        </w:rPr>
        <w:t>ABSTRACT</w:t>
      </w:r>
      <w:r w:rsidR="0066510A">
        <w:rPr>
          <w:rFonts w:ascii="Arial" w:hAnsi="Arial" w:cs="Arial"/>
        </w:rPr>
        <w:t xml:space="preserve"> </w:t>
      </w:r>
    </w:p>
    <w:p w14:paraId="06DD118B"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68C8707B" w14:textId="77777777" w:rsidTr="001E44FE">
        <w:tc>
          <w:tcPr>
            <w:tcW w:w="9576" w:type="dxa"/>
            <w:shd w:val="clear" w:color="auto" w:fill="F2F2F2"/>
          </w:tcPr>
          <w:p w14:paraId="354F935C" w14:textId="4A403057" w:rsidR="00223076" w:rsidRDefault="00223076" w:rsidP="0017475B">
            <w:pPr>
              <w:pStyle w:val="Body"/>
              <w:rPr>
                <w:rFonts w:ascii="Arial" w:eastAsia="Calibri" w:hAnsi="Arial" w:cs="Arial"/>
                <w:bCs/>
                <w:szCs w:val="22"/>
              </w:rPr>
            </w:pPr>
            <w:r w:rsidRPr="00223076">
              <w:rPr>
                <w:rFonts w:ascii="Arial" w:eastAsia="Calibri" w:hAnsi="Arial" w:cs="Arial"/>
                <w:b/>
                <w:szCs w:val="22"/>
              </w:rPr>
              <w:t>Background:</w:t>
            </w:r>
            <w:r>
              <w:rPr>
                <w:rFonts w:ascii="Arial" w:eastAsia="Calibri" w:hAnsi="Arial" w:cs="Arial"/>
                <w:bCs/>
                <w:szCs w:val="22"/>
              </w:rPr>
              <w:t xml:space="preserve"> </w:t>
            </w:r>
            <w:r w:rsidR="00DF4F81">
              <w:rPr>
                <w:rFonts w:ascii="Arial" w:eastAsia="Calibri" w:hAnsi="Arial" w:cs="Arial"/>
                <w:bCs/>
                <w:szCs w:val="22"/>
              </w:rPr>
              <w:t>UV radiation is a type of non-ioni</w:t>
            </w:r>
            <w:r w:rsidR="00DF4F81">
              <w:rPr>
                <w:rFonts w:ascii="Arial" w:eastAsia="Calibri" w:hAnsi="Arial" w:cs="Arial"/>
                <w:bCs/>
                <w:szCs w:val="22"/>
                <w:highlight w:val="yellow"/>
              </w:rPr>
              <w:t>s</w:t>
            </w:r>
            <w:r w:rsidR="00DF4F81">
              <w:rPr>
                <w:rFonts w:ascii="Arial" w:eastAsia="Calibri" w:hAnsi="Arial" w:cs="Arial"/>
                <w:bCs/>
                <w:szCs w:val="22"/>
              </w:rPr>
              <w:t xml:space="preserve">ing radiation </w:t>
            </w:r>
            <w:r w:rsidR="00DF4F81">
              <w:rPr>
                <w:rFonts w:ascii="Arial" w:eastAsia="Calibri" w:hAnsi="Arial" w:cs="Arial"/>
                <w:bCs/>
                <w:szCs w:val="22"/>
                <w:highlight w:val="yellow"/>
              </w:rPr>
              <w:t>tha</w:t>
            </w:r>
            <w:r w:rsidR="00DF4F81">
              <w:rPr>
                <w:rFonts w:ascii="Arial" w:eastAsia="Calibri" w:hAnsi="Arial" w:cs="Arial"/>
                <w:bCs/>
                <w:szCs w:val="22"/>
              </w:rPr>
              <w:t>t is ubiquitous in the environment and becomes hazardous with prolonged exposure. It can instigate progressive neurobehavio</w:t>
            </w:r>
            <w:r w:rsidR="00DF4F81">
              <w:rPr>
                <w:rFonts w:ascii="Arial" w:eastAsia="Calibri" w:hAnsi="Arial" w:cs="Arial"/>
                <w:bCs/>
                <w:szCs w:val="22"/>
                <w:highlight w:val="yellow"/>
              </w:rPr>
              <w:t>u</w:t>
            </w:r>
            <w:r w:rsidR="00DF4F81">
              <w:rPr>
                <w:rFonts w:ascii="Arial" w:eastAsia="Calibri" w:hAnsi="Arial" w:cs="Arial"/>
                <w:bCs/>
                <w:szCs w:val="22"/>
              </w:rPr>
              <w:t>ral impairment primarily through reactive oxygen species-mediated nervous system toxicity.</w:t>
            </w:r>
          </w:p>
          <w:p w14:paraId="69F6AB3B" w14:textId="15D55CA3" w:rsidR="0017475B" w:rsidRDefault="00223076" w:rsidP="0017475B">
            <w:pPr>
              <w:pStyle w:val="Body"/>
              <w:rPr>
                <w:rFonts w:ascii="Arial" w:eastAsia="Calibri" w:hAnsi="Arial" w:cs="Arial"/>
                <w:bCs/>
                <w:szCs w:val="22"/>
              </w:rPr>
            </w:pPr>
            <w:r>
              <w:rPr>
                <w:rFonts w:ascii="Arial" w:eastAsia="Calibri" w:hAnsi="Arial" w:cs="Arial"/>
                <w:b/>
                <w:szCs w:val="22"/>
              </w:rPr>
              <w:t xml:space="preserve">Aims: </w:t>
            </w:r>
            <w:r w:rsidR="00DF4F81">
              <w:rPr>
                <w:rFonts w:ascii="Arial" w:eastAsia="Calibri" w:hAnsi="Arial" w:cs="Arial"/>
                <w:bCs/>
                <w:szCs w:val="22"/>
              </w:rPr>
              <w:t>This study evaluated the radioprotective efficacy of flavonoid quercetin pretreatment against radiation</w:t>
            </w:r>
            <w:r w:rsidR="00DF4F81">
              <w:rPr>
                <w:rFonts w:ascii="Arial" w:eastAsia="Calibri" w:hAnsi="Arial" w:cs="Arial"/>
                <w:bCs/>
                <w:szCs w:val="22"/>
                <w:highlight w:val="yellow"/>
              </w:rPr>
              <w:t>-</w:t>
            </w:r>
            <w:r w:rsidR="00DF4F81">
              <w:rPr>
                <w:rFonts w:ascii="Arial" w:eastAsia="Calibri" w:hAnsi="Arial" w:cs="Arial"/>
                <w:bCs/>
                <w:szCs w:val="22"/>
              </w:rPr>
              <w:t>induced mechanical</w:t>
            </w:r>
            <w:r w:rsidR="00DF4F81">
              <w:rPr>
                <w:rFonts w:ascii="Arial" w:eastAsia="Calibri" w:hAnsi="Arial" w:cs="Arial"/>
                <w:bCs/>
                <w:szCs w:val="22"/>
                <w:highlight w:val="yellow"/>
              </w:rPr>
              <w:t>-</w:t>
            </w:r>
            <w:r w:rsidR="00DF4F81">
              <w:rPr>
                <w:rFonts w:ascii="Arial" w:eastAsia="Calibri" w:hAnsi="Arial" w:cs="Arial"/>
                <w:bCs/>
                <w:szCs w:val="22"/>
              </w:rPr>
              <w:t xml:space="preserve">shock, motor, and visual deficits in adult </w:t>
            </w:r>
            <w:r w:rsidR="00DF4F81">
              <w:rPr>
                <w:rFonts w:ascii="Arial" w:eastAsia="Calibri" w:hAnsi="Arial" w:cs="Arial"/>
                <w:bCs/>
                <w:i/>
                <w:iCs/>
                <w:szCs w:val="22"/>
              </w:rPr>
              <w:t>Drosophila</w:t>
            </w:r>
            <w:r w:rsidR="00DF4F81">
              <w:rPr>
                <w:rFonts w:ascii="Arial" w:eastAsia="Calibri" w:hAnsi="Arial" w:cs="Arial"/>
                <w:bCs/>
                <w:i/>
                <w:szCs w:val="22"/>
              </w:rPr>
              <w:t xml:space="preserve"> </w:t>
            </w:r>
            <w:r w:rsidR="00DF4F81">
              <w:rPr>
                <w:rFonts w:ascii="Arial" w:eastAsia="Calibri" w:hAnsi="Arial" w:cs="Arial"/>
                <w:bCs/>
                <w:i/>
                <w:iCs/>
                <w:szCs w:val="22"/>
              </w:rPr>
              <w:t>melanogaster</w:t>
            </w:r>
            <w:r w:rsidR="00DF4F81">
              <w:rPr>
                <w:rFonts w:ascii="Arial" w:eastAsia="Calibri" w:hAnsi="Arial" w:cs="Arial"/>
                <w:bCs/>
                <w:szCs w:val="22"/>
              </w:rPr>
              <w:t>.</w:t>
            </w:r>
          </w:p>
          <w:p w14:paraId="3713D6F1" w14:textId="77777777" w:rsidR="0017475B" w:rsidRDefault="00DF4F81" w:rsidP="0017475B">
            <w:pPr>
              <w:pStyle w:val="Body"/>
              <w:rPr>
                <w:rFonts w:ascii="Arial" w:eastAsia="Calibri" w:hAnsi="Arial" w:cs="Arial"/>
                <w:bCs/>
                <w:szCs w:val="22"/>
                <w:lang w:val="en-IN"/>
              </w:rPr>
            </w:pPr>
            <w:r>
              <w:rPr>
                <w:rFonts w:ascii="Arial" w:eastAsia="Calibri" w:hAnsi="Arial" w:cs="Arial"/>
                <w:b/>
                <w:szCs w:val="22"/>
              </w:rPr>
              <w:t>Study design:</w:t>
            </w:r>
            <w:r>
              <w:rPr>
                <w:rFonts w:ascii="Arial" w:eastAsia="Calibri" w:hAnsi="Arial" w:cs="Arial"/>
                <w:bCs/>
                <w:szCs w:val="22"/>
              </w:rPr>
              <w:t xml:space="preserve"> </w:t>
            </w:r>
            <w:r>
              <w:rPr>
                <w:rFonts w:ascii="Arial" w:eastAsia="Calibri" w:hAnsi="Arial" w:cs="Arial"/>
                <w:bCs/>
                <w:szCs w:val="22"/>
                <w:lang w:val="en-IN"/>
              </w:rPr>
              <w:t>T</w:t>
            </w:r>
            <w:r>
              <w:rPr>
                <w:rFonts w:ascii="Arial" w:eastAsia="Calibri" w:hAnsi="Arial" w:cs="Arial"/>
                <w:bCs/>
                <w:szCs w:val="22"/>
                <w:highlight w:val="yellow"/>
                <w:lang w:val="en-IN"/>
              </w:rPr>
              <w:t>his study</w:t>
            </w:r>
            <w:r>
              <w:rPr>
                <w:rFonts w:ascii="Arial" w:eastAsia="Calibri" w:hAnsi="Arial" w:cs="Arial"/>
                <w:bCs/>
                <w:szCs w:val="22"/>
                <w:lang w:val="en-IN"/>
              </w:rPr>
              <w:t xml:space="preserve"> evaluate</w:t>
            </w:r>
            <w:r>
              <w:rPr>
                <w:rFonts w:ascii="Arial" w:eastAsia="Calibri" w:hAnsi="Arial" w:cs="Arial"/>
                <w:bCs/>
                <w:szCs w:val="22"/>
                <w:highlight w:val="yellow"/>
                <w:lang w:val="en-IN"/>
              </w:rPr>
              <w:t>d</w:t>
            </w:r>
            <w:r>
              <w:rPr>
                <w:rFonts w:ascii="Arial" w:eastAsia="Calibri" w:hAnsi="Arial" w:cs="Arial"/>
                <w:bCs/>
                <w:szCs w:val="22"/>
                <w:lang w:val="en-IN"/>
              </w:rPr>
              <w:t xml:space="preserve"> the radioprotective effects of quercetin against UV-C radiation. Post</w:t>
            </w:r>
            <w:r>
              <w:rPr>
                <w:rFonts w:ascii="Arial" w:eastAsia="Calibri" w:hAnsi="Arial" w:cs="Arial"/>
                <w:bCs/>
                <w:szCs w:val="22"/>
                <w:highlight w:val="yellow"/>
                <w:lang w:val="en-IN"/>
              </w:rPr>
              <w:t>-</w:t>
            </w:r>
            <w:r>
              <w:rPr>
                <w:rFonts w:ascii="Arial" w:eastAsia="Calibri" w:hAnsi="Arial" w:cs="Arial"/>
                <w:bCs/>
                <w:szCs w:val="22"/>
                <w:lang w:val="en-IN"/>
              </w:rPr>
              <w:t>UV</w:t>
            </w:r>
            <w:r>
              <w:rPr>
                <w:rFonts w:ascii="Arial" w:eastAsia="Calibri" w:hAnsi="Arial" w:cs="Arial"/>
                <w:bCs/>
                <w:szCs w:val="22"/>
                <w:highlight w:val="yellow"/>
                <w:lang w:val="en-IN"/>
              </w:rPr>
              <w:t>-</w:t>
            </w:r>
            <w:r>
              <w:rPr>
                <w:rFonts w:ascii="Arial" w:eastAsia="Calibri" w:hAnsi="Arial" w:cs="Arial"/>
                <w:bCs/>
                <w:szCs w:val="22"/>
                <w:lang w:val="en-IN"/>
              </w:rPr>
              <w:t>exposure recovery was quantified across mechanical</w:t>
            </w:r>
            <w:r>
              <w:rPr>
                <w:rFonts w:ascii="Arial" w:eastAsia="Calibri" w:hAnsi="Arial" w:cs="Arial"/>
                <w:bCs/>
                <w:szCs w:val="22"/>
                <w:highlight w:val="yellow"/>
                <w:lang w:val="en-IN"/>
              </w:rPr>
              <w:t>-</w:t>
            </w:r>
            <w:r>
              <w:rPr>
                <w:rFonts w:ascii="Arial" w:eastAsia="Calibri" w:hAnsi="Arial" w:cs="Arial"/>
                <w:bCs/>
                <w:szCs w:val="22"/>
                <w:lang w:val="en-IN"/>
              </w:rPr>
              <w:t>shock, locomotor, phototactic, and geotactic domains using behavio</w:t>
            </w:r>
            <w:r>
              <w:rPr>
                <w:rFonts w:ascii="Arial" w:eastAsia="Calibri" w:hAnsi="Arial" w:cs="Arial"/>
                <w:bCs/>
                <w:szCs w:val="22"/>
                <w:highlight w:val="yellow"/>
                <w:lang w:val="en-IN"/>
              </w:rPr>
              <w:t>u</w:t>
            </w:r>
            <w:r>
              <w:rPr>
                <w:rFonts w:ascii="Arial" w:eastAsia="Calibri" w:hAnsi="Arial" w:cs="Arial"/>
                <w:bCs/>
                <w:szCs w:val="22"/>
                <w:lang w:val="en-IN"/>
              </w:rPr>
              <w:t>ral tests and biological markers.</w:t>
            </w:r>
          </w:p>
          <w:p w14:paraId="0F29B398" w14:textId="77777777" w:rsidR="00BA1B01" w:rsidRPr="0017475B" w:rsidRDefault="00BA1B01" w:rsidP="0017475B">
            <w:pPr>
              <w:pStyle w:val="Body"/>
              <w:rPr>
                <w:rFonts w:ascii="Arial" w:eastAsia="Calibri" w:hAnsi="Arial" w:cs="Arial"/>
                <w:bCs/>
                <w:szCs w:val="22"/>
                <w:lang w:val="en-IN"/>
              </w:rPr>
            </w:pPr>
            <w:r w:rsidRPr="00BA1B01">
              <w:rPr>
                <w:rFonts w:ascii="Arial" w:eastAsia="Calibri" w:hAnsi="Arial" w:cs="Arial"/>
                <w:b/>
                <w:szCs w:val="22"/>
              </w:rPr>
              <w:t>Place and Duration of Study:</w:t>
            </w:r>
            <w:r w:rsidR="00315186">
              <w:rPr>
                <w:rFonts w:ascii="Arial" w:eastAsia="Calibri" w:hAnsi="Arial" w:cs="Arial"/>
                <w:szCs w:val="22"/>
              </w:rPr>
              <w:t xml:space="preserve"> </w:t>
            </w:r>
            <w:r w:rsidR="00172B2C">
              <w:rPr>
                <w:rFonts w:ascii="Arial" w:eastAsia="Calibri" w:hAnsi="Arial" w:cs="Arial"/>
                <w:szCs w:val="22"/>
              </w:rPr>
              <w:t>Graduate and Post</w:t>
            </w:r>
            <w:r w:rsidR="001949FC">
              <w:rPr>
                <w:rFonts w:ascii="Arial" w:eastAsia="Calibri" w:hAnsi="Arial" w:cs="Arial"/>
                <w:szCs w:val="22"/>
              </w:rPr>
              <w:t>g</w:t>
            </w:r>
            <w:r w:rsidR="00172B2C">
              <w:rPr>
                <w:rFonts w:ascii="Arial" w:eastAsia="Calibri" w:hAnsi="Arial" w:cs="Arial"/>
                <w:szCs w:val="22"/>
              </w:rPr>
              <w:t xml:space="preserve">raduate </w:t>
            </w:r>
            <w:r w:rsidRPr="00BA1B01">
              <w:rPr>
                <w:rFonts w:ascii="Arial" w:eastAsia="Calibri" w:hAnsi="Arial" w:cs="Arial"/>
                <w:szCs w:val="22"/>
              </w:rPr>
              <w:t xml:space="preserve">Department of </w:t>
            </w:r>
            <w:r w:rsidR="00172B2C">
              <w:rPr>
                <w:rFonts w:ascii="Arial" w:eastAsia="Calibri" w:hAnsi="Arial" w:cs="Arial"/>
                <w:szCs w:val="22"/>
              </w:rPr>
              <w:t>Zoology,</w:t>
            </w:r>
            <w:r w:rsidRPr="00BA1B01">
              <w:rPr>
                <w:rFonts w:ascii="Arial" w:eastAsia="Calibri" w:hAnsi="Arial" w:cs="Arial"/>
                <w:szCs w:val="22"/>
              </w:rPr>
              <w:t xml:space="preserve"> </w:t>
            </w:r>
            <w:r w:rsidR="00172B2C">
              <w:rPr>
                <w:rFonts w:ascii="Arial" w:eastAsia="Calibri" w:hAnsi="Arial" w:cs="Arial"/>
                <w:szCs w:val="22"/>
              </w:rPr>
              <w:t>Asutosh College, Kolkata-700026, and Dinabandhu Andrews College, Kolkata-700084, West Bengal, India,</w:t>
            </w:r>
            <w:r w:rsidRPr="00BA1B01">
              <w:rPr>
                <w:rFonts w:ascii="Arial" w:eastAsia="Calibri" w:hAnsi="Arial" w:cs="Arial"/>
                <w:szCs w:val="22"/>
              </w:rPr>
              <w:t xml:space="preserve"> between J</w:t>
            </w:r>
            <w:r w:rsidR="00172B2C">
              <w:rPr>
                <w:rFonts w:ascii="Arial" w:eastAsia="Calibri" w:hAnsi="Arial" w:cs="Arial"/>
                <w:szCs w:val="22"/>
              </w:rPr>
              <w:t>anuary</w:t>
            </w:r>
            <w:r w:rsidRPr="00BA1B01">
              <w:rPr>
                <w:rFonts w:ascii="Arial" w:eastAsia="Calibri" w:hAnsi="Arial" w:cs="Arial"/>
                <w:szCs w:val="22"/>
              </w:rPr>
              <w:t xml:space="preserve"> 20</w:t>
            </w:r>
            <w:r w:rsidR="00172B2C">
              <w:rPr>
                <w:rFonts w:ascii="Arial" w:eastAsia="Calibri" w:hAnsi="Arial" w:cs="Arial"/>
                <w:szCs w:val="22"/>
              </w:rPr>
              <w:t>25</w:t>
            </w:r>
            <w:r w:rsidRPr="00BA1B01">
              <w:rPr>
                <w:rFonts w:ascii="Arial" w:eastAsia="Calibri" w:hAnsi="Arial" w:cs="Arial"/>
                <w:szCs w:val="22"/>
              </w:rPr>
              <w:t xml:space="preserve"> and </w:t>
            </w:r>
            <w:r w:rsidR="00172B2C">
              <w:rPr>
                <w:rFonts w:ascii="Arial" w:eastAsia="Calibri" w:hAnsi="Arial" w:cs="Arial"/>
                <w:szCs w:val="22"/>
              </w:rPr>
              <w:t>June</w:t>
            </w:r>
            <w:r w:rsidRPr="00BA1B01">
              <w:rPr>
                <w:rFonts w:ascii="Arial" w:eastAsia="Calibri" w:hAnsi="Arial" w:cs="Arial"/>
                <w:szCs w:val="22"/>
              </w:rPr>
              <w:t xml:space="preserve"> 20</w:t>
            </w:r>
            <w:r w:rsidR="00172B2C">
              <w:rPr>
                <w:rFonts w:ascii="Arial" w:eastAsia="Calibri" w:hAnsi="Arial" w:cs="Arial"/>
                <w:szCs w:val="22"/>
              </w:rPr>
              <w:t>26</w:t>
            </w:r>
            <w:r w:rsidRPr="00BA1B01">
              <w:rPr>
                <w:rFonts w:ascii="Arial" w:eastAsia="Calibri" w:hAnsi="Arial" w:cs="Arial"/>
                <w:szCs w:val="22"/>
              </w:rPr>
              <w:t>.</w:t>
            </w:r>
          </w:p>
          <w:p w14:paraId="4DDB921A" w14:textId="77777777" w:rsidR="00BA1B01" w:rsidRPr="00FC30D5" w:rsidRDefault="00BA1B01" w:rsidP="00FC30D5">
            <w:pPr>
              <w:pStyle w:val="Body"/>
              <w:rPr>
                <w:rFonts w:ascii="Arial" w:eastAsia="Calibri" w:hAnsi="Arial" w:cs="Arial"/>
                <w:lang w:val="en-IN"/>
              </w:rPr>
            </w:pPr>
            <w:r>
              <w:rPr>
                <w:rFonts w:ascii="Arial" w:eastAsia="Calibri" w:hAnsi="Arial" w:cs="Arial"/>
                <w:b/>
                <w:bCs/>
                <w:szCs w:val="22"/>
              </w:rPr>
              <w:t>Methodology:</w:t>
            </w:r>
            <w:r>
              <w:rPr>
                <w:rFonts w:ascii="Arial" w:eastAsia="Calibri" w:hAnsi="Arial" w:cs="Arial"/>
                <w:szCs w:val="22"/>
              </w:rPr>
              <w:t xml:space="preserve"> </w:t>
            </w:r>
            <w:r>
              <w:rPr>
                <w:rFonts w:ascii="Arial" w:eastAsia="Calibri" w:hAnsi="Arial" w:cs="Arial"/>
                <w:lang w:val="en-IN"/>
              </w:rPr>
              <w:t>This study used a four-cohort comparative design (control, quercetin</w:t>
            </w:r>
            <w:r>
              <w:rPr>
                <w:rFonts w:ascii="Arial" w:eastAsia="Calibri" w:hAnsi="Arial" w:cs="Arial"/>
                <w:highlight w:val="yellow"/>
                <w:lang w:val="en-IN"/>
              </w:rPr>
              <w:t>-pre</w:t>
            </w:r>
            <w:r>
              <w:rPr>
                <w:rFonts w:ascii="Arial" w:eastAsia="Calibri" w:hAnsi="Arial" w:cs="Arial"/>
                <w:lang w:val="en-IN"/>
              </w:rPr>
              <w:t>treated, UV-C</w:t>
            </w:r>
            <w:r>
              <w:rPr>
                <w:rFonts w:ascii="Arial" w:eastAsia="Calibri" w:hAnsi="Arial" w:cs="Arial"/>
                <w:highlight w:val="yellow"/>
                <w:lang w:val="en-IN"/>
              </w:rPr>
              <w:t>-</w:t>
            </w:r>
            <w:r>
              <w:rPr>
                <w:rFonts w:ascii="Arial" w:eastAsia="Calibri" w:hAnsi="Arial" w:cs="Arial"/>
                <w:lang w:val="en-IN"/>
              </w:rPr>
              <w:t>treated</w:t>
            </w:r>
            <w:r>
              <w:rPr>
                <w:rFonts w:ascii="Arial" w:eastAsia="Calibri" w:hAnsi="Arial" w:cs="Arial"/>
                <w:highlight w:val="yellow"/>
                <w:lang w:val="en-IN"/>
              </w:rPr>
              <w:t>,</w:t>
            </w:r>
            <w:r>
              <w:rPr>
                <w:rFonts w:ascii="Arial" w:eastAsia="Calibri" w:hAnsi="Arial" w:cs="Arial"/>
                <w:lang w:val="en-IN"/>
              </w:rPr>
              <w:t xml:space="preserve"> and quercetin</w:t>
            </w:r>
            <w:r>
              <w:rPr>
                <w:rFonts w:ascii="Arial" w:eastAsia="Calibri" w:hAnsi="Arial" w:cs="Arial"/>
                <w:highlight w:val="yellow"/>
                <w:lang w:val="en-IN"/>
              </w:rPr>
              <w:t>-pre</w:t>
            </w:r>
            <w:r>
              <w:rPr>
                <w:rFonts w:ascii="Arial" w:eastAsia="Calibri" w:hAnsi="Arial" w:cs="Arial"/>
                <w:lang w:val="en-IN"/>
              </w:rPr>
              <w:t>treated then UV-C</w:t>
            </w:r>
            <w:r>
              <w:rPr>
                <w:rFonts w:ascii="Arial" w:eastAsia="Calibri" w:hAnsi="Arial" w:cs="Arial"/>
                <w:highlight w:val="yellow"/>
                <w:lang w:val="en-IN"/>
              </w:rPr>
              <w:t>-</w:t>
            </w:r>
            <w:r>
              <w:rPr>
                <w:rFonts w:ascii="Arial" w:eastAsia="Calibri" w:hAnsi="Arial" w:cs="Arial"/>
                <w:lang w:val="en-IN"/>
              </w:rPr>
              <w:t xml:space="preserve">treated) in </w:t>
            </w:r>
            <w:r>
              <w:rPr>
                <w:rFonts w:ascii="Arial" w:eastAsia="Calibri" w:hAnsi="Arial" w:cs="Arial"/>
                <w:i/>
                <w:iCs/>
                <w:lang w:val="en-IN"/>
              </w:rPr>
              <w:t>Drosophila melanogaster</w:t>
            </w:r>
            <w:r>
              <w:rPr>
                <w:rFonts w:ascii="Arial" w:eastAsia="Calibri" w:hAnsi="Arial" w:cs="Arial"/>
                <w:lang w:val="en-IN"/>
              </w:rPr>
              <w:t>. The larvae and adult flies received a quercetin</w:t>
            </w:r>
            <w:r>
              <w:rPr>
                <w:rFonts w:ascii="Arial" w:eastAsia="Calibri" w:hAnsi="Arial" w:cs="Arial"/>
                <w:highlight w:val="yellow"/>
                <w:lang w:val="en-IN"/>
              </w:rPr>
              <w:t>-</w:t>
            </w:r>
            <w:r>
              <w:rPr>
                <w:rFonts w:ascii="Arial" w:eastAsia="Calibri" w:hAnsi="Arial" w:cs="Arial"/>
                <w:lang w:val="en-IN"/>
              </w:rPr>
              <w:t>supplemented diet (100μM) before exposure to UV-C radiation (360J/m</w:t>
            </w:r>
            <w:r>
              <w:rPr>
                <w:rFonts w:ascii="Arial" w:eastAsia="Calibri" w:hAnsi="Arial" w:cs="Arial"/>
                <w:vertAlign w:val="superscript"/>
                <w:lang w:val="en-IN"/>
              </w:rPr>
              <w:t>2</w:t>
            </w:r>
            <w:r>
              <w:rPr>
                <w:rFonts w:ascii="Arial" w:eastAsia="Calibri" w:hAnsi="Arial" w:cs="Arial"/>
                <w:lang w:val="en-IN"/>
              </w:rPr>
              <w:t xml:space="preserve">) for 120 seconds. </w:t>
            </w:r>
            <w:r>
              <w:rPr>
                <w:rFonts w:ascii="Arial" w:eastAsia="Calibri" w:hAnsi="Arial" w:cs="Arial"/>
                <w:highlight w:val="yellow"/>
                <w:lang w:val="en-IN"/>
              </w:rPr>
              <w:t>I</w:t>
            </w:r>
            <w:r>
              <w:rPr>
                <w:rFonts w:ascii="Arial" w:eastAsia="Calibri" w:hAnsi="Arial" w:cs="Arial"/>
                <w:lang w:val="en-IN"/>
              </w:rPr>
              <w:t>mportant functional biomarkers</w:t>
            </w:r>
            <w:r>
              <w:rPr>
                <w:rFonts w:ascii="Arial" w:eastAsia="Calibri" w:hAnsi="Arial" w:cs="Arial"/>
                <w:highlight w:val="yellow"/>
                <w:lang w:val="en-IN"/>
              </w:rPr>
              <w:t>—</w:t>
            </w:r>
            <w:r>
              <w:rPr>
                <w:rFonts w:ascii="Arial" w:eastAsia="Calibri" w:hAnsi="Arial" w:cs="Arial"/>
                <w:lang w:val="en-IN"/>
              </w:rPr>
              <w:t xml:space="preserve">adult locomotor (climbing) activity, seizure recovery, </w:t>
            </w:r>
            <w:r>
              <w:rPr>
                <w:rFonts w:ascii="Arial" w:eastAsia="Calibri" w:hAnsi="Arial" w:cs="Arial"/>
                <w:highlight w:val="yellow"/>
                <w:lang w:val="en-IN"/>
              </w:rPr>
              <w:t>positi</w:t>
            </w:r>
            <w:r>
              <w:rPr>
                <w:rFonts w:ascii="Arial" w:eastAsia="Calibri" w:hAnsi="Arial" w:cs="Arial"/>
                <w:lang w:val="en-IN"/>
              </w:rPr>
              <w:t xml:space="preserve">ve phototaxis, and </w:t>
            </w:r>
            <w:r>
              <w:rPr>
                <w:rFonts w:ascii="Arial" w:eastAsia="Calibri" w:hAnsi="Arial" w:cs="Arial"/>
                <w:highlight w:val="yellow"/>
                <w:lang w:val="en-IN"/>
              </w:rPr>
              <w:t>negati</w:t>
            </w:r>
            <w:r>
              <w:rPr>
                <w:rFonts w:ascii="Arial" w:eastAsia="Calibri" w:hAnsi="Arial" w:cs="Arial"/>
                <w:lang w:val="en-IN"/>
              </w:rPr>
              <w:t>ve geotaxis behavio</w:t>
            </w:r>
            <w:r>
              <w:rPr>
                <w:rFonts w:ascii="Arial" w:eastAsia="Calibri" w:hAnsi="Arial" w:cs="Arial"/>
                <w:highlight w:val="yellow"/>
                <w:lang w:val="en-IN"/>
              </w:rPr>
              <w:t>u</w:t>
            </w:r>
            <w:r>
              <w:rPr>
                <w:rFonts w:ascii="Arial" w:eastAsia="Calibri" w:hAnsi="Arial" w:cs="Arial"/>
                <w:lang w:val="en-IN"/>
              </w:rPr>
              <w:t>rs</w:t>
            </w:r>
            <w:r>
              <w:rPr>
                <w:rFonts w:ascii="Arial" w:eastAsia="Calibri" w:hAnsi="Arial" w:cs="Arial"/>
                <w:highlight w:val="yellow"/>
                <w:lang w:val="en-IN"/>
              </w:rPr>
              <w:t>—</w:t>
            </w:r>
            <w:r>
              <w:rPr>
                <w:rFonts w:ascii="Arial" w:eastAsia="Calibri" w:hAnsi="Arial" w:cs="Arial"/>
                <w:lang w:val="en-IN"/>
              </w:rPr>
              <w:t>were systematically quantified alongside biomarker-based assessments</w:t>
            </w:r>
            <w:r>
              <w:rPr>
                <w:rFonts w:ascii="Arial" w:eastAsia="Calibri" w:hAnsi="Arial" w:cs="Arial"/>
                <w:bCs/>
              </w:rPr>
              <w:t>.</w:t>
            </w:r>
          </w:p>
          <w:p w14:paraId="7B80DF03" w14:textId="77777777" w:rsidR="00FC30D5" w:rsidRDefault="00BA1B01" w:rsidP="00105170">
            <w:pPr>
              <w:pStyle w:val="Body"/>
              <w:rPr>
                <w:rFonts w:ascii="Arial" w:eastAsia="Calibri" w:hAnsi="Arial" w:cs="Arial"/>
                <w:bCs/>
                <w:lang w:val="en-IN"/>
              </w:rPr>
            </w:pPr>
            <w:r>
              <w:rPr>
                <w:rFonts w:ascii="Arial" w:eastAsia="Calibri" w:hAnsi="Arial" w:cs="Arial"/>
                <w:b/>
                <w:bCs/>
                <w:szCs w:val="22"/>
              </w:rPr>
              <w:t>Results:</w:t>
            </w:r>
            <w:r>
              <w:rPr>
                <w:rFonts w:ascii="Arial" w:eastAsia="Calibri" w:hAnsi="Arial" w:cs="Arial"/>
                <w:szCs w:val="22"/>
              </w:rPr>
              <w:t xml:space="preserve"> </w:t>
            </w:r>
            <w:r>
              <w:rPr>
                <w:rFonts w:ascii="Arial" w:eastAsia="Calibri" w:hAnsi="Arial" w:cs="Arial"/>
                <w:bCs/>
                <w:lang w:val="en-IN"/>
              </w:rPr>
              <w:t xml:space="preserve">Exposure to UV-C radiation severely affected climbing activity, delayed recovery after seizure shock, and disrupted </w:t>
            </w:r>
            <w:r>
              <w:rPr>
                <w:rFonts w:ascii="Arial" w:eastAsia="Calibri" w:hAnsi="Arial" w:cs="Arial"/>
                <w:bCs/>
                <w:highlight w:val="yellow"/>
                <w:lang w:val="en-IN"/>
              </w:rPr>
              <w:t xml:space="preserve">the </w:t>
            </w:r>
            <w:r>
              <w:rPr>
                <w:rFonts w:ascii="Arial" w:eastAsia="Calibri" w:hAnsi="Arial" w:cs="Arial"/>
                <w:bCs/>
                <w:lang w:val="en-IN"/>
              </w:rPr>
              <w:t xml:space="preserve">adult flies’ phototactic </w:t>
            </w:r>
            <w:r>
              <w:rPr>
                <w:rFonts w:ascii="Arial" w:eastAsia="Calibri" w:hAnsi="Arial" w:cs="Arial"/>
                <w:bCs/>
                <w:highlight w:val="yellow"/>
                <w:lang w:val="en-IN"/>
              </w:rPr>
              <w:t xml:space="preserve">and </w:t>
            </w:r>
            <w:r>
              <w:rPr>
                <w:rFonts w:ascii="Arial" w:eastAsia="Calibri" w:hAnsi="Arial" w:cs="Arial"/>
                <w:bCs/>
                <w:lang w:val="en-IN"/>
              </w:rPr>
              <w:t>geotactic preferences. Dietary quercetin pretreatment significantly ameliorated the disrupted geotactic-phototactic preference pattern, retained substantial locomotor activity, and resulted in faster post-seizure recovery.</w:t>
            </w:r>
          </w:p>
          <w:p w14:paraId="19F861B1" w14:textId="77777777" w:rsidR="00505F06" w:rsidRPr="00FC30D5" w:rsidRDefault="00BA1B01" w:rsidP="00105170">
            <w:pPr>
              <w:pStyle w:val="Body"/>
              <w:rPr>
                <w:rFonts w:ascii="Arial" w:eastAsia="Calibri" w:hAnsi="Arial" w:cs="Arial"/>
                <w:szCs w:val="22"/>
                <w:lang w:val="en-IN"/>
              </w:rPr>
            </w:pPr>
            <w:r>
              <w:rPr>
                <w:rFonts w:ascii="Arial" w:eastAsia="Calibri" w:hAnsi="Arial" w:cs="Arial"/>
                <w:b/>
                <w:bCs/>
                <w:szCs w:val="22"/>
              </w:rPr>
              <w:t>Conclusion:</w:t>
            </w:r>
            <w:r>
              <w:rPr>
                <w:rFonts w:ascii="Arial" w:eastAsia="Calibri" w:hAnsi="Arial" w:cs="Arial"/>
                <w:szCs w:val="22"/>
              </w:rPr>
              <w:t xml:space="preserve"> </w:t>
            </w:r>
            <w:r>
              <w:rPr>
                <w:rFonts w:ascii="Arial" w:eastAsia="Calibri" w:hAnsi="Arial" w:cs="Arial"/>
                <w:szCs w:val="22"/>
                <w:lang w:val="en-IN"/>
              </w:rPr>
              <w:t xml:space="preserve">Quercetin helps to mitigate </w:t>
            </w:r>
            <w:r>
              <w:rPr>
                <w:rFonts w:ascii="Arial" w:eastAsia="Calibri" w:hAnsi="Arial" w:cs="Arial"/>
                <w:szCs w:val="22"/>
                <w:highlight w:val="yellow"/>
                <w:lang w:val="en-IN"/>
              </w:rPr>
              <w:t xml:space="preserve">impairment in </w:t>
            </w:r>
            <w:r>
              <w:rPr>
                <w:rFonts w:ascii="Arial" w:eastAsia="Calibri" w:hAnsi="Arial" w:cs="Arial"/>
                <w:szCs w:val="22"/>
                <w:lang w:val="en-IN"/>
              </w:rPr>
              <w:t xml:space="preserve">age-dependent locomotor activity </w:t>
            </w:r>
            <w:r>
              <w:rPr>
                <w:rFonts w:ascii="Arial" w:eastAsia="Calibri" w:hAnsi="Arial" w:cs="Arial"/>
                <w:szCs w:val="22"/>
                <w:highlight w:val="yellow"/>
                <w:lang w:val="en-IN"/>
              </w:rPr>
              <w:t xml:space="preserve">and </w:t>
            </w:r>
            <w:r>
              <w:rPr>
                <w:rFonts w:ascii="Arial" w:eastAsia="Calibri" w:hAnsi="Arial" w:cs="Arial"/>
                <w:szCs w:val="22"/>
                <w:lang w:val="en-IN"/>
              </w:rPr>
              <w:t xml:space="preserve">recovery after mechanical shock injury and to restore phototactic and geotactic preferences in </w:t>
            </w:r>
            <w:r>
              <w:rPr>
                <w:rFonts w:ascii="Arial" w:eastAsia="Calibri" w:hAnsi="Arial" w:cs="Arial"/>
                <w:i/>
                <w:iCs/>
                <w:szCs w:val="22"/>
                <w:lang w:val="en-IN"/>
              </w:rPr>
              <w:t>Drosophila melanogaster</w:t>
            </w:r>
            <w:r>
              <w:rPr>
                <w:rFonts w:ascii="Arial" w:eastAsia="Calibri" w:hAnsi="Arial" w:cs="Arial"/>
                <w:szCs w:val="22"/>
                <w:lang w:val="en-IN"/>
              </w:rPr>
              <w:t>. Protecti</w:t>
            </w:r>
            <w:r>
              <w:rPr>
                <w:rFonts w:ascii="Arial" w:eastAsia="Calibri" w:hAnsi="Arial" w:cs="Arial"/>
                <w:szCs w:val="22"/>
                <w:highlight w:val="yellow"/>
                <w:lang w:val="en-IN"/>
              </w:rPr>
              <w:t>o</w:t>
            </w:r>
            <w:r>
              <w:rPr>
                <w:rFonts w:ascii="Arial" w:eastAsia="Calibri" w:hAnsi="Arial" w:cs="Arial"/>
                <w:szCs w:val="22"/>
                <w:lang w:val="en-IN"/>
              </w:rPr>
              <w:t>n</w:t>
            </w:r>
            <w:r>
              <w:rPr>
                <w:rFonts w:ascii="Arial" w:eastAsia="Calibri" w:hAnsi="Arial" w:cs="Arial"/>
                <w:szCs w:val="22"/>
                <w:highlight w:val="yellow"/>
                <w:lang w:val="en-IN"/>
              </w:rPr>
              <w:t xml:space="preserve"> of</w:t>
            </w:r>
            <w:r>
              <w:rPr>
                <w:rFonts w:ascii="Arial" w:eastAsia="Calibri" w:hAnsi="Arial" w:cs="Arial"/>
                <w:szCs w:val="22"/>
                <w:lang w:val="en-IN"/>
              </w:rPr>
              <w:t xml:space="preserve"> these physical, motor</w:t>
            </w:r>
            <w:r>
              <w:rPr>
                <w:rFonts w:ascii="Arial" w:eastAsia="Calibri" w:hAnsi="Arial" w:cs="Arial"/>
                <w:szCs w:val="22"/>
                <w:highlight w:val="yellow"/>
                <w:lang w:val="en-IN"/>
              </w:rPr>
              <w:t>,</w:t>
            </w:r>
            <w:r>
              <w:rPr>
                <w:rFonts w:ascii="Arial" w:eastAsia="Calibri" w:hAnsi="Arial" w:cs="Arial"/>
                <w:szCs w:val="22"/>
                <w:lang w:val="en-IN"/>
              </w:rPr>
              <w:t xml:space="preserve"> and sensory behavio</w:t>
            </w:r>
            <w:r>
              <w:rPr>
                <w:rFonts w:ascii="Arial" w:eastAsia="Calibri" w:hAnsi="Arial" w:cs="Arial"/>
                <w:szCs w:val="22"/>
                <w:highlight w:val="yellow"/>
                <w:lang w:val="en-IN"/>
              </w:rPr>
              <w:t>u</w:t>
            </w:r>
            <w:r>
              <w:rPr>
                <w:rFonts w:ascii="Arial" w:eastAsia="Calibri" w:hAnsi="Arial" w:cs="Arial"/>
                <w:szCs w:val="22"/>
                <w:lang w:val="en-IN"/>
              </w:rPr>
              <w:t>ral biomarkers highlights quercetin's potential to counteract UV-induced damage.</w:t>
            </w:r>
          </w:p>
        </w:tc>
      </w:tr>
    </w:tbl>
    <w:p w14:paraId="6C900CD3" w14:textId="77777777" w:rsidR="00636EB2" w:rsidRDefault="00636EB2" w:rsidP="00441B6F">
      <w:pPr>
        <w:pStyle w:val="Body"/>
        <w:spacing w:after="0"/>
        <w:rPr>
          <w:rFonts w:ascii="Arial" w:hAnsi="Arial" w:cs="Arial"/>
          <w:i/>
        </w:rPr>
      </w:pPr>
    </w:p>
    <w:p w14:paraId="0B638D1E" w14:textId="02D4D441" w:rsidR="00505F06" w:rsidRDefault="00A24E7E" w:rsidP="00441B6F">
      <w:pPr>
        <w:pStyle w:val="Body"/>
        <w:spacing w:after="0"/>
        <w:rPr>
          <w:rFonts w:ascii="Arial" w:eastAsia="Calibri" w:hAnsi="Arial" w:cs="Arial"/>
          <w:bCs/>
          <w:i/>
          <w:iCs/>
          <w:szCs w:val="22"/>
        </w:rPr>
      </w:pPr>
      <w:r>
        <w:rPr>
          <w:rFonts w:ascii="Arial" w:hAnsi="Arial" w:cs="Arial"/>
          <w:i/>
        </w:rPr>
        <w:t xml:space="preserve">Keywords: </w:t>
      </w:r>
      <w:r w:rsidR="003D6CAC" w:rsidRPr="003D6CAC">
        <w:rPr>
          <w:rFonts w:ascii="Arial" w:eastAsia="Calibri" w:hAnsi="Arial" w:cs="Arial"/>
          <w:bCs/>
          <w:i/>
          <w:iCs/>
          <w:szCs w:val="22"/>
        </w:rPr>
        <w:t xml:space="preserve">Drosophila melanogaster; quercetin; UV-C radiation; radioprotection; oxidative stress; negative geotaxis; phototaxis; seizure recovery; locomotor activity; </w:t>
      </w:r>
      <w:proofErr w:type="spellStart"/>
      <w:r w:rsidR="003D6CAC" w:rsidRPr="003D6CAC">
        <w:rPr>
          <w:rFonts w:ascii="Arial" w:eastAsia="Calibri" w:hAnsi="Arial" w:cs="Arial"/>
          <w:bCs/>
          <w:i/>
          <w:iCs/>
          <w:szCs w:val="22"/>
        </w:rPr>
        <w:t>behavioural</w:t>
      </w:r>
      <w:proofErr w:type="spellEnd"/>
      <w:r w:rsidR="003D6CAC" w:rsidRPr="003D6CAC">
        <w:rPr>
          <w:rFonts w:ascii="Arial" w:eastAsia="Calibri" w:hAnsi="Arial" w:cs="Arial"/>
          <w:bCs/>
          <w:i/>
          <w:iCs/>
          <w:szCs w:val="22"/>
        </w:rPr>
        <w:t xml:space="preserve"> biomarkers.</w:t>
      </w:r>
    </w:p>
    <w:p w14:paraId="101DB017" w14:textId="77777777" w:rsidR="003D6CAC" w:rsidRPr="00A24E7E" w:rsidRDefault="003D6CAC" w:rsidP="00441B6F">
      <w:pPr>
        <w:pStyle w:val="Body"/>
        <w:spacing w:after="0"/>
        <w:rPr>
          <w:rFonts w:ascii="Arial" w:hAnsi="Arial" w:cs="Arial"/>
          <w:i/>
        </w:rPr>
      </w:pPr>
    </w:p>
    <w:p w14:paraId="052964DC" w14:textId="77777777" w:rsidR="007F7B32" w:rsidRDefault="00902823" w:rsidP="00153002">
      <w:pPr>
        <w:pStyle w:val="AbstHead"/>
        <w:spacing w:after="0"/>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00EFECD" w14:textId="77777777" w:rsidR="00790ADA" w:rsidRPr="00FB3A86" w:rsidRDefault="00790ADA" w:rsidP="00441B6F">
      <w:pPr>
        <w:pStyle w:val="AbstHead"/>
        <w:spacing w:after="0"/>
        <w:jc w:val="both"/>
        <w:rPr>
          <w:rFonts w:ascii="Arial" w:hAnsi="Arial" w:cs="Arial"/>
        </w:rPr>
      </w:pPr>
    </w:p>
    <w:p w14:paraId="7A51BEC2" w14:textId="77777777" w:rsidR="004E4DD3" w:rsidRPr="004E4DD3" w:rsidRDefault="004E4DD3" w:rsidP="004E4DD3">
      <w:pPr>
        <w:pStyle w:val="Body"/>
        <w:rPr>
          <w:rFonts w:ascii="Arial" w:eastAsia="Calibri" w:hAnsi="Arial" w:cs="Arial"/>
          <w:bCs/>
          <w:szCs w:val="22"/>
          <w:lang w:val="en-IN"/>
        </w:rPr>
      </w:pPr>
      <w:r>
        <w:rPr>
          <w:rFonts w:ascii="Arial" w:eastAsia="Calibri" w:hAnsi="Arial" w:cs="Arial"/>
          <w:bCs/>
          <w:szCs w:val="22"/>
          <w:highlight w:val="yellow"/>
          <w:lang w:val="en-IN"/>
        </w:rPr>
        <w:t>Of</w:t>
      </w:r>
      <w:r>
        <w:rPr>
          <w:rFonts w:ascii="Arial" w:eastAsia="Calibri" w:hAnsi="Arial" w:cs="Arial"/>
          <w:bCs/>
          <w:szCs w:val="22"/>
          <w:lang w:val="en-IN"/>
        </w:rPr>
        <w:t xml:space="preserve"> the two types of radiation, ioni</w:t>
      </w:r>
      <w:r>
        <w:rPr>
          <w:rFonts w:ascii="Arial" w:eastAsia="Calibri" w:hAnsi="Arial" w:cs="Arial"/>
          <w:bCs/>
          <w:szCs w:val="22"/>
          <w:highlight w:val="yellow"/>
          <w:lang w:val="en-IN"/>
        </w:rPr>
        <w:t>s</w:t>
      </w:r>
      <w:r>
        <w:rPr>
          <w:rFonts w:ascii="Arial" w:eastAsia="Calibri" w:hAnsi="Arial" w:cs="Arial"/>
          <w:bCs/>
          <w:szCs w:val="22"/>
          <w:lang w:val="en-IN"/>
        </w:rPr>
        <w:t>ing radiation has a high frequency and can harm health by penetrating deeply into body cells and damaging them (Tiwari &amp; Wilson, 2019). Non</w:t>
      </w:r>
      <w:r>
        <w:rPr>
          <w:rFonts w:ascii="Arial" w:eastAsia="Calibri" w:hAnsi="Arial" w:cs="Arial"/>
          <w:bCs/>
          <w:szCs w:val="22"/>
          <w:highlight w:val="yellow"/>
          <w:lang w:val="en-IN"/>
        </w:rPr>
        <w:t>-</w:t>
      </w:r>
      <w:r>
        <w:rPr>
          <w:rFonts w:ascii="Arial" w:eastAsia="Calibri" w:hAnsi="Arial" w:cs="Arial"/>
          <w:bCs/>
          <w:szCs w:val="22"/>
          <w:lang w:val="en-IN"/>
        </w:rPr>
        <w:t>ioni</w:t>
      </w:r>
      <w:r>
        <w:rPr>
          <w:rFonts w:ascii="Arial" w:eastAsia="Calibri" w:hAnsi="Arial" w:cs="Arial"/>
          <w:bCs/>
          <w:szCs w:val="22"/>
          <w:highlight w:val="yellow"/>
          <w:lang w:val="en-IN"/>
        </w:rPr>
        <w:t>s</w:t>
      </w:r>
      <w:r>
        <w:rPr>
          <w:rFonts w:ascii="Arial" w:eastAsia="Calibri" w:hAnsi="Arial" w:cs="Arial"/>
          <w:bCs/>
          <w:szCs w:val="22"/>
          <w:lang w:val="en-IN"/>
        </w:rPr>
        <w:t>ing radiation, on the other hand, has a lower frequency, but long-term exposure to UV light can still cause severe damage. Long-term exposure to UV-A and UV-B leads to premature ag</w:t>
      </w:r>
      <w:r>
        <w:rPr>
          <w:rFonts w:ascii="Arial" w:eastAsia="Calibri" w:hAnsi="Arial" w:cs="Arial"/>
          <w:bCs/>
          <w:szCs w:val="22"/>
          <w:highlight w:val="yellow"/>
          <w:lang w:val="en-IN"/>
        </w:rPr>
        <w:t>e</w:t>
      </w:r>
      <w:r>
        <w:rPr>
          <w:rFonts w:ascii="Arial" w:eastAsia="Calibri" w:hAnsi="Arial" w:cs="Arial"/>
          <w:bCs/>
          <w:szCs w:val="22"/>
          <w:lang w:val="en-IN"/>
        </w:rPr>
        <w:t>ing, damaged skin cells, and wrinkling (Sharma et al., 202</w:t>
      </w:r>
      <w:r>
        <w:rPr>
          <w:rFonts w:ascii="Arial" w:eastAsia="Calibri" w:hAnsi="Arial" w:cs="Arial"/>
          <w:bCs/>
          <w:szCs w:val="22"/>
          <w:highlight w:val="yellow"/>
          <w:lang w:val="en-IN"/>
        </w:rPr>
        <w:t>3</w:t>
      </w:r>
      <w:r>
        <w:rPr>
          <w:rFonts w:ascii="Arial" w:eastAsia="Calibri" w:hAnsi="Arial" w:cs="Arial"/>
          <w:bCs/>
          <w:szCs w:val="22"/>
          <w:lang w:val="en-IN"/>
        </w:rPr>
        <w:t>). Among the three known types of UV rays, UV-C represents the highest-energy band of non-ioni</w:t>
      </w:r>
      <w:r>
        <w:rPr>
          <w:rFonts w:ascii="Arial" w:eastAsia="Calibri" w:hAnsi="Arial" w:cs="Arial"/>
          <w:bCs/>
          <w:szCs w:val="22"/>
          <w:highlight w:val="yellow"/>
          <w:lang w:val="en-IN"/>
        </w:rPr>
        <w:t>s</w:t>
      </w:r>
      <w:r>
        <w:rPr>
          <w:rFonts w:ascii="Arial" w:eastAsia="Calibri" w:hAnsi="Arial" w:cs="Arial"/>
          <w:bCs/>
          <w:szCs w:val="22"/>
          <w:lang w:val="en-IN"/>
        </w:rPr>
        <w:t>ing radiation (Badea et al., 202</w:t>
      </w:r>
      <w:r>
        <w:rPr>
          <w:rFonts w:ascii="Arial" w:eastAsia="Calibri" w:hAnsi="Arial" w:cs="Arial"/>
          <w:bCs/>
          <w:szCs w:val="22"/>
          <w:highlight w:val="yellow"/>
          <w:lang w:val="en-IN"/>
        </w:rPr>
        <w:t>5</w:t>
      </w:r>
      <w:r>
        <w:rPr>
          <w:rFonts w:ascii="Arial" w:eastAsia="Calibri" w:hAnsi="Arial" w:cs="Arial"/>
          <w:bCs/>
          <w:szCs w:val="22"/>
          <w:lang w:val="en-IN"/>
        </w:rPr>
        <w:t>). Natural UV-C is absorbed by Earth’s atmosphere, but accidental exposure to artificial UV-C can pose an even greater biological hazard. Environmental stressors such as ultraviolet-C (UV-C) radiation induce oxidative stress, leading to severe physiological and neurobehavio</w:t>
      </w:r>
      <w:r>
        <w:rPr>
          <w:rFonts w:ascii="Arial" w:eastAsia="Calibri" w:hAnsi="Arial" w:cs="Arial"/>
          <w:bCs/>
          <w:szCs w:val="22"/>
          <w:highlight w:val="yellow"/>
          <w:lang w:val="en-IN"/>
        </w:rPr>
        <w:t>u</w:t>
      </w:r>
      <w:r>
        <w:rPr>
          <w:rFonts w:ascii="Arial" w:eastAsia="Calibri" w:hAnsi="Arial" w:cs="Arial"/>
          <w:bCs/>
          <w:szCs w:val="22"/>
          <w:lang w:val="en-IN"/>
        </w:rPr>
        <w:t xml:space="preserve">ral impairment in biological systems (Mmbando </w:t>
      </w:r>
      <w:r>
        <w:rPr>
          <w:rFonts w:ascii="Arial" w:eastAsia="Calibri" w:hAnsi="Arial" w:cs="Arial"/>
          <w:bCs/>
          <w:szCs w:val="22"/>
          <w:highlight w:val="yellow"/>
          <w:lang w:val="en-IN"/>
        </w:rPr>
        <w:t>&amp;</w:t>
      </w:r>
      <w:r>
        <w:rPr>
          <w:rFonts w:ascii="Arial" w:eastAsia="Calibri" w:hAnsi="Arial" w:cs="Arial"/>
          <w:bCs/>
          <w:szCs w:val="22"/>
          <w:lang w:val="en-IN"/>
        </w:rPr>
        <w:t xml:space="preserve"> Ngongolo</w:t>
      </w:r>
      <w:r>
        <w:rPr>
          <w:rFonts w:ascii="Arial" w:eastAsia="Calibri" w:hAnsi="Arial" w:cs="Arial"/>
          <w:bCs/>
          <w:szCs w:val="22"/>
          <w:highlight w:val="yellow"/>
          <w:lang w:val="en-IN"/>
        </w:rPr>
        <w:t>,</w:t>
      </w:r>
      <w:r>
        <w:rPr>
          <w:rFonts w:ascii="Arial" w:eastAsia="Calibri" w:hAnsi="Arial" w:cs="Arial"/>
          <w:bCs/>
          <w:szCs w:val="22"/>
          <w:lang w:val="en-IN"/>
        </w:rPr>
        <w:t xml:space="preserve"> 2024). Electromagnetic radiation exposure often induces cellular oxidative stress by generating reactive oxygen species (ROS). It disrupts the integrity of the central nervous system and triggers systemic neurobehavio</w:t>
      </w:r>
      <w:r>
        <w:rPr>
          <w:rFonts w:ascii="Arial" w:eastAsia="Calibri" w:hAnsi="Arial" w:cs="Arial"/>
          <w:bCs/>
          <w:szCs w:val="22"/>
          <w:highlight w:val="yellow"/>
          <w:lang w:val="en-IN"/>
        </w:rPr>
        <w:t>u</w:t>
      </w:r>
      <w:r>
        <w:rPr>
          <w:rFonts w:ascii="Arial" w:eastAsia="Calibri" w:hAnsi="Arial" w:cs="Arial"/>
          <w:bCs/>
          <w:szCs w:val="22"/>
          <w:lang w:val="en-IN"/>
        </w:rPr>
        <w:t>ral decline (Leković, 2026). Plant-based dietary antioxidants can protect against radiation by removing reactive oxygen species and reducing cell damage (</w:t>
      </w:r>
      <w:r>
        <w:rPr>
          <w:rFonts w:ascii="Arial" w:eastAsia="Calibri" w:hAnsi="Arial" w:cs="Arial"/>
          <w:bCs/>
          <w:szCs w:val="22"/>
          <w:highlight w:val="yellow"/>
          <w:lang w:val="en-IN"/>
        </w:rPr>
        <w:t>Kumar &amp; Pandey, 2013</w:t>
      </w:r>
      <w:r>
        <w:rPr>
          <w:rFonts w:ascii="Arial" w:eastAsia="Calibri" w:hAnsi="Arial" w:cs="Arial"/>
          <w:bCs/>
          <w:szCs w:val="22"/>
          <w:lang w:val="en-IN"/>
        </w:rPr>
        <w:t>).</w:t>
      </w:r>
      <w:r>
        <w:rPr>
          <w:b/>
          <w:highlight w:val="yellow"/>
        </w:rPr>
        <w:t xml:space="preserve"> </w:t>
      </w:r>
      <w:r w:rsidRPr="00223076">
        <w:rPr>
          <w:bCs/>
          <w:highlight w:val="yellow"/>
        </w:rPr>
        <w:t>Recent evidence also indicates that dietary bioactive compounds can contribute to radioprotection by modulating radiation-associated oxidative stress, inflammation, and DNA damage (Islam et al., 2024).</w:t>
      </w:r>
      <w:r>
        <w:rPr>
          <w:rFonts w:ascii="Arial" w:eastAsia="Calibri" w:hAnsi="Arial" w:cs="Arial"/>
          <w:bCs/>
          <w:szCs w:val="22"/>
          <w:lang w:val="en-IN"/>
        </w:rPr>
        <w:t xml:space="preserve"> To counteract th</w:t>
      </w:r>
      <w:r>
        <w:rPr>
          <w:rFonts w:ascii="Arial" w:eastAsia="Calibri" w:hAnsi="Arial" w:cs="Arial"/>
          <w:bCs/>
          <w:szCs w:val="22"/>
          <w:highlight w:val="yellow"/>
          <w:lang w:val="en-IN"/>
        </w:rPr>
        <w:t>i</w:t>
      </w:r>
      <w:r>
        <w:rPr>
          <w:rFonts w:ascii="Arial" w:eastAsia="Calibri" w:hAnsi="Arial" w:cs="Arial"/>
          <w:bCs/>
          <w:szCs w:val="22"/>
          <w:lang w:val="en-IN"/>
        </w:rPr>
        <w:t xml:space="preserve">s radiation-induced damage, natural flavonoids </w:t>
      </w:r>
      <w:r>
        <w:rPr>
          <w:rFonts w:ascii="Arial" w:eastAsia="Calibri" w:hAnsi="Arial" w:cs="Arial"/>
          <w:bCs/>
          <w:szCs w:val="22"/>
          <w:highlight w:val="yellow"/>
          <w:lang w:val="en-IN"/>
        </w:rPr>
        <w:t>such as</w:t>
      </w:r>
      <w:r>
        <w:rPr>
          <w:rFonts w:ascii="Arial" w:eastAsia="Calibri" w:hAnsi="Arial" w:cs="Arial"/>
          <w:bCs/>
          <w:szCs w:val="22"/>
          <w:lang w:val="en-IN"/>
        </w:rPr>
        <w:t xml:space="preserve"> curcumin and quercetin are being actively investigated. These flavonoids are important plant-based compounds with variable polyphenolic structures (Villegas-Aguilar et al., 2024). Quercetin is abundant in tea and everyday superfoods </w:t>
      </w:r>
      <w:r>
        <w:rPr>
          <w:rFonts w:ascii="Arial" w:eastAsia="Calibri" w:hAnsi="Arial" w:cs="Arial"/>
          <w:bCs/>
          <w:szCs w:val="22"/>
          <w:highlight w:val="yellow"/>
          <w:lang w:val="en-IN"/>
        </w:rPr>
        <w:t>such as</w:t>
      </w:r>
      <w:r>
        <w:rPr>
          <w:rFonts w:ascii="Arial" w:eastAsia="Calibri" w:hAnsi="Arial" w:cs="Arial"/>
          <w:bCs/>
          <w:szCs w:val="22"/>
          <w:lang w:val="en-IN"/>
        </w:rPr>
        <w:t xml:space="preserve"> red onions, apples, berries, and tomatoes. It is a strong plant flavonoid with high antioxidant activity (Xu et al., 2019).</w:t>
      </w:r>
      <w:r>
        <w:rPr>
          <w:b/>
          <w:highlight w:val="yellow"/>
        </w:rPr>
        <w:t xml:space="preserve"> </w:t>
      </w:r>
      <w:r w:rsidRPr="00223076">
        <w:rPr>
          <w:bCs/>
          <w:highlight w:val="yellow"/>
        </w:rPr>
        <w:t>Quercetin has also been shown to improve systemic oxidant-antioxidant indices in an experimental oxidative-stress model, supporting its antioxidant activity in vivo (Kozak et al., 2020).</w:t>
      </w:r>
      <w:r>
        <w:rPr>
          <w:rFonts w:ascii="Arial" w:eastAsia="Calibri" w:hAnsi="Arial" w:cs="Arial"/>
          <w:bCs/>
          <w:szCs w:val="22"/>
          <w:lang w:val="en-IN"/>
        </w:rPr>
        <w:t xml:space="preserve"> Th</w:t>
      </w:r>
      <w:r>
        <w:rPr>
          <w:rFonts w:ascii="Arial" w:eastAsia="Calibri" w:hAnsi="Arial" w:cs="Arial"/>
          <w:bCs/>
          <w:szCs w:val="22"/>
          <w:highlight w:val="yellow"/>
          <w:lang w:val="en-IN"/>
        </w:rPr>
        <w:t>is</w:t>
      </w:r>
      <w:r>
        <w:rPr>
          <w:rFonts w:ascii="Arial" w:eastAsia="Calibri" w:hAnsi="Arial" w:cs="Arial"/>
          <w:bCs/>
          <w:szCs w:val="22"/>
          <w:lang w:val="en-IN"/>
        </w:rPr>
        <w:t xml:space="preserve"> is why this compound is a part of our daily diet. Both of these flavonoids protect plants and animals from both biotic a</w:t>
      </w:r>
      <w:r>
        <w:rPr>
          <w:rFonts w:ascii="Arial" w:eastAsia="Calibri" w:hAnsi="Arial" w:cs="Arial"/>
          <w:bCs/>
          <w:szCs w:val="22"/>
          <w:highlight w:val="yellow"/>
          <w:lang w:val="en-IN"/>
        </w:rPr>
        <w:t>nd</w:t>
      </w:r>
      <w:r>
        <w:rPr>
          <w:rFonts w:ascii="Arial" w:eastAsia="Calibri" w:hAnsi="Arial" w:cs="Arial"/>
          <w:bCs/>
          <w:szCs w:val="22"/>
          <w:lang w:val="en-IN"/>
        </w:rPr>
        <w:t xml:space="preserve"> abiotic stresses by acting as an ultraviolet (UV) filter. Research has shown their antioxidative, anticancer, and radioprotective effects in different animals (Mikhailova et al., 2023).</w:t>
      </w:r>
      <w:r>
        <w:rPr>
          <w:b/>
          <w:highlight w:val="yellow"/>
        </w:rPr>
        <w:t xml:space="preserve"> More recent experimental work has reported quercetin-mediated protection against radiation-associated oxidative and inflammatory injury in vivo (Abdou et al., 2026).</w:t>
      </w:r>
      <w:r>
        <w:rPr>
          <w:rFonts w:ascii="Arial" w:eastAsia="Calibri" w:hAnsi="Arial" w:cs="Arial"/>
          <w:bCs/>
          <w:szCs w:val="22"/>
          <w:lang w:val="en-IN"/>
        </w:rPr>
        <w:t xml:space="preserve"> </w:t>
      </w:r>
      <w:r>
        <w:rPr>
          <w:rFonts w:ascii="Arial" w:eastAsia="Calibri" w:hAnsi="Arial" w:cs="Arial"/>
          <w:bCs/>
          <w:i/>
          <w:iCs/>
          <w:szCs w:val="22"/>
          <w:lang w:val="en-IN"/>
        </w:rPr>
        <w:t>Drosophila melanogaster</w:t>
      </w:r>
      <w:r>
        <w:rPr>
          <w:rFonts w:ascii="Arial" w:eastAsia="Calibri" w:hAnsi="Arial" w:cs="Arial"/>
          <w:bCs/>
          <w:szCs w:val="22"/>
          <w:lang w:val="en-IN"/>
        </w:rPr>
        <w:t xml:space="preserve"> serves as a model organism </w:t>
      </w:r>
      <w:r>
        <w:rPr>
          <w:rFonts w:ascii="Arial" w:eastAsia="Calibri" w:hAnsi="Arial" w:cs="Arial"/>
          <w:bCs/>
          <w:szCs w:val="22"/>
          <w:highlight w:val="yellow"/>
          <w:lang w:val="en-IN"/>
        </w:rPr>
        <w:t>f</w:t>
      </w:r>
      <w:r>
        <w:rPr>
          <w:rFonts w:ascii="Arial" w:eastAsia="Calibri" w:hAnsi="Arial" w:cs="Arial"/>
          <w:bCs/>
          <w:szCs w:val="22"/>
          <w:lang w:val="en-IN"/>
        </w:rPr>
        <w:t>o</w:t>
      </w:r>
      <w:r>
        <w:rPr>
          <w:rFonts w:ascii="Arial" w:eastAsia="Calibri" w:hAnsi="Arial" w:cs="Arial"/>
          <w:bCs/>
          <w:szCs w:val="22"/>
          <w:highlight w:val="yellow"/>
          <w:lang w:val="en-IN"/>
        </w:rPr>
        <w:t>r</w:t>
      </w:r>
      <w:r>
        <w:rPr>
          <w:rFonts w:ascii="Arial" w:eastAsia="Calibri" w:hAnsi="Arial" w:cs="Arial"/>
          <w:bCs/>
          <w:szCs w:val="22"/>
          <w:lang w:val="en-IN"/>
        </w:rPr>
        <w:t xml:space="preserve"> evaluat</w:t>
      </w:r>
      <w:r>
        <w:rPr>
          <w:rFonts w:ascii="Arial" w:eastAsia="Calibri" w:hAnsi="Arial" w:cs="Arial"/>
          <w:bCs/>
          <w:szCs w:val="22"/>
          <w:highlight w:val="yellow"/>
          <w:lang w:val="en-IN"/>
        </w:rPr>
        <w:t>ing</w:t>
      </w:r>
      <w:r>
        <w:rPr>
          <w:rFonts w:ascii="Arial" w:eastAsia="Calibri" w:hAnsi="Arial" w:cs="Arial"/>
          <w:bCs/>
          <w:szCs w:val="22"/>
          <w:lang w:val="en-IN"/>
        </w:rPr>
        <w:t xml:space="preserve"> radiotoxicity </w:t>
      </w:r>
      <w:r>
        <w:rPr>
          <w:rFonts w:ascii="Arial" w:eastAsia="Calibri" w:hAnsi="Arial" w:cs="Arial"/>
          <w:bCs/>
          <w:szCs w:val="22"/>
          <w:highlight w:val="yellow"/>
          <w:lang w:val="en-IN"/>
        </w:rPr>
        <w:t>beca</w:t>
      </w:r>
      <w:r>
        <w:rPr>
          <w:rFonts w:ascii="Arial" w:eastAsia="Calibri" w:hAnsi="Arial" w:cs="Arial"/>
          <w:bCs/>
          <w:szCs w:val="22"/>
          <w:lang w:val="en-IN"/>
        </w:rPr>
        <w:t>u</w:t>
      </w:r>
      <w:r>
        <w:rPr>
          <w:rFonts w:ascii="Arial" w:eastAsia="Calibri" w:hAnsi="Arial" w:cs="Arial"/>
          <w:bCs/>
          <w:szCs w:val="22"/>
          <w:highlight w:val="yellow"/>
          <w:lang w:val="en-IN"/>
        </w:rPr>
        <w:t>s</w:t>
      </w:r>
      <w:r>
        <w:rPr>
          <w:rFonts w:ascii="Arial" w:eastAsia="Calibri" w:hAnsi="Arial" w:cs="Arial"/>
          <w:bCs/>
          <w:szCs w:val="22"/>
          <w:lang w:val="en-IN"/>
        </w:rPr>
        <w:t>e o</w:t>
      </w:r>
      <w:r>
        <w:rPr>
          <w:rFonts w:ascii="Arial" w:eastAsia="Calibri" w:hAnsi="Arial" w:cs="Arial"/>
          <w:bCs/>
          <w:szCs w:val="22"/>
          <w:highlight w:val="yellow"/>
          <w:lang w:val="en-IN"/>
        </w:rPr>
        <w:t>f</w:t>
      </w:r>
      <w:r>
        <w:rPr>
          <w:rFonts w:ascii="Arial" w:eastAsia="Calibri" w:hAnsi="Arial" w:cs="Arial"/>
          <w:bCs/>
          <w:szCs w:val="22"/>
          <w:lang w:val="en-IN"/>
        </w:rPr>
        <w:t xml:space="preserve"> its well-characteri</w:t>
      </w:r>
      <w:r>
        <w:rPr>
          <w:rFonts w:ascii="Arial" w:eastAsia="Calibri" w:hAnsi="Arial" w:cs="Arial"/>
          <w:bCs/>
          <w:szCs w:val="22"/>
          <w:highlight w:val="yellow"/>
          <w:lang w:val="en-IN"/>
        </w:rPr>
        <w:t>s</w:t>
      </w:r>
      <w:r>
        <w:rPr>
          <w:rFonts w:ascii="Arial" w:eastAsia="Calibri" w:hAnsi="Arial" w:cs="Arial"/>
          <w:bCs/>
          <w:szCs w:val="22"/>
          <w:lang w:val="en-IN"/>
        </w:rPr>
        <w:t>ed behavio</w:t>
      </w:r>
      <w:r>
        <w:rPr>
          <w:rFonts w:ascii="Arial" w:eastAsia="Calibri" w:hAnsi="Arial" w:cs="Arial"/>
          <w:bCs/>
          <w:szCs w:val="22"/>
          <w:highlight w:val="yellow"/>
          <w:lang w:val="en-IN"/>
        </w:rPr>
        <w:t>u</w:t>
      </w:r>
      <w:r>
        <w:rPr>
          <w:rFonts w:ascii="Arial" w:eastAsia="Calibri" w:hAnsi="Arial" w:cs="Arial"/>
          <w:bCs/>
          <w:szCs w:val="22"/>
          <w:lang w:val="en-IN"/>
        </w:rPr>
        <w:t>ral repertoire and genetic tractability (</w:t>
      </w:r>
      <w:r>
        <w:rPr>
          <w:rFonts w:ascii="Arial" w:eastAsia="Calibri" w:hAnsi="Arial" w:cs="Arial"/>
          <w:bCs/>
          <w:szCs w:val="22"/>
          <w:highlight w:val="yellow"/>
          <w:lang w:val="en-IN"/>
        </w:rPr>
        <w:t>Abolaji et al., 2013</w:t>
      </w:r>
      <w:r>
        <w:rPr>
          <w:rFonts w:ascii="Arial" w:eastAsia="Calibri" w:hAnsi="Arial" w:cs="Arial"/>
          <w:bCs/>
          <w:szCs w:val="22"/>
          <w:lang w:val="en-IN"/>
        </w:rPr>
        <w:t xml:space="preserve">). An experimental study found that UV radiation caused DNA breaks in the salivary glands, reduced eclosion rate, and induced certain phenotypic mutations in </w:t>
      </w:r>
      <w:r>
        <w:rPr>
          <w:rFonts w:ascii="Arial" w:eastAsia="Calibri" w:hAnsi="Arial" w:cs="Arial"/>
          <w:bCs/>
          <w:i/>
          <w:iCs/>
          <w:szCs w:val="22"/>
          <w:lang w:val="en-IN"/>
        </w:rPr>
        <w:t>Drosophila</w:t>
      </w:r>
      <w:r>
        <w:rPr>
          <w:rFonts w:ascii="Arial" w:eastAsia="Calibri" w:hAnsi="Arial" w:cs="Arial"/>
          <w:bCs/>
          <w:szCs w:val="22"/>
          <w:lang w:val="en-IN"/>
        </w:rPr>
        <w:t xml:space="preserve"> </w:t>
      </w:r>
      <w:r>
        <w:rPr>
          <w:rFonts w:ascii="Arial" w:eastAsia="Calibri" w:hAnsi="Arial" w:cs="Arial"/>
          <w:bCs/>
          <w:i/>
          <w:iCs/>
          <w:szCs w:val="22"/>
          <w:lang w:val="en-IN"/>
        </w:rPr>
        <w:t>melanogaster</w:t>
      </w:r>
      <w:r>
        <w:rPr>
          <w:rFonts w:ascii="Arial" w:eastAsia="Calibri" w:hAnsi="Arial" w:cs="Arial"/>
          <w:bCs/>
          <w:szCs w:val="22"/>
          <w:lang w:val="en-IN"/>
        </w:rPr>
        <w:t xml:space="preserve"> (</w:t>
      </w:r>
      <w:r>
        <w:rPr>
          <w:rFonts w:ascii="Arial" w:eastAsia="Calibri" w:hAnsi="Arial" w:cs="Arial"/>
          <w:bCs/>
          <w:szCs w:val="22"/>
          <w:highlight w:val="yellow"/>
          <w:lang w:val="en-IN"/>
        </w:rPr>
        <w:t>Enciso et al., 2018; Majumder et al., 2019; Lotfy et al., 2024</w:t>
      </w:r>
      <w:r>
        <w:rPr>
          <w:rFonts w:ascii="Arial" w:eastAsia="Calibri" w:hAnsi="Arial" w:cs="Arial"/>
          <w:bCs/>
          <w:szCs w:val="22"/>
          <w:lang w:val="en-IN"/>
        </w:rPr>
        <w:t>). Furthermore, dietary curcumin supplementation effectively mitigates radiation-induced ag</w:t>
      </w:r>
      <w:r>
        <w:rPr>
          <w:rFonts w:ascii="Arial" w:eastAsia="Calibri" w:hAnsi="Arial" w:cs="Arial"/>
          <w:bCs/>
          <w:szCs w:val="22"/>
          <w:highlight w:val="yellow"/>
          <w:lang w:val="en-IN"/>
        </w:rPr>
        <w:t>e</w:t>
      </w:r>
      <w:r>
        <w:rPr>
          <w:rFonts w:ascii="Arial" w:eastAsia="Calibri" w:hAnsi="Arial" w:cs="Arial"/>
          <w:bCs/>
          <w:szCs w:val="22"/>
          <w:lang w:val="en-IN"/>
        </w:rPr>
        <w:t>ing and cellular injury and suppresses oxidative signal</w:t>
      </w:r>
      <w:r>
        <w:rPr>
          <w:rFonts w:ascii="Arial" w:eastAsia="Calibri" w:hAnsi="Arial" w:cs="Arial"/>
          <w:bCs/>
          <w:szCs w:val="22"/>
          <w:highlight w:val="yellow"/>
          <w:lang w:val="en-IN"/>
        </w:rPr>
        <w:t>l</w:t>
      </w:r>
      <w:r>
        <w:rPr>
          <w:rFonts w:ascii="Arial" w:eastAsia="Calibri" w:hAnsi="Arial" w:cs="Arial"/>
          <w:bCs/>
          <w:szCs w:val="22"/>
          <w:lang w:val="en-IN"/>
        </w:rPr>
        <w:t>ing cascades across biological systems (Zhan et al., 2026).</w:t>
      </w:r>
    </w:p>
    <w:p w14:paraId="2D1012D6" w14:textId="77777777" w:rsidR="004E4DD3" w:rsidRPr="004E4DD3" w:rsidRDefault="004E4DD3" w:rsidP="004E4DD3">
      <w:pPr>
        <w:pStyle w:val="Body"/>
        <w:rPr>
          <w:rFonts w:ascii="Arial" w:eastAsia="Calibri" w:hAnsi="Arial" w:cs="Arial"/>
          <w:bCs/>
          <w:szCs w:val="22"/>
          <w:lang w:val="en-IN"/>
        </w:rPr>
      </w:pPr>
      <w:r>
        <w:rPr>
          <w:rFonts w:ascii="Arial" w:eastAsia="Calibri" w:hAnsi="Arial" w:cs="Arial"/>
          <w:bCs/>
          <w:szCs w:val="22"/>
          <w:lang w:val="en-IN"/>
        </w:rPr>
        <w:t xml:space="preserve">Although both of these polyphenols have been extensively studied for their radioprotective, anticancer, antioxidative, and other properties, the radioprotective effects of quercetin in </w:t>
      </w:r>
      <w:r>
        <w:rPr>
          <w:rFonts w:ascii="Arial" w:eastAsia="Calibri" w:hAnsi="Arial" w:cs="Arial"/>
          <w:bCs/>
          <w:i/>
          <w:iCs/>
          <w:szCs w:val="22"/>
          <w:lang w:val="en-IN"/>
        </w:rPr>
        <w:t>Drosophila melanogaster</w:t>
      </w:r>
      <w:r>
        <w:rPr>
          <w:rFonts w:ascii="Arial" w:eastAsia="Calibri" w:hAnsi="Arial" w:cs="Arial"/>
          <w:bCs/>
          <w:szCs w:val="22"/>
          <w:lang w:val="en-IN"/>
        </w:rPr>
        <w:t xml:space="preserve">, an in vivo model, have not yet been fully explored (Boots et al., 2008; </w:t>
      </w:r>
      <w:r>
        <w:rPr>
          <w:rFonts w:ascii="Arial" w:eastAsia="Calibri" w:hAnsi="Arial" w:cs="Arial"/>
          <w:bCs/>
          <w:szCs w:val="22"/>
          <w:highlight w:val="yellow"/>
          <w:lang w:val="en-IN"/>
        </w:rPr>
        <w:t>Seong et al., 2015;</w:t>
      </w:r>
      <w:r>
        <w:rPr>
          <w:rFonts w:ascii="Arial" w:eastAsia="Calibri" w:hAnsi="Arial" w:cs="Arial"/>
          <w:bCs/>
          <w:szCs w:val="22"/>
          <w:lang w:val="en-IN"/>
        </w:rPr>
        <w:t xml:space="preserve"> Proshkina et al., 2016; Xu et al., 2019). Upon radiation exposure, this model organism e</w:t>
      </w:r>
      <w:r>
        <w:rPr>
          <w:rFonts w:ascii="Arial" w:eastAsia="Calibri" w:hAnsi="Arial" w:cs="Arial"/>
          <w:bCs/>
          <w:szCs w:val="22"/>
          <w:highlight w:val="yellow"/>
          <w:lang w:val="en-IN"/>
        </w:rPr>
        <w:t>xh</w:t>
      </w:r>
      <w:r>
        <w:rPr>
          <w:rFonts w:ascii="Arial" w:eastAsia="Calibri" w:hAnsi="Arial" w:cs="Arial"/>
          <w:bCs/>
          <w:szCs w:val="22"/>
          <w:lang w:val="en-IN"/>
        </w:rPr>
        <w:t>i</w:t>
      </w:r>
      <w:r>
        <w:rPr>
          <w:rFonts w:ascii="Arial" w:eastAsia="Calibri" w:hAnsi="Arial" w:cs="Arial"/>
          <w:bCs/>
          <w:szCs w:val="22"/>
          <w:highlight w:val="yellow"/>
          <w:lang w:val="en-IN"/>
        </w:rPr>
        <w:t>bit</w:t>
      </w:r>
      <w:r>
        <w:rPr>
          <w:rFonts w:ascii="Arial" w:eastAsia="Calibri" w:hAnsi="Arial" w:cs="Arial"/>
          <w:bCs/>
          <w:szCs w:val="22"/>
          <w:lang w:val="en-IN"/>
        </w:rPr>
        <w:t>s an oxidative stress response akin to that in humans (</w:t>
      </w:r>
      <w:r>
        <w:rPr>
          <w:rFonts w:ascii="Arial" w:eastAsia="Calibri" w:hAnsi="Arial" w:cs="Arial"/>
          <w:bCs/>
          <w:szCs w:val="22"/>
        </w:rPr>
        <w:t xml:space="preserve">Pandey </w:t>
      </w:r>
      <w:r>
        <w:rPr>
          <w:rFonts w:ascii="Arial" w:eastAsia="Calibri" w:hAnsi="Arial" w:cs="Arial"/>
          <w:bCs/>
          <w:szCs w:val="22"/>
          <w:highlight w:val="yellow"/>
        </w:rPr>
        <w:t>&amp;</w:t>
      </w:r>
      <w:r>
        <w:rPr>
          <w:rFonts w:ascii="Arial" w:eastAsia="Calibri" w:hAnsi="Arial" w:cs="Arial"/>
          <w:bCs/>
          <w:szCs w:val="22"/>
        </w:rPr>
        <w:t xml:space="preserve"> Nichols, 2011; </w:t>
      </w:r>
      <w:r>
        <w:rPr>
          <w:rFonts w:ascii="Arial" w:eastAsia="Calibri" w:hAnsi="Arial" w:cs="Arial"/>
          <w:bCs/>
          <w:szCs w:val="22"/>
          <w:lang w:val="en-IN"/>
        </w:rPr>
        <w:t>Weber et al., 2012). Hence, this insect serves as a baseline model across multiple domains, including behavio</w:t>
      </w:r>
      <w:r>
        <w:rPr>
          <w:rFonts w:ascii="Arial" w:eastAsia="Calibri" w:hAnsi="Arial" w:cs="Arial"/>
          <w:bCs/>
          <w:szCs w:val="22"/>
          <w:highlight w:val="yellow"/>
          <w:lang w:val="en-IN"/>
        </w:rPr>
        <w:t>u</w:t>
      </w:r>
      <w:r>
        <w:rPr>
          <w:rFonts w:ascii="Arial" w:eastAsia="Calibri" w:hAnsi="Arial" w:cs="Arial"/>
          <w:bCs/>
          <w:szCs w:val="22"/>
          <w:lang w:val="en-IN"/>
        </w:rPr>
        <w:t>ral biology, neurobiology, genetics, and developmental biology, owing to its cost-effective maintenance, rapid life cycle, and exceptional reproductive potential (</w:t>
      </w:r>
      <w:r>
        <w:rPr>
          <w:rFonts w:ascii="Arial" w:eastAsia="Calibri" w:hAnsi="Arial" w:cs="Arial"/>
          <w:bCs/>
          <w:szCs w:val="22"/>
        </w:rPr>
        <w:t xml:space="preserve">Sokolowski, 2001; </w:t>
      </w:r>
      <w:r>
        <w:rPr>
          <w:rFonts w:ascii="Arial" w:eastAsia="Calibri" w:hAnsi="Arial" w:cs="Arial"/>
          <w:bCs/>
          <w:szCs w:val="22"/>
          <w:lang w:val="en-IN"/>
        </w:rPr>
        <w:t>Atoki et al., 202</w:t>
      </w:r>
      <w:r>
        <w:rPr>
          <w:rFonts w:ascii="Arial" w:eastAsia="Calibri" w:hAnsi="Arial" w:cs="Arial"/>
          <w:bCs/>
          <w:szCs w:val="22"/>
          <w:highlight w:val="yellow"/>
          <w:lang w:val="en-IN"/>
        </w:rPr>
        <w:t>5</w:t>
      </w:r>
      <w:r>
        <w:rPr>
          <w:rFonts w:ascii="Arial" w:eastAsia="Calibri" w:hAnsi="Arial" w:cs="Arial"/>
          <w:bCs/>
          <w:szCs w:val="22"/>
          <w:lang w:val="en-IN"/>
        </w:rPr>
        <w:t>). Following radiation</w:t>
      </w:r>
      <w:r>
        <w:rPr>
          <w:rFonts w:ascii="Arial" w:eastAsia="Calibri" w:hAnsi="Arial" w:cs="Arial"/>
          <w:bCs/>
          <w:szCs w:val="22"/>
          <w:highlight w:val="yellow"/>
          <w:lang w:val="en-IN"/>
        </w:rPr>
        <w:t xml:space="preserve"> exposure</w:t>
      </w:r>
      <w:r>
        <w:rPr>
          <w:rFonts w:ascii="Arial" w:eastAsia="Calibri" w:hAnsi="Arial" w:cs="Arial"/>
          <w:bCs/>
          <w:szCs w:val="22"/>
          <w:lang w:val="en-IN"/>
        </w:rPr>
        <w:t xml:space="preserve">, adult flies exhibit </w:t>
      </w:r>
      <w:r>
        <w:rPr>
          <w:rFonts w:ascii="Arial" w:eastAsia="Calibri" w:hAnsi="Arial" w:cs="Arial"/>
          <w:bCs/>
          <w:szCs w:val="22"/>
          <w:lang w:val="en-IN"/>
        </w:rPr>
        <w:lastRenderedPageBreak/>
        <w:t>marked physiological, functional, and behavio</w:t>
      </w:r>
      <w:r>
        <w:rPr>
          <w:rFonts w:ascii="Arial" w:eastAsia="Calibri" w:hAnsi="Arial" w:cs="Arial"/>
          <w:bCs/>
          <w:szCs w:val="22"/>
          <w:highlight w:val="yellow"/>
          <w:lang w:val="en-IN"/>
        </w:rPr>
        <w:t>u</w:t>
      </w:r>
      <w:r>
        <w:rPr>
          <w:rFonts w:ascii="Arial" w:eastAsia="Calibri" w:hAnsi="Arial" w:cs="Arial"/>
          <w:bCs/>
          <w:szCs w:val="22"/>
          <w:lang w:val="en-IN"/>
        </w:rPr>
        <w:t>ral decline across multiple parameters, including locomotor impairment, stress sensitivity, a</w:t>
      </w:r>
      <w:r>
        <w:rPr>
          <w:rFonts w:ascii="Arial" w:eastAsia="Calibri" w:hAnsi="Arial" w:cs="Arial"/>
          <w:bCs/>
          <w:szCs w:val="22"/>
          <w:highlight w:val="yellow"/>
          <w:lang w:val="en-IN"/>
        </w:rPr>
        <w:t>nd a</w:t>
      </w:r>
      <w:r>
        <w:rPr>
          <w:rFonts w:ascii="Arial" w:eastAsia="Calibri" w:hAnsi="Arial" w:cs="Arial"/>
          <w:bCs/>
          <w:szCs w:val="22"/>
          <w:lang w:val="en-IN"/>
        </w:rPr>
        <w:t>ltered phototactic and geotactic preferences (</w:t>
      </w:r>
      <w:r>
        <w:rPr>
          <w:rFonts w:ascii="Arial" w:eastAsia="Calibri" w:hAnsi="Arial" w:cs="Arial"/>
          <w:bCs/>
          <w:szCs w:val="22"/>
        </w:rPr>
        <w:t xml:space="preserve">Pandey </w:t>
      </w:r>
      <w:r>
        <w:rPr>
          <w:rFonts w:ascii="Arial" w:eastAsia="Calibri" w:hAnsi="Arial" w:cs="Arial"/>
          <w:bCs/>
          <w:szCs w:val="22"/>
          <w:highlight w:val="yellow"/>
        </w:rPr>
        <w:t>&amp;</w:t>
      </w:r>
      <w:r>
        <w:rPr>
          <w:rFonts w:ascii="Arial" w:eastAsia="Calibri" w:hAnsi="Arial" w:cs="Arial"/>
          <w:bCs/>
          <w:szCs w:val="22"/>
        </w:rPr>
        <w:t xml:space="preserve"> Nichols, 2011)</w:t>
      </w:r>
      <w:r>
        <w:rPr>
          <w:rFonts w:ascii="Arial" w:eastAsia="Calibri" w:hAnsi="Arial" w:cs="Arial"/>
          <w:bCs/>
          <w:szCs w:val="22"/>
          <w:lang w:val="en-IN"/>
        </w:rPr>
        <w:t>. Adult flies naturally lose their ability to climb as they grow older, and measuring this age-dependent climbing behavio</w:t>
      </w:r>
      <w:r>
        <w:rPr>
          <w:rFonts w:ascii="Arial" w:eastAsia="Calibri" w:hAnsi="Arial" w:cs="Arial"/>
          <w:bCs/>
          <w:szCs w:val="22"/>
          <w:highlight w:val="yellow"/>
          <w:lang w:val="en-IN"/>
        </w:rPr>
        <w:t>u</w:t>
      </w:r>
      <w:r>
        <w:rPr>
          <w:rFonts w:ascii="Arial" w:eastAsia="Calibri" w:hAnsi="Arial" w:cs="Arial"/>
          <w:bCs/>
          <w:szCs w:val="22"/>
          <w:lang w:val="en-IN"/>
        </w:rPr>
        <w:t xml:space="preserve">r provides a direct way to test how radiation affects muscle control and brain health (Gargano et al., 2005). </w:t>
      </w:r>
      <w:r>
        <w:rPr>
          <w:rFonts w:ascii="Arial" w:eastAsia="Calibri" w:hAnsi="Arial" w:cs="Arial"/>
          <w:bCs/>
          <w:szCs w:val="22"/>
          <w:highlight w:val="yellow"/>
          <w:lang w:val="en-IN"/>
        </w:rPr>
        <w:t>K</w:t>
      </w:r>
      <w:r>
        <w:rPr>
          <w:rFonts w:ascii="Arial" w:eastAsia="Calibri" w:hAnsi="Arial" w:cs="Arial"/>
          <w:bCs/>
          <w:szCs w:val="22"/>
          <w:lang w:val="en-IN"/>
        </w:rPr>
        <w:t>ey behavio</w:t>
      </w:r>
      <w:r>
        <w:rPr>
          <w:rFonts w:ascii="Arial" w:eastAsia="Calibri" w:hAnsi="Arial" w:cs="Arial"/>
          <w:bCs/>
          <w:szCs w:val="22"/>
          <w:highlight w:val="yellow"/>
          <w:lang w:val="en-IN"/>
        </w:rPr>
        <w:t>u</w:t>
      </w:r>
      <w:r>
        <w:rPr>
          <w:rFonts w:ascii="Arial" w:eastAsia="Calibri" w:hAnsi="Arial" w:cs="Arial"/>
          <w:bCs/>
          <w:szCs w:val="22"/>
          <w:lang w:val="en-IN"/>
        </w:rPr>
        <w:t xml:space="preserve">ral markers </w:t>
      </w:r>
      <w:r>
        <w:rPr>
          <w:rFonts w:ascii="Arial" w:eastAsia="Calibri" w:hAnsi="Arial" w:cs="Arial"/>
          <w:bCs/>
          <w:szCs w:val="22"/>
          <w:highlight w:val="yellow"/>
          <w:lang w:val="en-IN"/>
        </w:rPr>
        <w:t>includ</w:t>
      </w:r>
      <w:r>
        <w:rPr>
          <w:rFonts w:ascii="Arial" w:eastAsia="Calibri" w:hAnsi="Arial" w:cs="Arial"/>
          <w:bCs/>
          <w:szCs w:val="22"/>
          <w:lang w:val="en-IN"/>
        </w:rPr>
        <w:t>e phototactic</w:t>
      </w:r>
      <w:r>
        <w:rPr>
          <w:rFonts w:ascii="Arial" w:eastAsia="Calibri" w:hAnsi="Arial" w:cs="Arial"/>
          <w:bCs/>
          <w:szCs w:val="22"/>
          <w:highlight w:val="yellow"/>
          <w:lang w:val="en-IN"/>
        </w:rPr>
        <w:t xml:space="preserve"> and</w:t>
      </w:r>
      <w:r>
        <w:rPr>
          <w:rFonts w:ascii="Arial" w:eastAsia="Calibri" w:hAnsi="Arial" w:cs="Arial"/>
          <w:bCs/>
          <w:szCs w:val="22"/>
          <w:lang w:val="en-IN"/>
        </w:rPr>
        <w:t xml:space="preserve"> geotactic preferences</w:t>
      </w:r>
      <w:r>
        <w:rPr>
          <w:rFonts w:ascii="Arial" w:eastAsia="Calibri" w:hAnsi="Arial" w:cs="Arial"/>
          <w:bCs/>
          <w:szCs w:val="22"/>
          <w:highlight w:val="yellow"/>
          <w:lang w:val="en-IN"/>
        </w:rPr>
        <w:t xml:space="preserve"> and</w:t>
      </w:r>
      <w:r>
        <w:rPr>
          <w:rFonts w:ascii="Arial" w:eastAsia="Calibri" w:hAnsi="Arial" w:cs="Arial"/>
          <w:bCs/>
          <w:szCs w:val="22"/>
          <w:lang w:val="en-IN"/>
        </w:rPr>
        <w:t xml:space="preserve"> post</w:t>
      </w:r>
      <w:r>
        <w:rPr>
          <w:rFonts w:ascii="Arial" w:eastAsia="Calibri" w:hAnsi="Arial" w:cs="Arial"/>
          <w:bCs/>
          <w:szCs w:val="22"/>
          <w:highlight w:val="yellow"/>
          <w:lang w:val="en-IN"/>
        </w:rPr>
        <w:t>-</w:t>
      </w:r>
      <w:r>
        <w:rPr>
          <w:rFonts w:ascii="Arial" w:eastAsia="Calibri" w:hAnsi="Arial" w:cs="Arial"/>
          <w:bCs/>
          <w:szCs w:val="22"/>
          <w:lang w:val="en-IN"/>
        </w:rPr>
        <w:t>mechanical</w:t>
      </w:r>
      <w:r>
        <w:rPr>
          <w:rFonts w:ascii="Arial" w:eastAsia="Calibri" w:hAnsi="Arial" w:cs="Arial"/>
          <w:bCs/>
          <w:szCs w:val="22"/>
          <w:highlight w:val="yellow"/>
          <w:lang w:val="en-IN"/>
        </w:rPr>
        <w:t>-</w:t>
      </w:r>
      <w:r>
        <w:rPr>
          <w:rFonts w:ascii="Arial" w:eastAsia="Calibri" w:hAnsi="Arial" w:cs="Arial"/>
          <w:bCs/>
          <w:szCs w:val="22"/>
          <w:lang w:val="en-IN"/>
        </w:rPr>
        <w:t>shock recovery</w:t>
      </w:r>
      <w:r>
        <w:rPr>
          <w:rFonts w:ascii="Arial" w:eastAsia="Calibri" w:hAnsi="Arial" w:cs="Arial"/>
          <w:bCs/>
          <w:szCs w:val="22"/>
          <w:highlight w:val="yellow"/>
          <w:lang w:val="en-IN"/>
        </w:rPr>
        <w:t>;</w:t>
      </w:r>
      <w:r>
        <w:rPr>
          <w:rFonts w:ascii="Arial" w:eastAsia="Calibri" w:hAnsi="Arial" w:cs="Arial"/>
          <w:bCs/>
          <w:szCs w:val="22"/>
          <w:lang w:val="en-IN"/>
        </w:rPr>
        <w:t xml:space="preserve"> the</w:t>
      </w:r>
      <w:r>
        <w:rPr>
          <w:rFonts w:ascii="Arial" w:eastAsia="Calibri" w:hAnsi="Arial" w:cs="Arial"/>
          <w:bCs/>
          <w:szCs w:val="22"/>
          <w:highlight w:val="yellow"/>
          <w:lang w:val="en-IN"/>
        </w:rPr>
        <w:t>se</w:t>
      </w:r>
      <w:r>
        <w:rPr>
          <w:rFonts w:ascii="Arial" w:eastAsia="Calibri" w:hAnsi="Arial" w:cs="Arial"/>
          <w:bCs/>
          <w:szCs w:val="22"/>
          <w:lang w:val="en-IN"/>
        </w:rPr>
        <w:t xml:space="preserve"> reflect neuromuscular health in animals (</w:t>
      </w:r>
      <w:r>
        <w:rPr>
          <w:rFonts w:ascii="Arial" w:eastAsia="Calibri" w:hAnsi="Arial" w:cs="Arial"/>
          <w:bCs/>
          <w:szCs w:val="22"/>
        </w:rPr>
        <w:t>Benzer, 1967</w:t>
      </w:r>
      <w:r>
        <w:rPr>
          <w:rFonts w:ascii="Arial" w:eastAsia="Calibri" w:hAnsi="Arial" w:cs="Arial"/>
          <w:bCs/>
          <w:szCs w:val="22"/>
          <w:lang w:val="en-IN"/>
        </w:rPr>
        <w:t xml:space="preserve">; </w:t>
      </w:r>
      <w:r>
        <w:rPr>
          <w:rFonts w:ascii="Arial" w:eastAsia="Calibri" w:hAnsi="Arial" w:cs="Arial"/>
          <w:bCs/>
          <w:szCs w:val="22"/>
        </w:rPr>
        <w:t xml:space="preserve">Kuebler </w:t>
      </w:r>
      <w:r>
        <w:rPr>
          <w:rFonts w:ascii="Arial" w:eastAsia="Calibri" w:hAnsi="Arial" w:cs="Arial"/>
          <w:bCs/>
          <w:szCs w:val="22"/>
          <w:highlight w:val="yellow"/>
        </w:rPr>
        <w:t xml:space="preserve">&amp; </w:t>
      </w:r>
      <w:r>
        <w:rPr>
          <w:rFonts w:ascii="Arial" w:eastAsia="Calibri" w:hAnsi="Arial" w:cs="Arial"/>
          <w:bCs/>
          <w:szCs w:val="22"/>
        </w:rPr>
        <w:t>Tanouye, 2000</w:t>
      </w:r>
      <w:r>
        <w:rPr>
          <w:rFonts w:ascii="Arial" w:eastAsia="Calibri" w:hAnsi="Arial" w:cs="Arial"/>
          <w:bCs/>
          <w:szCs w:val="22"/>
          <w:lang w:val="en-IN"/>
        </w:rPr>
        <w:t>). However, quercetin’s ability to prevent radiation-induced behavio</w:t>
      </w:r>
      <w:r>
        <w:rPr>
          <w:rFonts w:ascii="Arial" w:eastAsia="Calibri" w:hAnsi="Arial" w:cs="Arial"/>
          <w:bCs/>
          <w:szCs w:val="22"/>
          <w:highlight w:val="yellow"/>
          <w:lang w:val="en-IN"/>
        </w:rPr>
        <w:t>u</w:t>
      </w:r>
      <w:r>
        <w:rPr>
          <w:rFonts w:ascii="Arial" w:eastAsia="Calibri" w:hAnsi="Arial" w:cs="Arial"/>
          <w:bCs/>
          <w:szCs w:val="22"/>
          <w:lang w:val="en-IN"/>
        </w:rPr>
        <w:t>ral decline remains incompletely understood (Xu et al., 2019). The current study investigates the radioprotective efficacy of quercetin pretreatment against UV-C</w:t>
      </w:r>
      <w:r>
        <w:rPr>
          <w:rFonts w:ascii="Arial" w:eastAsia="Calibri" w:hAnsi="Arial" w:cs="Arial"/>
          <w:bCs/>
          <w:szCs w:val="22"/>
          <w:highlight w:val="yellow"/>
          <w:lang w:val="en-IN"/>
        </w:rPr>
        <w:t>-</w:t>
      </w:r>
      <w:r>
        <w:rPr>
          <w:rFonts w:ascii="Arial" w:eastAsia="Calibri" w:hAnsi="Arial" w:cs="Arial"/>
          <w:bCs/>
          <w:szCs w:val="22"/>
          <w:lang w:val="en-IN"/>
        </w:rPr>
        <w:t>radiation</w:t>
      </w:r>
      <w:r>
        <w:rPr>
          <w:rFonts w:ascii="Arial" w:eastAsia="Calibri" w:hAnsi="Arial" w:cs="Arial"/>
          <w:bCs/>
          <w:szCs w:val="22"/>
          <w:highlight w:val="yellow"/>
          <w:lang w:val="en-IN"/>
        </w:rPr>
        <w:t>-</w:t>
      </w:r>
      <w:r>
        <w:rPr>
          <w:rFonts w:ascii="Arial" w:eastAsia="Calibri" w:hAnsi="Arial" w:cs="Arial"/>
          <w:bCs/>
          <w:szCs w:val="22"/>
          <w:lang w:val="en-IN"/>
        </w:rPr>
        <w:t xml:space="preserve">induced damage in </w:t>
      </w:r>
      <w:r>
        <w:rPr>
          <w:rFonts w:ascii="Arial" w:eastAsia="Calibri" w:hAnsi="Arial" w:cs="Arial"/>
          <w:bCs/>
          <w:i/>
          <w:iCs/>
          <w:szCs w:val="22"/>
          <w:lang w:val="en-IN"/>
        </w:rPr>
        <w:t>Drosophila</w:t>
      </w:r>
      <w:r>
        <w:rPr>
          <w:rFonts w:ascii="Arial" w:eastAsia="Calibri" w:hAnsi="Arial" w:cs="Arial"/>
          <w:bCs/>
          <w:szCs w:val="22"/>
          <w:lang w:val="en-IN"/>
        </w:rPr>
        <w:t xml:space="preserve"> </w:t>
      </w:r>
      <w:r>
        <w:rPr>
          <w:rFonts w:ascii="Arial" w:eastAsia="Calibri" w:hAnsi="Arial" w:cs="Arial"/>
          <w:bCs/>
          <w:i/>
          <w:iCs/>
          <w:szCs w:val="22"/>
          <w:lang w:val="en-IN"/>
        </w:rPr>
        <w:t xml:space="preserve">melanogaster. </w:t>
      </w:r>
      <w:r>
        <w:rPr>
          <w:rFonts w:ascii="Arial" w:eastAsia="Calibri" w:hAnsi="Arial" w:cs="Arial"/>
          <w:bCs/>
          <w:szCs w:val="22"/>
          <w:lang w:val="en-IN"/>
        </w:rPr>
        <w:t>Specifically, we measured adult climbing activity, mechanical stress recovery,</w:t>
      </w:r>
      <w:r>
        <w:rPr>
          <w:rFonts w:ascii="Arial" w:eastAsia="Calibri" w:hAnsi="Arial" w:cs="Arial"/>
          <w:bCs/>
          <w:szCs w:val="22"/>
          <w:highlight w:val="yellow"/>
          <w:lang w:val="en-IN"/>
        </w:rPr>
        <w:t xml:space="preserve"> and</w:t>
      </w:r>
      <w:r>
        <w:rPr>
          <w:rFonts w:ascii="Arial" w:eastAsia="Calibri" w:hAnsi="Arial" w:cs="Arial"/>
          <w:bCs/>
          <w:szCs w:val="22"/>
          <w:lang w:val="en-IN"/>
        </w:rPr>
        <w:t xml:space="preserve"> phototactic and geotactic preferences. This study investigates the radioprotective potential of dietary quercetin supplementation </w:t>
      </w:r>
      <w:r>
        <w:rPr>
          <w:rFonts w:ascii="Arial" w:eastAsia="Calibri" w:hAnsi="Arial" w:cs="Arial"/>
          <w:bCs/>
          <w:szCs w:val="22"/>
          <w:highlight w:val="yellow"/>
          <w:lang w:val="en-IN"/>
        </w:rPr>
        <w:t>thr</w:t>
      </w:r>
      <w:r>
        <w:rPr>
          <w:rFonts w:ascii="Arial" w:eastAsia="Calibri" w:hAnsi="Arial" w:cs="Arial"/>
          <w:bCs/>
          <w:szCs w:val="22"/>
          <w:lang w:val="en-IN"/>
        </w:rPr>
        <w:t>o</w:t>
      </w:r>
      <w:r>
        <w:rPr>
          <w:rFonts w:ascii="Arial" w:eastAsia="Calibri" w:hAnsi="Arial" w:cs="Arial"/>
          <w:bCs/>
          <w:szCs w:val="22"/>
          <w:highlight w:val="yellow"/>
          <w:lang w:val="en-IN"/>
        </w:rPr>
        <w:t>ugh</w:t>
      </w:r>
      <w:r>
        <w:rPr>
          <w:rFonts w:ascii="Arial" w:eastAsia="Calibri" w:hAnsi="Arial" w:cs="Arial"/>
          <w:bCs/>
          <w:szCs w:val="22"/>
          <w:lang w:val="en-IN"/>
        </w:rPr>
        <w:t xml:space="preserve"> behavio</w:t>
      </w:r>
      <w:r>
        <w:rPr>
          <w:rFonts w:ascii="Arial" w:eastAsia="Calibri" w:hAnsi="Arial" w:cs="Arial"/>
          <w:bCs/>
          <w:szCs w:val="22"/>
          <w:highlight w:val="yellow"/>
          <w:lang w:val="en-IN"/>
        </w:rPr>
        <w:t>u</w:t>
      </w:r>
      <w:r>
        <w:rPr>
          <w:rFonts w:ascii="Arial" w:eastAsia="Calibri" w:hAnsi="Arial" w:cs="Arial"/>
          <w:bCs/>
          <w:szCs w:val="22"/>
          <w:lang w:val="en-IN"/>
        </w:rPr>
        <w:t xml:space="preserve">ral biomarkers in </w:t>
      </w:r>
      <w:r>
        <w:rPr>
          <w:rFonts w:ascii="Arial" w:eastAsia="Calibri" w:hAnsi="Arial" w:cs="Arial"/>
          <w:bCs/>
          <w:i/>
          <w:iCs/>
          <w:szCs w:val="22"/>
          <w:lang w:val="en-IN"/>
        </w:rPr>
        <w:t>Drosophila melanogaster</w:t>
      </w:r>
      <w:r>
        <w:rPr>
          <w:rFonts w:ascii="Arial" w:eastAsia="Calibri" w:hAnsi="Arial" w:cs="Arial"/>
          <w:bCs/>
          <w:szCs w:val="22"/>
          <w:lang w:val="en-IN"/>
        </w:rPr>
        <w:t xml:space="preserve"> exposed to UV-C radiation. These parameters serve as reliable functional biomarkers (Atoki et al., 202</w:t>
      </w:r>
      <w:r>
        <w:rPr>
          <w:rFonts w:ascii="Arial" w:eastAsia="Calibri" w:hAnsi="Arial" w:cs="Arial"/>
          <w:bCs/>
          <w:szCs w:val="22"/>
          <w:highlight w:val="yellow"/>
          <w:lang w:val="en-IN"/>
        </w:rPr>
        <w:t>5</w:t>
      </w:r>
      <w:r>
        <w:rPr>
          <w:rFonts w:ascii="Arial" w:eastAsia="Calibri" w:hAnsi="Arial" w:cs="Arial"/>
          <w:bCs/>
          <w:szCs w:val="22"/>
          <w:lang w:val="en-IN"/>
        </w:rPr>
        <w:t>) for assessing UV</w:t>
      </w:r>
      <w:r>
        <w:rPr>
          <w:rFonts w:ascii="Arial" w:eastAsia="Calibri" w:hAnsi="Arial" w:cs="Arial"/>
          <w:bCs/>
          <w:szCs w:val="22"/>
          <w:highlight w:val="yellow"/>
          <w:lang w:val="en-IN"/>
        </w:rPr>
        <w:t>-</w:t>
      </w:r>
      <w:r>
        <w:rPr>
          <w:rFonts w:ascii="Arial" w:eastAsia="Calibri" w:hAnsi="Arial" w:cs="Arial"/>
          <w:bCs/>
          <w:szCs w:val="22"/>
          <w:lang w:val="en-IN"/>
        </w:rPr>
        <w:t>radiation-induced toxicity and provide a sensitive behavio</w:t>
      </w:r>
      <w:r>
        <w:rPr>
          <w:rFonts w:ascii="Arial" w:eastAsia="Calibri" w:hAnsi="Arial" w:cs="Arial"/>
          <w:bCs/>
          <w:szCs w:val="22"/>
          <w:highlight w:val="yellow"/>
          <w:lang w:val="en-IN"/>
        </w:rPr>
        <w:t>u</w:t>
      </w:r>
      <w:r>
        <w:rPr>
          <w:rFonts w:ascii="Arial" w:eastAsia="Calibri" w:hAnsi="Arial" w:cs="Arial"/>
          <w:bCs/>
          <w:szCs w:val="22"/>
          <w:lang w:val="en-IN"/>
        </w:rPr>
        <w:t>ral assay to quantify neuromuscular integrity, motor coordination decline, and radiation-induced physiological ag</w:t>
      </w:r>
      <w:r>
        <w:rPr>
          <w:rFonts w:ascii="Arial" w:eastAsia="Calibri" w:hAnsi="Arial" w:cs="Arial"/>
          <w:bCs/>
          <w:szCs w:val="22"/>
          <w:highlight w:val="yellow"/>
          <w:lang w:val="en-IN"/>
        </w:rPr>
        <w:t>e</w:t>
      </w:r>
      <w:r>
        <w:rPr>
          <w:rFonts w:ascii="Arial" w:eastAsia="Calibri" w:hAnsi="Arial" w:cs="Arial"/>
          <w:bCs/>
          <w:szCs w:val="22"/>
          <w:lang w:val="en-IN"/>
        </w:rPr>
        <w:t>ing over time</w:t>
      </w:r>
      <w:r>
        <w:rPr>
          <w:rFonts w:ascii="Arial" w:eastAsia="Calibri" w:hAnsi="Arial" w:cs="Arial"/>
          <w:bCs/>
          <w:szCs w:val="22"/>
          <w:highlight w:val="yellow"/>
          <w:lang w:val="en-IN"/>
        </w:rPr>
        <w:t>,</w:t>
      </w:r>
      <w:r>
        <w:rPr>
          <w:rFonts w:ascii="Arial" w:eastAsia="Calibri" w:hAnsi="Arial" w:cs="Arial"/>
          <w:bCs/>
          <w:szCs w:val="22"/>
          <w:lang w:val="en-IN"/>
        </w:rPr>
        <w:t xml:space="preserve"> highlighting the potential role of quercetin as a natural radioprotective agent.</w:t>
      </w:r>
    </w:p>
    <w:p w14:paraId="5CAF670B" w14:textId="77777777" w:rsidR="00790ADA" w:rsidRPr="00FB3A86" w:rsidRDefault="00790ADA" w:rsidP="00441B6F">
      <w:pPr>
        <w:pStyle w:val="Body"/>
        <w:spacing w:after="0"/>
        <w:rPr>
          <w:rFonts w:ascii="Arial" w:hAnsi="Arial" w:cs="Arial"/>
        </w:rPr>
      </w:pPr>
      <w:r>
        <w:rPr>
          <w:b/>
          <w:highlight w:val="yellow"/>
        </w:rPr>
        <w:t xml:space="preserve">Objective: Accordingly, the objective of this study was to evaluate whether dietary quercetin pretreatment mitigates UV-C-induced alterations in adult </w:t>
      </w:r>
      <w:r>
        <w:rPr>
          <w:b/>
          <w:i/>
          <w:highlight w:val="yellow"/>
        </w:rPr>
        <w:t>Drosophila melanogaster</w:t>
      </w:r>
      <w:r>
        <w:rPr>
          <w:b/>
          <w:highlight w:val="yellow"/>
        </w:rPr>
        <w:t xml:space="preserve"> by assessing climbing performance, recovery from mechanical shock, and phototactic and geotactic behaviours.</w:t>
      </w:r>
    </w:p>
    <w:p w14:paraId="5010FFE4" w14:textId="77777777" w:rsidR="007F7B32" w:rsidRDefault="00902823" w:rsidP="00153002">
      <w:pPr>
        <w:pStyle w:val="AbstHead"/>
        <w:spacing w:after="0"/>
        <w:rPr>
          <w:rFonts w:ascii="Arial" w:hAnsi="Arial" w:cs="Arial"/>
        </w:rPr>
      </w:pPr>
      <w:r>
        <w:rPr>
          <w:rFonts w:ascii="Arial" w:hAnsi="Arial" w:cs="Arial"/>
        </w:rPr>
        <w:t>2. material and method</w:t>
      </w:r>
      <w:r w:rsidR="00000F8F">
        <w:rPr>
          <w:rFonts w:ascii="Arial" w:hAnsi="Arial" w:cs="Arial"/>
        </w:rPr>
        <w:t xml:space="preserve">s </w:t>
      </w:r>
    </w:p>
    <w:p w14:paraId="3735A113" w14:textId="77777777" w:rsidR="00790ADA" w:rsidRPr="00FB3A86" w:rsidRDefault="00790ADA" w:rsidP="00441B6F">
      <w:pPr>
        <w:pStyle w:val="AbstHead"/>
        <w:spacing w:after="0"/>
        <w:jc w:val="both"/>
        <w:rPr>
          <w:rFonts w:ascii="Arial" w:hAnsi="Arial" w:cs="Arial"/>
        </w:rPr>
      </w:pPr>
    </w:p>
    <w:p w14:paraId="1F71282D" w14:textId="77777777" w:rsidR="00F73E61" w:rsidRDefault="00F73E61" w:rsidP="00153002">
      <w:pPr>
        <w:pStyle w:val="Body"/>
        <w:spacing w:after="0"/>
        <w:jc w:val="left"/>
        <w:rPr>
          <w:rFonts w:ascii="Arial" w:hAnsi="Arial" w:cs="Arial"/>
          <w:b/>
          <w:sz w:val="22"/>
        </w:rPr>
      </w:pPr>
      <w:r w:rsidRPr="00C30A0F">
        <w:rPr>
          <w:rFonts w:ascii="Arial" w:hAnsi="Arial" w:cs="Arial"/>
          <w:b/>
          <w:caps/>
          <w:sz w:val="22"/>
        </w:rPr>
        <w:t xml:space="preserve">2.1 </w:t>
      </w:r>
      <w:r w:rsidRPr="00F73E61">
        <w:rPr>
          <w:rFonts w:ascii="Arial" w:hAnsi="Arial" w:cs="Arial"/>
          <w:b/>
          <w:sz w:val="22"/>
        </w:rPr>
        <w:t>Maintenance and fly stocks</w:t>
      </w:r>
    </w:p>
    <w:p w14:paraId="531F0AC2" w14:textId="77777777" w:rsidR="00831504" w:rsidRPr="00831504" w:rsidRDefault="00F73E61" w:rsidP="00F73E61">
      <w:pPr>
        <w:pStyle w:val="Body"/>
        <w:spacing w:after="0"/>
        <w:rPr>
          <w:rFonts w:ascii="Arial" w:hAnsi="Arial" w:cs="Arial"/>
        </w:rPr>
      </w:pPr>
      <w:r>
        <w:rPr>
          <w:rFonts w:ascii="Arial" w:hAnsi="Arial" w:cs="Arial"/>
        </w:rPr>
        <w:t xml:space="preserve"> </w:t>
      </w:r>
    </w:p>
    <w:p w14:paraId="68EC8818" w14:textId="71455AF1" w:rsidR="00020D70" w:rsidRPr="00020D70" w:rsidRDefault="00020D70" w:rsidP="00020D70">
      <w:pPr>
        <w:pStyle w:val="Body"/>
        <w:rPr>
          <w:rFonts w:ascii="Arial" w:hAnsi="Arial" w:cs="Arial"/>
          <w:lang w:val="en-IN"/>
        </w:rPr>
      </w:pPr>
      <w:r>
        <w:rPr>
          <w:rFonts w:ascii="Arial" w:hAnsi="Arial" w:cs="Arial"/>
          <w:lang w:val="en-IN"/>
        </w:rPr>
        <w:t xml:space="preserve">Oregon R wild-type </w:t>
      </w:r>
      <w:r>
        <w:rPr>
          <w:rFonts w:ascii="Arial" w:hAnsi="Arial" w:cs="Arial"/>
          <w:i/>
          <w:iCs/>
          <w:lang w:val="en-IN"/>
        </w:rPr>
        <w:t xml:space="preserve">Drosophila melanogaster </w:t>
      </w:r>
      <w:r>
        <w:rPr>
          <w:rFonts w:ascii="Arial" w:hAnsi="Arial" w:cs="Arial"/>
          <w:highlight w:val="yellow"/>
          <w:lang w:val="en-IN"/>
        </w:rPr>
        <w:t xml:space="preserve">flies </w:t>
      </w:r>
      <w:r>
        <w:rPr>
          <w:rFonts w:ascii="Arial" w:hAnsi="Arial" w:cs="Arial"/>
          <w:lang w:val="en-IN"/>
        </w:rPr>
        <w:t>w</w:t>
      </w:r>
      <w:r>
        <w:rPr>
          <w:rFonts w:ascii="Arial" w:hAnsi="Arial" w:cs="Arial"/>
          <w:highlight w:val="yellow"/>
          <w:lang w:val="en-IN"/>
        </w:rPr>
        <w:t>ere</w:t>
      </w:r>
      <w:r>
        <w:rPr>
          <w:rFonts w:ascii="Arial" w:hAnsi="Arial" w:cs="Arial"/>
          <w:lang w:val="en-IN"/>
        </w:rPr>
        <w:t xml:space="preserve"> used in all experiments. The college laboratory’s BOD stock cent</w:t>
      </w:r>
      <w:r>
        <w:rPr>
          <w:rFonts w:ascii="Arial" w:hAnsi="Arial" w:cs="Arial"/>
          <w:highlight w:val="yellow"/>
          <w:lang w:val="en-IN"/>
        </w:rPr>
        <w:t>r</w:t>
      </w:r>
      <w:r>
        <w:rPr>
          <w:rFonts w:ascii="Arial" w:hAnsi="Arial" w:cs="Arial"/>
          <w:lang w:val="en-IN"/>
        </w:rPr>
        <w:t>e house</w:t>
      </w:r>
      <w:r>
        <w:rPr>
          <w:rFonts w:ascii="Arial" w:hAnsi="Arial" w:cs="Arial"/>
          <w:highlight w:val="yellow"/>
          <w:lang w:val="en-IN"/>
        </w:rPr>
        <w:t>d</w:t>
      </w:r>
      <w:r>
        <w:rPr>
          <w:rFonts w:ascii="Arial" w:hAnsi="Arial" w:cs="Arial"/>
          <w:lang w:val="en-IN"/>
        </w:rPr>
        <w:t xml:space="preserve"> and incubate</w:t>
      </w:r>
      <w:r>
        <w:rPr>
          <w:rFonts w:ascii="Arial" w:hAnsi="Arial" w:cs="Arial"/>
          <w:highlight w:val="yellow"/>
          <w:lang w:val="en-IN"/>
        </w:rPr>
        <w:t>d</w:t>
      </w:r>
      <w:r>
        <w:rPr>
          <w:rFonts w:ascii="Arial" w:hAnsi="Arial" w:cs="Arial"/>
          <w:lang w:val="en-IN"/>
        </w:rPr>
        <w:t xml:space="preserve"> all flies. Flies were reared on standard CSY culture medium (cornmeal 31.25 g, brown sugar 31.25 g, </w:t>
      </w:r>
      <w:r>
        <w:rPr>
          <w:rFonts w:ascii="Arial" w:hAnsi="Arial" w:cs="Arial"/>
          <w:highlight w:val="yellow"/>
          <w:lang w:val="en-IN"/>
        </w:rPr>
        <w:t>b</w:t>
      </w:r>
      <w:r>
        <w:rPr>
          <w:rFonts w:ascii="Arial" w:hAnsi="Arial" w:cs="Arial"/>
          <w:lang w:val="en-IN"/>
        </w:rPr>
        <w:t>aker's yeast 18.75 g, agar</w:t>
      </w:r>
      <w:r>
        <w:rPr>
          <w:rFonts w:ascii="Arial" w:hAnsi="Arial" w:cs="Arial"/>
          <w:highlight w:val="yellow"/>
          <w:lang w:val="en-IN"/>
        </w:rPr>
        <w:t>-</w:t>
      </w:r>
      <w:r>
        <w:rPr>
          <w:rFonts w:ascii="Arial" w:hAnsi="Arial" w:cs="Arial"/>
          <w:lang w:val="en-IN"/>
        </w:rPr>
        <w:t>agar 6.25 g) with propionic acid and nipagin dissolved in 1 ml ethanol (Poddar et al., 200</w:t>
      </w:r>
      <w:r w:rsidR="0053009C">
        <w:rPr>
          <w:rFonts w:ascii="Arial" w:hAnsi="Arial" w:cs="Arial"/>
          <w:lang w:val="en-IN"/>
        </w:rPr>
        <w:t>3</w:t>
      </w:r>
      <w:r>
        <w:rPr>
          <w:rFonts w:ascii="Arial" w:hAnsi="Arial" w:cs="Arial"/>
          <w:lang w:val="en-IN"/>
        </w:rPr>
        <w:t xml:space="preserve">). Incubation conditions </w:t>
      </w:r>
      <w:r>
        <w:rPr>
          <w:rFonts w:ascii="Arial" w:hAnsi="Arial" w:cs="Arial"/>
          <w:highlight w:val="yellow"/>
          <w:lang w:val="en-IN"/>
        </w:rPr>
        <w:t>includ</w:t>
      </w:r>
      <w:r>
        <w:rPr>
          <w:rFonts w:ascii="Arial" w:hAnsi="Arial" w:cs="Arial"/>
          <w:lang w:val="en-IN"/>
        </w:rPr>
        <w:t>e</w:t>
      </w:r>
      <w:r>
        <w:rPr>
          <w:rFonts w:ascii="Arial" w:hAnsi="Arial" w:cs="Arial"/>
          <w:highlight w:val="yellow"/>
          <w:lang w:val="en-IN"/>
        </w:rPr>
        <w:t>d a temperatu</w:t>
      </w:r>
      <w:r>
        <w:rPr>
          <w:rFonts w:ascii="Arial" w:hAnsi="Arial" w:cs="Arial"/>
          <w:lang w:val="en-IN"/>
        </w:rPr>
        <w:t xml:space="preserve">re </w:t>
      </w:r>
      <w:r>
        <w:rPr>
          <w:rFonts w:ascii="Arial" w:hAnsi="Arial" w:cs="Arial"/>
          <w:highlight w:val="yellow"/>
          <w:lang w:val="en-IN"/>
        </w:rPr>
        <w:t>of</w:t>
      </w:r>
      <w:r>
        <w:rPr>
          <w:rFonts w:ascii="Arial" w:hAnsi="Arial" w:cs="Arial"/>
          <w:lang w:val="en-IN"/>
        </w:rPr>
        <w:t xml:space="preserve"> 24°C </w:t>
      </w:r>
      <w:r>
        <w:rPr>
          <w:rFonts w:ascii="Arial" w:hAnsi="Arial" w:cs="Arial"/>
          <w:highlight w:val="yellow"/>
          <w:lang w:val="en-IN"/>
        </w:rPr>
        <w:t>and</w:t>
      </w:r>
      <w:r>
        <w:rPr>
          <w:rFonts w:ascii="Arial" w:hAnsi="Arial" w:cs="Arial"/>
          <w:lang w:val="en-IN"/>
        </w:rPr>
        <w:t xml:space="preserve"> relative humidity (Šarić et al., 2007).</w:t>
      </w:r>
    </w:p>
    <w:p w14:paraId="552DF5D5" w14:textId="77777777" w:rsidR="00831504" w:rsidRDefault="00F73E61" w:rsidP="00153002">
      <w:pPr>
        <w:pStyle w:val="Body"/>
        <w:spacing w:after="0"/>
        <w:jc w:val="left"/>
        <w:rPr>
          <w:rFonts w:ascii="Arial" w:hAnsi="Arial" w:cs="Arial"/>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F73E61">
        <w:rPr>
          <w:rFonts w:ascii="Arial" w:hAnsi="Arial" w:cs="Arial"/>
          <w:b/>
          <w:sz w:val="22"/>
          <w:szCs w:val="22"/>
        </w:rPr>
        <w:t>Quercetin</w:t>
      </w:r>
      <w:r w:rsidR="00831504" w:rsidRPr="00F73E61">
        <w:rPr>
          <w:rFonts w:ascii="Arial" w:hAnsi="Arial" w:cs="Arial"/>
          <w:sz w:val="22"/>
          <w:szCs w:val="22"/>
        </w:rPr>
        <w:t xml:space="preserve"> </w:t>
      </w:r>
      <w:r w:rsidR="009A34AF" w:rsidRPr="00F73E61">
        <w:rPr>
          <w:rFonts w:ascii="Arial" w:hAnsi="Arial" w:cs="Arial"/>
          <w:b/>
          <w:bCs/>
          <w:sz w:val="22"/>
          <w:szCs w:val="22"/>
        </w:rPr>
        <w:t>diet and pre-</w:t>
      </w:r>
      <w:r w:rsidR="00831504" w:rsidRPr="00F73E61">
        <w:rPr>
          <w:rFonts w:ascii="Arial" w:hAnsi="Arial" w:cs="Arial"/>
          <w:b/>
          <w:bCs/>
          <w:sz w:val="22"/>
          <w:szCs w:val="22"/>
        </w:rPr>
        <w:t>treatment</w:t>
      </w:r>
    </w:p>
    <w:p w14:paraId="5F3CC28B" w14:textId="77777777" w:rsidR="00F73E61" w:rsidRPr="00F73E61" w:rsidRDefault="00F73E61" w:rsidP="00F73E61">
      <w:pPr>
        <w:pStyle w:val="Body"/>
        <w:spacing w:after="0"/>
        <w:rPr>
          <w:rFonts w:ascii="Arial" w:hAnsi="Arial" w:cs="Arial"/>
          <w:b/>
          <w:sz w:val="22"/>
        </w:rPr>
      </w:pPr>
    </w:p>
    <w:p w14:paraId="39004A5A" w14:textId="0D3267F0" w:rsidR="009A34AF" w:rsidRPr="00956A6E" w:rsidRDefault="00903B82" w:rsidP="00831504">
      <w:pPr>
        <w:pStyle w:val="Body"/>
        <w:rPr>
          <w:rFonts w:ascii="Arial" w:hAnsi="Arial" w:cs="Arial"/>
          <w:lang w:val="en-IN"/>
        </w:rPr>
      </w:pPr>
      <w:r>
        <w:rPr>
          <w:rFonts w:ascii="Arial" w:hAnsi="Arial" w:cs="Arial"/>
          <w:highlight w:val="yellow"/>
          <w:lang w:val="en-IN"/>
        </w:rPr>
        <w:t>Culture</w:t>
      </w:r>
      <w:r>
        <w:rPr>
          <w:rFonts w:ascii="Arial" w:hAnsi="Arial" w:cs="Arial"/>
          <w:lang w:val="en-IN"/>
        </w:rPr>
        <w:t xml:space="preserve"> media were prepared according to the protocol of Poddar et al. (200</w:t>
      </w:r>
      <w:r w:rsidR="0053009C">
        <w:rPr>
          <w:rFonts w:ascii="Arial" w:hAnsi="Arial" w:cs="Arial"/>
          <w:lang w:val="en-IN"/>
        </w:rPr>
        <w:t>3</w:t>
      </w:r>
      <w:r>
        <w:rPr>
          <w:rFonts w:ascii="Arial" w:hAnsi="Arial" w:cs="Arial"/>
          <w:lang w:val="en-IN"/>
        </w:rPr>
        <w:t xml:space="preserve">). </w:t>
      </w:r>
      <w:r>
        <w:rPr>
          <w:rFonts w:ascii="Arial" w:hAnsi="Arial" w:cs="Arial"/>
          <w:highlight w:val="yellow"/>
          <w:lang w:val="en-IN"/>
        </w:rPr>
        <w:t>Quercetin (100µM;</w:t>
      </w:r>
      <w:r>
        <w:rPr>
          <w:rFonts w:ascii="Arial" w:hAnsi="Arial" w:cs="Arial"/>
          <w:lang w:val="en-IN"/>
        </w:rPr>
        <w:t xml:space="preserve"> </w:t>
      </w:r>
      <w:r>
        <w:rPr>
          <w:rFonts w:ascii="Arial" w:hAnsi="Arial" w:cs="Arial"/>
          <w:highlight w:val="yellow"/>
        </w:rPr>
        <w:t>Seong et al., 2015;</w:t>
      </w:r>
      <w:r>
        <w:rPr>
          <w:rFonts w:ascii="Arial" w:hAnsi="Arial" w:cs="Arial"/>
          <w:lang w:val="en-IN"/>
        </w:rPr>
        <w:t xml:space="preserve"> Sigma-Aldrich) was added to the quercetin-treated culture sets: pre-Q-treated and Q+UV-treated. </w:t>
      </w:r>
      <w:r>
        <w:rPr>
          <w:rFonts w:ascii="Arial" w:hAnsi="Arial" w:cs="Arial"/>
          <w:highlight w:val="yellow"/>
          <w:lang w:val="en-IN"/>
        </w:rPr>
        <w:t>Eac</w:t>
      </w:r>
      <w:r>
        <w:rPr>
          <w:rFonts w:ascii="Arial" w:hAnsi="Arial" w:cs="Arial"/>
          <w:lang w:val="en-IN"/>
        </w:rPr>
        <w:t xml:space="preserve">h vial </w:t>
      </w:r>
      <w:r>
        <w:rPr>
          <w:rFonts w:ascii="Arial" w:hAnsi="Arial" w:cs="Arial"/>
          <w:highlight w:val="yellow"/>
          <w:lang w:val="en-IN"/>
        </w:rPr>
        <w:t>wa</w:t>
      </w:r>
      <w:r>
        <w:rPr>
          <w:rFonts w:ascii="Arial" w:hAnsi="Arial" w:cs="Arial"/>
          <w:lang w:val="en-IN"/>
        </w:rPr>
        <w:t>s filled with 5 mL of culture medium and plugged with sterili</w:t>
      </w:r>
      <w:r>
        <w:rPr>
          <w:rFonts w:ascii="Arial" w:hAnsi="Arial" w:cs="Arial"/>
          <w:highlight w:val="yellow"/>
          <w:lang w:val="en-IN"/>
        </w:rPr>
        <w:t>s</w:t>
      </w:r>
      <w:r>
        <w:rPr>
          <w:rFonts w:ascii="Arial" w:hAnsi="Arial" w:cs="Arial"/>
          <w:lang w:val="en-IN"/>
        </w:rPr>
        <w:t>ed cotton</w:t>
      </w:r>
      <w:r>
        <w:rPr>
          <w:rFonts w:ascii="Arial" w:hAnsi="Arial" w:cs="Arial"/>
          <w:highlight w:val="yellow"/>
          <w:lang w:val="en-IN"/>
        </w:rPr>
        <w:t>.</w:t>
      </w:r>
    </w:p>
    <w:p w14:paraId="5B314233" w14:textId="77777777" w:rsidR="009A34AF" w:rsidRDefault="00F73E61" w:rsidP="00153002">
      <w:pPr>
        <w:pStyle w:val="Body"/>
        <w:jc w:val="left"/>
        <w:rPr>
          <w:rFonts w:ascii="Arial" w:hAnsi="Arial" w:cs="Arial"/>
        </w:rPr>
      </w:pPr>
      <w:r>
        <w:rPr>
          <w:rFonts w:ascii="Arial" w:hAnsi="Arial" w:cs="Arial"/>
          <w:b/>
          <w:sz w:val="22"/>
          <w:szCs w:val="22"/>
        </w:rPr>
        <w:t xml:space="preserve">2.3 </w:t>
      </w:r>
      <w:r w:rsidRPr="00F73E61">
        <w:rPr>
          <w:rFonts w:ascii="Arial" w:hAnsi="Arial" w:cs="Arial"/>
          <w:b/>
          <w:bCs/>
          <w:sz w:val="22"/>
          <w:szCs w:val="22"/>
        </w:rPr>
        <w:t>Experimental design and animal group</w:t>
      </w:r>
      <w:r>
        <w:rPr>
          <w:rFonts w:ascii="Arial" w:hAnsi="Arial" w:cs="Arial"/>
        </w:rPr>
        <w:t xml:space="preserve"> </w:t>
      </w:r>
    </w:p>
    <w:p w14:paraId="0BC580C3" w14:textId="77777777" w:rsidR="00831504" w:rsidRPr="00831504" w:rsidRDefault="009A34AF" w:rsidP="00831504">
      <w:pPr>
        <w:pStyle w:val="Body"/>
        <w:rPr>
          <w:rFonts w:ascii="Arial" w:hAnsi="Arial" w:cs="Arial"/>
        </w:rPr>
      </w:pPr>
      <w:r>
        <w:rPr>
          <w:rFonts w:ascii="Arial" w:hAnsi="Arial" w:cs="Arial"/>
        </w:rPr>
        <w:t>Flies were assigned to four main experimental cohorts</w:t>
      </w:r>
      <w:r>
        <w:rPr>
          <w:rFonts w:ascii="Arial" w:hAnsi="Arial" w:cs="Arial"/>
          <w:highlight w:val="yellow"/>
        </w:rPr>
        <w:t>:</w:t>
      </w:r>
      <w:r>
        <w:rPr>
          <w:rFonts w:ascii="Arial" w:hAnsi="Arial" w:cs="Arial"/>
        </w:rPr>
        <w:t xml:space="preserve"> control (C)</w:t>
      </w:r>
      <w:r>
        <w:rPr>
          <w:rFonts w:ascii="Arial" w:hAnsi="Arial" w:cs="Arial"/>
          <w:highlight w:val="yellow"/>
        </w:rPr>
        <w:t>,</w:t>
      </w:r>
      <w:r>
        <w:rPr>
          <w:rFonts w:ascii="Arial" w:hAnsi="Arial" w:cs="Arial"/>
        </w:rPr>
        <w:t xml:space="preserve"> wild</w:t>
      </w:r>
      <w:r>
        <w:rPr>
          <w:rFonts w:ascii="Arial" w:hAnsi="Arial" w:cs="Arial"/>
          <w:highlight w:val="yellow"/>
        </w:rPr>
        <w:t>-</w:t>
      </w:r>
      <w:r>
        <w:rPr>
          <w:rFonts w:ascii="Arial" w:hAnsi="Arial" w:cs="Arial"/>
        </w:rPr>
        <w:t xml:space="preserve">type flies fed </w:t>
      </w:r>
      <w:r>
        <w:rPr>
          <w:rFonts w:ascii="Arial" w:hAnsi="Arial" w:cs="Arial"/>
          <w:highlight w:val="yellow"/>
        </w:rPr>
        <w:t>a</w:t>
      </w:r>
      <w:r>
        <w:rPr>
          <w:rFonts w:ascii="Arial" w:hAnsi="Arial" w:cs="Arial"/>
        </w:rPr>
        <w:t xml:space="preserve"> normal standardi</w:t>
      </w:r>
      <w:r>
        <w:rPr>
          <w:rFonts w:ascii="Arial" w:hAnsi="Arial" w:cs="Arial"/>
          <w:highlight w:val="yellow"/>
        </w:rPr>
        <w:t>s</w:t>
      </w:r>
      <w:r>
        <w:rPr>
          <w:rFonts w:ascii="Arial" w:hAnsi="Arial" w:cs="Arial"/>
        </w:rPr>
        <w:t xml:space="preserve">ed diet </w:t>
      </w:r>
      <w:r>
        <w:rPr>
          <w:rFonts w:ascii="Arial" w:hAnsi="Arial" w:cs="Arial"/>
          <w:highlight w:val="yellow"/>
        </w:rPr>
        <w:t>and</w:t>
      </w:r>
      <w:r>
        <w:rPr>
          <w:rFonts w:ascii="Arial" w:hAnsi="Arial" w:cs="Arial"/>
        </w:rPr>
        <w:t xml:space="preserve"> no</w:t>
      </w:r>
      <w:r>
        <w:rPr>
          <w:rFonts w:ascii="Arial" w:hAnsi="Arial" w:cs="Arial"/>
          <w:highlight w:val="yellow"/>
        </w:rPr>
        <w:t>t</w:t>
      </w:r>
      <w:r>
        <w:rPr>
          <w:rFonts w:ascii="Arial" w:hAnsi="Arial" w:cs="Arial"/>
        </w:rPr>
        <w:t xml:space="preserve"> irradiate</w:t>
      </w:r>
      <w:r>
        <w:rPr>
          <w:rFonts w:ascii="Arial" w:hAnsi="Arial" w:cs="Arial"/>
          <w:highlight w:val="yellow"/>
        </w:rPr>
        <w:t>d;</w:t>
      </w:r>
      <w:r>
        <w:rPr>
          <w:rFonts w:ascii="Arial" w:hAnsi="Arial" w:cs="Arial"/>
        </w:rPr>
        <w:t xml:space="preserve"> quercetin</w:t>
      </w:r>
      <w:r>
        <w:rPr>
          <w:rFonts w:ascii="Arial" w:hAnsi="Arial" w:cs="Arial"/>
          <w:highlight w:val="yellow"/>
        </w:rPr>
        <w:t>-</w:t>
      </w:r>
      <w:r>
        <w:rPr>
          <w:rFonts w:ascii="Arial" w:hAnsi="Arial" w:cs="Arial"/>
        </w:rPr>
        <w:t>pretreated (</w:t>
      </w:r>
      <w:r>
        <w:rPr>
          <w:rFonts w:ascii="Arial" w:hAnsi="Arial" w:cs="Arial"/>
          <w:highlight w:val="yellow"/>
        </w:rPr>
        <w:t>pre-Q),</w:t>
      </w:r>
      <w:r>
        <w:rPr>
          <w:rFonts w:ascii="Arial" w:hAnsi="Arial" w:cs="Arial"/>
        </w:rPr>
        <w:t xml:space="preserve"> </w:t>
      </w:r>
      <w:r>
        <w:rPr>
          <w:rFonts w:ascii="Arial" w:hAnsi="Arial" w:cs="Arial"/>
          <w:highlight w:val="yellow"/>
        </w:rPr>
        <w:t>n</w:t>
      </w:r>
      <w:r>
        <w:rPr>
          <w:rFonts w:ascii="Arial" w:hAnsi="Arial" w:cs="Arial"/>
        </w:rPr>
        <w:t xml:space="preserve">on-irradiated flies fed </w:t>
      </w:r>
      <w:r>
        <w:rPr>
          <w:rFonts w:ascii="Arial" w:hAnsi="Arial" w:cs="Arial"/>
          <w:highlight w:val="yellow"/>
        </w:rPr>
        <w:t>a</w:t>
      </w:r>
      <w:r>
        <w:rPr>
          <w:rFonts w:ascii="Arial" w:hAnsi="Arial" w:cs="Arial"/>
        </w:rPr>
        <w:t xml:space="preserve"> quercetin</w:t>
      </w:r>
      <w:r>
        <w:rPr>
          <w:rFonts w:ascii="Arial" w:hAnsi="Arial" w:cs="Arial"/>
          <w:highlight w:val="yellow"/>
        </w:rPr>
        <w:t>-</w:t>
      </w:r>
      <w:r>
        <w:rPr>
          <w:rFonts w:ascii="Arial" w:hAnsi="Arial" w:cs="Arial"/>
        </w:rPr>
        <w:t>supplemented diet</w:t>
      </w:r>
      <w:r>
        <w:rPr>
          <w:rFonts w:ascii="Arial" w:hAnsi="Arial" w:cs="Arial"/>
          <w:highlight w:val="yellow"/>
        </w:rPr>
        <w:t>;</w:t>
      </w:r>
      <w:r>
        <w:rPr>
          <w:rFonts w:ascii="Arial" w:hAnsi="Arial" w:cs="Arial"/>
        </w:rPr>
        <w:t xml:space="preserve"> UV</w:t>
      </w:r>
      <w:r>
        <w:rPr>
          <w:rFonts w:ascii="Arial" w:hAnsi="Arial" w:cs="Arial"/>
          <w:highlight w:val="yellow"/>
        </w:rPr>
        <w:t>-</w:t>
      </w:r>
      <w:r>
        <w:rPr>
          <w:rFonts w:ascii="Arial" w:hAnsi="Arial" w:cs="Arial"/>
        </w:rPr>
        <w:t>treated (UV)</w:t>
      </w:r>
      <w:r>
        <w:rPr>
          <w:rFonts w:ascii="Arial" w:hAnsi="Arial" w:cs="Arial"/>
          <w:highlight w:val="yellow"/>
        </w:rPr>
        <w:t>,</w:t>
      </w:r>
      <w:r>
        <w:rPr>
          <w:rFonts w:ascii="Arial" w:hAnsi="Arial" w:cs="Arial"/>
        </w:rPr>
        <w:t xml:space="preserve"> UV-C</w:t>
      </w:r>
      <w:r>
        <w:rPr>
          <w:rFonts w:ascii="Arial" w:hAnsi="Arial" w:cs="Arial"/>
          <w:highlight w:val="yellow"/>
        </w:rPr>
        <w:t>-</w:t>
      </w:r>
      <w:r>
        <w:rPr>
          <w:rFonts w:ascii="Arial" w:hAnsi="Arial" w:cs="Arial"/>
        </w:rPr>
        <w:t xml:space="preserve">irradiated flies </w:t>
      </w:r>
      <w:r>
        <w:rPr>
          <w:rFonts w:ascii="Arial" w:hAnsi="Arial" w:cs="Arial"/>
          <w:highlight w:val="yellow"/>
        </w:rPr>
        <w:t xml:space="preserve">fed </w:t>
      </w:r>
      <w:r>
        <w:rPr>
          <w:rFonts w:ascii="Arial" w:hAnsi="Arial" w:cs="Arial"/>
        </w:rPr>
        <w:t>th</w:t>
      </w:r>
      <w:r>
        <w:rPr>
          <w:rFonts w:ascii="Arial" w:hAnsi="Arial" w:cs="Arial"/>
          <w:highlight w:val="yellow"/>
        </w:rPr>
        <w:t>e</w:t>
      </w:r>
      <w:r>
        <w:rPr>
          <w:rFonts w:ascii="Arial" w:hAnsi="Arial" w:cs="Arial"/>
        </w:rPr>
        <w:t xml:space="preserve"> standard control diet</w:t>
      </w:r>
      <w:r>
        <w:rPr>
          <w:rFonts w:ascii="Arial" w:hAnsi="Arial" w:cs="Arial"/>
          <w:highlight w:val="yellow"/>
        </w:rPr>
        <w:t>; and</w:t>
      </w:r>
      <w:r>
        <w:rPr>
          <w:rFonts w:ascii="Arial" w:hAnsi="Arial" w:cs="Arial"/>
        </w:rPr>
        <w:t xml:space="preserve"> UV </w:t>
      </w:r>
      <w:r>
        <w:rPr>
          <w:rFonts w:ascii="Arial" w:hAnsi="Arial" w:cs="Arial"/>
          <w:highlight w:val="yellow"/>
        </w:rPr>
        <w:t>plus</w:t>
      </w:r>
      <w:r>
        <w:rPr>
          <w:rFonts w:ascii="Arial" w:hAnsi="Arial" w:cs="Arial"/>
        </w:rPr>
        <w:t xml:space="preserve"> quercetin</w:t>
      </w:r>
      <w:r>
        <w:rPr>
          <w:rFonts w:ascii="Arial" w:hAnsi="Arial" w:cs="Arial"/>
          <w:highlight w:val="yellow"/>
        </w:rPr>
        <w:t>-</w:t>
      </w:r>
      <w:r>
        <w:rPr>
          <w:rFonts w:ascii="Arial" w:hAnsi="Arial" w:cs="Arial"/>
        </w:rPr>
        <w:t>treated (Q+UV)</w:t>
      </w:r>
      <w:r>
        <w:rPr>
          <w:rFonts w:ascii="Arial" w:hAnsi="Arial" w:cs="Arial"/>
          <w:highlight w:val="yellow"/>
        </w:rPr>
        <w:t>,</w:t>
      </w:r>
      <w:r>
        <w:rPr>
          <w:rFonts w:ascii="Arial" w:hAnsi="Arial" w:cs="Arial"/>
        </w:rPr>
        <w:t xml:space="preserve"> flies pretreated with quercetin and then </w:t>
      </w:r>
      <w:r>
        <w:rPr>
          <w:rFonts w:ascii="Arial" w:hAnsi="Arial" w:cs="Arial"/>
          <w:highlight w:val="yellow"/>
        </w:rPr>
        <w:t xml:space="preserve">exposed to </w:t>
      </w:r>
      <w:r>
        <w:rPr>
          <w:rFonts w:ascii="Arial" w:hAnsi="Arial" w:cs="Arial"/>
        </w:rPr>
        <w:t>UV-C ra</w:t>
      </w:r>
      <w:r>
        <w:rPr>
          <w:rFonts w:ascii="Arial" w:hAnsi="Arial" w:cs="Arial"/>
          <w:highlight w:val="yellow"/>
        </w:rPr>
        <w:t>d</w:t>
      </w:r>
      <w:r>
        <w:rPr>
          <w:rFonts w:ascii="Arial" w:hAnsi="Arial" w:cs="Arial"/>
        </w:rPr>
        <w:t>i</w:t>
      </w:r>
      <w:r>
        <w:rPr>
          <w:rFonts w:ascii="Arial" w:hAnsi="Arial" w:cs="Arial"/>
          <w:highlight w:val="yellow"/>
        </w:rPr>
        <w:t>atio</w:t>
      </w:r>
      <w:r>
        <w:rPr>
          <w:rFonts w:ascii="Arial" w:hAnsi="Arial" w:cs="Arial"/>
        </w:rPr>
        <w:t>n.</w:t>
      </w:r>
    </w:p>
    <w:p w14:paraId="32E97156" w14:textId="77777777" w:rsidR="00831504" w:rsidRPr="00831504" w:rsidRDefault="00F73E61" w:rsidP="00153002">
      <w:pPr>
        <w:pStyle w:val="Body"/>
        <w:jc w:val="left"/>
        <w:rPr>
          <w:rFonts w:ascii="Arial" w:hAnsi="Arial" w:cs="Arial"/>
        </w:rPr>
      </w:pPr>
      <w:r>
        <w:rPr>
          <w:rFonts w:ascii="Arial" w:hAnsi="Arial" w:cs="Arial"/>
          <w:b/>
          <w:sz w:val="22"/>
          <w:szCs w:val="22"/>
        </w:rPr>
        <w:t>2.4</w:t>
      </w:r>
      <w:r>
        <w:rPr>
          <w:rFonts w:ascii="Arial" w:hAnsi="Arial" w:cs="Arial"/>
          <w:b/>
          <w:bCs/>
          <w:sz w:val="22"/>
          <w:szCs w:val="22"/>
        </w:rPr>
        <w:t xml:space="preserve"> E</w:t>
      </w:r>
      <w:r w:rsidRPr="00F73E61">
        <w:rPr>
          <w:rFonts w:ascii="Arial" w:hAnsi="Arial" w:cs="Arial"/>
          <w:b/>
          <w:bCs/>
          <w:sz w:val="22"/>
          <w:szCs w:val="22"/>
        </w:rPr>
        <w:t>xposure</w:t>
      </w:r>
      <w:r w:rsidR="00831504" w:rsidRPr="00F73E61">
        <w:rPr>
          <w:rFonts w:ascii="Arial" w:hAnsi="Arial" w:cs="Arial"/>
          <w:b/>
          <w:bCs/>
          <w:sz w:val="22"/>
          <w:szCs w:val="22"/>
        </w:rPr>
        <w:t xml:space="preserve"> to UV radiation</w:t>
      </w:r>
    </w:p>
    <w:p w14:paraId="40ADC86F" w14:textId="77777777" w:rsidR="00502516" w:rsidRDefault="00C35664" w:rsidP="00831504">
      <w:pPr>
        <w:pStyle w:val="Body"/>
        <w:spacing w:after="0"/>
        <w:rPr>
          <w:rFonts w:ascii="Arial" w:hAnsi="Arial" w:cs="Arial"/>
        </w:rPr>
      </w:pPr>
      <w:r>
        <w:rPr>
          <w:rFonts w:ascii="Arial" w:hAnsi="Arial" w:cs="Arial"/>
        </w:rPr>
        <w:t>In this experiment, ultraviolet stress was induced using UV-C radiation (360J/m</w:t>
      </w:r>
      <w:r>
        <w:rPr>
          <w:rFonts w:ascii="Arial" w:hAnsi="Arial" w:cs="Arial"/>
          <w:vertAlign w:val="superscript"/>
        </w:rPr>
        <w:t>2</w:t>
      </w:r>
      <w:r>
        <w:rPr>
          <w:rFonts w:ascii="Arial" w:hAnsi="Arial" w:cs="Arial"/>
        </w:rPr>
        <w:t xml:space="preserve">), which served as the primary source of ultraviolet exposure. Each sample in the UV-C and Q+UV </w:t>
      </w:r>
      <w:r>
        <w:rPr>
          <w:rFonts w:ascii="Arial" w:hAnsi="Arial" w:cs="Arial"/>
        </w:rPr>
        <w:lastRenderedPageBreak/>
        <w:t xml:space="preserve">groups received a total exposure duration of 120 seconds. For the Q+UV set, flies were fed quercetin </w:t>
      </w:r>
      <w:r>
        <w:rPr>
          <w:rFonts w:ascii="Arial" w:hAnsi="Arial" w:cs="Arial"/>
          <w:highlight w:val="yellow"/>
        </w:rPr>
        <w:t>bef</w:t>
      </w:r>
      <w:r>
        <w:rPr>
          <w:rFonts w:ascii="Arial" w:hAnsi="Arial" w:cs="Arial"/>
        </w:rPr>
        <w:t>or</w:t>
      </w:r>
      <w:r>
        <w:rPr>
          <w:rFonts w:ascii="Arial" w:hAnsi="Arial" w:cs="Arial"/>
          <w:highlight w:val="yellow"/>
        </w:rPr>
        <w:t>e</w:t>
      </w:r>
      <w:r>
        <w:rPr>
          <w:rFonts w:ascii="Arial" w:hAnsi="Arial" w:cs="Arial"/>
        </w:rPr>
        <w:t xml:space="preserve"> radiation exposure. This setup allowed direct assessment of quercetin's protective efficacy under acute environmental stress.</w:t>
      </w:r>
    </w:p>
    <w:p w14:paraId="65EF1C25" w14:textId="77777777" w:rsidR="008B7810" w:rsidRDefault="008B7810" w:rsidP="00831504">
      <w:pPr>
        <w:pStyle w:val="Body"/>
        <w:spacing w:after="0"/>
        <w:rPr>
          <w:rFonts w:ascii="Arial" w:hAnsi="Arial" w:cs="Arial"/>
        </w:rPr>
      </w:pPr>
    </w:p>
    <w:p w14:paraId="21179EC5" w14:textId="77777777" w:rsidR="00EB16DC" w:rsidRDefault="00F73E61" w:rsidP="00153002">
      <w:pPr>
        <w:pStyle w:val="Body"/>
        <w:spacing w:after="0"/>
        <w:jc w:val="left"/>
        <w:rPr>
          <w:rFonts w:ascii="Arial" w:hAnsi="Arial" w:cs="Arial"/>
          <w:b/>
          <w:sz w:val="22"/>
          <w:szCs w:val="22"/>
        </w:rPr>
      </w:pPr>
      <w:r>
        <w:rPr>
          <w:rFonts w:ascii="Arial" w:hAnsi="Arial" w:cs="Arial"/>
          <w:b/>
          <w:sz w:val="22"/>
          <w:szCs w:val="22"/>
        </w:rPr>
        <w:t>2.5</w:t>
      </w:r>
      <w:r w:rsidR="00EB16DC">
        <w:rPr>
          <w:rFonts w:ascii="Arial" w:hAnsi="Arial" w:cs="Arial"/>
          <w:b/>
          <w:sz w:val="22"/>
          <w:szCs w:val="22"/>
        </w:rPr>
        <w:t xml:space="preserve"> Neuromuscular and motor kinetics </w:t>
      </w:r>
      <w:r w:rsidR="00A503BF">
        <w:rPr>
          <w:rFonts w:ascii="Arial" w:hAnsi="Arial" w:cs="Arial"/>
          <w:b/>
          <w:sz w:val="22"/>
          <w:szCs w:val="22"/>
        </w:rPr>
        <w:t>study</w:t>
      </w:r>
    </w:p>
    <w:p w14:paraId="2232B18D" w14:textId="77777777" w:rsidR="00F62A4F" w:rsidRDefault="00F62A4F" w:rsidP="0067253C">
      <w:pPr>
        <w:pStyle w:val="Body"/>
        <w:spacing w:after="0"/>
        <w:rPr>
          <w:rFonts w:ascii="Arial" w:hAnsi="Arial" w:cs="Arial"/>
          <w:b/>
          <w:sz w:val="22"/>
          <w:szCs w:val="22"/>
        </w:rPr>
      </w:pPr>
    </w:p>
    <w:p w14:paraId="0DD23ABA" w14:textId="77777777" w:rsidR="00EB16DC" w:rsidRDefault="00EB16DC" w:rsidP="00153002">
      <w:pPr>
        <w:pStyle w:val="Body"/>
        <w:spacing w:after="0"/>
        <w:jc w:val="left"/>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5</w:t>
      </w:r>
      <w:r w:rsidRPr="00902823">
        <w:rPr>
          <w:rFonts w:ascii="Arial" w:hAnsi="Arial" w:cs="Arial"/>
          <w:b/>
          <w:u w:val="single"/>
        </w:rPr>
        <w:t>.1</w:t>
      </w:r>
      <w:r>
        <w:rPr>
          <w:rFonts w:ascii="Arial" w:hAnsi="Arial" w:cs="Arial"/>
          <w:b/>
          <w:u w:val="single"/>
        </w:rPr>
        <w:t xml:space="preserve"> </w:t>
      </w:r>
      <w:r w:rsidRPr="00EB16DC">
        <w:rPr>
          <w:rFonts w:ascii="Arial" w:hAnsi="Arial" w:cs="Arial"/>
          <w:b/>
          <w:u w:val="single"/>
        </w:rPr>
        <w:t>Acute Negative Geotaxis assay</w:t>
      </w:r>
      <w:r w:rsidRPr="00FB3A86">
        <w:rPr>
          <w:rFonts w:ascii="Arial" w:hAnsi="Arial" w:cs="Arial"/>
        </w:rPr>
        <w:t xml:space="preserve"> </w:t>
      </w:r>
    </w:p>
    <w:p w14:paraId="5523B681" w14:textId="77777777" w:rsidR="00F62A4F" w:rsidRDefault="00F62A4F" w:rsidP="0067253C">
      <w:pPr>
        <w:pStyle w:val="Body"/>
        <w:spacing w:after="0"/>
        <w:rPr>
          <w:rFonts w:ascii="Arial" w:hAnsi="Arial" w:cs="Arial"/>
        </w:rPr>
      </w:pPr>
    </w:p>
    <w:p w14:paraId="561D50E6" w14:textId="77777777" w:rsidR="00F62A4F" w:rsidRDefault="00E64CBF" w:rsidP="00E64CBF">
      <w:pPr>
        <w:pStyle w:val="Body"/>
        <w:rPr>
          <w:rFonts w:ascii="Arial" w:hAnsi="Arial" w:cs="Arial"/>
        </w:rPr>
      </w:pPr>
      <w:r>
        <w:rPr>
          <w:rFonts w:ascii="Arial" w:hAnsi="Arial" w:cs="Arial"/>
          <w:lang w:val="en-IN"/>
        </w:rPr>
        <w:t xml:space="preserve">To evaluate functional recovery and motor coordination, a Rapid Iterative Negative Geotaxis (RING) assay was performed to assess locomotor ability and neuromuscular function in </w:t>
      </w:r>
      <w:r>
        <w:rPr>
          <w:rFonts w:ascii="Arial" w:hAnsi="Arial" w:cs="Arial"/>
          <w:i/>
          <w:iCs/>
          <w:lang w:val="en-IN"/>
        </w:rPr>
        <w:t>Drosophila melanogaster,</w:t>
      </w:r>
      <w:r>
        <w:rPr>
          <w:rFonts w:ascii="Arial" w:hAnsi="Arial" w:cs="Arial"/>
          <w:lang w:val="en-IN"/>
        </w:rPr>
        <w:t xml:space="preserve"> following Gargano et al. (2005) with minor modifications. </w:t>
      </w:r>
      <w:r>
        <w:rPr>
          <w:rFonts w:ascii="Arial" w:hAnsi="Arial" w:cs="Arial"/>
        </w:rPr>
        <w:t>A thermocol sheet was placed flat on a sturdy table with a white background. Four glass tubes (12</w:t>
      </w:r>
      <w:r>
        <w:rPr>
          <w:rFonts w:ascii="Arial" w:hAnsi="Arial" w:cs="Arial"/>
          <w:highlight w:val="yellow"/>
        </w:rPr>
        <w:t xml:space="preserve"> </w:t>
      </w:r>
      <w:r>
        <w:rPr>
          <w:rFonts w:ascii="Arial" w:hAnsi="Arial" w:cs="Arial"/>
        </w:rPr>
        <w:t>cm) were marked at height</w:t>
      </w:r>
      <w:r>
        <w:rPr>
          <w:rFonts w:ascii="Arial" w:hAnsi="Arial" w:cs="Arial"/>
          <w:highlight w:val="yellow"/>
        </w:rPr>
        <w:t>s</w:t>
      </w:r>
      <w:r>
        <w:rPr>
          <w:rFonts w:ascii="Arial" w:hAnsi="Arial" w:cs="Arial"/>
        </w:rPr>
        <w:t xml:space="preserve"> </w:t>
      </w:r>
      <w:r>
        <w:rPr>
          <w:rFonts w:ascii="Arial" w:hAnsi="Arial" w:cs="Arial"/>
          <w:highlight w:val="yellow"/>
        </w:rPr>
        <w:t>of 4 cm</w:t>
      </w:r>
      <w:r>
        <w:rPr>
          <w:rFonts w:ascii="Arial" w:hAnsi="Arial" w:cs="Arial"/>
        </w:rPr>
        <w:t xml:space="preserve"> a</w:t>
      </w:r>
      <w:r>
        <w:rPr>
          <w:rFonts w:ascii="Arial" w:hAnsi="Arial" w:cs="Arial"/>
          <w:highlight w:val="yellow"/>
        </w:rPr>
        <w:t>nd</w:t>
      </w:r>
      <w:r>
        <w:rPr>
          <w:rFonts w:ascii="Arial" w:hAnsi="Arial" w:cs="Arial"/>
        </w:rPr>
        <w:t xml:space="preserve"> </w:t>
      </w:r>
      <w:r>
        <w:rPr>
          <w:rFonts w:ascii="Arial" w:hAnsi="Arial" w:cs="Arial"/>
          <w:highlight w:val="yellow"/>
        </w:rPr>
        <w:t>8 c</w:t>
      </w:r>
      <w:r>
        <w:rPr>
          <w:rFonts w:ascii="Arial" w:hAnsi="Arial" w:cs="Arial"/>
        </w:rPr>
        <w:t xml:space="preserve">m from the bottom of </w:t>
      </w:r>
      <w:r>
        <w:rPr>
          <w:rFonts w:ascii="Arial" w:hAnsi="Arial" w:cs="Arial"/>
          <w:highlight w:val="yellow"/>
        </w:rPr>
        <w:t>eac</w:t>
      </w:r>
      <w:r>
        <w:rPr>
          <w:rFonts w:ascii="Arial" w:hAnsi="Arial" w:cs="Arial"/>
        </w:rPr>
        <w:t>h tube as threshold</w:t>
      </w:r>
      <w:r>
        <w:rPr>
          <w:rFonts w:ascii="Arial" w:hAnsi="Arial" w:cs="Arial"/>
          <w:highlight w:val="yellow"/>
        </w:rPr>
        <w:t>s</w:t>
      </w:r>
      <w:r>
        <w:rPr>
          <w:rFonts w:ascii="Arial" w:hAnsi="Arial" w:cs="Arial"/>
        </w:rPr>
        <w:t xml:space="preserve"> for</w:t>
      </w:r>
      <w:r>
        <w:rPr>
          <w:rFonts w:ascii="Arial" w:hAnsi="Arial" w:cs="Arial"/>
          <w:highlight w:val="yellow"/>
        </w:rPr>
        <w:t xml:space="preserve"> the flies'</w:t>
      </w:r>
      <w:r>
        <w:rPr>
          <w:rFonts w:ascii="Arial" w:hAnsi="Arial" w:cs="Arial"/>
        </w:rPr>
        <w:t xml:space="preserve"> climbing activity. Eighteen freshly eclosed flies from the </w:t>
      </w:r>
      <w:r>
        <w:rPr>
          <w:rFonts w:ascii="Arial" w:hAnsi="Arial" w:cs="Arial"/>
          <w:highlight w:val="yellow"/>
        </w:rPr>
        <w:t>four</w:t>
      </w:r>
      <w:r>
        <w:rPr>
          <w:rFonts w:ascii="Arial" w:hAnsi="Arial" w:cs="Arial"/>
        </w:rPr>
        <w:t xml:space="preserve"> experimental sets (i.e., C, </w:t>
      </w:r>
      <w:r>
        <w:rPr>
          <w:rFonts w:ascii="Arial" w:hAnsi="Arial" w:cs="Arial"/>
          <w:highlight w:val="yellow"/>
        </w:rPr>
        <w:t>pre-</w:t>
      </w:r>
      <w:r>
        <w:rPr>
          <w:rFonts w:ascii="Arial" w:hAnsi="Arial" w:cs="Arial"/>
        </w:rPr>
        <w:t>Q, UV</w:t>
      </w:r>
      <w:r>
        <w:rPr>
          <w:rFonts w:ascii="Arial" w:hAnsi="Arial" w:cs="Arial"/>
          <w:highlight w:val="yellow"/>
        </w:rPr>
        <w:t>,</w:t>
      </w:r>
      <w:r>
        <w:rPr>
          <w:rFonts w:ascii="Arial" w:hAnsi="Arial" w:cs="Arial"/>
        </w:rPr>
        <w:t xml:space="preserve"> </w:t>
      </w:r>
      <w:r>
        <w:rPr>
          <w:rFonts w:ascii="Arial" w:hAnsi="Arial" w:cs="Arial"/>
          <w:highlight w:val="yellow"/>
        </w:rPr>
        <w:t>and</w:t>
      </w:r>
      <w:r>
        <w:rPr>
          <w:rFonts w:ascii="Arial" w:hAnsi="Arial" w:cs="Arial"/>
        </w:rPr>
        <w:t xml:space="preserve"> Q+UV) were placed </w:t>
      </w:r>
      <w:r>
        <w:rPr>
          <w:rFonts w:ascii="Arial" w:hAnsi="Arial" w:cs="Arial"/>
          <w:highlight w:val="yellow"/>
        </w:rPr>
        <w:t>i</w:t>
      </w:r>
      <w:r>
        <w:rPr>
          <w:rFonts w:ascii="Arial" w:hAnsi="Arial" w:cs="Arial"/>
        </w:rPr>
        <w:t>n the marked test tubes</w:t>
      </w:r>
      <w:r>
        <w:rPr>
          <w:rFonts w:ascii="Arial" w:hAnsi="Arial" w:cs="Arial"/>
          <w:highlight w:val="yellow"/>
        </w:rPr>
        <w:t>,</w:t>
      </w:r>
      <w:r>
        <w:rPr>
          <w:rFonts w:ascii="Arial" w:hAnsi="Arial" w:cs="Arial"/>
        </w:rPr>
        <w:t xml:space="preserve"> </w:t>
      </w:r>
      <w:r>
        <w:rPr>
          <w:rFonts w:ascii="Arial" w:hAnsi="Arial" w:cs="Arial"/>
          <w:highlight w:val="yellow"/>
        </w:rPr>
        <w:t>which</w:t>
      </w:r>
      <w:r>
        <w:rPr>
          <w:rFonts w:ascii="Arial" w:hAnsi="Arial" w:cs="Arial"/>
        </w:rPr>
        <w:t xml:space="preserve"> were capped with cotton plug</w:t>
      </w:r>
      <w:r>
        <w:rPr>
          <w:rFonts w:ascii="Arial" w:hAnsi="Arial" w:cs="Arial"/>
          <w:highlight w:val="yellow"/>
        </w:rPr>
        <w:t>s</w:t>
      </w:r>
      <w:r>
        <w:rPr>
          <w:rFonts w:ascii="Arial" w:hAnsi="Arial" w:cs="Arial"/>
        </w:rPr>
        <w:t xml:space="preserve">. In a well-lit room facing a white wall, the rack containing the test tubes was placed on a flat surface. A hardbound notebook was placed on top of the row of plugged test tubes in the rack. Next, </w:t>
      </w:r>
      <w:r>
        <w:rPr>
          <w:rFonts w:ascii="Arial" w:hAnsi="Arial" w:cs="Arial"/>
          <w:highlight w:val="yellow"/>
        </w:rPr>
        <w:t xml:space="preserve">while </w:t>
      </w:r>
      <w:r>
        <w:rPr>
          <w:rFonts w:ascii="Arial" w:hAnsi="Arial" w:cs="Arial"/>
        </w:rPr>
        <w:t>holding the rack with the assay tubes and the notebook, the entire setup was tapped thr</w:t>
      </w:r>
      <w:r>
        <w:rPr>
          <w:rFonts w:ascii="Arial" w:hAnsi="Arial" w:cs="Arial"/>
          <w:highlight w:val="yellow"/>
        </w:rPr>
        <w:t>ee t</w:t>
      </w:r>
      <w:r>
        <w:rPr>
          <w:rFonts w:ascii="Arial" w:hAnsi="Arial" w:cs="Arial"/>
        </w:rPr>
        <w:t>i</w:t>
      </w:r>
      <w:r>
        <w:rPr>
          <w:rFonts w:ascii="Arial" w:hAnsi="Arial" w:cs="Arial"/>
          <w:highlight w:val="yellow"/>
        </w:rPr>
        <w:t>m</w:t>
      </w:r>
      <w:r>
        <w:rPr>
          <w:rFonts w:ascii="Arial" w:hAnsi="Arial" w:cs="Arial"/>
        </w:rPr>
        <w:t>e</w:t>
      </w:r>
      <w:r>
        <w:rPr>
          <w:rFonts w:ascii="Arial" w:hAnsi="Arial" w:cs="Arial"/>
          <w:highlight w:val="yellow"/>
        </w:rPr>
        <w:t>s</w:t>
      </w:r>
      <w:r>
        <w:rPr>
          <w:rFonts w:ascii="Arial" w:hAnsi="Arial" w:cs="Arial"/>
        </w:rPr>
        <w:t xml:space="preserve"> in quick succession to </w:t>
      </w:r>
      <w:r>
        <w:rPr>
          <w:rFonts w:ascii="Arial" w:hAnsi="Arial" w:cs="Arial"/>
          <w:highlight w:val="yellow"/>
        </w:rPr>
        <w:t>a</w:t>
      </w:r>
      <w:r>
        <w:rPr>
          <w:rFonts w:ascii="Arial" w:hAnsi="Arial" w:cs="Arial"/>
        </w:rPr>
        <w:t>l</w:t>
      </w:r>
      <w:r>
        <w:rPr>
          <w:rFonts w:ascii="Arial" w:hAnsi="Arial" w:cs="Arial"/>
          <w:highlight w:val="yellow"/>
        </w:rPr>
        <w:t>low</w:t>
      </w:r>
      <w:r>
        <w:rPr>
          <w:rFonts w:ascii="Arial" w:hAnsi="Arial" w:cs="Arial"/>
        </w:rPr>
        <w:t xml:space="preserve"> all the flies in the tubes</w:t>
      </w:r>
      <w:r>
        <w:rPr>
          <w:rFonts w:ascii="Arial" w:hAnsi="Arial" w:cs="Arial"/>
          <w:highlight w:val="yellow"/>
        </w:rPr>
        <w:t xml:space="preserve"> to</w:t>
      </w:r>
      <w:r>
        <w:rPr>
          <w:rFonts w:ascii="Arial" w:hAnsi="Arial" w:cs="Arial"/>
        </w:rPr>
        <w:t xml:space="preserve"> fall to the bottom. A camera </w:t>
      </w:r>
      <w:r>
        <w:rPr>
          <w:rFonts w:ascii="Arial" w:hAnsi="Arial" w:cs="Arial"/>
          <w:highlight w:val="yellow"/>
        </w:rPr>
        <w:t>on</w:t>
      </w:r>
      <w:r>
        <w:rPr>
          <w:rFonts w:ascii="Arial" w:hAnsi="Arial" w:cs="Arial"/>
        </w:rPr>
        <w:t xml:space="preserve"> a tripod capturing the entire arena was turned on immediately to record the geotaxis experiment </w:t>
      </w:r>
      <w:r>
        <w:rPr>
          <w:rFonts w:ascii="Arial" w:hAnsi="Arial" w:cs="Arial"/>
          <w:highlight w:val="yellow"/>
        </w:rPr>
        <w:t xml:space="preserve">for </w:t>
      </w:r>
      <w:r>
        <w:rPr>
          <w:rFonts w:ascii="Arial" w:hAnsi="Arial" w:cs="Arial"/>
        </w:rPr>
        <w:t>60 seconds, and the result</w:t>
      </w:r>
      <w:r>
        <w:rPr>
          <w:rFonts w:ascii="Arial" w:hAnsi="Arial" w:cs="Arial"/>
          <w:highlight w:val="yellow"/>
        </w:rPr>
        <w:t>s</w:t>
      </w:r>
      <w:r>
        <w:rPr>
          <w:rFonts w:ascii="Arial" w:hAnsi="Arial" w:cs="Arial"/>
        </w:rPr>
        <w:t xml:space="preserve"> w</w:t>
      </w:r>
      <w:r>
        <w:rPr>
          <w:rFonts w:ascii="Arial" w:hAnsi="Arial" w:cs="Arial"/>
          <w:highlight w:val="yellow"/>
        </w:rPr>
        <w:t>ere</w:t>
      </w:r>
      <w:r>
        <w:rPr>
          <w:rFonts w:ascii="Arial" w:hAnsi="Arial" w:cs="Arial"/>
        </w:rPr>
        <w:t xml:space="preserve"> </w:t>
      </w:r>
      <w:r>
        <w:rPr>
          <w:rFonts w:ascii="Arial" w:hAnsi="Arial" w:cs="Arial"/>
          <w:highlight w:val="yellow"/>
        </w:rPr>
        <w:t>rec</w:t>
      </w:r>
      <w:r>
        <w:rPr>
          <w:rFonts w:ascii="Arial" w:hAnsi="Arial" w:cs="Arial"/>
        </w:rPr>
        <w:t>o</w:t>
      </w:r>
      <w:r>
        <w:rPr>
          <w:rFonts w:ascii="Arial" w:hAnsi="Arial" w:cs="Arial"/>
          <w:highlight w:val="yellow"/>
        </w:rPr>
        <w:t>rd</w:t>
      </w:r>
      <w:r>
        <w:rPr>
          <w:rFonts w:ascii="Arial" w:hAnsi="Arial" w:cs="Arial"/>
        </w:rPr>
        <w:t>ed.</w:t>
      </w:r>
    </w:p>
    <w:p w14:paraId="3DB55FD2" w14:textId="77777777" w:rsidR="00EB16DC" w:rsidRDefault="00EB16DC" w:rsidP="0067253C">
      <w:pPr>
        <w:pStyle w:val="Body"/>
        <w:spacing w:after="0"/>
        <w:rPr>
          <w:rFonts w:ascii="Arial" w:hAnsi="Arial" w:cs="Arial"/>
          <w:b/>
          <w:sz w:val="22"/>
          <w:szCs w:val="22"/>
        </w:rPr>
      </w:pPr>
    </w:p>
    <w:p w14:paraId="7229D414" w14:textId="77777777" w:rsidR="00F62A4F" w:rsidRDefault="00F62A4F" w:rsidP="00153002">
      <w:pPr>
        <w:pStyle w:val="Body"/>
        <w:spacing w:after="0"/>
        <w:jc w:val="left"/>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5</w:t>
      </w:r>
      <w:r w:rsidRPr="00902823">
        <w:rPr>
          <w:rFonts w:ascii="Arial" w:hAnsi="Arial" w:cs="Arial"/>
          <w:b/>
          <w:u w:val="single"/>
        </w:rPr>
        <w:t>.</w:t>
      </w:r>
      <w:r>
        <w:rPr>
          <w:rFonts w:ascii="Arial" w:hAnsi="Arial" w:cs="Arial"/>
          <w:b/>
          <w:u w:val="single"/>
        </w:rPr>
        <w:t xml:space="preserve">2 </w:t>
      </w:r>
      <w:r w:rsidRPr="00F62A4F">
        <w:rPr>
          <w:rFonts w:ascii="Arial" w:hAnsi="Arial" w:cs="Arial"/>
          <w:b/>
          <w:u w:val="single"/>
        </w:rPr>
        <w:t>Age dependent climbing activity</w:t>
      </w:r>
      <w:r w:rsidRPr="00FB3A86">
        <w:rPr>
          <w:rFonts w:ascii="Arial" w:hAnsi="Arial" w:cs="Arial"/>
        </w:rPr>
        <w:t xml:space="preserve"> </w:t>
      </w:r>
    </w:p>
    <w:p w14:paraId="49B9E678" w14:textId="77777777" w:rsidR="00F05871" w:rsidRDefault="00F05871" w:rsidP="0067253C">
      <w:pPr>
        <w:pStyle w:val="Body"/>
        <w:spacing w:after="0"/>
        <w:rPr>
          <w:rFonts w:ascii="Arial" w:hAnsi="Arial" w:cs="Arial"/>
        </w:rPr>
      </w:pPr>
    </w:p>
    <w:p w14:paraId="7BCB7650" w14:textId="77777777" w:rsidR="00F62A4F" w:rsidRPr="00C90A9A" w:rsidRDefault="00C90A9A" w:rsidP="00F73E61">
      <w:pPr>
        <w:pStyle w:val="Body"/>
        <w:rPr>
          <w:rFonts w:ascii="Arial" w:hAnsi="Arial" w:cs="Arial"/>
          <w:lang w:val="en-IN"/>
        </w:rPr>
      </w:pPr>
      <w:r>
        <w:rPr>
          <w:rFonts w:ascii="Arial" w:hAnsi="Arial" w:cs="Arial"/>
          <w:lang w:val="en-IN"/>
        </w:rPr>
        <w:t xml:space="preserve">Age-dependent locomotor activity was evaluated across four experimental groups (C, pre-Q, UV, and Q+UV) at six time points (Days 3, 6, 9, 12, 15, and 18 post-eclosion) </w:t>
      </w:r>
      <w:r>
        <w:rPr>
          <w:rFonts w:ascii="Arial" w:hAnsi="Arial" w:cs="Arial"/>
        </w:rPr>
        <w:t>following established developmental monitoring timelines (Grotewiel et al., 2005)</w:t>
      </w:r>
      <w:r>
        <w:rPr>
          <w:rFonts w:ascii="Arial" w:hAnsi="Arial" w:cs="Arial"/>
          <w:lang w:val="en-IN"/>
        </w:rPr>
        <w:t xml:space="preserve">. </w:t>
      </w:r>
      <w:r>
        <w:rPr>
          <w:rFonts w:ascii="Arial" w:hAnsi="Arial" w:cs="Arial"/>
          <w:highlight w:val="yellow"/>
          <w:lang w:val="en-IN"/>
        </w:rPr>
        <w:t>A total sample size</w:t>
      </w:r>
      <w:r>
        <w:rPr>
          <w:rFonts w:ascii="Arial" w:hAnsi="Arial" w:cs="Arial"/>
          <w:lang w:val="en-IN"/>
        </w:rPr>
        <w:t xml:space="preserve"> </w:t>
      </w:r>
      <w:r>
        <w:rPr>
          <w:rFonts w:ascii="Arial" w:hAnsi="Arial" w:cs="Arial"/>
          <w:highlight w:val="yellow"/>
          <w:lang w:val="en-IN"/>
        </w:rPr>
        <w:t xml:space="preserve">of N = 600 adult flies was evaluated </w:t>
      </w:r>
      <w:r>
        <w:rPr>
          <w:rFonts w:ascii="Arial" w:hAnsi="Arial" w:cs="Arial"/>
          <w:highlight w:val="yellow"/>
        </w:rPr>
        <w:t>across four experimental cohorts</w:t>
      </w:r>
      <w:r>
        <w:rPr>
          <w:rFonts w:ascii="Arial" w:hAnsi="Arial" w:cs="Arial"/>
          <w:highlight w:val="yellow"/>
          <w:lang w:val="en-IN"/>
        </w:rPr>
        <w:t xml:space="preserve"> (150 flies per cohort, divided into three independent replicates of 50 flies each</w:t>
      </w:r>
      <w:r>
        <w:rPr>
          <w:rFonts w:ascii="Arial" w:hAnsi="Arial" w:cs="Arial"/>
          <w:lang w:val="en-IN"/>
        </w:rPr>
        <w:t>). The experimental cohorts were monitored in a 250 mL Borosil glass cylinder covered with a lid. Locomotor activity was quantified by recording the total number of flies reaching a height of 25 cm within a fixed interval at each 3-day milestone using adapted vertical</w:t>
      </w:r>
      <w:r>
        <w:rPr>
          <w:rFonts w:ascii="Arial" w:hAnsi="Arial" w:cs="Arial"/>
          <w:highlight w:val="yellow"/>
          <w:lang w:val="en-IN"/>
        </w:rPr>
        <w:t>-</w:t>
      </w:r>
      <w:r>
        <w:rPr>
          <w:rFonts w:ascii="Arial" w:hAnsi="Arial" w:cs="Arial"/>
          <w:lang w:val="en-IN"/>
        </w:rPr>
        <w:t xml:space="preserve">column climbing protocols </w:t>
      </w:r>
      <w:r>
        <w:rPr>
          <w:rFonts w:ascii="Arial" w:hAnsi="Arial" w:cs="Arial"/>
        </w:rPr>
        <w:t>(</w:t>
      </w:r>
      <w:r>
        <w:rPr>
          <w:rFonts w:ascii="Arial" w:hAnsi="Arial" w:cs="Arial"/>
          <w:highlight w:val="yellow"/>
        </w:rPr>
        <w:t>Arking &amp;</w:t>
      </w:r>
      <w:r>
        <w:rPr>
          <w:rFonts w:ascii="Arial" w:hAnsi="Arial" w:cs="Arial"/>
        </w:rPr>
        <w:t xml:space="preserve"> </w:t>
      </w:r>
      <w:r>
        <w:rPr>
          <w:rFonts w:ascii="Arial" w:hAnsi="Arial" w:cs="Arial"/>
          <w:highlight w:val="yellow"/>
        </w:rPr>
        <w:t>Wells, 1990</w:t>
      </w:r>
      <w:r>
        <w:rPr>
          <w:rFonts w:ascii="Arial" w:hAnsi="Arial" w:cs="Arial"/>
        </w:rPr>
        <w:t>; Rhodenizer et al., 2008).</w:t>
      </w:r>
    </w:p>
    <w:p w14:paraId="4786CA68" w14:textId="77777777" w:rsidR="0067253C" w:rsidRPr="0067253C" w:rsidRDefault="0067253C" w:rsidP="00153002">
      <w:pPr>
        <w:pStyle w:val="Body"/>
        <w:spacing w:after="0"/>
        <w:jc w:val="left"/>
        <w:rPr>
          <w:rFonts w:ascii="Arial" w:hAnsi="Arial" w:cs="Arial"/>
          <w:b/>
          <w:bCs/>
          <w:sz w:val="22"/>
          <w:szCs w:val="22"/>
        </w:rPr>
      </w:pPr>
      <w:r w:rsidRPr="0067253C">
        <w:rPr>
          <w:rFonts w:ascii="Arial" w:hAnsi="Arial" w:cs="Arial"/>
          <w:b/>
          <w:bCs/>
          <w:sz w:val="22"/>
          <w:szCs w:val="22"/>
        </w:rPr>
        <w:t xml:space="preserve">2.6 </w:t>
      </w:r>
      <w:r w:rsidR="00F62A4F">
        <w:rPr>
          <w:rFonts w:ascii="Arial" w:hAnsi="Arial" w:cs="Arial"/>
          <w:b/>
          <w:bCs/>
          <w:sz w:val="22"/>
          <w:szCs w:val="22"/>
        </w:rPr>
        <w:t xml:space="preserve">Sensory perception and orientational </w:t>
      </w:r>
      <w:proofErr w:type="spellStart"/>
      <w:r w:rsidR="00F62A4F">
        <w:rPr>
          <w:rFonts w:ascii="Arial" w:hAnsi="Arial" w:cs="Arial"/>
          <w:b/>
          <w:bCs/>
          <w:sz w:val="22"/>
          <w:szCs w:val="22"/>
        </w:rPr>
        <w:t>behaviour</w:t>
      </w:r>
      <w:proofErr w:type="spellEnd"/>
      <w:r w:rsidR="00F62A4F">
        <w:rPr>
          <w:rFonts w:ascii="Arial" w:hAnsi="Arial" w:cs="Arial"/>
          <w:b/>
          <w:bCs/>
          <w:sz w:val="22"/>
          <w:szCs w:val="22"/>
        </w:rPr>
        <w:t xml:space="preserve"> </w:t>
      </w:r>
      <w:r w:rsidR="00A503BF">
        <w:rPr>
          <w:rFonts w:ascii="Arial" w:hAnsi="Arial" w:cs="Arial"/>
          <w:b/>
          <w:bCs/>
          <w:sz w:val="22"/>
          <w:szCs w:val="22"/>
        </w:rPr>
        <w:t xml:space="preserve">study </w:t>
      </w:r>
      <w:r w:rsidR="00F62A4F">
        <w:rPr>
          <w:rFonts w:ascii="Arial" w:hAnsi="Arial" w:cs="Arial"/>
          <w:b/>
          <w:bCs/>
          <w:sz w:val="22"/>
          <w:szCs w:val="22"/>
        </w:rPr>
        <w:t>(</w:t>
      </w:r>
      <w:r w:rsidRPr="0067253C">
        <w:rPr>
          <w:rFonts w:ascii="Arial" w:hAnsi="Arial" w:cs="Arial"/>
          <w:b/>
          <w:bCs/>
          <w:sz w:val="22"/>
          <w:szCs w:val="22"/>
        </w:rPr>
        <w:t xml:space="preserve">Phototactic </w:t>
      </w:r>
      <w:r w:rsidR="00F62A4F">
        <w:rPr>
          <w:rFonts w:ascii="Arial" w:hAnsi="Arial" w:cs="Arial"/>
          <w:b/>
          <w:bCs/>
          <w:sz w:val="22"/>
          <w:szCs w:val="22"/>
        </w:rPr>
        <w:t>preference as</w:t>
      </w:r>
      <w:r w:rsidRPr="0067253C">
        <w:rPr>
          <w:rFonts w:ascii="Arial" w:hAnsi="Arial" w:cs="Arial"/>
          <w:b/>
          <w:bCs/>
          <w:sz w:val="22"/>
          <w:szCs w:val="22"/>
        </w:rPr>
        <w:t>say</w:t>
      </w:r>
      <w:r w:rsidR="00F62A4F">
        <w:rPr>
          <w:rFonts w:ascii="Arial" w:hAnsi="Arial" w:cs="Arial"/>
          <w:b/>
          <w:bCs/>
          <w:sz w:val="22"/>
          <w:szCs w:val="22"/>
        </w:rPr>
        <w:t>)</w:t>
      </w:r>
    </w:p>
    <w:p w14:paraId="190FCEA0" w14:textId="77777777" w:rsidR="0067253C" w:rsidRDefault="0067253C" w:rsidP="0067253C">
      <w:pPr>
        <w:pStyle w:val="Body"/>
        <w:spacing w:after="0"/>
        <w:rPr>
          <w:rFonts w:ascii="Arial" w:hAnsi="Arial" w:cs="Arial"/>
        </w:rPr>
      </w:pPr>
    </w:p>
    <w:p w14:paraId="0E76979C" w14:textId="77777777" w:rsidR="00CB73EA" w:rsidRPr="00CB73EA" w:rsidRDefault="00CB73EA" w:rsidP="00CB73EA">
      <w:pPr>
        <w:pStyle w:val="Body"/>
        <w:rPr>
          <w:rFonts w:ascii="Arial" w:hAnsi="Arial" w:cs="Arial"/>
          <w:lang w:val="en-IN"/>
        </w:rPr>
      </w:pPr>
      <w:r>
        <w:rPr>
          <w:rFonts w:ascii="Arial" w:hAnsi="Arial" w:cs="Arial"/>
          <w:lang w:val="en-IN"/>
        </w:rPr>
        <w:t>Phototactic behavio</w:t>
      </w:r>
      <w:r>
        <w:rPr>
          <w:rFonts w:ascii="Arial" w:hAnsi="Arial" w:cs="Arial"/>
          <w:highlight w:val="yellow"/>
          <w:lang w:val="en-IN"/>
        </w:rPr>
        <w:t>u</w:t>
      </w:r>
      <w:r>
        <w:rPr>
          <w:rFonts w:ascii="Arial" w:hAnsi="Arial" w:cs="Arial"/>
          <w:lang w:val="en-IN"/>
        </w:rPr>
        <w:t xml:space="preserve">r was tested in 10-day-old flies using a custom T-maze </w:t>
      </w:r>
      <w:r>
        <w:rPr>
          <w:rFonts w:ascii="Arial" w:hAnsi="Arial" w:cs="Arial"/>
          <w:highlight w:val="yellow"/>
          <w:lang w:val="en-IN"/>
        </w:rPr>
        <w:t>constr</w:t>
      </w:r>
      <w:r>
        <w:rPr>
          <w:rFonts w:ascii="Arial" w:hAnsi="Arial" w:cs="Arial"/>
          <w:lang w:val="en-IN"/>
        </w:rPr>
        <w:t>u</w:t>
      </w:r>
      <w:r>
        <w:rPr>
          <w:rFonts w:ascii="Arial" w:hAnsi="Arial" w:cs="Arial"/>
          <w:highlight w:val="yellow"/>
          <w:lang w:val="en-IN"/>
        </w:rPr>
        <w:t>c</w:t>
      </w:r>
      <w:r>
        <w:rPr>
          <w:rFonts w:ascii="Arial" w:hAnsi="Arial" w:cs="Arial"/>
          <w:lang w:val="en-IN"/>
        </w:rPr>
        <w:t>t</w:t>
      </w:r>
      <w:r>
        <w:rPr>
          <w:rFonts w:ascii="Arial" w:hAnsi="Arial" w:cs="Arial"/>
          <w:highlight w:val="yellow"/>
          <w:lang w:val="en-IN"/>
        </w:rPr>
        <w:t>ed</w:t>
      </w:r>
      <w:r>
        <w:rPr>
          <w:rFonts w:ascii="Arial" w:hAnsi="Arial" w:cs="Arial"/>
          <w:lang w:val="en-IN"/>
        </w:rPr>
        <w:t xml:space="preserve"> from three clean glass vials </w:t>
      </w:r>
      <w:r>
        <w:rPr>
          <w:rFonts w:ascii="Arial" w:hAnsi="Arial" w:cs="Arial"/>
        </w:rPr>
        <w:t>a</w:t>
      </w:r>
      <w:r>
        <w:rPr>
          <w:rFonts w:ascii="Arial" w:hAnsi="Arial" w:cs="Arial"/>
          <w:highlight w:val="yellow"/>
        </w:rPr>
        <w:t>nd a</w:t>
      </w:r>
      <w:r>
        <w:rPr>
          <w:rFonts w:ascii="Arial" w:hAnsi="Arial" w:cs="Arial"/>
        </w:rPr>
        <w:t>dapted from standard binary</w:t>
      </w:r>
      <w:r>
        <w:rPr>
          <w:rFonts w:ascii="Arial" w:hAnsi="Arial" w:cs="Arial"/>
          <w:highlight w:val="yellow"/>
        </w:rPr>
        <w:t>-</w:t>
      </w:r>
      <w:r>
        <w:rPr>
          <w:rFonts w:ascii="Arial" w:hAnsi="Arial" w:cs="Arial"/>
        </w:rPr>
        <w:t>choice phototaxis assay protocols (</w:t>
      </w:r>
      <w:r>
        <w:rPr>
          <w:rFonts w:ascii="Arial" w:hAnsi="Arial" w:cs="Arial"/>
          <w:highlight w:val="yellow"/>
        </w:rPr>
        <w:t>Hadler,</w:t>
      </w:r>
      <w:r>
        <w:rPr>
          <w:rFonts w:ascii="Arial" w:hAnsi="Arial" w:cs="Arial"/>
        </w:rPr>
        <w:t xml:space="preserve"> </w:t>
      </w:r>
      <w:r>
        <w:rPr>
          <w:rFonts w:ascii="Arial" w:hAnsi="Arial" w:cs="Arial"/>
          <w:highlight w:val="yellow"/>
        </w:rPr>
        <w:t>1964; Benzer, 1967</w:t>
      </w:r>
      <w:r>
        <w:rPr>
          <w:rFonts w:ascii="Arial" w:hAnsi="Arial" w:cs="Arial"/>
        </w:rPr>
        <w:t xml:space="preserve">). </w:t>
      </w:r>
      <w:r>
        <w:rPr>
          <w:rFonts w:ascii="Arial" w:hAnsi="Arial" w:cs="Arial"/>
          <w:lang w:val="en-IN"/>
        </w:rPr>
        <w:t xml:space="preserve">The maze included a central introduction chamber and two choice arms attached with transparent tape. The two arms were joined using a T-connector, with one arm covered in black tape to eliminate light (dark arm) and the opposing clear arm </w:t>
      </w:r>
      <w:r>
        <w:rPr>
          <w:rFonts w:ascii="Arial" w:hAnsi="Arial" w:cs="Arial"/>
          <w:highlight w:val="yellow"/>
          <w:lang w:val="en-IN"/>
        </w:rPr>
        <w:t>i</w:t>
      </w:r>
      <w:r>
        <w:rPr>
          <w:rFonts w:ascii="Arial" w:hAnsi="Arial" w:cs="Arial"/>
          <w:lang w:val="en-IN"/>
        </w:rPr>
        <w:t>l</w:t>
      </w:r>
      <w:r>
        <w:rPr>
          <w:rFonts w:ascii="Arial" w:hAnsi="Arial" w:cs="Arial"/>
          <w:highlight w:val="yellow"/>
          <w:lang w:val="en-IN"/>
        </w:rPr>
        <w:t>lum</w:t>
      </w:r>
      <w:r>
        <w:rPr>
          <w:rFonts w:ascii="Arial" w:hAnsi="Arial" w:cs="Arial"/>
          <w:lang w:val="en-IN"/>
        </w:rPr>
        <w:t>i</w:t>
      </w:r>
      <w:r>
        <w:rPr>
          <w:rFonts w:ascii="Arial" w:hAnsi="Arial" w:cs="Arial"/>
          <w:highlight w:val="yellow"/>
          <w:lang w:val="en-IN"/>
        </w:rPr>
        <w:t>na</w:t>
      </w:r>
      <w:r>
        <w:rPr>
          <w:rFonts w:ascii="Arial" w:hAnsi="Arial" w:cs="Arial"/>
          <w:lang w:val="en-IN"/>
        </w:rPr>
        <w:t>t</w:t>
      </w:r>
      <w:r>
        <w:rPr>
          <w:rFonts w:ascii="Arial" w:hAnsi="Arial" w:cs="Arial"/>
          <w:highlight w:val="yellow"/>
          <w:lang w:val="en-IN"/>
        </w:rPr>
        <w:t>ed</w:t>
      </w:r>
      <w:r>
        <w:rPr>
          <w:rFonts w:ascii="Arial" w:hAnsi="Arial" w:cs="Arial"/>
          <w:lang w:val="en-IN"/>
        </w:rPr>
        <w:t xml:space="preserve"> by an LED (light arm). </w:t>
      </w:r>
      <w:r>
        <w:rPr>
          <w:rFonts w:ascii="Arial" w:hAnsi="Arial" w:cs="Arial"/>
          <w:highlight w:val="yellow"/>
          <w:lang w:val="en-IN"/>
        </w:rPr>
        <w:t>Each t</w:t>
      </w:r>
      <w:r>
        <w:rPr>
          <w:rFonts w:ascii="Arial" w:hAnsi="Arial" w:cs="Arial"/>
          <w:lang w:val="en-IN"/>
        </w:rPr>
        <w:t>est used 10 flies per trial across three biological replicates per cohort (N = 120 flies). Flies were placed in the central chamber and given 10 seconds to choose between the light and dark arms once the LED was turned on (</w:t>
      </w:r>
      <w:r>
        <w:rPr>
          <w:rFonts w:ascii="Arial" w:hAnsi="Arial" w:cs="Arial"/>
        </w:rPr>
        <w:t>Vang et al., 2012)</w:t>
      </w:r>
      <w:r>
        <w:rPr>
          <w:rFonts w:ascii="Arial" w:hAnsi="Arial" w:cs="Arial"/>
          <w:lang w:val="en-IN"/>
        </w:rPr>
        <w:t>. Positive (+ve) and negative (-ve) phototaxis counts were recorded immediately after the 10-second interval.</w:t>
      </w:r>
    </w:p>
    <w:p w14:paraId="76A2FA16" w14:textId="77777777" w:rsidR="0067253C" w:rsidRDefault="0067253C" w:rsidP="0067253C">
      <w:pPr>
        <w:pStyle w:val="Body"/>
        <w:spacing w:after="0"/>
        <w:rPr>
          <w:rFonts w:ascii="Arial" w:hAnsi="Arial" w:cs="Arial"/>
        </w:rPr>
      </w:pPr>
    </w:p>
    <w:p w14:paraId="65610398" w14:textId="77777777" w:rsidR="00F62A4F" w:rsidRDefault="0067253C" w:rsidP="00153002">
      <w:pPr>
        <w:pStyle w:val="Body"/>
        <w:spacing w:after="0"/>
        <w:jc w:val="left"/>
        <w:rPr>
          <w:rFonts w:ascii="Arial" w:hAnsi="Arial" w:cs="Arial"/>
          <w:b/>
          <w:bCs/>
          <w:sz w:val="22"/>
          <w:szCs w:val="22"/>
        </w:rPr>
      </w:pPr>
      <w:r w:rsidRPr="0067253C">
        <w:rPr>
          <w:rFonts w:ascii="Arial" w:hAnsi="Arial" w:cs="Arial"/>
          <w:b/>
          <w:bCs/>
          <w:sz w:val="22"/>
          <w:szCs w:val="22"/>
        </w:rPr>
        <w:t>2.7</w:t>
      </w:r>
      <w:r w:rsidR="00F62A4F">
        <w:rPr>
          <w:rFonts w:ascii="Arial" w:hAnsi="Arial" w:cs="Arial"/>
          <w:b/>
          <w:bCs/>
          <w:sz w:val="22"/>
          <w:szCs w:val="22"/>
        </w:rPr>
        <w:t xml:space="preserve"> Stress vulnerability and mechanical shock recovery</w:t>
      </w:r>
      <w:r w:rsidR="00A503BF">
        <w:rPr>
          <w:rFonts w:ascii="Arial" w:hAnsi="Arial" w:cs="Arial"/>
          <w:b/>
          <w:bCs/>
          <w:sz w:val="22"/>
          <w:szCs w:val="22"/>
        </w:rPr>
        <w:t xml:space="preserve"> study</w:t>
      </w:r>
      <w:r w:rsidR="0020155D">
        <w:rPr>
          <w:rFonts w:ascii="Arial" w:hAnsi="Arial" w:cs="Arial"/>
          <w:b/>
          <w:bCs/>
          <w:sz w:val="22"/>
          <w:szCs w:val="22"/>
        </w:rPr>
        <w:t xml:space="preserve"> (Vortex assay for </w:t>
      </w:r>
      <w:r w:rsidR="0020155D" w:rsidRPr="0067253C">
        <w:rPr>
          <w:rFonts w:ascii="Arial" w:hAnsi="Arial" w:cs="Arial"/>
          <w:b/>
          <w:bCs/>
          <w:sz w:val="22"/>
          <w:szCs w:val="22"/>
        </w:rPr>
        <w:t>Mechanical shock recovery</w:t>
      </w:r>
      <w:r w:rsidR="0020155D">
        <w:rPr>
          <w:rFonts w:ascii="Arial" w:hAnsi="Arial" w:cs="Arial"/>
          <w:b/>
          <w:bCs/>
          <w:sz w:val="22"/>
          <w:szCs w:val="22"/>
        </w:rPr>
        <w:t>)</w:t>
      </w:r>
    </w:p>
    <w:p w14:paraId="55D3C3BF" w14:textId="77777777" w:rsidR="00F62A4F" w:rsidRDefault="0067253C" w:rsidP="00F62A4F">
      <w:pPr>
        <w:pStyle w:val="Body"/>
        <w:spacing w:after="0"/>
        <w:rPr>
          <w:rFonts w:ascii="Arial" w:hAnsi="Arial" w:cs="Arial"/>
          <w:b/>
          <w:bCs/>
          <w:sz w:val="22"/>
          <w:szCs w:val="22"/>
        </w:rPr>
      </w:pPr>
      <w:r w:rsidRPr="0067253C">
        <w:rPr>
          <w:rFonts w:ascii="Arial" w:hAnsi="Arial" w:cs="Arial"/>
          <w:b/>
          <w:bCs/>
          <w:sz w:val="22"/>
          <w:szCs w:val="22"/>
        </w:rPr>
        <w:lastRenderedPageBreak/>
        <w:t xml:space="preserve"> </w:t>
      </w:r>
    </w:p>
    <w:p w14:paraId="380954F2" w14:textId="77777777" w:rsidR="00FB3F0D" w:rsidRPr="00013A41" w:rsidRDefault="00A90365" w:rsidP="00FB3F0D">
      <w:pPr>
        <w:pStyle w:val="Body"/>
        <w:rPr>
          <w:rFonts w:ascii="Arial" w:hAnsi="Arial" w:cs="Arial"/>
          <w:color w:val="000000"/>
          <w:lang w:val="en-IN"/>
        </w:rPr>
      </w:pPr>
      <w:r>
        <w:rPr>
          <w:rFonts w:ascii="Arial" w:hAnsi="Arial" w:cs="Arial"/>
          <w:color w:val="000000"/>
          <w:lang w:val="en-IN"/>
        </w:rPr>
        <w:t xml:space="preserve">Post-seizure recovery was evaluated in 30-day-old flies across four groups (C, pre-Q, UV, and Q+UV). Flies were tested in batches of </w:t>
      </w:r>
      <w:r>
        <w:rPr>
          <w:rFonts w:ascii="Arial" w:hAnsi="Arial" w:cs="Arial"/>
          <w:color w:val="000000"/>
          <w:highlight w:val="yellow"/>
          <w:lang w:val="en-IN"/>
        </w:rPr>
        <w:t>five</w:t>
      </w:r>
      <w:r>
        <w:rPr>
          <w:rFonts w:ascii="Arial" w:hAnsi="Arial" w:cs="Arial"/>
          <w:color w:val="000000"/>
          <w:lang w:val="en-IN"/>
        </w:rPr>
        <w:t xml:space="preserve"> </w:t>
      </w:r>
      <w:r>
        <w:rPr>
          <w:rFonts w:ascii="Arial" w:hAnsi="Arial" w:cs="Arial"/>
          <w:color w:val="000000"/>
          <w:highlight w:val="yellow"/>
          <w:lang w:val="en-IN"/>
        </w:rPr>
        <w:t xml:space="preserve">in </w:t>
      </w:r>
      <w:r>
        <w:rPr>
          <w:rFonts w:ascii="Arial" w:hAnsi="Arial" w:cs="Arial"/>
          <w:color w:val="000000"/>
          <w:lang w:val="en-IN"/>
        </w:rPr>
        <w:t>e</w:t>
      </w:r>
      <w:r>
        <w:rPr>
          <w:rFonts w:ascii="Arial" w:hAnsi="Arial" w:cs="Arial"/>
          <w:color w:val="000000"/>
          <w:highlight w:val="yellow"/>
          <w:lang w:val="en-IN"/>
        </w:rPr>
        <w:t>ach</w:t>
      </w:r>
      <w:r>
        <w:rPr>
          <w:rFonts w:ascii="Arial" w:hAnsi="Arial" w:cs="Arial"/>
          <w:color w:val="000000"/>
          <w:lang w:val="en-IN"/>
        </w:rPr>
        <w:t xml:space="preserve"> empty glass vial (n = 5 flies/vial, 3 replicates per group; N</w:t>
      </w:r>
      <w:r>
        <w:rPr>
          <w:rFonts w:ascii="Arial" w:hAnsi="Arial" w:cs="Arial"/>
          <w:color w:val="000000"/>
          <w:highlight w:val="yellow"/>
          <w:lang w:val="en-IN"/>
        </w:rPr>
        <w:t xml:space="preserve"> </w:t>
      </w:r>
      <w:r>
        <w:rPr>
          <w:rFonts w:ascii="Arial" w:hAnsi="Arial" w:cs="Arial"/>
          <w:color w:val="000000"/>
          <w:lang w:val="en-IN"/>
        </w:rPr>
        <w:t>=</w:t>
      </w:r>
      <w:r>
        <w:rPr>
          <w:rFonts w:ascii="Arial" w:hAnsi="Arial" w:cs="Arial"/>
          <w:color w:val="000000"/>
          <w:highlight w:val="yellow"/>
          <w:lang w:val="en-IN"/>
        </w:rPr>
        <w:t xml:space="preserve"> </w:t>
      </w:r>
      <w:r>
        <w:rPr>
          <w:rFonts w:ascii="Arial" w:hAnsi="Arial" w:cs="Arial"/>
          <w:color w:val="000000"/>
          <w:lang w:val="en-IN"/>
        </w:rPr>
        <w:t xml:space="preserve">60 flies). Vials were placed on a benchtop vortex mixer (REMI, CM 101) and vortexed at maximum speed for 20 seconds to induce mechanical paralysis and seizures, </w:t>
      </w:r>
      <w:r>
        <w:rPr>
          <w:rFonts w:ascii="Arial" w:hAnsi="Arial" w:cs="Arial"/>
          <w:color w:val="000000"/>
        </w:rPr>
        <w:t>following established bang-sensitive vortex assay protocols with minor modifications (Kuebler &amp; Tanouye, 2000; Fischer et al., 2024).</w:t>
      </w:r>
      <w:r>
        <w:rPr>
          <w:rFonts w:ascii="Arial" w:hAnsi="Arial" w:cs="Arial"/>
          <w:color w:val="000000"/>
          <w:lang w:val="en-IN"/>
        </w:rPr>
        <w:t xml:space="preserve"> Characteristic seizure behavio</w:t>
      </w:r>
      <w:r>
        <w:rPr>
          <w:rFonts w:ascii="Arial" w:hAnsi="Arial" w:cs="Arial"/>
          <w:color w:val="000000"/>
          <w:highlight w:val="yellow"/>
          <w:lang w:val="en-IN"/>
        </w:rPr>
        <w:t>u</w:t>
      </w:r>
      <w:r>
        <w:rPr>
          <w:rFonts w:ascii="Arial" w:hAnsi="Arial" w:cs="Arial"/>
          <w:color w:val="000000"/>
          <w:lang w:val="en-IN"/>
        </w:rPr>
        <w:t xml:space="preserve">rs, including leg twitching, wing flapping, paralysis, and proboscis extension, were monitored post-vortexing </w:t>
      </w:r>
      <w:r>
        <w:rPr>
          <w:rFonts w:ascii="Arial" w:hAnsi="Arial" w:cs="Arial"/>
          <w:color w:val="000000"/>
        </w:rPr>
        <w:t>(Song &amp; Tanouye, 2008)</w:t>
      </w:r>
      <w:r>
        <w:rPr>
          <w:rFonts w:ascii="Arial" w:hAnsi="Arial" w:cs="Arial"/>
          <w:color w:val="000000"/>
          <w:lang w:val="en-IN"/>
        </w:rPr>
        <w:t xml:space="preserve">. The time required for flies in each vial to recover </w:t>
      </w:r>
      <w:r>
        <w:rPr>
          <w:rFonts w:ascii="Arial" w:hAnsi="Arial" w:cs="Arial"/>
          <w:color w:val="000000"/>
          <w:highlight w:val="yellow"/>
          <w:lang w:val="en-IN"/>
        </w:rPr>
        <w:t xml:space="preserve">a </w:t>
      </w:r>
      <w:r>
        <w:rPr>
          <w:rFonts w:ascii="Arial" w:hAnsi="Arial" w:cs="Arial"/>
          <w:color w:val="000000"/>
          <w:lang w:val="en-IN"/>
        </w:rPr>
        <w:t>normal upright posture was recorded across three independent trials. Post-seizure recovery kinetics and cumulative recovery rates were analy</w:t>
      </w:r>
      <w:r>
        <w:rPr>
          <w:rFonts w:ascii="Arial" w:hAnsi="Arial" w:cs="Arial"/>
          <w:color w:val="000000"/>
          <w:highlight w:val="yellow"/>
          <w:lang w:val="en-IN"/>
        </w:rPr>
        <w:t>s</w:t>
      </w:r>
      <w:r>
        <w:rPr>
          <w:rFonts w:ascii="Arial" w:hAnsi="Arial" w:cs="Arial"/>
          <w:color w:val="000000"/>
          <w:lang w:val="en-IN"/>
        </w:rPr>
        <w:t>ed using Kaplan-Meier survival curves.</w:t>
      </w:r>
    </w:p>
    <w:p w14:paraId="590CAA98" w14:textId="77777777" w:rsidR="0067253C" w:rsidRDefault="0067253C" w:rsidP="0067253C">
      <w:pPr>
        <w:pStyle w:val="Body"/>
        <w:spacing w:after="0"/>
        <w:rPr>
          <w:rFonts w:ascii="Arial" w:hAnsi="Arial" w:cs="Arial"/>
        </w:rPr>
      </w:pPr>
    </w:p>
    <w:p w14:paraId="55F96B86" w14:textId="77777777" w:rsidR="008C0F2A" w:rsidRDefault="008C0F2A" w:rsidP="008C0F2A">
      <w:pPr>
        <w:pStyle w:val="Body"/>
        <w:spacing w:after="0"/>
        <w:jc w:val="left"/>
        <w:rPr>
          <w:rFonts w:ascii="Arial" w:hAnsi="Arial" w:cs="Arial"/>
          <w:b/>
          <w:bCs/>
          <w:sz w:val="22"/>
          <w:szCs w:val="22"/>
        </w:rPr>
      </w:pPr>
      <w:r w:rsidRPr="009B7154">
        <w:rPr>
          <w:rFonts w:ascii="Arial" w:hAnsi="Arial" w:cs="Arial"/>
          <w:b/>
          <w:bCs/>
          <w:sz w:val="22"/>
          <w:szCs w:val="22"/>
          <w:highlight w:val="yellow"/>
        </w:rPr>
        <w:t>2.</w:t>
      </w:r>
      <w:r w:rsidR="00D85591" w:rsidRPr="009B7154">
        <w:rPr>
          <w:rFonts w:ascii="Arial" w:hAnsi="Arial" w:cs="Arial"/>
          <w:b/>
          <w:bCs/>
          <w:sz w:val="22"/>
          <w:szCs w:val="22"/>
          <w:highlight w:val="yellow"/>
        </w:rPr>
        <w:t>8</w:t>
      </w:r>
      <w:r w:rsidRPr="008C0F2A">
        <w:rPr>
          <w:rFonts w:ascii="Arial" w:hAnsi="Arial" w:cs="Arial"/>
          <w:b/>
          <w:bCs/>
          <w:sz w:val="22"/>
          <w:szCs w:val="22"/>
        </w:rPr>
        <w:t xml:space="preserve"> Statistical tools</w:t>
      </w:r>
    </w:p>
    <w:p w14:paraId="5C9ED981" w14:textId="77777777" w:rsidR="009D6EA4" w:rsidRPr="008C0F2A" w:rsidRDefault="009D6EA4" w:rsidP="008C0F2A">
      <w:pPr>
        <w:pStyle w:val="Body"/>
        <w:spacing w:after="0"/>
        <w:jc w:val="left"/>
        <w:rPr>
          <w:rFonts w:ascii="Arial" w:hAnsi="Arial" w:cs="Arial"/>
          <w:b/>
          <w:bCs/>
          <w:sz w:val="22"/>
          <w:szCs w:val="22"/>
        </w:rPr>
      </w:pPr>
    </w:p>
    <w:p w14:paraId="550B244C" w14:textId="77777777" w:rsidR="00631A6E" w:rsidRPr="00631A6E" w:rsidRDefault="00631A6E" w:rsidP="00631A6E">
      <w:pPr>
        <w:pStyle w:val="Body"/>
        <w:rPr>
          <w:rFonts w:ascii="Arial" w:hAnsi="Arial" w:cs="Arial"/>
          <w:lang w:val="en-IN"/>
        </w:rPr>
      </w:pPr>
      <w:r>
        <w:rPr>
          <w:rFonts w:ascii="Arial" w:hAnsi="Arial" w:cs="Arial"/>
          <w:lang w:val="en-IN"/>
        </w:rPr>
        <w:t xml:space="preserve">Experimental differences among the study groups (C, </w:t>
      </w:r>
      <w:r>
        <w:rPr>
          <w:rFonts w:ascii="Arial" w:hAnsi="Arial" w:cs="Arial"/>
          <w:highlight w:val="yellow"/>
          <w:lang w:val="en-IN"/>
        </w:rPr>
        <w:t>p</w:t>
      </w:r>
      <w:r>
        <w:rPr>
          <w:rFonts w:ascii="Arial" w:hAnsi="Arial" w:cs="Arial"/>
          <w:lang w:val="en-IN"/>
        </w:rPr>
        <w:t xml:space="preserve">re-Q, UV, and Q+UV) were evaluated using </w:t>
      </w:r>
      <w:r>
        <w:rPr>
          <w:rFonts w:ascii="Arial" w:hAnsi="Arial" w:cs="Arial"/>
          <w:highlight w:val="yellow"/>
          <w:lang w:val="en-IN"/>
        </w:rPr>
        <w:t>o</w:t>
      </w:r>
      <w:r>
        <w:rPr>
          <w:rFonts w:ascii="Arial" w:hAnsi="Arial" w:cs="Arial"/>
          <w:lang w:val="en-IN"/>
        </w:rPr>
        <w:t>ne-</w:t>
      </w:r>
      <w:r>
        <w:rPr>
          <w:rFonts w:ascii="Arial" w:hAnsi="Arial" w:cs="Arial"/>
          <w:highlight w:val="yellow"/>
          <w:lang w:val="en-IN"/>
        </w:rPr>
        <w:t>w</w:t>
      </w:r>
      <w:r>
        <w:rPr>
          <w:rFonts w:ascii="Arial" w:hAnsi="Arial" w:cs="Arial"/>
          <w:lang w:val="en-IN"/>
        </w:rPr>
        <w:t xml:space="preserve">ay </w:t>
      </w:r>
      <w:r>
        <w:rPr>
          <w:rFonts w:ascii="Arial" w:hAnsi="Arial" w:cs="Arial"/>
          <w:highlight w:val="yellow"/>
          <w:lang w:val="en-IN"/>
        </w:rPr>
        <w:t>a</w:t>
      </w:r>
      <w:r>
        <w:rPr>
          <w:rFonts w:ascii="Arial" w:hAnsi="Arial" w:cs="Arial"/>
          <w:lang w:val="en-IN"/>
        </w:rPr>
        <w:t xml:space="preserve">nalysis of </w:t>
      </w:r>
      <w:r>
        <w:rPr>
          <w:rFonts w:ascii="Arial" w:hAnsi="Arial" w:cs="Arial"/>
          <w:highlight w:val="yellow"/>
          <w:lang w:val="en-IN"/>
        </w:rPr>
        <w:t>v</w:t>
      </w:r>
      <w:r>
        <w:rPr>
          <w:rFonts w:ascii="Arial" w:hAnsi="Arial" w:cs="Arial"/>
          <w:lang w:val="en-IN"/>
        </w:rPr>
        <w:t xml:space="preserve">ariance (ANOVA; </w:t>
      </w:r>
      <w:r>
        <w:rPr>
          <w:rFonts w:ascii="Arial" w:hAnsi="Arial" w:cs="Arial"/>
        </w:rPr>
        <w:t xml:space="preserve">Sokal </w:t>
      </w:r>
      <w:r>
        <w:rPr>
          <w:rFonts w:ascii="Arial" w:hAnsi="Arial" w:cs="Arial"/>
          <w:highlight w:val="yellow"/>
        </w:rPr>
        <w:t>&amp;</w:t>
      </w:r>
      <w:r>
        <w:rPr>
          <w:rFonts w:ascii="Arial" w:hAnsi="Arial" w:cs="Arial"/>
        </w:rPr>
        <w:t xml:space="preserve"> Rohlf, 2012</w:t>
      </w:r>
      <w:r>
        <w:rPr>
          <w:rFonts w:ascii="Arial" w:hAnsi="Arial" w:cs="Arial"/>
          <w:lang w:val="en-IN"/>
        </w:rPr>
        <w:t>), followed by Tukey’s Honest Significant Difference (HSD) post-hoc test for multiple comparisons (p</w:t>
      </w:r>
      <w:r>
        <w:rPr>
          <w:rFonts w:ascii="Arial" w:hAnsi="Arial" w:cs="Arial"/>
          <w:highlight w:val="yellow"/>
          <w:lang w:val="en-IN"/>
        </w:rPr>
        <w:t xml:space="preserve"> </w:t>
      </w:r>
      <w:r>
        <w:rPr>
          <w:rFonts w:ascii="Arial" w:hAnsi="Arial" w:cs="Arial"/>
          <w:lang w:val="en-IN"/>
        </w:rPr>
        <w:t>&lt;</w:t>
      </w:r>
      <w:r>
        <w:rPr>
          <w:rFonts w:ascii="Arial" w:hAnsi="Arial" w:cs="Arial"/>
          <w:highlight w:val="yellow"/>
          <w:lang w:val="en-IN"/>
        </w:rPr>
        <w:t xml:space="preserve"> </w:t>
      </w:r>
      <w:r>
        <w:rPr>
          <w:rFonts w:ascii="Arial" w:hAnsi="Arial" w:cs="Arial"/>
          <w:lang w:val="en-IN"/>
        </w:rPr>
        <w:t xml:space="preserve">0.05; </w:t>
      </w:r>
      <w:r>
        <w:rPr>
          <w:rFonts w:ascii="Arial" w:hAnsi="Arial" w:cs="Arial"/>
        </w:rPr>
        <w:t>Tukey, 1949; Zar, 2010</w:t>
      </w:r>
      <w:r>
        <w:rPr>
          <w:rFonts w:ascii="Arial" w:hAnsi="Arial" w:cs="Arial"/>
          <w:lang w:val="en-IN"/>
        </w:rPr>
        <w:t>). Group-wise differences against the control baseline were statistically evaluated at each age interval using Dunnett’s post-hoc multiple</w:t>
      </w:r>
      <w:r>
        <w:rPr>
          <w:rFonts w:ascii="Arial" w:hAnsi="Arial" w:cs="Arial"/>
          <w:highlight w:val="yellow"/>
          <w:lang w:val="en-IN"/>
        </w:rPr>
        <w:t>-</w:t>
      </w:r>
      <w:r>
        <w:rPr>
          <w:rFonts w:ascii="Arial" w:hAnsi="Arial" w:cs="Arial"/>
          <w:lang w:val="en-IN"/>
        </w:rPr>
        <w:t>comparison test (p</w:t>
      </w:r>
      <w:r>
        <w:rPr>
          <w:rFonts w:ascii="Arial" w:hAnsi="Arial" w:cs="Arial"/>
          <w:highlight w:val="yellow"/>
          <w:lang w:val="en-IN"/>
        </w:rPr>
        <w:t xml:space="preserve"> </w:t>
      </w:r>
      <w:r>
        <w:rPr>
          <w:rFonts w:ascii="Arial" w:hAnsi="Arial" w:cs="Arial"/>
          <w:lang w:val="en-IN"/>
        </w:rPr>
        <w:t>&lt;</w:t>
      </w:r>
      <w:r>
        <w:rPr>
          <w:rFonts w:ascii="Arial" w:hAnsi="Arial" w:cs="Arial"/>
          <w:highlight w:val="yellow"/>
          <w:lang w:val="en-IN"/>
        </w:rPr>
        <w:t xml:space="preserve"> </w:t>
      </w:r>
      <w:r>
        <w:rPr>
          <w:rFonts w:ascii="Arial" w:hAnsi="Arial" w:cs="Arial"/>
          <w:lang w:val="en-IN"/>
        </w:rPr>
        <w:t>0.05</w:t>
      </w:r>
      <w:r>
        <w:rPr>
          <w:rFonts w:ascii="Arial" w:hAnsi="Arial" w:cs="Arial"/>
          <w:highlight w:val="yellow"/>
          <w:lang w:val="en-IN"/>
        </w:rPr>
        <w:t>;</w:t>
      </w:r>
      <w:r>
        <w:rPr>
          <w:rFonts w:ascii="Arial" w:hAnsi="Arial" w:cs="Arial"/>
          <w:lang w:val="en-IN"/>
        </w:rPr>
        <w:t xml:space="preserve"> </w:t>
      </w:r>
      <w:r>
        <w:rPr>
          <w:rFonts w:ascii="Arial" w:hAnsi="Arial" w:cs="Arial"/>
        </w:rPr>
        <w:t xml:space="preserve">Dunnett, 1955). </w:t>
      </w:r>
      <w:r>
        <w:rPr>
          <w:rFonts w:ascii="Arial" w:hAnsi="Arial" w:cs="Arial"/>
          <w:lang w:val="en-IN"/>
        </w:rPr>
        <w:t>Post-seizure recovery kinetics were evaluated by plotting cumulative probabilities of</w:t>
      </w:r>
      <w:r>
        <w:rPr>
          <w:rFonts w:ascii="Arial" w:hAnsi="Arial" w:cs="Arial"/>
          <w:highlight w:val="yellow"/>
          <w:lang w:val="en-IN"/>
        </w:rPr>
        <w:t xml:space="preserve"> remaining</w:t>
      </w:r>
      <w:r>
        <w:rPr>
          <w:rFonts w:ascii="Arial" w:hAnsi="Arial" w:cs="Arial"/>
          <w:lang w:val="en-IN"/>
        </w:rPr>
        <w:t xml:space="preserve"> unrecovered using Kaplan-Meier curves </w:t>
      </w:r>
      <w:r>
        <w:rPr>
          <w:rFonts w:ascii="Arial" w:hAnsi="Arial" w:cs="Arial"/>
        </w:rPr>
        <w:t>(Kaplan &amp; Meier, 1958)</w:t>
      </w:r>
      <w:r>
        <w:rPr>
          <w:rFonts w:ascii="Arial" w:hAnsi="Arial" w:cs="Arial"/>
          <w:lang w:val="en-IN"/>
        </w:rPr>
        <w:t>. Differences in median and complete recovery times across experimental cohorts were analy</w:t>
      </w:r>
      <w:r>
        <w:rPr>
          <w:rFonts w:ascii="Arial" w:hAnsi="Arial" w:cs="Arial"/>
          <w:highlight w:val="yellow"/>
          <w:lang w:val="en-IN"/>
        </w:rPr>
        <w:t>s</w:t>
      </w:r>
      <w:r>
        <w:rPr>
          <w:rFonts w:ascii="Arial" w:hAnsi="Arial" w:cs="Arial"/>
          <w:lang w:val="en-IN"/>
        </w:rPr>
        <w:t xml:space="preserve">ed using the non-parametric </w:t>
      </w:r>
      <w:r>
        <w:rPr>
          <w:rFonts w:ascii="Arial" w:hAnsi="Arial" w:cs="Arial"/>
          <w:highlight w:val="yellow"/>
          <w:lang w:val="en-IN"/>
        </w:rPr>
        <w:t>l</w:t>
      </w:r>
      <w:r>
        <w:rPr>
          <w:rFonts w:ascii="Arial" w:hAnsi="Arial" w:cs="Arial"/>
          <w:lang w:val="en-IN"/>
        </w:rPr>
        <w:t>og-</w:t>
      </w:r>
      <w:r>
        <w:rPr>
          <w:rFonts w:ascii="Arial" w:hAnsi="Arial" w:cs="Arial"/>
          <w:highlight w:val="yellow"/>
          <w:lang w:val="en-IN"/>
        </w:rPr>
        <w:t>r</w:t>
      </w:r>
      <w:r>
        <w:rPr>
          <w:rFonts w:ascii="Arial" w:hAnsi="Arial" w:cs="Arial"/>
          <w:lang w:val="en-IN"/>
        </w:rPr>
        <w:t xml:space="preserve">ank (Mantel-Cox) statistical test </w:t>
      </w:r>
      <w:r>
        <w:rPr>
          <w:rFonts w:ascii="Arial" w:hAnsi="Arial" w:cs="Arial"/>
        </w:rPr>
        <w:t>(Mantel, 1966)</w:t>
      </w:r>
      <w:r>
        <w:rPr>
          <w:rFonts w:ascii="Arial" w:hAnsi="Arial" w:cs="Arial"/>
          <w:lang w:val="en-IN"/>
        </w:rPr>
        <w:t>.</w:t>
      </w:r>
    </w:p>
    <w:p w14:paraId="277C49CF" w14:textId="77777777" w:rsidR="00902823" w:rsidRDefault="00000F8F" w:rsidP="00153002">
      <w:pPr>
        <w:pStyle w:val="Head1"/>
        <w:spacing w:after="0"/>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62847A3" w14:textId="77777777" w:rsidR="00790ADA" w:rsidRDefault="00790ADA" w:rsidP="00441B6F">
      <w:pPr>
        <w:pStyle w:val="Head1"/>
        <w:spacing w:after="0"/>
        <w:jc w:val="both"/>
        <w:rPr>
          <w:rFonts w:ascii="Arial" w:hAnsi="Arial" w:cs="Arial"/>
          <w:b w:val="0"/>
          <w:bCs/>
          <w:sz w:val="20"/>
        </w:rPr>
      </w:pPr>
    </w:p>
    <w:p w14:paraId="32513652" w14:textId="77777777" w:rsidR="004C3971" w:rsidRPr="002B495A" w:rsidRDefault="00D91ED4" w:rsidP="00EA1504">
      <w:pPr>
        <w:pStyle w:val="Body"/>
        <w:rPr>
          <w:rFonts w:ascii="Arial" w:hAnsi="Arial" w:cs="Arial"/>
          <w:b/>
          <w:bCs/>
        </w:rPr>
      </w:pPr>
      <w:r>
        <w:rPr>
          <w:rFonts w:ascii="Arial" w:hAnsi="Arial" w:cs="Arial"/>
          <w:bCs/>
          <w:lang w:val="en-IN"/>
        </w:rPr>
        <w:t>Plant-derived dietary supplements often reduce radiation damage by neutrali</w:t>
      </w:r>
      <w:r>
        <w:rPr>
          <w:rFonts w:ascii="Arial" w:hAnsi="Arial" w:cs="Arial"/>
          <w:bCs/>
          <w:highlight w:val="yellow"/>
          <w:lang w:val="en-IN"/>
        </w:rPr>
        <w:t>s</w:t>
      </w:r>
      <w:r>
        <w:rPr>
          <w:rFonts w:ascii="Arial" w:hAnsi="Arial" w:cs="Arial"/>
          <w:bCs/>
          <w:lang w:val="en-IN"/>
        </w:rPr>
        <w:t>ing harmful free radicals (Boots et al., 2008</w:t>
      </w:r>
      <w:r>
        <w:rPr>
          <w:rFonts w:ascii="Arial" w:hAnsi="Arial" w:cs="Arial"/>
          <w:bCs/>
          <w:highlight w:val="yellow"/>
          <w:lang w:val="en-IN"/>
        </w:rPr>
        <w:t>;</w:t>
      </w:r>
      <w:r>
        <w:rPr>
          <w:rFonts w:ascii="Arial" w:hAnsi="Arial" w:cs="Arial"/>
          <w:bCs/>
          <w:lang w:val="en-IN"/>
        </w:rPr>
        <w:t xml:space="preserve"> Lu et al., 2025). </w:t>
      </w:r>
      <w:r>
        <w:rPr>
          <w:rFonts w:ascii="Arial" w:hAnsi="Arial" w:cs="Arial"/>
          <w:bCs/>
          <w:highlight w:val="yellow"/>
          <w:lang w:val="en-IN"/>
        </w:rPr>
        <w:t>E</w:t>
      </w:r>
      <w:r>
        <w:rPr>
          <w:rFonts w:ascii="Arial" w:hAnsi="Arial" w:cs="Arial"/>
          <w:bCs/>
          <w:lang w:val="en-IN"/>
        </w:rPr>
        <w:t>ffective indicators of such radiation</w:t>
      </w:r>
      <w:r>
        <w:rPr>
          <w:rFonts w:ascii="Arial" w:hAnsi="Arial" w:cs="Arial"/>
          <w:bCs/>
          <w:highlight w:val="yellow"/>
          <w:lang w:val="en-IN"/>
        </w:rPr>
        <w:t>-</w:t>
      </w:r>
      <w:r>
        <w:rPr>
          <w:rFonts w:ascii="Arial" w:hAnsi="Arial" w:cs="Arial"/>
          <w:bCs/>
          <w:lang w:val="en-IN"/>
        </w:rPr>
        <w:t xml:space="preserve">induced damage </w:t>
      </w:r>
      <w:r>
        <w:rPr>
          <w:rFonts w:ascii="Arial" w:hAnsi="Arial" w:cs="Arial"/>
          <w:bCs/>
          <w:highlight w:val="yellow"/>
          <w:lang w:val="en-IN"/>
        </w:rPr>
        <w:t>includ</w:t>
      </w:r>
      <w:r>
        <w:rPr>
          <w:rFonts w:ascii="Arial" w:hAnsi="Arial" w:cs="Arial"/>
          <w:bCs/>
          <w:lang w:val="en-IN"/>
        </w:rPr>
        <w:t>e decreased motor activity</w:t>
      </w:r>
      <w:r>
        <w:rPr>
          <w:rFonts w:ascii="Arial" w:hAnsi="Arial" w:cs="Arial"/>
          <w:bCs/>
          <w:highlight w:val="yellow"/>
          <w:lang w:val="en-IN"/>
        </w:rPr>
        <w:t xml:space="preserve"> and</w:t>
      </w:r>
      <w:r>
        <w:rPr>
          <w:rFonts w:ascii="Arial" w:hAnsi="Arial" w:cs="Arial"/>
          <w:bCs/>
          <w:lang w:val="en-IN"/>
        </w:rPr>
        <w:t xml:space="preserve"> radiation-induced nerve and muscle damage in model organisms (</w:t>
      </w:r>
      <w:r>
        <w:rPr>
          <w:rFonts w:ascii="Arial" w:hAnsi="Arial" w:cs="Arial"/>
          <w:bCs/>
          <w:highlight w:val="yellow"/>
          <w:lang w:val="en-IN"/>
        </w:rPr>
        <w:t>Hunter et al., 2016</w:t>
      </w:r>
      <w:r>
        <w:rPr>
          <w:rFonts w:ascii="Arial" w:hAnsi="Arial" w:cs="Arial"/>
          <w:bCs/>
          <w:lang w:val="en-IN"/>
        </w:rPr>
        <w:t>). Radiation exposure damages sensory and motor pathways, impairing an animal's positive phototactic response, negative geotactic re</w:t>
      </w:r>
      <w:r>
        <w:rPr>
          <w:rFonts w:ascii="Arial" w:hAnsi="Arial" w:cs="Arial"/>
          <w:bCs/>
          <w:highlight w:val="yellow"/>
          <w:lang w:val="en-IN"/>
        </w:rPr>
        <w:t>sponse, re</w:t>
      </w:r>
      <w:r>
        <w:rPr>
          <w:rFonts w:ascii="Arial" w:hAnsi="Arial" w:cs="Arial"/>
          <w:bCs/>
          <w:lang w:val="en-IN"/>
        </w:rPr>
        <w:t>covery from physical stress, and daily behavio</w:t>
      </w:r>
      <w:r>
        <w:rPr>
          <w:rFonts w:ascii="Arial" w:hAnsi="Arial" w:cs="Arial"/>
          <w:bCs/>
          <w:highlight w:val="yellow"/>
          <w:lang w:val="en-IN"/>
        </w:rPr>
        <w:t>u</w:t>
      </w:r>
      <w:r>
        <w:rPr>
          <w:rFonts w:ascii="Arial" w:hAnsi="Arial" w:cs="Arial"/>
          <w:bCs/>
          <w:lang w:val="en-IN"/>
        </w:rPr>
        <w:t>r (Balentova, 2015; Praharaj et al., 2026).</w:t>
      </w:r>
    </w:p>
    <w:p w14:paraId="709DB629" w14:textId="77777777" w:rsidR="00D52B58" w:rsidRDefault="00A40359" w:rsidP="00153002">
      <w:pPr>
        <w:pStyle w:val="Body"/>
        <w:spacing w:after="0"/>
        <w:jc w:val="left"/>
        <w:rPr>
          <w:rFonts w:ascii="Arial" w:hAnsi="Arial" w:cs="Arial"/>
          <w:b/>
          <w:sz w:val="22"/>
          <w:szCs w:val="22"/>
        </w:rPr>
      </w:pPr>
      <w:r>
        <w:rPr>
          <w:rFonts w:ascii="Arial" w:hAnsi="Arial" w:cs="Arial"/>
          <w:b/>
          <w:sz w:val="22"/>
          <w:szCs w:val="22"/>
        </w:rPr>
        <w:t>3.1 Neuromuscular and motor kinetics study</w:t>
      </w:r>
    </w:p>
    <w:p w14:paraId="6D6242F2" w14:textId="77777777" w:rsidR="00D52B58" w:rsidRPr="00D52B58" w:rsidRDefault="00D52B58" w:rsidP="00153002">
      <w:pPr>
        <w:pStyle w:val="Body"/>
        <w:spacing w:after="0"/>
        <w:jc w:val="left"/>
        <w:rPr>
          <w:rFonts w:ascii="Arial" w:hAnsi="Arial" w:cs="Arial"/>
          <w:bCs/>
        </w:rPr>
      </w:pPr>
    </w:p>
    <w:p w14:paraId="6DAF2816" w14:textId="77777777" w:rsidR="008C0F2A" w:rsidRDefault="008C0F2A" w:rsidP="008C0F2A">
      <w:pPr>
        <w:pStyle w:val="Body"/>
        <w:spacing w:after="0"/>
        <w:jc w:val="left"/>
        <w:rPr>
          <w:rFonts w:ascii="Arial" w:hAnsi="Arial" w:cs="Arial"/>
          <w:b/>
          <w:u w:val="single"/>
        </w:rPr>
      </w:pPr>
      <w:r w:rsidRPr="008C0F2A">
        <w:rPr>
          <w:rFonts w:ascii="Arial" w:hAnsi="Arial" w:cs="Arial"/>
          <w:b/>
          <w:sz w:val="22"/>
          <w:szCs w:val="22"/>
          <w:u w:val="single"/>
        </w:rPr>
        <w:t>3.1.1</w:t>
      </w:r>
      <w:r>
        <w:rPr>
          <w:rFonts w:ascii="Arial" w:hAnsi="Arial" w:cs="Arial"/>
          <w:b/>
          <w:sz w:val="22"/>
          <w:szCs w:val="22"/>
          <w:u w:val="single"/>
        </w:rPr>
        <w:t xml:space="preserve"> </w:t>
      </w:r>
      <w:r w:rsidR="00E32DB6" w:rsidRPr="008C0F2A">
        <w:rPr>
          <w:rFonts w:ascii="Arial" w:hAnsi="Arial" w:cs="Arial"/>
          <w:b/>
          <w:u w:val="single"/>
        </w:rPr>
        <w:t>Negative Geotaxis assay</w:t>
      </w:r>
    </w:p>
    <w:p w14:paraId="73A1BCAA" w14:textId="77777777" w:rsidR="00D91ED4" w:rsidRDefault="00D91ED4" w:rsidP="008C0F2A">
      <w:pPr>
        <w:pStyle w:val="Body"/>
        <w:spacing w:after="0"/>
        <w:jc w:val="left"/>
        <w:rPr>
          <w:rFonts w:ascii="Arial" w:hAnsi="Arial" w:cs="Arial"/>
        </w:rPr>
      </w:pPr>
    </w:p>
    <w:p w14:paraId="1ECFBC86" w14:textId="77777777" w:rsidR="0083154C" w:rsidRPr="0083154C" w:rsidRDefault="007903CE" w:rsidP="0083154C">
      <w:pPr>
        <w:pStyle w:val="Body"/>
        <w:rPr>
          <w:rFonts w:ascii="Arial" w:hAnsi="Arial" w:cs="Arial"/>
          <w:lang w:val="en-IN"/>
        </w:rPr>
      </w:pPr>
      <w:r>
        <w:rPr>
          <w:rFonts w:ascii="Arial" w:hAnsi="Arial" w:cs="Arial"/>
          <w:lang w:val="en-IN"/>
        </w:rPr>
        <w:t>To evaluate the acute protective effect of quercetin on motor function, negative geotaxis performance was assessed across all experimental groups. The number of flies crossing the 8</w:t>
      </w:r>
      <w:r>
        <w:rPr>
          <w:rFonts w:ascii="Arial" w:hAnsi="Arial" w:cs="Arial"/>
          <w:highlight w:val="yellow"/>
          <w:lang w:val="en-IN"/>
        </w:rPr>
        <w:t xml:space="preserve"> </w:t>
      </w:r>
      <w:r>
        <w:rPr>
          <w:rFonts w:ascii="Arial" w:hAnsi="Arial" w:cs="Arial"/>
          <w:lang w:val="en-IN"/>
        </w:rPr>
        <w:t>cm threshold after 60 seconds was recorded. Using the obtained data</w:t>
      </w:r>
      <w:r>
        <w:rPr>
          <w:rFonts w:ascii="Arial" w:hAnsi="Arial" w:cs="Arial"/>
          <w:highlight w:val="yellow"/>
          <w:lang w:val="en-IN"/>
        </w:rPr>
        <w:t>,</w:t>
      </w:r>
      <w:r>
        <w:rPr>
          <w:rFonts w:ascii="Arial" w:hAnsi="Arial" w:cs="Arial"/>
          <w:lang w:val="en-IN"/>
        </w:rPr>
        <w:t xml:space="preserve"> </w:t>
      </w:r>
      <w:r>
        <w:rPr>
          <w:rFonts w:ascii="Arial" w:hAnsi="Arial" w:cs="Arial"/>
          <w:highlight w:val="yellow"/>
          <w:lang w:val="en-IN"/>
        </w:rPr>
        <w:t>the percentage</w:t>
      </w:r>
      <w:r>
        <w:rPr>
          <w:rFonts w:ascii="Arial" w:hAnsi="Arial" w:cs="Arial"/>
          <w:lang w:val="en-IN"/>
        </w:rPr>
        <w:t xml:space="preserve"> of flies crossing the 8 cm distance </w:t>
      </w:r>
      <w:r>
        <w:rPr>
          <w:rFonts w:ascii="Arial" w:hAnsi="Arial" w:cs="Arial"/>
          <w:highlight w:val="yellow"/>
          <w:lang w:val="en-IN"/>
        </w:rPr>
        <w:t>with</w:t>
      </w:r>
      <w:r>
        <w:rPr>
          <w:rFonts w:ascii="Arial" w:hAnsi="Arial" w:cs="Arial"/>
          <w:lang w:val="en-IN"/>
        </w:rPr>
        <w:t>in the given time interval was c</w:t>
      </w:r>
      <w:r>
        <w:rPr>
          <w:rFonts w:ascii="Arial" w:hAnsi="Arial" w:cs="Arial"/>
          <w:highlight w:val="yellow"/>
          <w:lang w:val="en-IN"/>
        </w:rPr>
        <w:t>alculat</w:t>
      </w:r>
      <w:r>
        <w:rPr>
          <w:rFonts w:ascii="Arial" w:hAnsi="Arial" w:cs="Arial"/>
          <w:lang w:val="en-IN"/>
        </w:rPr>
        <w:t xml:space="preserve">ed, followed by the mean </w:t>
      </w:r>
      <w:r>
        <w:rPr>
          <w:rFonts w:ascii="Arial" w:hAnsi="Arial" w:cs="Arial"/>
          <w:highlight w:val="yellow"/>
          <w:lang w:val="en-IN"/>
        </w:rPr>
        <w:t>percentage</w:t>
      </w:r>
      <w:r>
        <w:rPr>
          <w:rFonts w:ascii="Arial" w:hAnsi="Arial" w:cs="Arial"/>
          <w:lang w:val="en-IN"/>
        </w:rPr>
        <w:t xml:space="preserve"> </w:t>
      </w:r>
      <w:r>
        <w:rPr>
          <w:rFonts w:ascii="Arial" w:hAnsi="Arial" w:cs="Arial"/>
          <w:highlight w:val="yellow"/>
          <w:lang w:val="en-IN"/>
        </w:rPr>
        <w:t>acr</w:t>
      </w:r>
      <w:r>
        <w:rPr>
          <w:rFonts w:ascii="Arial" w:hAnsi="Arial" w:cs="Arial"/>
          <w:lang w:val="en-IN"/>
        </w:rPr>
        <w:t>o</w:t>
      </w:r>
      <w:r>
        <w:rPr>
          <w:rFonts w:ascii="Arial" w:hAnsi="Arial" w:cs="Arial"/>
          <w:highlight w:val="yellow"/>
          <w:lang w:val="en-IN"/>
        </w:rPr>
        <w:t>ss</w:t>
      </w:r>
      <w:r>
        <w:rPr>
          <w:rFonts w:ascii="Arial" w:hAnsi="Arial" w:cs="Arial"/>
          <w:lang w:val="en-IN"/>
        </w:rPr>
        <w:t xml:space="preserve"> th</w:t>
      </w:r>
      <w:r>
        <w:rPr>
          <w:rFonts w:ascii="Arial" w:hAnsi="Arial" w:cs="Arial"/>
          <w:highlight w:val="yellow"/>
          <w:lang w:val="en-IN"/>
        </w:rPr>
        <w:t>r</w:t>
      </w:r>
      <w:r>
        <w:rPr>
          <w:rFonts w:ascii="Arial" w:hAnsi="Arial" w:cs="Arial"/>
          <w:lang w:val="en-IN"/>
        </w:rPr>
        <w:t xml:space="preserve">ee replicates. Combined violin and box-and-whisker plots were generated (Fig. 1) using the free version of Flourish Studio online software. </w:t>
      </w:r>
      <w:r>
        <w:rPr>
          <w:rFonts w:ascii="Arial" w:hAnsi="Arial" w:cs="Arial"/>
          <w:highlight w:val="yellow"/>
          <w:lang w:val="en-IN"/>
        </w:rPr>
        <w:t>A combin</w:t>
      </w:r>
      <w:r>
        <w:rPr>
          <w:rFonts w:ascii="Arial" w:hAnsi="Arial" w:cs="Arial"/>
          <w:lang w:val="en-IN"/>
        </w:rPr>
        <w:t>e</w:t>
      </w:r>
      <w:r>
        <w:rPr>
          <w:rFonts w:ascii="Arial" w:hAnsi="Arial" w:cs="Arial"/>
          <w:highlight w:val="yellow"/>
          <w:lang w:val="en-IN"/>
        </w:rPr>
        <w:t>d</w:t>
      </w:r>
      <w:r>
        <w:rPr>
          <w:rFonts w:ascii="Arial" w:hAnsi="Arial" w:cs="Arial"/>
          <w:lang w:val="en-IN"/>
        </w:rPr>
        <w:t xml:space="preserve"> box-and-whisker and violin plot w</w:t>
      </w:r>
      <w:r>
        <w:rPr>
          <w:rFonts w:ascii="Arial" w:hAnsi="Arial" w:cs="Arial"/>
          <w:highlight w:val="yellow"/>
          <w:lang w:val="en-IN"/>
        </w:rPr>
        <w:t>as</w:t>
      </w:r>
      <w:r>
        <w:rPr>
          <w:rFonts w:ascii="Arial" w:hAnsi="Arial" w:cs="Arial"/>
          <w:lang w:val="en-IN"/>
        </w:rPr>
        <w:t xml:space="preserve"> used to highlight the data's spread and peak concentrations across the four experimental groups. These two statistical tools helped display the distribution, medians, quartiles, interquartile ranges, and individual data points. The violin plot also shows the median, quartiles, and overall shape. Both the C and pre-Q</w:t>
      </w:r>
      <w:r>
        <w:rPr>
          <w:rFonts w:ascii="Arial" w:hAnsi="Arial" w:cs="Arial"/>
          <w:highlight w:val="yellow"/>
          <w:lang w:val="en-IN"/>
        </w:rPr>
        <w:t>-</w:t>
      </w:r>
      <w:r>
        <w:rPr>
          <w:rFonts w:ascii="Arial" w:hAnsi="Arial" w:cs="Arial"/>
          <w:lang w:val="en-IN"/>
        </w:rPr>
        <w:t xml:space="preserve">treated groups maintained near-maximal climbing performance (median ~98%), confirming that quercetin does not cause baseline motor toxicity. UV-C exposure severely reduced climbing success (median ~35%). In the Q+UV group, there was a significant rescue in motor performance (median ~78%). Exposure to UV-C radiation impaired </w:t>
      </w:r>
      <w:r>
        <w:rPr>
          <w:rFonts w:ascii="Arial" w:hAnsi="Arial" w:cs="Arial"/>
          <w:highlight w:val="yellow"/>
          <w:lang w:val="en-IN"/>
        </w:rPr>
        <w:t xml:space="preserve">the </w:t>
      </w:r>
      <w:r>
        <w:rPr>
          <w:rFonts w:ascii="Arial" w:hAnsi="Arial" w:cs="Arial"/>
          <w:lang w:val="en-IN"/>
        </w:rPr>
        <w:t>flies' innate tendency to climb upward, i.e., their negative geotactic behavio</w:t>
      </w:r>
      <w:r>
        <w:rPr>
          <w:rFonts w:ascii="Arial" w:hAnsi="Arial" w:cs="Arial"/>
          <w:highlight w:val="yellow"/>
          <w:lang w:val="en-IN"/>
        </w:rPr>
        <w:t>u</w:t>
      </w:r>
      <w:r>
        <w:rPr>
          <w:rFonts w:ascii="Arial" w:hAnsi="Arial" w:cs="Arial"/>
          <w:lang w:val="en-IN"/>
        </w:rPr>
        <w:t xml:space="preserve">r, whereas quercetin pretreatment in the Q+UV group restored </w:t>
      </w:r>
      <w:r>
        <w:rPr>
          <w:rFonts w:ascii="Arial" w:hAnsi="Arial" w:cs="Arial"/>
          <w:lang w:val="en-IN"/>
        </w:rPr>
        <w:lastRenderedPageBreak/>
        <w:t>this normal upward-climbing preference despite UV-C</w:t>
      </w:r>
      <w:r>
        <w:rPr>
          <w:rFonts w:ascii="Arial" w:hAnsi="Arial" w:cs="Arial"/>
          <w:highlight w:val="yellow"/>
          <w:lang w:val="en-IN"/>
        </w:rPr>
        <w:t>-</w:t>
      </w:r>
      <w:r>
        <w:rPr>
          <w:rFonts w:ascii="Arial" w:hAnsi="Arial" w:cs="Arial"/>
          <w:lang w:val="en-IN"/>
        </w:rPr>
        <w:t xml:space="preserve">radiation-induced stress. This result strongly demonstrates the protective effect of </w:t>
      </w:r>
      <w:r>
        <w:rPr>
          <w:rFonts w:ascii="Arial" w:hAnsi="Arial" w:cs="Arial"/>
          <w:highlight w:val="yellow"/>
          <w:lang w:val="en-IN"/>
        </w:rPr>
        <w:t xml:space="preserve">the </w:t>
      </w:r>
      <w:r>
        <w:rPr>
          <w:rFonts w:ascii="Arial" w:hAnsi="Arial" w:cs="Arial"/>
          <w:lang w:val="en-IN"/>
        </w:rPr>
        <w:t>flavonoid quercetin against UV-C radiation damage.</w:t>
      </w:r>
    </w:p>
    <w:p w14:paraId="22801069" w14:textId="77777777" w:rsidR="00C7311F" w:rsidRDefault="00C7311F" w:rsidP="00B92023">
      <w:pPr>
        <w:pStyle w:val="Body"/>
        <w:spacing w:after="0"/>
        <w:rPr>
          <w:noProof/>
          <w14:ligatures w14:val="standardContextual"/>
        </w:rPr>
      </w:pPr>
    </w:p>
    <w:p w14:paraId="26025AAC" w14:textId="77777777" w:rsidR="00C7311F" w:rsidRDefault="00C7311F" w:rsidP="00441B6F">
      <w:pPr>
        <w:pStyle w:val="Body"/>
        <w:spacing w:after="0"/>
        <w:rPr>
          <w:noProof/>
          <w14:ligatures w14:val="standardContextual"/>
        </w:rPr>
      </w:pPr>
      <w:r>
        <w:rPr>
          <w:rFonts w:ascii="Arial" w:hAnsi="Arial"/>
          <w:b/>
          <w:noProof/>
        </w:rPr>
        <w:drawing>
          <wp:anchor distT="0" distB="0" distL="114300" distR="114300" simplePos="0" relativeHeight="251654144" behindDoc="1" locked="0" layoutInCell="1" allowOverlap="1" wp14:anchorId="7672DF6F" wp14:editId="3C3A0B14">
            <wp:simplePos x="0" y="0"/>
            <wp:positionH relativeFrom="column">
              <wp:posOffset>344805</wp:posOffset>
            </wp:positionH>
            <wp:positionV relativeFrom="paragraph">
              <wp:posOffset>11430</wp:posOffset>
            </wp:positionV>
            <wp:extent cx="4190365" cy="2270760"/>
            <wp:effectExtent l="19050" t="19050" r="19685" b="15240"/>
            <wp:wrapTight wrapText="bothSides">
              <wp:wrapPolygon edited="0">
                <wp:start x="-98" y="-181"/>
                <wp:lineTo x="-98" y="21564"/>
                <wp:lineTo x="21603" y="21564"/>
                <wp:lineTo x="21603" y="-181"/>
                <wp:lineTo x="-98" y="-181"/>
              </wp:wrapPolygon>
            </wp:wrapTight>
            <wp:docPr id="13606973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97337" name="Picture 13606973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0365" cy="2270760"/>
                    </a:xfrm>
                    <a:prstGeom prst="rect">
                      <a:avLst/>
                    </a:prstGeom>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14:paraId="435D39BF" w14:textId="77777777" w:rsidR="00C7311F" w:rsidRDefault="00C7311F" w:rsidP="00441B6F">
      <w:pPr>
        <w:pStyle w:val="Body"/>
        <w:spacing w:after="0"/>
        <w:rPr>
          <w:rFonts w:ascii="Arial" w:hAnsi="Arial"/>
          <w:b/>
        </w:rPr>
      </w:pPr>
    </w:p>
    <w:p w14:paraId="6A7D363E" w14:textId="77777777" w:rsidR="00E32DB6" w:rsidRDefault="00E32DB6" w:rsidP="00441B6F">
      <w:pPr>
        <w:pStyle w:val="Body"/>
        <w:spacing w:after="0"/>
        <w:rPr>
          <w:rFonts w:ascii="Arial" w:hAnsi="Arial"/>
          <w:b/>
        </w:rPr>
      </w:pPr>
    </w:p>
    <w:p w14:paraId="6096CAE7" w14:textId="77777777" w:rsidR="00E32DB6" w:rsidRDefault="00E32DB6" w:rsidP="00441B6F">
      <w:pPr>
        <w:pStyle w:val="Body"/>
        <w:spacing w:after="0"/>
        <w:rPr>
          <w:rFonts w:ascii="Arial" w:hAnsi="Arial"/>
          <w:b/>
        </w:rPr>
      </w:pPr>
    </w:p>
    <w:p w14:paraId="13F2ECB8" w14:textId="77777777" w:rsidR="00E32DB6" w:rsidRDefault="00E32DB6" w:rsidP="00441B6F">
      <w:pPr>
        <w:pStyle w:val="Body"/>
        <w:spacing w:after="0"/>
        <w:rPr>
          <w:rFonts w:ascii="Arial" w:hAnsi="Arial" w:cs="Arial"/>
        </w:rPr>
      </w:pPr>
    </w:p>
    <w:p w14:paraId="696FF86D" w14:textId="77777777" w:rsidR="00E32DB6" w:rsidRDefault="00E32DB6" w:rsidP="00441B6F">
      <w:pPr>
        <w:pStyle w:val="Body"/>
        <w:spacing w:after="0"/>
        <w:rPr>
          <w:rFonts w:ascii="Arial" w:hAnsi="Arial" w:cs="Arial"/>
        </w:rPr>
      </w:pPr>
    </w:p>
    <w:p w14:paraId="079A6689" w14:textId="77777777" w:rsidR="00E32DB6" w:rsidRDefault="00E32DB6" w:rsidP="00441B6F">
      <w:pPr>
        <w:pStyle w:val="Body"/>
        <w:spacing w:after="0"/>
        <w:rPr>
          <w:rFonts w:ascii="Arial" w:hAnsi="Arial" w:cs="Arial"/>
        </w:rPr>
      </w:pPr>
    </w:p>
    <w:p w14:paraId="495C4FB0" w14:textId="77777777" w:rsidR="00E32DB6" w:rsidRDefault="00E32DB6" w:rsidP="00441B6F">
      <w:pPr>
        <w:pStyle w:val="Body"/>
        <w:spacing w:after="0"/>
        <w:rPr>
          <w:rFonts w:ascii="Arial" w:hAnsi="Arial" w:cs="Arial"/>
        </w:rPr>
      </w:pPr>
    </w:p>
    <w:p w14:paraId="7569FC6F" w14:textId="77777777" w:rsidR="00E32DB6" w:rsidRDefault="00E32DB6" w:rsidP="00441B6F">
      <w:pPr>
        <w:pStyle w:val="Body"/>
        <w:spacing w:after="0"/>
        <w:rPr>
          <w:rFonts w:ascii="Arial" w:hAnsi="Arial" w:cs="Arial"/>
        </w:rPr>
      </w:pPr>
    </w:p>
    <w:p w14:paraId="7E0624EF" w14:textId="77777777" w:rsidR="00E32DB6" w:rsidRDefault="00E32DB6" w:rsidP="00441B6F">
      <w:pPr>
        <w:pStyle w:val="Body"/>
        <w:spacing w:after="0"/>
        <w:rPr>
          <w:rFonts w:ascii="Arial" w:hAnsi="Arial" w:cs="Arial"/>
        </w:rPr>
      </w:pPr>
    </w:p>
    <w:p w14:paraId="4CC3D358" w14:textId="77777777" w:rsidR="00E32DB6" w:rsidRDefault="00E32DB6" w:rsidP="00441B6F">
      <w:pPr>
        <w:pStyle w:val="Body"/>
        <w:spacing w:after="0"/>
        <w:rPr>
          <w:rFonts w:ascii="Arial" w:hAnsi="Arial" w:cs="Arial"/>
        </w:rPr>
      </w:pPr>
    </w:p>
    <w:p w14:paraId="0F8FADD0" w14:textId="77777777" w:rsidR="00126AF7" w:rsidRDefault="00126AF7" w:rsidP="00441B6F">
      <w:pPr>
        <w:pStyle w:val="Body"/>
        <w:spacing w:after="0"/>
        <w:rPr>
          <w:rFonts w:ascii="Arial" w:hAnsi="Arial" w:cs="Arial"/>
        </w:rPr>
      </w:pPr>
    </w:p>
    <w:p w14:paraId="160BCC0C" w14:textId="77777777" w:rsidR="00E32DB6" w:rsidRDefault="00E32DB6" w:rsidP="00441B6F">
      <w:pPr>
        <w:pStyle w:val="Body"/>
        <w:spacing w:after="0"/>
        <w:rPr>
          <w:rFonts w:ascii="Arial" w:hAnsi="Arial" w:cs="Arial"/>
        </w:rPr>
      </w:pPr>
    </w:p>
    <w:p w14:paraId="5D9FA6C6" w14:textId="77777777" w:rsidR="00E32DB6" w:rsidRDefault="00E32DB6" w:rsidP="00441B6F">
      <w:pPr>
        <w:pStyle w:val="Body"/>
        <w:spacing w:after="0"/>
        <w:rPr>
          <w:rFonts w:ascii="Arial" w:hAnsi="Arial" w:cs="Arial"/>
        </w:rPr>
      </w:pPr>
    </w:p>
    <w:p w14:paraId="50CDDF88" w14:textId="77777777" w:rsidR="00E32DB6" w:rsidRDefault="00E32DB6" w:rsidP="00441B6F">
      <w:pPr>
        <w:pStyle w:val="Body"/>
        <w:spacing w:after="0"/>
        <w:rPr>
          <w:rFonts w:ascii="Arial" w:hAnsi="Arial" w:cs="Arial"/>
        </w:rPr>
      </w:pPr>
    </w:p>
    <w:p w14:paraId="050549F0" w14:textId="77777777" w:rsidR="00DA7E58" w:rsidRDefault="00DA7E58" w:rsidP="00441B6F">
      <w:pPr>
        <w:pStyle w:val="Body"/>
        <w:spacing w:after="0"/>
        <w:rPr>
          <w:rFonts w:ascii="Arial" w:hAnsi="Arial" w:cs="Arial"/>
        </w:rPr>
      </w:pPr>
    </w:p>
    <w:p w14:paraId="36F23462" w14:textId="77777777" w:rsidR="00DA7E58" w:rsidRPr="00DA7E58" w:rsidRDefault="00DA7E58" w:rsidP="00DA7E58">
      <w:pPr>
        <w:autoSpaceDE w:val="0"/>
        <w:autoSpaceDN w:val="0"/>
        <w:adjustRightInd w:val="0"/>
        <w:jc w:val="both"/>
        <w:rPr>
          <w:rFonts w:ascii="Arial" w:hAnsi="Arial" w:cs="Arial"/>
          <w:b/>
          <w:bCs/>
          <w:i/>
          <w:iCs/>
          <w:szCs w:val="22"/>
        </w:rPr>
      </w:pPr>
      <w:r>
        <w:rPr>
          <w:rFonts w:ascii="Arial" w:hAnsi="Arial" w:cs="Arial"/>
          <w:b/>
          <w:bCs/>
          <w:szCs w:val="22"/>
        </w:rPr>
        <w:t>Fig.</w:t>
      </w:r>
      <w:r w:rsidRPr="008247A6">
        <w:rPr>
          <w:rFonts w:ascii="Arial" w:hAnsi="Arial" w:cs="Arial"/>
          <w:b/>
          <w:bCs/>
          <w:szCs w:val="22"/>
        </w:rPr>
        <w:t xml:space="preserve"> 1</w:t>
      </w:r>
      <w:r>
        <w:rPr>
          <w:rFonts w:ascii="Arial" w:hAnsi="Arial" w:cs="Arial"/>
          <w:b/>
          <w:bCs/>
          <w:szCs w:val="22"/>
        </w:rPr>
        <w:t>.</w:t>
      </w:r>
      <w:r w:rsidRPr="008247A6">
        <w:rPr>
          <w:rFonts w:ascii="Arial" w:hAnsi="Arial" w:cs="Arial"/>
          <w:b/>
          <w:bCs/>
          <w:szCs w:val="22"/>
        </w:rPr>
        <w:t xml:space="preserve"> </w:t>
      </w:r>
      <w:r w:rsidR="00B10E78" w:rsidRPr="00B10E78">
        <w:rPr>
          <w:rFonts w:ascii="Arial" w:hAnsi="Arial" w:cs="Arial"/>
          <w:b/>
          <w:bCs/>
          <w:szCs w:val="22"/>
        </w:rPr>
        <w:t>Evaluation of Quercetin protection against UV-induced locomotor deficits using violin and box-and-whisker plots in</w:t>
      </w:r>
      <w:r w:rsidR="00B10E78" w:rsidRPr="00B10E78">
        <w:rPr>
          <w:rFonts w:ascii="Arial" w:hAnsi="Arial" w:cs="Arial"/>
          <w:b/>
          <w:bCs/>
          <w:i/>
          <w:iCs/>
          <w:szCs w:val="22"/>
        </w:rPr>
        <w:t xml:space="preserve"> Drosophila melanogaster</w:t>
      </w:r>
    </w:p>
    <w:p w14:paraId="04D07649" w14:textId="77777777" w:rsidR="00271C4D" w:rsidRPr="00271C4D" w:rsidRDefault="00271C4D" w:rsidP="00271C4D">
      <w:pPr>
        <w:pStyle w:val="Body"/>
        <w:rPr>
          <w:rFonts w:ascii="Arial" w:hAnsi="Arial" w:cs="Arial"/>
          <w:i/>
          <w:iCs/>
          <w:sz w:val="18"/>
          <w:szCs w:val="18"/>
          <w:lang w:val="en-IN"/>
        </w:rPr>
      </w:pPr>
      <w:r w:rsidRPr="00271C4D">
        <w:rPr>
          <w:rFonts w:ascii="Arial" w:hAnsi="Arial" w:cs="Arial"/>
          <w:i/>
          <w:iCs/>
          <w:sz w:val="18"/>
          <w:szCs w:val="18"/>
          <w:lang w:val="en-IN"/>
        </w:rPr>
        <w:t xml:space="preserve">Violin and embedded box plots (generated in Flourish Studio) show data distributions, medians, </w:t>
      </w:r>
      <w:r>
        <w:rPr>
          <w:rFonts w:ascii="Arial" w:hAnsi="Arial" w:cs="Arial"/>
          <w:i/>
          <w:iCs/>
          <w:sz w:val="18"/>
          <w:szCs w:val="18"/>
          <w:lang w:val="en-IN"/>
        </w:rPr>
        <w:t>inter quartile ranges (</w:t>
      </w:r>
      <w:r w:rsidRPr="00271C4D">
        <w:rPr>
          <w:rFonts w:ascii="Arial" w:hAnsi="Arial" w:cs="Arial"/>
          <w:i/>
          <w:iCs/>
          <w:sz w:val="18"/>
          <w:szCs w:val="18"/>
          <w:lang w:val="en-IN"/>
        </w:rPr>
        <w:t>IQR</w:t>
      </w:r>
      <w:r>
        <w:rPr>
          <w:rFonts w:ascii="Arial" w:hAnsi="Arial" w:cs="Arial"/>
          <w:i/>
          <w:iCs/>
          <w:sz w:val="18"/>
          <w:szCs w:val="18"/>
          <w:lang w:val="en-IN"/>
        </w:rPr>
        <w:t>)</w:t>
      </w:r>
      <w:r w:rsidRPr="00271C4D">
        <w:rPr>
          <w:rFonts w:ascii="Arial" w:hAnsi="Arial" w:cs="Arial"/>
          <w:i/>
          <w:iCs/>
          <w:sz w:val="18"/>
          <w:szCs w:val="18"/>
          <w:lang w:val="en-IN"/>
        </w:rPr>
        <w:t>, and individual replicates (</w:t>
      </w:r>
      <m:oMath>
        <m:r>
          <w:rPr>
            <w:rFonts w:ascii="Cambria Math" w:hAnsi="Cambria Math" w:cs="Arial"/>
            <w:sz w:val="18"/>
            <w:szCs w:val="18"/>
            <w:lang w:val="en-IN"/>
          </w:rPr>
          <m:t>n=3</m:t>
        </m:r>
      </m:oMath>
      <w:r w:rsidRPr="00271C4D">
        <w:rPr>
          <w:rFonts w:ascii="Arial" w:hAnsi="Arial" w:cs="Arial"/>
          <w:i/>
          <w:iCs/>
          <w:sz w:val="18"/>
          <w:szCs w:val="18"/>
          <w:lang w:val="en-IN"/>
        </w:rPr>
        <w:t>), with group differences evaluated by One-Way ANOVA and Tukey’s post-hoc test.</w:t>
      </w:r>
    </w:p>
    <w:p w14:paraId="4C568A76" w14:textId="77777777" w:rsidR="00DB27A1" w:rsidRDefault="00DB27A1" w:rsidP="00DB27A1">
      <w:pPr>
        <w:pStyle w:val="Body"/>
        <w:spacing w:after="0"/>
        <w:jc w:val="left"/>
        <w:rPr>
          <w:rFonts w:ascii="Arial" w:hAnsi="Arial" w:cs="Arial"/>
          <w:b/>
          <w:u w:val="single"/>
        </w:rPr>
      </w:pPr>
      <w:r>
        <w:rPr>
          <w:rFonts w:ascii="Arial" w:hAnsi="Arial" w:cs="Arial"/>
          <w:b/>
          <w:u w:val="single"/>
        </w:rPr>
        <w:t xml:space="preserve">3.1.2 </w:t>
      </w:r>
      <w:r w:rsidR="008C0F2A" w:rsidRPr="00F62A4F">
        <w:rPr>
          <w:rFonts w:ascii="Arial" w:hAnsi="Arial" w:cs="Arial"/>
          <w:b/>
          <w:u w:val="single"/>
        </w:rPr>
        <w:t>Age dependent climbing</w:t>
      </w:r>
      <w:r w:rsidR="008930B3">
        <w:rPr>
          <w:rFonts w:ascii="Arial" w:hAnsi="Arial" w:cs="Arial"/>
          <w:b/>
          <w:u w:val="single"/>
        </w:rPr>
        <w:t xml:space="preserve"> activity</w:t>
      </w:r>
    </w:p>
    <w:p w14:paraId="2F0AB6B2" w14:textId="77777777" w:rsidR="00D91ED4" w:rsidRPr="000545A7" w:rsidRDefault="00D91ED4" w:rsidP="00DB27A1">
      <w:pPr>
        <w:pStyle w:val="Body"/>
        <w:spacing w:after="0"/>
        <w:jc w:val="left"/>
        <w:rPr>
          <w:rFonts w:ascii="Arial" w:hAnsi="Arial" w:cs="Arial"/>
          <w:b/>
          <w:u w:val="single"/>
        </w:rPr>
      </w:pPr>
    </w:p>
    <w:p w14:paraId="490F9EBC" w14:textId="77777777" w:rsidR="00E61CA9" w:rsidRPr="00A42251" w:rsidRDefault="00C707C1" w:rsidP="00E61CA9">
      <w:pPr>
        <w:pStyle w:val="Body"/>
        <w:rPr>
          <w:rFonts w:ascii="Arial" w:hAnsi="Arial" w:cs="Arial"/>
          <w:lang w:val="en-IN"/>
        </w:rPr>
      </w:pPr>
      <w:r>
        <w:rPr>
          <w:rFonts w:ascii="Arial" w:hAnsi="Arial" w:cs="Arial"/>
          <w:lang w:val="en-IN"/>
        </w:rPr>
        <w:t xml:space="preserve">Negative geotaxis was evaluated across six time points (Days 3–18) to assess age-dependent neuromuscular function in </w:t>
      </w:r>
      <w:r>
        <w:rPr>
          <w:rFonts w:ascii="Arial" w:hAnsi="Arial" w:cs="Arial"/>
          <w:i/>
          <w:iCs/>
          <w:lang w:val="en-IN"/>
        </w:rPr>
        <w:t>Drosophila melanogaster</w:t>
      </w:r>
      <w:r>
        <w:rPr>
          <w:rFonts w:ascii="Arial" w:hAnsi="Arial" w:cs="Arial"/>
          <w:lang w:val="en-IN"/>
        </w:rPr>
        <w:t xml:space="preserve"> (Fig. 2). Cohorts subjected to control (C), </w:t>
      </w:r>
      <w:r>
        <w:rPr>
          <w:rFonts w:ascii="Arial" w:hAnsi="Arial" w:cs="Arial"/>
          <w:highlight w:val="yellow"/>
          <w:lang w:val="en-IN"/>
        </w:rPr>
        <w:t>pre-Q</w:t>
      </w:r>
      <w:r>
        <w:rPr>
          <w:rFonts w:ascii="Arial" w:hAnsi="Arial" w:cs="Arial"/>
          <w:lang w:val="en-IN"/>
        </w:rPr>
        <w:t xml:space="preserve">, UV-C radiation (UV), and quercetin pretreatment prior to UV-C exposure (Q+UV) were evaluated using a negative geotaxis assay at 3-day intervals to assess age-specific locomotor activity. UV-C exposure induced a severe, progressive decline in motor capacity compared </w:t>
      </w:r>
      <w:r>
        <w:rPr>
          <w:rFonts w:ascii="Arial" w:hAnsi="Arial" w:cs="Arial"/>
          <w:highlight w:val="yellow"/>
          <w:lang w:val="en-IN"/>
        </w:rPr>
        <w:t>wi</w:t>
      </w:r>
      <w:r>
        <w:rPr>
          <w:rFonts w:ascii="Arial" w:hAnsi="Arial" w:cs="Arial"/>
          <w:lang w:val="en-IN"/>
        </w:rPr>
        <w:t>t</w:t>
      </w:r>
      <w:r>
        <w:rPr>
          <w:rFonts w:ascii="Arial" w:hAnsi="Arial" w:cs="Arial"/>
          <w:highlight w:val="yellow"/>
          <w:lang w:val="en-IN"/>
        </w:rPr>
        <w:t>h the</w:t>
      </w:r>
      <w:r>
        <w:rPr>
          <w:rFonts w:ascii="Arial" w:hAnsi="Arial" w:cs="Arial"/>
          <w:lang w:val="en-IN"/>
        </w:rPr>
        <w:t xml:space="preserve"> control cohorts (C and </w:t>
      </w:r>
      <w:r>
        <w:rPr>
          <w:rFonts w:ascii="Arial" w:hAnsi="Arial" w:cs="Arial"/>
          <w:highlight w:val="yellow"/>
          <w:lang w:val="en-IN"/>
        </w:rPr>
        <w:t>pre-Q</w:t>
      </w:r>
      <w:r>
        <w:rPr>
          <w:rFonts w:ascii="Arial" w:hAnsi="Arial" w:cs="Arial"/>
          <w:lang w:val="en-IN"/>
        </w:rPr>
        <w:t>) over 18 days. Dunnett’s post-hoc test showed (Table 1) that quercetin alone (</w:t>
      </w:r>
      <w:r>
        <w:rPr>
          <w:rFonts w:ascii="Arial" w:hAnsi="Arial" w:cs="Arial"/>
          <w:highlight w:val="yellow"/>
          <w:lang w:val="en-IN"/>
        </w:rPr>
        <w:t>pre-Q</w:t>
      </w:r>
      <w:r>
        <w:rPr>
          <w:rFonts w:ascii="Arial" w:hAnsi="Arial" w:cs="Arial"/>
          <w:lang w:val="en-IN"/>
        </w:rPr>
        <w:t xml:space="preserve">) caused no significant change from control levels, confirming </w:t>
      </w:r>
      <w:r>
        <w:rPr>
          <w:rFonts w:ascii="Arial" w:hAnsi="Arial" w:cs="Arial"/>
          <w:highlight w:val="yellow"/>
          <w:lang w:val="en-IN"/>
        </w:rPr>
        <w:t xml:space="preserve">that </w:t>
      </w:r>
      <w:r>
        <w:rPr>
          <w:rFonts w:ascii="Arial" w:hAnsi="Arial" w:cs="Arial"/>
          <w:lang w:val="en-IN"/>
        </w:rPr>
        <w:t xml:space="preserve">it </w:t>
      </w:r>
      <w:r>
        <w:rPr>
          <w:rFonts w:ascii="Arial" w:hAnsi="Arial" w:cs="Arial"/>
          <w:highlight w:val="yellow"/>
          <w:lang w:val="en-IN"/>
        </w:rPr>
        <w:t>wa</w:t>
      </w:r>
      <w:r>
        <w:rPr>
          <w:rFonts w:ascii="Arial" w:hAnsi="Arial" w:cs="Arial"/>
          <w:lang w:val="en-IN"/>
        </w:rPr>
        <w:t xml:space="preserve">s non-toxic </w:t>
      </w:r>
      <w:r>
        <w:rPr>
          <w:rFonts w:ascii="Arial" w:hAnsi="Arial" w:cs="Arial"/>
          <w:i/>
          <w:iCs/>
          <w:lang w:val="en-IN"/>
        </w:rPr>
        <w:t>(p &gt; 0.05</w:t>
      </w:r>
      <w:r>
        <w:rPr>
          <w:rFonts w:ascii="Arial" w:hAnsi="Arial" w:cs="Arial"/>
          <w:lang w:val="en-IN"/>
        </w:rPr>
        <w:t xml:space="preserve">). UV-C exposure severely impaired mobility, </w:t>
      </w:r>
      <w:r>
        <w:rPr>
          <w:rFonts w:ascii="Arial" w:hAnsi="Arial" w:cs="Arial"/>
          <w:highlight w:val="yellow"/>
          <w:lang w:val="en-IN"/>
        </w:rPr>
        <w:t>re</w:t>
      </w:r>
      <w:r>
        <w:rPr>
          <w:rFonts w:ascii="Arial" w:hAnsi="Arial" w:cs="Arial"/>
          <w:lang w:val="en-IN"/>
        </w:rPr>
        <w:t>d</w:t>
      </w:r>
      <w:r>
        <w:rPr>
          <w:rFonts w:ascii="Arial" w:hAnsi="Arial" w:cs="Arial"/>
          <w:highlight w:val="yellow"/>
          <w:lang w:val="en-IN"/>
        </w:rPr>
        <w:t>uc</w:t>
      </w:r>
      <w:r>
        <w:rPr>
          <w:rFonts w:ascii="Arial" w:hAnsi="Arial" w:cs="Arial"/>
          <w:lang w:val="en-IN"/>
        </w:rPr>
        <w:t>ing climbing scores to near</w:t>
      </w:r>
      <w:r>
        <w:rPr>
          <w:rFonts w:ascii="Arial" w:hAnsi="Arial" w:cs="Arial"/>
          <w:highlight w:val="yellow"/>
          <w:lang w:val="en-IN"/>
        </w:rPr>
        <w:t xml:space="preserve"> </w:t>
      </w:r>
      <w:r>
        <w:rPr>
          <w:rFonts w:ascii="Arial" w:hAnsi="Arial" w:cs="Arial"/>
          <w:lang w:val="en-IN"/>
        </w:rPr>
        <w:t>zero by Day 18 (2.00±1.15;</w:t>
      </w:r>
      <w:r>
        <w:rPr>
          <w:rFonts w:ascii="Arial" w:hAnsi="Arial" w:cs="Arial"/>
          <w:i/>
          <w:iCs/>
          <w:lang w:val="en-IN"/>
        </w:rPr>
        <w:t xml:space="preserve"> p &lt; 0.01</w:t>
      </w:r>
      <w:r>
        <w:rPr>
          <w:rFonts w:ascii="Arial" w:hAnsi="Arial" w:cs="Arial"/>
          <w:lang w:val="en-IN"/>
        </w:rPr>
        <w:t xml:space="preserve">). Quercetin pretreatment (Q+UV) significantly protected flies from radiation damage across all time </w:t>
      </w:r>
      <w:r>
        <w:rPr>
          <w:rFonts w:ascii="Arial" w:hAnsi="Arial" w:cs="Arial"/>
          <w:i/>
          <w:iCs/>
          <w:lang w:val="en-IN"/>
        </w:rPr>
        <w:t>points (p &lt; 0.05)</w:t>
      </w:r>
      <w:r>
        <w:rPr>
          <w:rFonts w:ascii="Arial" w:hAnsi="Arial" w:cs="Arial"/>
          <w:lang w:val="en-IN"/>
        </w:rPr>
        <w:t xml:space="preserve">. By Day 18, Q+UV flies </w:t>
      </w:r>
      <w:r>
        <w:rPr>
          <w:rFonts w:ascii="Arial" w:hAnsi="Arial" w:cs="Arial"/>
          <w:highlight w:val="yellow"/>
          <w:lang w:val="en-IN"/>
        </w:rPr>
        <w:t>r</w:t>
      </w:r>
      <w:r>
        <w:rPr>
          <w:rFonts w:ascii="Arial" w:hAnsi="Arial" w:cs="Arial"/>
          <w:lang w:val="en-IN"/>
        </w:rPr>
        <w:t>et</w:t>
      </w:r>
      <w:r>
        <w:rPr>
          <w:rFonts w:ascii="Arial" w:hAnsi="Arial" w:cs="Arial"/>
          <w:highlight w:val="yellow"/>
          <w:lang w:val="en-IN"/>
        </w:rPr>
        <w:t>ained</w:t>
      </w:r>
      <w:r>
        <w:rPr>
          <w:rFonts w:ascii="Arial" w:hAnsi="Arial" w:cs="Arial"/>
          <w:lang w:val="en-IN"/>
        </w:rPr>
        <w:t xml:space="preserve"> 71.6% of</w:t>
      </w:r>
      <w:r>
        <w:rPr>
          <w:rFonts w:ascii="Arial" w:hAnsi="Arial" w:cs="Arial"/>
          <w:highlight w:val="yellow"/>
          <w:lang w:val="en-IN"/>
        </w:rPr>
        <w:t xml:space="preserve"> the</w:t>
      </w:r>
      <w:r>
        <w:rPr>
          <w:rFonts w:ascii="Arial" w:hAnsi="Arial" w:cs="Arial"/>
          <w:lang w:val="en-IN"/>
        </w:rPr>
        <w:t xml:space="preserve"> control climbing capacity (17.67±1.45 vs 24.67±0.88), showing long-lasting protection. This statistical protection highlights the potency of this antioxidant against radiation</w:t>
      </w:r>
      <w:r>
        <w:rPr>
          <w:rFonts w:ascii="Arial" w:hAnsi="Arial" w:cs="Arial"/>
          <w:highlight w:val="yellow"/>
          <w:lang w:val="en-IN"/>
        </w:rPr>
        <w:t>-</w:t>
      </w:r>
      <w:r>
        <w:rPr>
          <w:rFonts w:ascii="Arial" w:hAnsi="Arial" w:cs="Arial"/>
          <w:lang w:val="en-IN"/>
        </w:rPr>
        <w:t xml:space="preserve">induced stress. </w:t>
      </w:r>
      <w:r>
        <w:rPr>
          <w:rFonts w:ascii="Arial" w:hAnsi="Arial" w:cs="Arial"/>
          <w:bCs/>
          <w:highlight w:val="yellow"/>
          <w:lang w:val="en-IN"/>
        </w:rPr>
        <w:t xml:space="preserve">Similarly, curcumin supplementation (100 μM) has been reported to mitigate gamma-induced ageing in </w:t>
      </w:r>
      <w:r>
        <w:rPr>
          <w:rFonts w:ascii="Arial" w:hAnsi="Arial" w:cs="Arial"/>
          <w:bCs/>
          <w:i/>
          <w:iCs/>
          <w:highlight w:val="yellow"/>
          <w:lang w:val="en-IN"/>
        </w:rPr>
        <w:t>Drosophila melanogaster</w:t>
      </w:r>
      <w:r>
        <w:rPr>
          <w:rFonts w:ascii="Arial" w:hAnsi="Arial" w:cs="Arial"/>
          <w:bCs/>
          <w:i/>
          <w:iCs/>
          <w:lang w:val="en-IN"/>
        </w:rPr>
        <w:t xml:space="preserve"> </w:t>
      </w:r>
      <w:r>
        <w:rPr>
          <w:rFonts w:ascii="Arial" w:hAnsi="Arial" w:cs="Arial"/>
          <w:bCs/>
          <w:lang w:val="en-IN"/>
        </w:rPr>
        <w:t>(</w:t>
      </w:r>
      <w:r>
        <w:rPr>
          <w:rFonts w:ascii="Arial" w:hAnsi="Arial" w:cs="Arial"/>
          <w:bCs/>
          <w:highlight w:val="yellow"/>
          <w:lang w:val="en-IN"/>
        </w:rPr>
        <w:t>Seong et al., 2015</w:t>
      </w:r>
      <w:r>
        <w:rPr>
          <w:rFonts w:ascii="Arial" w:hAnsi="Arial" w:cs="Arial"/>
          <w:bCs/>
          <w:lang w:val="en-IN"/>
        </w:rPr>
        <w:t>).</w:t>
      </w:r>
    </w:p>
    <w:p w14:paraId="7749647D" w14:textId="77777777" w:rsidR="00BF7AAB" w:rsidRDefault="0039610D" w:rsidP="00FF0E86">
      <w:pPr>
        <w:pStyle w:val="Body"/>
        <w:rPr>
          <w:rFonts w:ascii="Arial" w:hAnsi="Arial" w:cs="Arial"/>
          <w:lang w:val="en-IN"/>
        </w:rPr>
      </w:pPr>
      <w:r>
        <w:rPr>
          <w:noProof/>
        </w:rPr>
        <w:lastRenderedPageBreak/>
        <w:drawing>
          <wp:anchor distT="0" distB="0" distL="114300" distR="114300" simplePos="0" relativeHeight="251700224" behindDoc="1" locked="0" layoutInCell="1" allowOverlap="1" wp14:anchorId="76AD73AD" wp14:editId="1D34E695">
            <wp:simplePos x="0" y="0"/>
            <wp:positionH relativeFrom="column">
              <wp:posOffset>442595</wp:posOffset>
            </wp:positionH>
            <wp:positionV relativeFrom="paragraph">
              <wp:posOffset>635</wp:posOffset>
            </wp:positionV>
            <wp:extent cx="4572000" cy="3059430"/>
            <wp:effectExtent l="0" t="0" r="0" b="7620"/>
            <wp:wrapTight wrapText="bothSides">
              <wp:wrapPolygon edited="0">
                <wp:start x="0" y="0"/>
                <wp:lineTo x="0" y="21519"/>
                <wp:lineTo x="21510" y="21519"/>
                <wp:lineTo x="21510" y="0"/>
                <wp:lineTo x="0" y="0"/>
              </wp:wrapPolygon>
            </wp:wrapTight>
            <wp:docPr id="185898268" name="Chart 1">
              <a:extLst xmlns:a="http://schemas.openxmlformats.org/drawingml/2006/main">
                <a:ext uri="{FF2B5EF4-FFF2-40B4-BE49-F238E27FC236}">
                  <a16:creationId xmlns:a16="http://schemas.microsoft.com/office/drawing/2014/main" id="{3BE2AA9E-22CC-4D65-C31F-489C03842F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55A11994" w14:textId="77777777" w:rsidR="00BF7AAB" w:rsidRDefault="00BF7AAB" w:rsidP="00FF0E86">
      <w:pPr>
        <w:pStyle w:val="Body"/>
        <w:rPr>
          <w:rFonts w:ascii="Arial" w:hAnsi="Arial" w:cs="Arial"/>
          <w:lang w:val="en-IN"/>
        </w:rPr>
      </w:pPr>
    </w:p>
    <w:p w14:paraId="205F1A82" w14:textId="77777777" w:rsidR="00BF7AAB" w:rsidRDefault="00BF7AAB" w:rsidP="00FF0E86">
      <w:pPr>
        <w:pStyle w:val="Body"/>
        <w:rPr>
          <w:rFonts w:ascii="Arial" w:hAnsi="Arial" w:cs="Arial"/>
          <w:lang w:val="en-IN"/>
        </w:rPr>
      </w:pPr>
    </w:p>
    <w:p w14:paraId="7B88BB99" w14:textId="77777777" w:rsidR="00BF7AAB" w:rsidRDefault="00BF7AAB" w:rsidP="00FF0E86">
      <w:pPr>
        <w:pStyle w:val="Body"/>
        <w:rPr>
          <w:rFonts w:ascii="Arial" w:hAnsi="Arial" w:cs="Arial"/>
          <w:lang w:val="en-IN"/>
        </w:rPr>
      </w:pPr>
    </w:p>
    <w:p w14:paraId="4791DCA2" w14:textId="77777777" w:rsidR="00BF7AAB" w:rsidRDefault="00BF7AAB" w:rsidP="00FF0E86">
      <w:pPr>
        <w:pStyle w:val="Body"/>
        <w:rPr>
          <w:rFonts w:ascii="Arial" w:hAnsi="Arial" w:cs="Arial"/>
          <w:lang w:val="en-IN"/>
        </w:rPr>
      </w:pPr>
    </w:p>
    <w:p w14:paraId="41CA1D06" w14:textId="77777777" w:rsidR="0039610D" w:rsidRDefault="0039610D" w:rsidP="00FF0E86">
      <w:pPr>
        <w:pStyle w:val="Body"/>
        <w:rPr>
          <w:rFonts w:ascii="Arial" w:hAnsi="Arial" w:cs="Arial"/>
          <w:lang w:val="en-IN"/>
        </w:rPr>
      </w:pPr>
    </w:p>
    <w:p w14:paraId="01C857C9" w14:textId="77777777" w:rsidR="0039610D" w:rsidRDefault="0039610D" w:rsidP="00FF0E86">
      <w:pPr>
        <w:pStyle w:val="Body"/>
        <w:rPr>
          <w:rFonts w:ascii="Arial" w:hAnsi="Arial" w:cs="Arial"/>
          <w:lang w:val="en-IN"/>
        </w:rPr>
      </w:pPr>
    </w:p>
    <w:p w14:paraId="7DDC5D02" w14:textId="77777777" w:rsidR="0039610D" w:rsidRDefault="0039610D" w:rsidP="00FF0E86">
      <w:pPr>
        <w:pStyle w:val="Body"/>
        <w:rPr>
          <w:rFonts w:ascii="Arial" w:hAnsi="Arial" w:cs="Arial"/>
          <w:lang w:val="en-IN"/>
        </w:rPr>
      </w:pPr>
    </w:p>
    <w:p w14:paraId="09E90F44" w14:textId="77777777" w:rsidR="0039610D" w:rsidRDefault="0039610D" w:rsidP="00FF0E86">
      <w:pPr>
        <w:pStyle w:val="Body"/>
        <w:rPr>
          <w:rFonts w:ascii="Arial" w:hAnsi="Arial" w:cs="Arial"/>
          <w:lang w:val="en-IN"/>
        </w:rPr>
      </w:pPr>
    </w:p>
    <w:p w14:paraId="4CFB5FB8" w14:textId="77777777" w:rsidR="0039610D" w:rsidRDefault="0039610D" w:rsidP="00FF0E86">
      <w:pPr>
        <w:pStyle w:val="Body"/>
        <w:rPr>
          <w:rFonts w:ascii="Arial" w:hAnsi="Arial" w:cs="Arial"/>
          <w:lang w:val="en-IN"/>
        </w:rPr>
      </w:pPr>
    </w:p>
    <w:p w14:paraId="629402A3" w14:textId="77777777" w:rsidR="00E90F3C" w:rsidRDefault="00E90F3C" w:rsidP="00FF0E86">
      <w:pPr>
        <w:pStyle w:val="Body"/>
        <w:rPr>
          <w:rFonts w:ascii="Arial" w:hAnsi="Arial" w:cs="Arial"/>
          <w:lang w:val="en-IN"/>
        </w:rPr>
      </w:pPr>
    </w:p>
    <w:p w14:paraId="63361D86" w14:textId="77777777" w:rsidR="00425401" w:rsidRDefault="00425401" w:rsidP="004427D5">
      <w:pPr>
        <w:autoSpaceDE w:val="0"/>
        <w:autoSpaceDN w:val="0"/>
        <w:adjustRightInd w:val="0"/>
        <w:jc w:val="both"/>
        <w:rPr>
          <w:rFonts w:ascii="Arial" w:hAnsi="Arial" w:cs="Arial"/>
          <w:b/>
          <w:bCs/>
          <w:szCs w:val="22"/>
        </w:rPr>
      </w:pPr>
    </w:p>
    <w:p w14:paraId="2E17969E" w14:textId="77777777" w:rsidR="004427D5" w:rsidRDefault="004427D5" w:rsidP="004427D5">
      <w:pPr>
        <w:autoSpaceDE w:val="0"/>
        <w:autoSpaceDN w:val="0"/>
        <w:adjustRightInd w:val="0"/>
        <w:jc w:val="both"/>
        <w:rPr>
          <w:rFonts w:ascii="Arial" w:hAnsi="Arial" w:cs="Arial"/>
          <w:b/>
          <w:bCs/>
          <w:szCs w:val="22"/>
        </w:rPr>
      </w:pPr>
      <w:r>
        <w:rPr>
          <w:rFonts w:ascii="Arial" w:hAnsi="Arial" w:cs="Arial"/>
          <w:b/>
          <w:bCs/>
          <w:szCs w:val="22"/>
        </w:rPr>
        <w:t>Fig.</w:t>
      </w:r>
      <w:r w:rsidRPr="008247A6">
        <w:rPr>
          <w:rFonts w:ascii="Arial" w:hAnsi="Arial" w:cs="Arial"/>
          <w:b/>
          <w:bCs/>
          <w:szCs w:val="22"/>
        </w:rPr>
        <w:t xml:space="preserve"> </w:t>
      </w:r>
      <w:r>
        <w:rPr>
          <w:rFonts w:ascii="Arial" w:hAnsi="Arial" w:cs="Arial"/>
          <w:b/>
          <w:bCs/>
          <w:szCs w:val="22"/>
        </w:rPr>
        <w:t>2.</w:t>
      </w:r>
      <w:r w:rsidRPr="008247A6">
        <w:rPr>
          <w:rFonts w:ascii="Arial" w:hAnsi="Arial" w:cs="Arial"/>
          <w:b/>
          <w:bCs/>
          <w:szCs w:val="22"/>
        </w:rPr>
        <w:t xml:space="preserve"> </w:t>
      </w:r>
      <w:r w:rsidR="00BF4B68" w:rsidRPr="00BF4B68">
        <w:rPr>
          <w:rFonts w:ascii="Arial" w:hAnsi="Arial" w:cs="Arial"/>
          <w:b/>
          <w:bCs/>
          <w:szCs w:val="22"/>
        </w:rPr>
        <w:t xml:space="preserve">Age-specific locomotor activity and climbing performance in </w:t>
      </w:r>
      <w:r w:rsidR="00BF4B68" w:rsidRPr="00BF4B68">
        <w:rPr>
          <w:rFonts w:ascii="Arial" w:hAnsi="Arial" w:cs="Arial"/>
          <w:b/>
          <w:bCs/>
          <w:i/>
          <w:iCs/>
          <w:szCs w:val="22"/>
        </w:rPr>
        <w:t>Drosophila</w:t>
      </w:r>
      <w:r w:rsidR="00BF4B68" w:rsidRPr="00BF4B68">
        <w:rPr>
          <w:rFonts w:ascii="Arial" w:hAnsi="Arial" w:cs="Arial"/>
          <w:b/>
          <w:bCs/>
          <w:szCs w:val="22"/>
        </w:rPr>
        <w:t xml:space="preserve"> </w:t>
      </w:r>
      <w:r w:rsidR="009C2514">
        <w:rPr>
          <w:rFonts w:ascii="Arial" w:hAnsi="Arial" w:cs="Arial"/>
          <w:b/>
          <w:bCs/>
          <w:szCs w:val="22"/>
        </w:rPr>
        <w:t xml:space="preserve">melanogaster </w:t>
      </w:r>
      <w:r w:rsidR="00BF4B68" w:rsidRPr="00BF4B68">
        <w:rPr>
          <w:rFonts w:ascii="Arial" w:hAnsi="Arial" w:cs="Arial"/>
          <w:b/>
          <w:bCs/>
          <w:szCs w:val="22"/>
        </w:rPr>
        <w:t>across experimental cohorts over 1</w:t>
      </w:r>
      <w:r w:rsidR="003D5424">
        <w:rPr>
          <w:rFonts w:ascii="Arial" w:hAnsi="Arial" w:cs="Arial"/>
          <w:b/>
          <w:bCs/>
          <w:szCs w:val="22"/>
        </w:rPr>
        <w:t>8</w:t>
      </w:r>
      <w:r w:rsidR="00BF4B68" w:rsidRPr="00BF4B68">
        <w:rPr>
          <w:rFonts w:ascii="Arial" w:hAnsi="Arial" w:cs="Arial"/>
          <w:b/>
          <w:bCs/>
          <w:szCs w:val="22"/>
        </w:rPr>
        <w:t xml:space="preserve"> days. </w:t>
      </w:r>
    </w:p>
    <w:p w14:paraId="59F9E551" w14:textId="77777777" w:rsidR="00845A34" w:rsidRPr="00845A34" w:rsidRDefault="00845A34" w:rsidP="00845A34">
      <w:pPr>
        <w:autoSpaceDE w:val="0"/>
        <w:autoSpaceDN w:val="0"/>
        <w:adjustRightInd w:val="0"/>
        <w:jc w:val="both"/>
        <w:rPr>
          <w:rFonts w:ascii="Arial" w:hAnsi="Arial" w:cs="Arial"/>
          <w:i/>
          <w:iCs/>
          <w:sz w:val="18"/>
          <w:szCs w:val="18"/>
          <w:lang w:val="en-IN"/>
        </w:rPr>
      </w:pPr>
      <m:oMath>
        <m:r>
          <m:rPr>
            <m:nor/>
          </m:rPr>
          <w:rPr>
            <w:rFonts w:ascii="Arial" w:hAnsi="Arial" w:cs="Arial"/>
            <w:i/>
            <w:iCs/>
            <w:sz w:val="18"/>
            <w:szCs w:val="18"/>
            <w:lang w:val="en-IN"/>
          </w:rPr>
          <m:t>Mean</m:t>
        </m:r>
        <m:r>
          <w:rPr>
            <w:rFonts w:ascii="Cambria Math" w:hAnsi="Cambria Math" w:cs="Arial"/>
            <w:sz w:val="18"/>
            <w:szCs w:val="18"/>
            <w:lang w:val="en-IN"/>
          </w:rPr>
          <m:t>±</m:t>
        </m:r>
        <m:r>
          <m:rPr>
            <m:nor/>
          </m:rPr>
          <w:rPr>
            <w:rFonts w:ascii="Arial" w:hAnsi="Arial" w:cs="Arial"/>
            <w:i/>
            <w:iCs/>
            <w:sz w:val="18"/>
            <w:szCs w:val="18"/>
            <w:lang w:val="en-IN"/>
          </w:rPr>
          <m:t>SE</m:t>
        </m:r>
      </m:oMath>
      <w:r w:rsidRPr="00845A34">
        <w:rPr>
          <w:rFonts w:ascii="Arial" w:hAnsi="Arial" w:cs="Arial"/>
          <w:i/>
          <w:iCs/>
          <w:sz w:val="18"/>
          <w:szCs w:val="18"/>
          <w:lang w:val="en-IN"/>
        </w:rPr>
        <w:t xml:space="preserve"> values represent the total number of flies successfully exhibiting target climbing responses across three independent experimental replicates (</w:t>
      </w:r>
      <m:oMath>
        <m:r>
          <w:rPr>
            <w:rFonts w:ascii="Cambria Math" w:hAnsi="Cambria Math" w:cs="Arial"/>
            <w:sz w:val="18"/>
            <w:szCs w:val="18"/>
            <w:lang w:val="en-IN"/>
          </w:rPr>
          <m:t>n=3</m:t>
        </m:r>
      </m:oMath>
      <w:r w:rsidRPr="00845A34">
        <w:rPr>
          <w:rFonts w:ascii="Arial" w:hAnsi="Arial" w:cs="Arial"/>
          <w:i/>
          <w:iCs/>
          <w:sz w:val="18"/>
          <w:szCs w:val="18"/>
          <w:lang w:val="en-IN"/>
        </w:rPr>
        <w:t xml:space="preserve"> per cohort).</w:t>
      </w:r>
    </w:p>
    <w:p w14:paraId="62DF3DEC" w14:textId="77777777" w:rsidR="00DE5FC4" w:rsidRDefault="00FB42AD" w:rsidP="00FB42AD">
      <w:pPr>
        <w:autoSpaceDE w:val="0"/>
        <w:autoSpaceDN w:val="0"/>
        <w:adjustRightInd w:val="0"/>
        <w:jc w:val="both"/>
        <w:rPr>
          <w:rFonts w:ascii="Arial" w:hAnsi="Arial" w:cs="Arial"/>
          <w:i/>
          <w:iCs/>
          <w:sz w:val="18"/>
          <w:szCs w:val="18"/>
          <w:lang w:val="en-IN"/>
        </w:rPr>
      </w:pPr>
      <w:r>
        <w:rPr>
          <w:rFonts w:ascii="Arial" w:hAnsi="Arial" w:cs="Arial"/>
          <w:i/>
          <w:iCs/>
          <w:sz w:val="18"/>
          <w:szCs w:val="18"/>
          <w:lang w:val="en-IN"/>
        </w:rPr>
        <w:t xml:space="preserve">Experimental groups: </w:t>
      </w:r>
      <w:r w:rsidRPr="00FB42AD">
        <w:rPr>
          <w:rFonts w:ascii="Arial" w:hAnsi="Arial" w:cs="Arial"/>
          <w:i/>
          <w:iCs/>
          <w:sz w:val="18"/>
          <w:szCs w:val="18"/>
          <w:lang w:val="en-IN"/>
        </w:rPr>
        <w:t xml:space="preserve">Significance levels from </w:t>
      </w:r>
      <w:r>
        <w:rPr>
          <w:rFonts w:ascii="Arial" w:hAnsi="Arial" w:cs="Arial"/>
          <w:i/>
          <w:iCs/>
          <w:sz w:val="18"/>
          <w:szCs w:val="18"/>
          <w:lang w:val="en-IN"/>
        </w:rPr>
        <w:t>normal control</w:t>
      </w:r>
      <w:r w:rsidRPr="00FB42AD">
        <w:rPr>
          <w:rFonts w:ascii="Arial" w:hAnsi="Arial" w:cs="Arial"/>
          <w:i/>
          <w:iCs/>
          <w:sz w:val="18"/>
          <w:szCs w:val="18"/>
          <w:lang w:val="en-IN"/>
        </w:rPr>
        <w:t xml:space="preserve"> </w:t>
      </w:r>
      <w:r w:rsidRPr="00FB42AD">
        <w:rPr>
          <w:rFonts w:ascii="Arial" w:hAnsi="Arial" w:cs="Arial"/>
          <w:b/>
          <w:bCs/>
          <w:i/>
          <w:iCs/>
          <w:sz w:val="18"/>
          <w:szCs w:val="18"/>
          <w:lang w:val="en-IN"/>
        </w:rPr>
        <w:t>*</w:t>
      </w:r>
      <w:r w:rsidRPr="00FB42AD">
        <w:rPr>
          <w:rFonts w:ascii="Arial" w:hAnsi="Arial" w:cs="Arial"/>
          <w:i/>
          <w:iCs/>
          <w:sz w:val="18"/>
          <w:szCs w:val="18"/>
          <w:lang w:val="en-IN"/>
        </w:rPr>
        <w:t xml:space="preserve"> </w:t>
      </w:r>
      <m:oMath>
        <m:r>
          <w:rPr>
            <w:rFonts w:ascii="Cambria Math" w:hAnsi="Cambria Math" w:cs="Arial"/>
            <w:sz w:val="18"/>
            <w:szCs w:val="18"/>
            <w:lang w:val="en-IN"/>
          </w:rPr>
          <m:t>p&lt;0.05</m:t>
        </m:r>
      </m:oMath>
      <w:r w:rsidRPr="00FB42AD">
        <w:rPr>
          <w:rFonts w:ascii="Arial" w:hAnsi="Arial" w:cs="Arial"/>
          <w:i/>
          <w:iCs/>
          <w:sz w:val="18"/>
          <w:szCs w:val="18"/>
          <w:lang w:val="en-IN"/>
        </w:rPr>
        <w:t xml:space="preserve">, </w:t>
      </w:r>
      <w:r w:rsidRPr="00FB42AD">
        <w:rPr>
          <w:rFonts w:ascii="Arial" w:hAnsi="Arial" w:cs="Arial"/>
          <w:b/>
          <w:bCs/>
          <w:i/>
          <w:iCs/>
          <w:sz w:val="18"/>
          <w:szCs w:val="18"/>
          <w:lang w:val="en-IN"/>
        </w:rPr>
        <w:t>**</w:t>
      </w:r>
      <w:r w:rsidRPr="00FB42AD">
        <w:rPr>
          <w:rFonts w:ascii="Arial" w:hAnsi="Arial" w:cs="Arial"/>
          <w:i/>
          <w:iCs/>
          <w:sz w:val="18"/>
          <w:szCs w:val="18"/>
          <w:lang w:val="en-IN"/>
        </w:rPr>
        <w:t xml:space="preserve"> </w:t>
      </w:r>
      <m:oMath>
        <m:r>
          <w:rPr>
            <w:rFonts w:ascii="Cambria Math" w:hAnsi="Cambria Math" w:cs="Arial"/>
            <w:sz w:val="18"/>
            <w:szCs w:val="18"/>
            <w:lang w:val="en-IN"/>
          </w:rPr>
          <m:t>p&lt;0.01</m:t>
        </m:r>
      </m:oMath>
      <w:r w:rsidR="00CE0597">
        <w:rPr>
          <w:rFonts w:ascii="Arial" w:hAnsi="Arial" w:cs="Arial"/>
          <w:i/>
          <w:iCs/>
          <w:sz w:val="18"/>
          <w:szCs w:val="18"/>
          <w:lang w:val="en-IN"/>
        </w:rPr>
        <w:t>.</w:t>
      </w:r>
    </w:p>
    <w:p w14:paraId="29577D59" w14:textId="77777777" w:rsidR="00CD1AC8" w:rsidRDefault="00CD1AC8" w:rsidP="00FB42AD">
      <w:pPr>
        <w:autoSpaceDE w:val="0"/>
        <w:autoSpaceDN w:val="0"/>
        <w:adjustRightInd w:val="0"/>
        <w:jc w:val="both"/>
        <w:rPr>
          <w:rFonts w:ascii="Arial" w:hAnsi="Arial" w:cs="Arial"/>
          <w:i/>
          <w:iCs/>
          <w:sz w:val="18"/>
          <w:szCs w:val="18"/>
          <w:lang w:val="en-IN"/>
        </w:rPr>
      </w:pPr>
    </w:p>
    <w:p w14:paraId="1C70876A" w14:textId="77777777" w:rsidR="00E90F3C" w:rsidRPr="00FB42AD" w:rsidRDefault="00E90F3C" w:rsidP="00FB42AD">
      <w:pPr>
        <w:autoSpaceDE w:val="0"/>
        <w:autoSpaceDN w:val="0"/>
        <w:adjustRightInd w:val="0"/>
        <w:jc w:val="both"/>
        <w:rPr>
          <w:rFonts w:ascii="Arial" w:hAnsi="Arial" w:cs="Arial"/>
          <w:i/>
          <w:iCs/>
          <w:sz w:val="18"/>
          <w:szCs w:val="18"/>
          <w:lang w:val="en-IN"/>
        </w:rPr>
      </w:pPr>
    </w:p>
    <w:p w14:paraId="2407BD4F" w14:textId="77777777" w:rsidR="00E90F3C" w:rsidRPr="00E90F3C" w:rsidRDefault="006127B4" w:rsidP="00E90F3C">
      <w:pPr>
        <w:pStyle w:val="Body"/>
        <w:rPr>
          <w:rFonts w:ascii="Arial" w:hAnsi="Arial" w:cs="Arial"/>
          <w:b/>
          <w:bCs/>
          <w:sz w:val="22"/>
          <w:szCs w:val="22"/>
          <w:lang w:val="en-IN"/>
        </w:rPr>
      </w:pPr>
      <w:r>
        <w:rPr>
          <w:rFonts w:ascii="Arial" w:hAnsi="Arial" w:cs="Arial"/>
          <w:b/>
          <w:bCs/>
          <w:sz w:val="22"/>
          <w:szCs w:val="22"/>
        </w:rPr>
        <w:t xml:space="preserve">Table 1. </w:t>
      </w:r>
      <w:r>
        <w:rPr>
          <w:rFonts w:ascii="Arial" w:hAnsi="Arial" w:cs="Arial"/>
          <w:b/>
          <w:bCs/>
          <w:sz w:val="22"/>
          <w:szCs w:val="22"/>
        </w:rPr>
        <w:tab/>
      </w:r>
      <w:r w:rsidR="00E90F3C" w:rsidRPr="00E90F3C">
        <w:rPr>
          <w:rFonts w:ascii="Arial" w:hAnsi="Arial" w:cs="Arial"/>
          <w:b/>
          <w:bCs/>
          <w:sz w:val="22"/>
          <w:szCs w:val="22"/>
          <w:lang w:val="en-IN"/>
        </w:rPr>
        <w:t>Longitudinal Analysis of Age-Specific Locomotor Activity (</w:t>
      </w:r>
      <w:r w:rsidR="00E90F3C" w:rsidRPr="00E90F3C">
        <w:rPr>
          <w:rFonts w:ascii="Arial" w:hAnsi="Arial" w:cs="Arial"/>
          <w:b/>
          <w:bCs/>
          <w:i/>
          <w:iCs/>
          <w:sz w:val="22"/>
          <w:szCs w:val="22"/>
          <w:lang w:val="en-IN"/>
        </w:rPr>
        <w:t>Drosophila</w:t>
      </w:r>
      <w:r w:rsidR="00E90F3C" w:rsidRPr="00E90F3C">
        <w:rPr>
          <w:rFonts w:ascii="Arial" w:hAnsi="Arial" w:cs="Arial"/>
          <w:b/>
          <w:bCs/>
          <w:sz w:val="22"/>
          <w:szCs w:val="22"/>
          <w:lang w:val="en-IN"/>
        </w:rPr>
        <w:t xml:space="preserve"> Climbing Assay) and Dunnett’s Post-Hoc Comparisons Against Baseline Control Across 18 Days.</w:t>
      </w:r>
    </w:p>
    <w:tbl>
      <w:tblPr>
        <w:tblW w:w="10099" w:type="dxa"/>
        <w:tblInd w:w="-942" w:type="dxa"/>
        <w:tblBorders>
          <w:top w:val="single" w:sz="8" w:space="0" w:color="CCCCCC"/>
          <w:bottom w:val="single" w:sz="8" w:space="0" w:color="CCCCCC"/>
          <w:insideH w:val="single" w:sz="8" w:space="0" w:color="CCCCCC"/>
        </w:tblBorders>
        <w:tblLook w:val="04A0" w:firstRow="1" w:lastRow="0" w:firstColumn="1" w:lastColumn="0" w:noHBand="0" w:noVBand="1"/>
      </w:tblPr>
      <w:tblGrid>
        <w:gridCol w:w="816"/>
        <w:gridCol w:w="1383"/>
        <w:gridCol w:w="927"/>
        <w:gridCol w:w="816"/>
        <w:gridCol w:w="1195"/>
        <w:gridCol w:w="650"/>
        <w:gridCol w:w="794"/>
        <w:gridCol w:w="1228"/>
        <w:gridCol w:w="895"/>
        <w:gridCol w:w="1395"/>
      </w:tblGrid>
      <w:tr w:rsidR="00CD1AC8" w:rsidRPr="00E90F3C" w14:paraId="41D89DB3" w14:textId="77777777" w:rsidTr="0090288F">
        <w:trPr>
          <w:trHeight w:val="1030"/>
        </w:trPr>
        <w:tc>
          <w:tcPr>
            <w:tcW w:w="816" w:type="dxa"/>
            <w:tcBorders>
              <w:top w:val="single" w:sz="12" w:space="0" w:color="0D0D0D" w:themeColor="text1" w:themeTint="F2"/>
              <w:bottom w:val="single" w:sz="12" w:space="0" w:color="0D0D0D" w:themeColor="text1" w:themeTint="F2"/>
            </w:tcBorders>
            <w:vAlign w:val="bottom"/>
            <w:hideMark/>
          </w:tcPr>
          <w:p w14:paraId="57F64455"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Time points</w:t>
            </w:r>
          </w:p>
        </w:tc>
        <w:tc>
          <w:tcPr>
            <w:tcW w:w="1383" w:type="dxa"/>
            <w:tcBorders>
              <w:top w:val="single" w:sz="12" w:space="0" w:color="0D0D0D" w:themeColor="text1" w:themeTint="F2"/>
              <w:bottom w:val="single" w:sz="12" w:space="0" w:color="0D0D0D" w:themeColor="text1" w:themeTint="F2"/>
            </w:tcBorders>
            <w:vAlign w:val="bottom"/>
            <w:hideMark/>
          </w:tcPr>
          <w:p w14:paraId="1DA85968"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Comparison vs Control (C)</w:t>
            </w:r>
          </w:p>
        </w:tc>
        <w:tc>
          <w:tcPr>
            <w:tcW w:w="927" w:type="dxa"/>
            <w:tcBorders>
              <w:top w:val="single" w:sz="12" w:space="0" w:color="0D0D0D" w:themeColor="text1" w:themeTint="F2"/>
              <w:bottom w:val="single" w:sz="12" w:space="0" w:color="0D0D0D" w:themeColor="text1" w:themeTint="F2"/>
            </w:tcBorders>
            <w:vAlign w:val="bottom"/>
            <w:hideMark/>
          </w:tcPr>
          <w:p w14:paraId="5E7AAD2B"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Control</w:t>
            </w:r>
          </w:p>
        </w:tc>
        <w:tc>
          <w:tcPr>
            <w:tcW w:w="816" w:type="dxa"/>
            <w:tcBorders>
              <w:top w:val="single" w:sz="12" w:space="0" w:color="0D0D0D" w:themeColor="text1" w:themeTint="F2"/>
              <w:bottom w:val="single" w:sz="12" w:space="0" w:color="0D0D0D" w:themeColor="text1" w:themeTint="F2"/>
            </w:tcBorders>
            <w:vAlign w:val="bottom"/>
            <w:hideMark/>
          </w:tcPr>
          <w:p w14:paraId="235221EA"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Group</w:t>
            </w:r>
          </w:p>
        </w:tc>
        <w:tc>
          <w:tcPr>
            <w:tcW w:w="1195" w:type="dxa"/>
            <w:tcBorders>
              <w:top w:val="single" w:sz="12" w:space="0" w:color="0D0D0D" w:themeColor="text1" w:themeTint="F2"/>
              <w:bottom w:val="single" w:sz="12" w:space="0" w:color="0D0D0D" w:themeColor="text1" w:themeTint="F2"/>
            </w:tcBorders>
            <w:vAlign w:val="bottom"/>
            <w:hideMark/>
          </w:tcPr>
          <w:p w14:paraId="20EBD8F0"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Difference</w:t>
            </w:r>
          </w:p>
        </w:tc>
        <w:tc>
          <w:tcPr>
            <w:tcW w:w="650" w:type="dxa"/>
            <w:tcBorders>
              <w:top w:val="single" w:sz="12" w:space="0" w:color="0D0D0D" w:themeColor="text1" w:themeTint="F2"/>
              <w:bottom w:val="single" w:sz="12" w:space="0" w:color="0D0D0D" w:themeColor="text1" w:themeTint="F2"/>
            </w:tcBorders>
            <w:vAlign w:val="bottom"/>
            <w:hideMark/>
          </w:tcPr>
          <w:p w14:paraId="12EE3B3E"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MSE</w:t>
            </w:r>
          </w:p>
        </w:tc>
        <w:tc>
          <w:tcPr>
            <w:tcW w:w="794" w:type="dxa"/>
            <w:tcBorders>
              <w:top w:val="single" w:sz="12" w:space="0" w:color="0D0D0D" w:themeColor="text1" w:themeTint="F2"/>
              <w:bottom w:val="single" w:sz="12" w:space="0" w:color="0D0D0D" w:themeColor="text1" w:themeTint="F2"/>
            </w:tcBorders>
            <w:vAlign w:val="bottom"/>
            <w:hideMark/>
          </w:tcPr>
          <w:p w14:paraId="58637B02" w14:textId="77777777" w:rsidR="00CD1AC8" w:rsidRPr="00E90F3C" w:rsidRDefault="00CD1AC8" w:rsidP="00CD1AC8">
            <w:pPr>
              <w:rPr>
                <w:rFonts w:ascii="Arial" w:hAnsi="Arial" w:cs="Arial"/>
                <w:b/>
                <w:bCs/>
                <w:color w:val="000000"/>
                <w:lang w:val="en-IN" w:eastAsia="en-IN"/>
              </w:rPr>
            </w:pPr>
            <w:proofErr w:type="spellStart"/>
            <w:r w:rsidRPr="00E90F3C">
              <w:rPr>
                <w:rFonts w:ascii="Arial" w:hAnsi="Arial" w:cs="Arial"/>
                <w:b/>
                <w:bCs/>
                <w:color w:val="000000"/>
                <w:lang w:val="en-IN" w:eastAsia="en-IN"/>
              </w:rPr>
              <w:t>SEdiff</w:t>
            </w:r>
            <w:proofErr w:type="spellEnd"/>
            <w:r w:rsidRPr="00E90F3C">
              <w:rPr>
                <w:rFonts w:ascii="Arial" w:hAnsi="Arial" w:cs="Arial"/>
                <w:b/>
                <w:bCs/>
                <w:color w:val="000000"/>
                <w:lang w:val="en-IN" w:eastAsia="en-IN"/>
              </w:rPr>
              <w:t>​</w:t>
            </w:r>
          </w:p>
        </w:tc>
        <w:tc>
          <w:tcPr>
            <w:tcW w:w="1228" w:type="dxa"/>
            <w:tcBorders>
              <w:top w:val="single" w:sz="12" w:space="0" w:color="0D0D0D" w:themeColor="text1" w:themeTint="F2"/>
              <w:bottom w:val="single" w:sz="12" w:space="0" w:color="0D0D0D" w:themeColor="text1" w:themeTint="F2"/>
            </w:tcBorders>
            <w:vAlign w:val="bottom"/>
            <w:hideMark/>
          </w:tcPr>
          <w:p w14:paraId="7B72F27C"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Calculated Dunnett q</w:t>
            </w:r>
          </w:p>
        </w:tc>
        <w:tc>
          <w:tcPr>
            <w:tcW w:w="895" w:type="dxa"/>
            <w:tcBorders>
              <w:top w:val="single" w:sz="12" w:space="0" w:color="0D0D0D" w:themeColor="text1" w:themeTint="F2"/>
              <w:bottom w:val="single" w:sz="12" w:space="0" w:color="0D0D0D" w:themeColor="text1" w:themeTint="F2"/>
            </w:tcBorders>
            <w:vAlign w:val="bottom"/>
            <w:hideMark/>
          </w:tcPr>
          <w:p w14:paraId="03CD7B6F"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Critical Value CD0.05​</w:t>
            </w:r>
          </w:p>
        </w:tc>
        <w:tc>
          <w:tcPr>
            <w:tcW w:w="1395" w:type="dxa"/>
            <w:tcBorders>
              <w:top w:val="single" w:sz="12" w:space="0" w:color="0D0D0D" w:themeColor="text1" w:themeTint="F2"/>
              <w:bottom w:val="single" w:sz="12" w:space="0" w:color="0D0D0D" w:themeColor="text1" w:themeTint="F2"/>
            </w:tcBorders>
            <w:noWrap/>
            <w:vAlign w:val="center"/>
            <w:hideMark/>
          </w:tcPr>
          <w:p w14:paraId="7D04F284"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Significance Level</w:t>
            </w:r>
          </w:p>
        </w:tc>
      </w:tr>
      <w:tr w:rsidR="00CD1AC8" w:rsidRPr="00CD1AC8" w14:paraId="23D1C588" w14:textId="77777777" w:rsidTr="0090288F">
        <w:trPr>
          <w:trHeight w:val="300"/>
        </w:trPr>
        <w:tc>
          <w:tcPr>
            <w:tcW w:w="816" w:type="dxa"/>
            <w:tcBorders>
              <w:top w:val="single" w:sz="12" w:space="0" w:color="0D0D0D" w:themeColor="text1" w:themeTint="F2"/>
              <w:bottom w:val="nil"/>
            </w:tcBorders>
            <w:vAlign w:val="bottom"/>
            <w:hideMark/>
          </w:tcPr>
          <w:p w14:paraId="2E26BDA9"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3</w:t>
            </w:r>
          </w:p>
        </w:tc>
        <w:tc>
          <w:tcPr>
            <w:tcW w:w="1383" w:type="dxa"/>
            <w:tcBorders>
              <w:top w:val="single" w:sz="12" w:space="0" w:color="0D0D0D" w:themeColor="text1" w:themeTint="F2"/>
              <w:bottom w:val="nil"/>
            </w:tcBorders>
            <w:vAlign w:val="bottom"/>
            <w:hideMark/>
          </w:tcPr>
          <w:p w14:paraId="1F46C9DF"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single" w:sz="12" w:space="0" w:color="0D0D0D" w:themeColor="text1" w:themeTint="F2"/>
              <w:bottom w:val="nil"/>
            </w:tcBorders>
            <w:vAlign w:val="bottom"/>
            <w:hideMark/>
          </w:tcPr>
          <w:p w14:paraId="79BB42C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single" w:sz="12" w:space="0" w:color="0D0D0D" w:themeColor="text1" w:themeTint="F2"/>
              <w:bottom w:val="nil"/>
            </w:tcBorders>
            <w:vAlign w:val="bottom"/>
            <w:hideMark/>
          </w:tcPr>
          <w:p w14:paraId="1FFECE0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47.33</w:t>
            </w:r>
          </w:p>
        </w:tc>
        <w:tc>
          <w:tcPr>
            <w:tcW w:w="1195" w:type="dxa"/>
            <w:tcBorders>
              <w:top w:val="single" w:sz="12" w:space="0" w:color="0D0D0D" w:themeColor="text1" w:themeTint="F2"/>
              <w:bottom w:val="nil"/>
            </w:tcBorders>
            <w:vAlign w:val="bottom"/>
            <w:hideMark/>
          </w:tcPr>
          <w:p w14:paraId="0D32995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650" w:type="dxa"/>
            <w:tcBorders>
              <w:top w:val="single" w:sz="12" w:space="0" w:color="0D0D0D" w:themeColor="text1" w:themeTint="F2"/>
              <w:bottom w:val="nil"/>
            </w:tcBorders>
            <w:vAlign w:val="bottom"/>
            <w:hideMark/>
          </w:tcPr>
          <w:p w14:paraId="693089C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single" w:sz="12" w:space="0" w:color="0D0D0D" w:themeColor="text1" w:themeTint="F2"/>
              <w:bottom w:val="nil"/>
            </w:tcBorders>
            <w:vAlign w:val="bottom"/>
            <w:hideMark/>
          </w:tcPr>
          <w:p w14:paraId="06233AF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single" w:sz="12" w:space="0" w:color="0D0D0D" w:themeColor="text1" w:themeTint="F2"/>
              <w:bottom w:val="nil"/>
            </w:tcBorders>
            <w:vAlign w:val="bottom"/>
            <w:hideMark/>
          </w:tcPr>
          <w:p w14:paraId="109ADA9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0.92</w:t>
            </w:r>
          </w:p>
        </w:tc>
        <w:tc>
          <w:tcPr>
            <w:tcW w:w="895" w:type="dxa"/>
            <w:tcBorders>
              <w:top w:val="single" w:sz="12" w:space="0" w:color="0D0D0D" w:themeColor="text1" w:themeTint="F2"/>
              <w:bottom w:val="nil"/>
            </w:tcBorders>
            <w:vAlign w:val="bottom"/>
            <w:hideMark/>
          </w:tcPr>
          <w:p w14:paraId="1FC1D00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single" w:sz="12" w:space="0" w:color="0D0D0D" w:themeColor="text1" w:themeTint="F2"/>
              <w:bottom w:val="nil"/>
            </w:tcBorders>
            <w:vAlign w:val="bottom"/>
            <w:hideMark/>
          </w:tcPr>
          <w:p w14:paraId="69560384"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2C3D69A1" w14:textId="77777777" w:rsidTr="0090288F">
        <w:trPr>
          <w:trHeight w:val="530"/>
        </w:trPr>
        <w:tc>
          <w:tcPr>
            <w:tcW w:w="816" w:type="dxa"/>
            <w:tcBorders>
              <w:top w:val="nil"/>
              <w:bottom w:val="nil"/>
            </w:tcBorders>
            <w:vAlign w:val="bottom"/>
            <w:hideMark/>
          </w:tcPr>
          <w:p w14:paraId="4193BF6F"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C23D4A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65A2B20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nil"/>
              <w:bottom w:val="nil"/>
            </w:tcBorders>
            <w:vAlign w:val="bottom"/>
            <w:hideMark/>
          </w:tcPr>
          <w:p w14:paraId="2D94DE2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26.33</w:t>
            </w:r>
          </w:p>
        </w:tc>
        <w:tc>
          <w:tcPr>
            <w:tcW w:w="1195" w:type="dxa"/>
            <w:tcBorders>
              <w:top w:val="nil"/>
              <w:bottom w:val="nil"/>
            </w:tcBorders>
            <w:vAlign w:val="bottom"/>
            <w:hideMark/>
          </w:tcPr>
          <w:p w14:paraId="431B8B0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-22.67</w:t>
            </w:r>
          </w:p>
        </w:tc>
        <w:tc>
          <w:tcPr>
            <w:tcW w:w="650" w:type="dxa"/>
            <w:tcBorders>
              <w:top w:val="nil"/>
              <w:bottom w:val="nil"/>
            </w:tcBorders>
            <w:vAlign w:val="bottom"/>
            <w:hideMark/>
          </w:tcPr>
          <w:p w14:paraId="12B19E5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nil"/>
              <w:bottom w:val="nil"/>
            </w:tcBorders>
            <w:vAlign w:val="bottom"/>
            <w:hideMark/>
          </w:tcPr>
          <w:p w14:paraId="4313CFF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nil"/>
              <w:bottom w:val="nil"/>
            </w:tcBorders>
            <w:vAlign w:val="bottom"/>
            <w:hideMark/>
          </w:tcPr>
          <w:p w14:paraId="6A1EDDB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12.52</w:t>
            </w:r>
          </w:p>
        </w:tc>
        <w:tc>
          <w:tcPr>
            <w:tcW w:w="895" w:type="dxa"/>
            <w:tcBorders>
              <w:top w:val="nil"/>
              <w:bottom w:val="nil"/>
            </w:tcBorders>
            <w:vAlign w:val="bottom"/>
            <w:hideMark/>
          </w:tcPr>
          <w:p w14:paraId="3D2CE09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nil"/>
              <w:bottom w:val="nil"/>
            </w:tcBorders>
            <w:vAlign w:val="bottom"/>
            <w:hideMark/>
          </w:tcPr>
          <w:p w14:paraId="7DB1E224"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4531B63B" w14:textId="77777777" w:rsidTr="0090288F">
        <w:trPr>
          <w:trHeight w:val="530"/>
        </w:trPr>
        <w:tc>
          <w:tcPr>
            <w:tcW w:w="816" w:type="dxa"/>
            <w:tcBorders>
              <w:top w:val="nil"/>
              <w:bottom w:val="nil"/>
            </w:tcBorders>
            <w:vAlign w:val="bottom"/>
            <w:hideMark/>
          </w:tcPr>
          <w:p w14:paraId="4B0A045A"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A55D9B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2A8F413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nil"/>
              <w:bottom w:val="nil"/>
            </w:tcBorders>
            <w:vAlign w:val="bottom"/>
            <w:hideMark/>
          </w:tcPr>
          <w:p w14:paraId="54C4AF3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w:t>
            </w:r>
          </w:p>
        </w:tc>
        <w:tc>
          <w:tcPr>
            <w:tcW w:w="1195" w:type="dxa"/>
            <w:tcBorders>
              <w:top w:val="nil"/>
              <w:bottom w:val="nil"/>
            </w:tcBorders>
            <w:vAlign w:val="bottom"/>
            <w:hideMark/>
          </w:tcPr>
          <w:p w14:paraId="1883D17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-10</w:t>
            </w:r>
          </w:p>
        </w:tc>
        <w:tc>
          <w:tcPr>
            <w:tcW w:w="650" w:type="dxa"/>
            <w:tcBorders>
              <w:top w:val="nil"/>
              <w:bottom w:val="nil"/>
            </w:tcBorders>
            <w:vAlign w:val="bottom"/>
            <w:hideMark/>
          </w:tcPr>
          <w:p w14:paraId="14068F7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nil"/>
              <w:bottom w:val="nil"/>
            </w:tcBorders>
            <w:vAlign w:val="bottom"/>
            <w:hideMark/>
          </w:tcPr>
          <w:p w14:paraId="5ABA1FD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nil"/>
              <w:bottom w:val="nil"/>
            </w:tcBorders>
            <w:vAlign w:val="bottom"/>
            <w:hideMark/>
          </w:tcPr>
          <w:p w14:paraId="31647EF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5.52</w:t>
            </w:r>
          </w:p>
        </w:tc>
        <w:tc>
          <w:tcPr>
            <w:tcW w:w="895" w:type="dxa"/>
            <w:tcBorders>
              <w:top w:val="nil"/>
              <w:bottom w:val="nil"/>
            </w:tcBorders>
            <w:vAlign w:val="bottom"/>
            <w:hideMark/>
          </w:tcPr>
          <w:p w14:paraId="7768310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nil"/>
              <w:bottom w:val="nil"/>
            </w:tcBorders>
            <w:vAlign w:val="bottom"/>
            <w:hideMark/>
          </w:tcPr>
          <w:p w14:paraId="732DF58A"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1B074345" w14:textId="77777777" w:rsidTr="0090288F">
        <w:trPr>
          <w:trHeight w:val="300"/>
        </w:trPr>
        <w:tc>
          <w:tcPr>
            <w:tcW w:w="816" w:type="dxa"/>
            <w:tcBorders>
              <w:top w:val="nil"/>
              <w:bottom w:val="nil"/>
            </w:tcBorders>
            <w:vAlign w:val="bottom"/>
            <w:hideMark/>
          </w:tcPr>
          <w:p w14:paraId="1F28BC1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6</w:t>
            </w:r>
          </w:p>
        </w:tc>
        <w:tc>
          <w:tcPr>
            <w:tcW w:w="1383" w:type="dxa"/>
            <w:tcBorders>
              <w:top w:val="nil"/>
              <w:bottom w:val="nil"/>
            </w:tcBorders>
            <w:vAlign w:val="bottom"/>
            <w:hideMark/>
          </w:tcPr>
          <w:p w14:paraId="78C4A335"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nil"/>
              <w:bottom w:val="nil"/>
            </w:tcBorders>
            <w:vAlign w:val="bottom"/>
            <w:hideMark/>
          </w:tcPr>
          <w:p w14:paraId="2AB614D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2649C42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44.67</w:t>
            </w:r>
          </w:p>
        </w:tc>
        <w:tc>
          <w:tcPr>
            <w:tcW w:w="1195" w:type="dxa"/>
            <w:tcBorders>
              <w:top w:val="nil"/>
              <w:bottom w:val="nil"/>
            </w:tcBorders>
            <w:vAlign w:val="bottom"/>
            <w:hideMark/>
          </w:tcPr>
          <w:p w14:paraId="76F6324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0.67</w:t>
            </w:r>
          </w:p>
        </w:tc>
        <w:tc>
          <w:tcPr>
            <w:tcW w:w="650" w:type="dxa"/>
            <w:tcBorders>
              <w:top w:val="nil"/>
              <w:bottom w:val="nil"/>
            </w:tcBorders>
            <w:vAlign w:val="bottom"/>
            <w:hideMark/>
          </w:tcPr>
          <w:p w14:paraId="5DF2C2A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45224ED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5036931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0.39</w:t>
            </w:r>
          </w:p>
        </w:tc>
        <w:tc>
          <w:tcPr>
            <w:tcW w:w="895" w:type="dxa"/>
            <w:tcBorders>
              <w:top w:val="nil"/>
              <w:bottom w:val="nil"/>
            </w:tcBorders>
            <w:vAlign w:val="bottom"/>
            <w:hideMark/>
          </w:tcPr>
          <w:p w14:paraId="58B5100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3533B082"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2878E2C0" w14:textId="77777777" w:rsidTr="0090288F">
        <w:trPr>
          <w:trHeight w:val="530"/>
        </w:trPr>
        <w:tc>
          <w:tcPr>
            <w:tcW w:w="816" w:type="dxa"/>
            <w:tcBorders>
              <w:top w:val="nil"/>
              <w:bottom w:val="nil"/>
            </w:tcBorders>
            <w:vAlign w:val="bottom"/>
            <w:hideMark/>
          </w:tcPr>
          <w:p w14:paraId="00AC71F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729C66D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7522581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4199634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23.67</w:t>
            </w:r>
          </w:p>
        </w:tc>
        <w:tc>
          <w:tcPr>
            <w:tcW w:w="1195" w:type="dxa"/>
            <w:tcBorders>
              <w:top w:val="nil"/>
              <w:bottom w:val="nil"/>
            </w:tcBorders>
            <w:vAlign w:val="bottom"/>
            <w:hideMark/>
          </w:tcPr>
          <w:p w14:paraId="3481C82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-20.33</w:t>
            </w:r>
          </w:p>
        </w:tc>
        <w:tc>
          <w:tcPr>
            <w:tcW w:w="650" w:type="dxa"/>
            <w:tcBorders>
              <w:top w:val="nil"/>
              <w:bottom w:val="nil"/>
            </w:tcBorders>
            <w:vAlign w:val="bottom"/>
            <w:hideMark/>
          </w:tcPr>
          <w:p w14:paraId="71E8263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720F89C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5924E01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11.85</w:t>
            </w:r>
          </w:p>
        </w:tc>
        <w:tc>
          <w:tcPr>
            <w:tcW w:w="895" w:type="dxa"/>
            <w:tcBorders>
              <w:top w:val="nil"/>
              <w:bottom w:val="nil"/>
            </w:tcBorders>
            <w:vAlign w:val="bottom"/>
            <w:hideMark/>
          </w:tcPr>
          <w:p w14:paraId="76B4F17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16A08E1E"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06B0B8E8" w14:textId="77777777" w:rsidTr="0090288F">
        <w:trPr>
          <w:trHeight w:val="530"/>
        </w:trPr>
        <w:tc>
          <w:tcPr>
            <w:tcW w:w="816" w:type="dxa"/>
            <w:tcBorders>
              <w:top w:val="nil"/>
              <w:bottom w:val="nil"/>
            </w:tcBorders>
            <w:vAlign w:val="bottom"/>
            <w:hideMark/>
          </w:tcPr>
          <w:p w14:paraId="409FAF06"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490A59C3"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2D226CD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1CB6A6F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38</w:t>
            </w:r>
          </w:p>
        </w:tc>
        <w:tc>
          <w:tcPr>
            <w:tcW w:w="1195" w:type="dxa"/>
            <w:tcBorders>
              <w:top w:val="nil"/>
              <w:bottom w:val="nil"/>
            </w:tcBorders>
            <w:vAlign w:val="bottom"/>
            <w:hideMark/>
          </w:tcPr>
          <w:p w14:paraId="262FF4F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-6</w:t>
            </w:r>
          </w:p>
        </w:tc>
        <w:tc>
          <w:tcPr>
            <w:tcW w:w="650" w:type="dxa"/>
            <w:tcBorders>
              <w:top w:val="nil"/>
              <w:bottom w:val="nil"/>
            </w:tcBorders>
            <w:vAlign w:val="bottom"/>
            <w:hideMark/>
          </w:tcPr>
          <w:p w14:paraId="18D4CFF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373C023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142DC1A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w:t>
            </w:r>
          </w:p>
        </w:tc>
        <w:tc>
          <w:tcPr>
            <w:tcW w:w="895" w:type="dxa"/>
            <w:tcBorders>
              <w:top w:val="nil"/>
              <w:bottom w:val="nil"/>
            </w:tcBorders>
            <w:vAlign w:val="bottom"/>
            <w:hideMark/>
          </w:tcPr>
          <w:p w14:paraId="3A6A52E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1BFAFC60"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p&lt;0.05 (</w:t>
            </w:r>
            <w:r w:rsidRPr="00A06B12">
              <w:rPr>
                <w:rFonts w:ascii="Cambria Math" w:hAnsi="Cambria Math" w:cs="Cambria Math"/>
                <w:i/>
                <w:iCs/>
                <w:color w:val="000000"/>
                <w:lang w:val="en-IN" w:eastAsia="en-IN"/>
              </w:rPr>
              <w:t>∗</w:t>
            </w:r>
            <w:r w:rsidRPr="00A06B12">
              <w:rPr>
                <w:rFonts w:ascii="Arial" w:hAnsi="Arial" w:cs="Arial"/>
                <w:i/>
                <w:iCs/>
                <w:color w:val="000000"/>
                <w:lang w:val="en-IN" w:eastAsia="en-IN"/>
              </w:rPr>
              <w:t>)</w:t>
            </w:r>
          </w:p>
        </w:tc>
      </w:tr>
      <w:tr w:rsidR="00CD1AC8" w:rsidRPr="00CD1AC8" w14:paraId="780134DA" w14:textId="77777777" w:rsidTr="0090288F">
        <w:trPr>
          <w:trHeight w:val="300"/>
        </w:trPr>
        <w:tc>
          <w:tcPr>
            <w:tcW w:w="816" w:type="dxa"/>
            <w:tcBorders>
              <w:top w:val="nil"/>
              <w:bottom w:val="nil"/>
            </w:tcBorders>
            <w:vAlign w:val="bottom"/>
            <w:hideMark/>
          </w:tcPr>
          <w:p w14:paraId="44B26171"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9</w:t>
            </w:r>
          </w:p>
        </w:tc>
        <w:tc>
          <w:tcPr>
            <w:tcW w:w="1383" w:type="dxa"/>
            <w:tcBorders>
              <w:top w:val="nil"/>
              <w:bottom w:val="nil"/>
            </w:tcBorders>
            <w:vAlign w:val="bottom"/>
            <w:hideMark/>
          </w:tcPr>
          <w:p w14:paraId="0A50F8A2"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nil"/>
              <w:bottom w:val="nil"/>
            </w:tcBorders>
            <w:vAlign w:val="bottom"/>
            <w:hideMark/>
          </w:tcPr>
          <w:p w14:paraId="5F5F046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5B384A3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33.67</w:t>
            </w:r>
          </w:p>
        </w:tc>
        <w:tc>
          <w:tcPr>
            <w:tcW w:w="1195" w:type="dxa"/>
            <w:tcBorders>
              <w:top w:val="nil"/>
              <w:bottom w:val="nil"/>
            </w:tcBorders>
            <w:vAlign w:val="bottom"/>
            <w:hideMark/>
          </w:tcPr>
          <w:p w14:paraId="1985052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-2.67</w:t>
            </w:r>
          </w:p>
        </w:tc>
        <w:tc>
          <w:tcPr>
            <w:tcW w:w="650" w:type="dxa"/>
            <w:tcBorders>
              <w:top w:val="nil"/>
              <w:bottom w:val="nil"/>
            </w:tcBorders>
            <w:vAlign w:val="bottom"/>
            <w:hideMark/>
          </w:tcPr>
          <w:p w14:paraId="1F23F18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40F596A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28A1002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1.94</w:t>
            </w:r>
          </w:p>
        </w:tc>
        <w:tc>
          <w:tcPr>
            <w:tcW w:w="895" w:type="dxa"/>
            <w:tcBorders>
              <w:top w:val="nil"/>
              <w:bottom w:val="nil"/>
            </w:tcBorders>
            <w:vAlign w:val="bottom"/>
            <w:hideMark/>
          </w:tcPr>
          <w:p w14:paraId="439075B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1800F69A"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05A61A9F" w14:textId="77777777" w:rsidTr="0090288F">
        <w:trPr>
          <w:trHeight w:val="530"/>
        </w:trPr>
        <w:tc>
          <w:tcPr>
            <w:tcW w:w="816" w:type="dxa"/>
            <w:tcBorders>
              <w:top w:val="nil"/>
              <w:bottom w:val="nil"/>
            </w:tcBorders>
            <w:vAlign w:val="bottom"/>
            <w:hideMark/>
          </w:tcPr>
          <w:p w14:paraId="61559743"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lastRenderedPageBreak/>
              <w:t> </w:t>
            </w:r>
          </w:p>
        </w:tc>
        <w:tc>
          <w:tcPr>
            <w:tcW w:w="1383" w:type="dxa"/>
            <w:tcBorders>
              <w:top w:val="nil"/>
              <w:bottom w:val="nil"/>
            </w:tcBorders>
            <w:vAlign w:val="bottom"/>
            <w:hideMark/>
          </w:tcPr>
          <w:p w14:paraId="2B98E026"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22DBE07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683F9DE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21.33</w:t>
            </w:r>
          </w:p>
        </w:tc>
        <w:tc>
          <w:tcPr>
            <w:tcW w:w="1195" w:type="dxa"/>
            <w:tcBorders>
              <w:top w:val="nil"/>
              <w:bottom w:val="nil"/>
            </w:tcBorders>
            <w:vAlign w:val="bottom"/>
            <w:hideMark/>
          </w:tcPr>
          <w:p w14:paraId="6B98C0B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w:t>
            </w:r>
          </w:p>
        </w:tc>
        <w:tc>
          <w:tcPr>
            <w:tcW w:w="650" w:type="dxa"/>
            <w:tcBorders>
              <w:top w:val="nil"/>
              <w:bottom w:val="nil"/>
            </w:tcBorders>
            <w:vAlign w:val="bottom"/>
            <w:hideMark/>
          </w:tcPr>
          <w:p w14:paraId="5E260F9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7531B97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0FA6379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10.91</w:t>
            </w:r>
          </w:p>
        </w:tc>
        <w:tc>
          <w:tcPr>
            <w:tcW w:w="895" w:type="dxa"/>
            <w:tcBorders>
              <w:top w:val="nil"/>
              <w:bottom w:val="nil"/>
            </w:tcBorders>
            <w:vAlign w:val="bottom"/>
            <w:hideMark/>
          </w:tcPr>
          <w:p w14:paraId="76AEAE6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2664D758"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0FF1E4F0" w14:textId="77777777" w:rsidTr="0090288F">
        <w:trPr>
          <w:trHeight w:val="530"/>
        </w:trPr>
        <w:tc>
          <w:tcPr>
            <w:tcW w:w="816" w:type="dxa"/>
            <w:tcBorders>
              <w:top w:val="nil"/>
              <w:bottom w:val="nil"/>
            </w:tcBorders>
            <w:vAlign w:val="bottom"/>
            <w:hideMark/>
          </w:tcPr>
          <w:p w14:paraId="5057FC7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A7D054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0940101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79B53A8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31.67</w:t>
            </w:r>
          </w:p>
        </w:tc>
        <w:tc>
          <w:tcPr>
            <w:tcW w:w="1195" w:type="dxa"/>
            <w:tcBorders>
              <w:top w:val="nil"/>
              <w:bottom w:val="nil"/>
            </w:tcBorders>
            <w:vAlign w:val="bottom"/>
            <w:hideMark/>
          </w:tcPr>
          <w:p w14:paraId="3892815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-4.67</w:t>
            </w:r>
          </w:p>
        </w:tc>
        <w:tc>
          <w:tcPr>
            <w:tcW w:w="650" w:type="dxa"/>
            <w:tcBorders>
              <w:top w:val="nil"/>
              <w:bottom w:val="nil"/>
            </w:tcBorders>
            <w:vAlign w:val="bottom"/>
            <w:hideMark/>
          </w:tcPr>
          <w:p w14:paraId="6779BB9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441EF59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72C051E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w:t>
            </w:r>
          </w:p>
        </w:tc>
        <w:tc>
          <w:tcPr>
            <w:tcW w:w="895" w:type="dxa"/>
            <w:tcBorders>
              <w:top w:val="nil"/>
              <w:bottom w:val="nil"/>
            </w:tcBorders>
            <w:vAlign w:val="bottom"/>
            <w:hideMark/>
          </w:tcPr>
          <w:p w14:paraId="5712358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709B46A4"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p&lt;0.05 (</w:t>
            </w:r>
            <w:r w:rsidRPr="00A06B12">
              <w:rPr>
                <w:rFonts w:ascii="Cambria Math" w:hAnsi="Cambria Math" w:cs="Cambria Math"/>
                <w:i/>
                <w:iCs/>
                <w:color w:val="000000"/>
                <w:lang w:val="en-IN" w:eastAsia="en-IN"/>
              </w:rPr>
              <w:t>∗</w:t>
            </w:r>
            <w:r w:rsidRPr="00A06B12">
              <w:rPr>
                <w:rFonts w:ascii="Arial" w:hAnsi="Arial" w:cs="Arial"/>
                <w:i/>
                <w:iCs/>
                <w:color w:val="000000"/>
                <w:lang w:val="en-IN" w:eastAsia="en-IN"/>
              </w:rPr>
              <w:t>)</w:t>
            </w:r>
          </w:p>
        </w:tc>
      </w:tr>
      <w:tr w:rsidR="00CD1AC8" w:rsidRPr="00CD1AC8" w14:paraId="72A40546" w14:textId="77777777" w:rsidTr="0090288F">
        <w:trPr>
          <w:trHeight w:val="300"/>
        </w:trPr>
        <w:tc>
          <w:tcPr>
            <w:tcW w:w="816" w:type="dxa"/>
            <w:tcBorders>
              <w:top w:val="nil"/>
              <w:bottom w:val="nil"/>
            </w:tcBorders>
            <w:vAlign w:val="bottom"/>
            <w:hideMark/>
          </w:tcPr>
          <w:p w14:paraId="4DE8794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12</w:t>
            </w:r>
          </w:p>
        </w:tc>
        <w:tc>
          <w:tcPr>
            <w:tcW w:w="1383" w:type="dxa"/>
            <w:tcBorders>
              <w:top w:val="nil"/>
              <w:bottom w:val="nil"/>
            </w:tcBorders>
            <w:vAlign w:val="bottom"/>
            <w:hideMark/>
          </w:tcPr>
          <w:p w14:paraId="6A811ABD"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nil"/>
              <w:bottom w:val="nil"/>
            </w:tcBorders>
            <w:vAlign w:val="bottom"/>
            <w:hideMark/>
          </w:tcPr>
          <w:p w14:paraId="75EBBA3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6F53F65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31.33</w:t>
            </w:r>
          </w:p>
        </w:tc>
        <w:tc>
          <w:tcPr>
            <w:tcW w:w="1195" w:type="dxa"/>
            <w:tcBorders>
              <w:top w:val="nil"/>
              <w:bottom w:val="nil"/>
            </w:tcBorders>
            <w:vAlign w:val="bottom"/>
            <w:hideMark/>
          </w:tcPr>
          <w:p w14:paraId="031D8AE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w:t>
            </w:r>
          </w:p>
        </w:tc>
        <w:tc>
          <w:tcPr>
            <w:tcW w:w="650" w:type="dxa"/>
            <w:tcBorders>
              <w:top w:val="nil"/>
              <w:bottom w:val="nil"/>
            </w:tcBorders>
            <w:vAlign w:val="bottom"/>
            <w:hideMark/>
          </w:tcPr>
          <w:p w14:paraId="1F673F3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56F05B9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5DF6E5C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w:t>
            </w:r>
          </w:p>
        </w:tc>
        <w:tc>
          <w:tcPr>
            <w:tcW w:w="895" w:type="dxa"/>
            <w:tcBorders>
              <w:top w:val="nil"/>
              <w:bottom w:val="nil"/>
            </w:tcBorders>
            <w:vAlign w:val="bottom"/>
            <w:hideMark/>
          </w:tcPr>
          <w:p w14:paraId="63DA046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3DE76F42" w14:textId="77777777"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1283E9BA" w14:textId="77777777" w:rsidTr="0090288F">
        <w:trPr>
          <w:trHeight w:val="530"/>
        </w:trPr>
        <w:tc>
          <w:tcPr>
            <w:tcW w:w="816" w:type="dxa"/>
            <w:tcBorders>
              <w:top w:val="nil"/>
              <w:bottom w:val="nil"/>
            </w:tcBorders>
            <w:vAlign w:val="bottom"/>
            <w:hideMark/>
          </w:tcPr>
          <w:p w14:paraId="196B4784"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43A35ACF"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6CDF987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58E8918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13.67</w:t>
            </w:r>
          </w:p>
        </w:tc>
        <w:tc>
          <w:tcPr>
            <w:tcW w:w="1195" w:type="dxa"/>
            <w:tcBorders>
              <w:top w:val="nil"/>
              <w:bottom w:val="nil"/>
            </w:tcBorders>
            <w:vAlign w:val="bottom"/>
            <w:hideMark/>
          </w:tcPr>
          <w:p w14:paraId="6D22C2F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-19.67</w:t>
            </w:r>
          </w:p>
        </w:tc>
        <w:tc>
          <w:tcPr>
            <w:tcW w:w="650" w:type="dxa"/>
            <w:tcBorders>
              <w:top w:val="nil"/>
              <w:bottom w:val="nil"/>
            </w:tcBorders>
            <w:vAlign w:val="bottom"/>
            <w:hideMark/>
          </w:tcPr>
          <w:p w14:paraId="699EC4B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0AEE714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787CC33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15.77</w:t>
            </w:r>
          </w:p>
        </w:tc>
        <w:tc>
          <w:tcPr>
            <w:tcW w:w="895" w:type="dxa"/>
            <w:tcBorders>
              <w:top w:val="nil"/>
              <w:bottom w:val="nil"/>
            </w:tcBorders>
            <w:vAlign w:val="bottom"/>
            <w:hideMark/>
          </w:tcPr>
          <w:p w14:paraId="655978E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347F4B99"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13F147B2" w14:textId="77777777" w:rsidTr="0090288F">
        <w:trPr>
          <w:trHeight w:val="530"/>
        </w:trPr>
        <w:tc>
          <w:tcPr>
            <w:tcW w:w="816" w:type="dxa"/>
            <w:tcBorders>
              <w:top w:val="nil"/>
              <w:bottom w:val="nil"/>
            </w:tcBorders>
            <w:vAlign w:val="bottom"/>
            <w:hideMark/>
          </w:tcPr>
          <w:p w14:paraId="69AA4070"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4376E78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439DBE0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1590CA8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28.33</w:t>
            </w:r>
          </w:p>
        </w:tc>
        <w:tc>
          <w:tcPr>
            <w:tcW w:w="1195" w:type="dxa"/>
            <w:tcBorders>
              <w:top w:val="nil"/>
              <w:bottom w:val="nil"/>
            </w:tcBorders>
            <w:vAlign w:val="bottom"/>
            <w:hideMark/>
          </w:tcPr>
          <w:p w14:paraId="6EB71DD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w:t>
            </w:r>
          </w:p>
        </w:tc>
        <w:tc>
          <w:tcPr>
            <w:tcW w:w="650" w:type="dxa"/>
            <w:tcBorders>
              <w:top w:val="nil"/>
              <w:bottom w:val="nil"/>
            </w:tcBorders>
            <w:vAlign w:val="bottom"/>
            <w:hideMark/>
          </w:tcPr>
          <w:p w14:paraId="01FFEDA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524C52D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5513E18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4.01</w:t>
            </w:r>
          </w:p>
        </w:tc>
        <w:tc>
          <w:tcPr>
            <w:tcW w:w="895" w:type="dxa"/>
            <w:tcBorders>
              <w:top w:val="nil"/>
              <w:bottom w:val="nil"/>
            </w:tcBorders>
            <w:vAlign w:val="bottom"/>
            <w:hideMark/>
          </w:tcPr>
          <w:p w14:paraId="76BF981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2F3B607C"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2E0764B4" w14:textId="77777777" w:rsidTr="0090288F">
        <w:trPr>
          <w:trHeight w:val="300"/>
        </w:trPr>
        <w:tc>
          <w:tcPr>
            <w:tcW w:w="816" w:type="dxa"/>
            <w:tcBorders>
              <w:top w:val="nil"/>
              <w:bottom w:val="nil"/>
            </w:tcBorders>
            <w:vAlign w:val="bottom"/>
            <w:hideMark/>
          </w:tcPr>
          <w:p w14:paraId="2A58388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15</w:t>
            </w:r>
          </w:p>
        </w:tc>
        <w:tc>
          <w:tcPr>
            <w:tcW w:w="1383" w:type="dxa"/>
            <w:tcBorders>
              <w:top w:val="nil"/>
              <w:bottom w:val="nil"/>
            </w:tcBorders>
            <w:vAlign w:val="bottom"/>
            <w:hideMark/>
          </w:tcPr>
          <w:p w14:paraId="157E5E9B"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nil"/>
              <w:bottom w:val="nil"/>
            </w:tcBorders>
            <w:vAlign w:val="bottom"/>
            <w:hideMark/>
          </w:tcPr>
          <w:p w14:paraId="2C000A9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18A2479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25.67</w:t>
            </w:r>
          </w:p>
        </w:tc>
        <w:tc>
          <w:tcPr>
            <w:tcW w:w="1195" w:type="dxa"/>
            <w:tcBorders>
              <w:top w:val="nil"/>
              <w:bottom w:val="nil"/>
            </w:tcBorders>
            <w:vAlign w:val="bottom"/>
            <w:hideMark/>
          </w:tcPr>
          <w:p w14:paraId="24A19A2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-4.33</w:t>
            </w:r>
          </w:p>
        </w:tc>
        <w:tc>
          <w:tcPr>
            <w:tcW w:w="650" w:type="dxa"/>
            <w:tcBorders>
              <w:top w:val="nil"/>
              <w:bottom w:val="nil"/>
            </w:tcBorders>
            <w:vAlign w:val="bottom"/>
            <w:hideMark/>
          </w:tcPr>
          <w:p w14:paraId="66A31D9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1AB2DA6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5A71BC9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w:t>
            </w:r>
          </w:p>
        </w:tc>
        <w:tc>
          <w:tcPr>
            <w:tcW w:w="895" w:type="dxa"/>
            <w:tcBorders>
              <w:top w:val="nil"/>
              <w:bottom w:val="nil"/>
            </w:tcBorders>
            <w:vAlign w:val="bottom"/>
            <w:hideMark/>
          </w:tcPr>
          <w:p w14:paraId="585CF3E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0104BE5B" w14:textId="77777777"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00B33B9D" w14:textId="77777777" w:rsidTr="0090288F">
        <w:trPr>
          <w:trHeight w:val="530"/>
        </w:trPr>
        <w:tc>
          <w:tcPr>
            <w:tcW w:w="816" w:type="dxa"/>
            <w:tcBorders>
              <w:top w:val="nil"/>
              <w:bottom w:val="nil"/>
            </w:tcBorders>
            <w:vAlign w:val="bottom"/>
            <w:hideMark/>
          </w:tcPr>
          <w:p w14:paraId="6CAF175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141F7B07"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16BF749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49E79AE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6.33</w:t>
            </w:r>
          </w:p>
        </w:tc>
        <w:tc>
          <w:tcPr>
            <w:tcW w:w="1195" w:type="dxa"/>
            <w:tcBorders>
              <w:top w:val="nil"/>
              <w:bottom w:val="nil"/>
            </w:tcBorders>
            <w:vAlign w:val="bottom"/>
            <w:hideMark/>
          </w:tcPr>
          <w:p w14:paraId="552F04B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-23.67</w:t>
            </w:r>
          </w:p>
        </w:tc>
        <w:tc>
          <w:tcPr>
            <w:tcW w:w="650" w:type="dxa"/>
            <w:tcBorders>
              <w:top w:val="nil"/>
              <w:bottom w:val="nil"/>
            </w:tcBorders>
            <w:vAlign w:val="bottom"/>
            <w:hideMark/>
          </w:tcPr>
          <w:p w14:paraId="07D47DB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7DE7361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2A12BFB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14.2</w:t>
            </w:r>
          </w:p>
        </w:tc>
        <w:tc>
          <w:tcPr>
            <w:tcW w:w="895" w:type="dxa"/>
            <w:tcBorders>
              <w:top w:val="nil"/>
              <w:bottom w:val="nil"/>
            </w:tcBorders>
            <w:vAlign w:val="bottom"/>
            <w:hideMark/>
          </w:tcPr>
          <w:p w14:paraId="2C517B2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4CEED020"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040EECA0" w14:textId="77777777" w:rsidTr="0090288F">
        <w:trPr>
          <w:trHeight w:val="530"/>
        </w:trPr>
        <w:tc>
          <w:tcPr>
            <w:tcW w:w="816" w:type="dxa"/>
            <w:tcBorders>
              <w:top w:val="nil"/>
              <w:bottom w:val="nil"/>
            </w:tcBorders>
            <w:vAlign w:val="bottom"/>
            <w:hideMark/>
          </w:tcPr>
          <w:p w14:paraId="77029D4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3A594D5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0EF8FB2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00C85E1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w:t>
            </w:r>
          </w:p>
        </w:tc>
        <w:tc>
          <w:tcPr>
            <w:tcW w:w="1195" w:type="dxa"/>
            <w:tcBorders>
              <w:top w:val="nil"/>
              <w:bottom w:val="nil"/>
            </w:tcBorders>
            <w:vAlign w:val="bottom"/>
            <w:hideMark/>
          </w:tcPr>
          <w:p w14:paraId="21CD638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-7</w:t>
            </w:r>
          </w:p>
        </w:tc>
        <w:tc>
          <w:tcPr>
            <w:tcW w:w="650" w:type="dxa"/>
            <w:tcBorders>
              <w:top w:val="nil"/>
              <w:bottom w:val="nil"/>
            </w:tcBorders>
            <w:vAlign w:val="bottom"/>
            <w:hideMark/>
          </w:tcPr>
          <w:p w14:paraId="5F710CF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0F0B1E9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38A0265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4.2</w:t>
            </w:r>
          </w:p>
        </w:tc>
        <w:tc>
          <w:tcPr>
            <w:tcW w:w="895" w:type="dxa"/>
            <w:tcBorders>
              <w:top w:val="nil"/>
              <w:bottom w:val="nil"/>
            </w:tcBorders>
            <w:vAlign w:val="bottom"/>
            <w:hideMark/>
          </w:tcPr>
          <w:p w14:paraId="72ECDCD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03E1AF4E"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6973BC43" w14:textId="77777777" w:rsidTr="0090288F">
        <w:trPr>
          <w:trHeight w:val="300"/>
        </w:trPr>
        <w:tc>
          <w:tcPr>
            <w:tcW w:w="816" w:type="dxa"/>
            <w:tcBorders>
              <w:top w:val="nil"/>
              <w:bottom w:val="nil"/>
            </w:tcBorders>
            <w:vAlign w:val="bottom"/>
            <w:hideMark/>
          </w:tcPr>
          <w:p w14:paraId="4B986CD3"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18</w:t>
            </w:r>
          </w:p>
        </w:tc>
        <w:tc>
          <w:tcPr>
            <w:tcW w:w="1383" w:type="dxa"/>
            <w:tcBorders>
              <w:top w:val="nil"/>
              <w:bottom w:val="nil"/>
            </w:tcBorders>
            <w:vAlign w:val="bottom"/>
            <w:hideMark/>
          </w:tcPr>
          <w:p w14:paraId="3193A50F" w14:textId="77777777" w:rsidR="00CD1AC8" w:rsidRPr="00CD1AC8" w:rsidRDefault="0077272A" w:rsidP="00CD1AC8">
            <w:pPr>
              <w:rPr>
                <w:rFonts w:ascii="Arial" w:hAnsi="Arial" w:cs="Arial"/>
                <w:color w:val="000000"/>
                <w:lang w:val="en-IN" w:eastAsia="en-IN"/>
              </w:rPr>
            </w:pPr>
            <w:r w:rsidRPr="00721112">
              <w:rPr>
                <w:rFonts w:ascii="Arial" w:hAnsi="Arial" w:cs="Arial"/>
                <w:color w:val="000000"/>
                <w:highlight w:val="yellow"/>
                <w:lang w:val="en-IN" w:eastAsia="en-IN"/>
              </w:rPr>
              <w:t>Pre-</w:t>
            </w:r>
            <w:r w:rsidR="00CD1AC8" w:rsidRPr="00721112">
              <w:rPr>
                <w:rFonts w:ascii="Arial" w:hAnsi="Arial" w:cs="Arial"/>
                <w:color w:val="000000"/>
                <w:highlight w:val="yellow"/>
                <w:lang w:val="en-IN" w:eastAsia="en-IN"/>
              </w:rPr>
              <w:t>Q</w:t>
            </w:r>
            <w:r w:rsidR="00CD1AC8" w:rsidRPr="00CD1AC8">
              <w:rPr>
                <w:rFonts w:ascii="Arial" w:hAnsi="Arial" w:cs="Arial"/>
                <w:color w:val="000000"/>
                <w:lang w:val="en-IN" w:eastAsia="en-IN"/>
              </w:rPr>
              <w:t xml:space="preserve"> vs C</w:t>
            </w:r>
          </w:p>
        </w:tc>
        <w:tc>
          <w:tcPr>
            <w:tcW w:w="927" w:type="dxa"/>
            <w:tcBorders>
              <w:top w:val="nil"/>
              <w:bottom w:val="nil"/>
            </w:tcBorders>
            <w:vAlign w:val="bottom"/>
            <w:hideMark/>
          </w:tcPr>
          <w:p w14:paraId="082FF21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bottom w:val="nil"/>
            </w:tcBorders>
            <w:vAlign w:val="bottom"/>
            <w:hideMark/>
          </w:tcPr>
          <w:p w14:paraId="3267145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w:t>
            </w:r>
          </w:p>
        </w:tc>
        <w:tc>
          <w:tcPr>
            <w:tcW w:w="1195" w:type="dxa"/>
            <w:tcBorders>
              <w:top w:val="nil"/>
              <w:bottom w:val="nil"/>
            </w:tcBorders>
            <w:vAlign w:val="bottom"/>
            <w:hideMark/>
          </w:tcPr>
          <w:p w14:paraId="3783A84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-2.67</w:t>
            </w:r>
          </w:p>
        </w:tc>
        <w:tc>
          <w:tcPr>
            <w:tcW w:w="650" w:type="dxa"/>
            <w:tcBorders>
              <w:top w:val="nil"/>
              <w:bottom w:val="nil"/>
            </w:tcBorders>
            <w:vAlign w:val="bottom"/>
            <w:hideMark/>
          </w:tcPr>
          <w:p w14:paraId="50DC0D8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bottom w:val="nil"/>
            </w:tcBorders>
            <w:vAlign w:val="bottom"/>
            <w:hideMark/>
          </w:tcPr>
          <w:p w14:paraId="2500BEE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bottom w:val="nil"/>
            </w:tcBorders>
            <w:vAlign w:val="bottom"/>
            <w:hideMark/>
          </w:tcPr>
          <w:p w14:paraId="28A968B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1.77</w:t>
            </w:r>
          </w:p>
        </w:tc>
        <w:tc>
          <w:tcPr>
            <w:tcW w:w="895" w:type="dxa"/>
            <w:tcBorders>
              <w:top w:val="nil"/>
              <w:bottom w:val="nil"/>
            </w:tcBorders>
            <w:vAlign w:val="bottom"/>
            <w:hideMark/>
          </w:tcPr>
          <w:p w14:paraId="0623B79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bottom w:val="nil"/>
            </w:tcBorders>
            <w:vAlign w:val="bottom"/>
            <w:hideMark/>
          </w:tcPr>
          <w:p w14:paraId="2346AD51" w14:textId="77777777"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4BAF9E16" w14:textId="77777777" w:rsidTr="0090288F">
        <w:trPr>
          <w:trHeight w:val="530"/>
        </w:trPr>
        <w:tc>
          <w:tcPr>
            <w:tcW w:w="816" w:type="dxa"/>
            <w:tcBorders>
              <w:top w:val="nil"/>
              <w:bottom w:val="nil"/>
            </w:tcBorders>
            <w:vAlign w:val="bottom"/>
            <w:hideMark/>
          </w:tcPr>
          <w:p w14:paraId="180A4D41"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E427434"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3670D49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bottom w:val="nil"/>
            </w:tcBorders>
            <w:vAlign w:val="bottom"/>
            <w:hideMark/>
          </w:tcPr>
          <w:p w14:paraId="2197AB2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w:t>
            </w:r>
          </w:p>
        </w:tc>
        <w:tc>
          <w:tcPr>
            <w:tcW w:w="1195" w:type="dxa"/>
            <w:tcBorders>
              <w:top w:val="nil"/>
              <w:bottom w:val="nil"/>
            </w:tcBorders>
            <w:vAlign w:val="bottom"/>
            <w:hideMark/>
          </w:tcPr>
          <w:p w14:paraId="528E916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-22.67</w:t>
            </w:r>
          </w:p>
        </w:tc>
        <w:tc>
          <w:tcPr>
            <w:tcW w:w="650" w:type="dxa"/>
            <w:tcBorders>
              <w:top w:val="nil"/>
              <w:bottom w:val="nil"/>
            </w:tcBorders>
            <w:vAlign w:val="bottom"/>
            <w:hideMark/>
          </w:tcPr>
          <w:p w14:paraId="426DBF4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bottom w:val="nil"/>
            </w:tcBorders>
            <w:vAlign w:val="bottom"/>
            <w:hideMark/>
          </w:tcPr>
          <w:p w14:paraId="075058A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bottom w:val="nil"/>
            </w:tcBorders>
            <w:vAlign w:val="bottom"/>
            <w:hideMark/>
          </w:tcPr>
          <w:p w14:paraId="3066695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15.02</w:t>
            </w:r>
          </w:p>
        </w:tc>
        <w:tc>
          <w:tcPr>
            <w:tcW w:w="895" w:type="dxa"/>
            <w:tcBorders>
              <w:top w:val="nil"/>
              <w:bottom w:val="nil"/>
            </w:tcBorders>
            <w:vAlign w:val="bottom"/>
            <w:hideMark/>
          </w:tcPr>
          <w:p w14:paraId="63E42AE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bottom w:val="nil"/>
            </w:tcBorders>
            <w:vAlign w:val="bottom"/>
            <w:hideMark/>
          </w:tcPr>
          <w:p w14:paraId="434F1399"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39548DCC" w14:textId="77777777" w:rsidTr="0090288F">
        <w:trPr>
          <w:trHeight w:val="530"/>
        </w:trPr>
        <w:tc>
          <w:tcPr>
            <w:tcW w:w="816" w:type="dxa"/>
            <w:tcBorders>
              <w:top w:val="nil"/>
            </w:tcBorders>
            <w:vAlign w:val="bottom"/>
            <w:hideMark/>
          </w:tcPr>
          <w:p w14:paraId="2B50931A"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tcBorders>
            <w:vAlign w:val="bottom"/>
            <w:hideMark/>
          </w:tcPr>
          <w:p w14:paraId="4D280F81"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tcBorders>
            <w:vAlign w:val="bottom"/>
            <w:hideMark/>
          </w:tcPr>
          <w:p w14:paraId="14E7B78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tcBorders>
            <w:vAlign w:val="bottom"/>
            <w:hideMark/>
          </w:tcPr>
          <w:p w14:paraId="1877C26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17.67</w:t>
            </w:r>
          </w:p>
        </w:tc>
        <w:tc>
          <w:tcPr>
            <w:tcW w:w="1195" w:type="dxa"/>
            <w:tcBorders>
              <w:top w:val="nil"/>
            </w:tcBorders>
            <w:vAlign w:val="bottom"/>
            <w:hideMark/>
          </w:tcPr>
          <w:p w14:paraId="456AC56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-7</w:t>
            </w:r>
          </w:p>
        </w:tc>
        <w:tc>
          <w:tcPr>
            <w:tcW w:w="650" w:type="dxa"/>
            <w:tcBorders>
              <w:top w:val="nil"/>
            </w:tcBorders>
            <w:vAlign w:val="bottom"/>
            <w:hideMark/>
          </w:tcPr>
          <w:p w14:paraId="2C232F1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tcBorders>
            <w:vAlign w:val="bottom"/>
            <w:hideMark/>
          </w:tcPr>
          <w:p w14:paraId="5CD38F0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tcBorders>
            <w:vAlign w:val="bottom"/>
            <w:hideMark/>
          </w:tcPr>
          <w:p w14:paraId="3B22E66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4.64</w:t>
            </w:r>
          </w:p>
        </w:tc>
        <w:tc>
          <w:tcPr>
            <w:tcW w:w="895" w:type="dxa"/>
            <w:tcBorders>
              <w:top w:val="nil"/>
            </w:tcBorders>
            <w:vAlign w:val="bottom"/>
            <w:hideMark/>
          </w:tcPr>
          <w:p w14:paraId="44EE7FC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tcBorders>
            <w:vAlign w:val="bottom"/>
            <w:hideMark/>
          </w:tcPr>
          <w:p w14:paraId="0CA88DCC"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bl>
    <w:p w14:paraId="7BD097E8" w14:textId="77777777" w:rsidR="006E0498" w:rsidRPr="000545A7" w:rsidRDefault="00E90F3C" w:rsidP="000545A7">
      <w:pPr>
        <w:pStyle w:val="Body"/>
        <w:rPr>
          <w:rFonts w:ascii="Arial" w:hAnsi="Arial" w:cs="Arial"/>
          <w:i/>
          <w:iCs/>
          <w:sz w:val="18"/>
          <w:szCs w:val="18"/>
          <w:lang w:val="en-IN"/>
        </w:rPr>
      </w:pPr>
      <w:r w:rsidRPr="00E90F3C">
        <w:rPr>
          <w:rFonts w:ascii="Arial" w:hAnsi="Arial" w:cs="Arial"/>
          <w:i/>
          <w:iCs/>
          <w:sz w:val="18"/>
          <w:szCs w:val="18"/>
          <w:lang w:val="en-IN"/>
        </w:rPr>
        <w:t xml:space="preserve">Values represent Mean </w:t>
      </w:r>
      <m:oMath>
        <m:r>
          <w:rPr>
            <w:rFonts w:ascii="Cambria Math" w:hAnsi="Cambria Math" w:cs="Arial"/>
            <w:sz w:val="18"/>
            <w:szCs w:val="18"/>
            <w:lang w:val="en-IN"/>
          </w:rPr>
          <m:t>±</m:t>
        </m:r>
      </m:oMath>
      <w:r w:rsidRPr="00E90F3C">
        <w:rPr>
          <w:rFonts w:ascii="Arial" w:hAnsi="Arial" w:cs="Arial"/>
          <w:i/>
          <w:iCs/>
          <w:sz w:val="18"/>
          <w:szCs w:val="18"/>
          <w:lang w:val="en-IN"/>
        </w:rPr>
        <w:t xml:space="preserve"> SE</w:t>
      </w:r>
      <w:r w:rsidR="00534E7F">
        <w:rPr>
          <w:rFonts w:ascii="Arial" w:hAnsi="Arial" w:cs="Arial"/>
          <w:i/>
          <w:iCs/>
          <w:sz w:val="18"/>
          <w:szCs w:val="18"/>
          <w:lang w:val="en-IN"/>
        </w:rPr>
        <w:t xml:space="preserve"> of n = 3 independent replicates per cohort (</w:t>
      </w:r>
      <w:r w:rsidR="00534E7F" w:rsidRPr="00721112">
        <w:rPr>
          <w:rFonts w:ascii="Arial" w:hAnsi="Arial" w:cs="Arial"/>
          <w:i/>
          <w:iCs/>
          <w:sz w:val="18"/>
          <w:szCs w:val="18"/>
          <w:highlight w:val="yellow"/>
          <w:lang w:val="en-IN"/>
        </w:rPr>
        <w:t>50 flies per replicate vial; 150 flies per cohort</w:t>
      </w:r>
      <w:r w:rsidR="008808F3" w:rsidRPr="00721112">
        <w:rPr>
          <w:rFonts w:ascii="Arial" w:hAnsi="Arial" w:cs="Arial"/>
          <w:i/>
          <w:iCs/>
          <w:sz w:val="18"/>
          <w:szCs w:val="18"/>
          <w:highlight w:val="yellow"/>
          <w:lang w:val="en-IN"/>
        </w:rPr>
        <w:t>; total</w:t>
      </w:r>
      <w:r w:rsidR="00534E7F" w:rsidRPr="00721112">
        <w:rPr>
          <w:rFonts w:ascii="Arial" w:hAnsi="Arial" w:cs="Arial"/>
          <w:i/>
          <w:iCs/>
          <w:sz w:val="18"/>
          <w:szCs w:val="18"/>
          <w:highlight w:val="yellow"/>
          <w:lang w:val="en-IN"/>
        </w:rPr>
        <w:t xml:space="preserve"> study N = 600 flies across four cohorts</w:t>
      </w:r>
      <w:r w:rsidR="00534E7F">
        <w:rPr>
          <w:rFonts w:ascii="Arial" w:hAnsi="Arial" w:cs="Arial"/>
          <w:i/>
          <w:iCs/>
          <w:sz w:val="18"/>
          <w:szCs w:val="18"/>
          <w:lang w:val="en-IN"/>
        </w:rPr>
        <w:t xml:space="preserve">). </w:t>
      </w:r>
      <w:r w:rsidRPr="00E90F3C">
        <w:rPr>
          <w:rFonts w:ascii="Arial" w:hAnsi="Arial" w:cs="Arial"/>
          <w:i/>
          <w:iCs/>
          <w:sz w:val="18"/>
          <w:szCs w:val="18"/>
          <w:lang w:val="en-IN"/>
        </w:rPr>
        <w:t>Differences relative to Control (C) were determined via Two-Way ANOVA followed by Dunnett’s post-hoc test</w:t>
      </w:r>
      <w:r w:rsidR="0034108F">
        <w:rPr>
          <w:rFonts w:ascii="Arial" w:hAnsi="Arial" w:cs="Arial"/>
          <w:i/>
          <w:iCs/>
          <w:sz w:val="18"/>
          <w:szCs w:val="18"/>
          <w:lang w:val="en-IN"/>
        </w:rPr>
        <w:t xml:space="preserve"> (</w:t>
      </w:r>
      <w:proofErr w:type="spellStart"/>
      <w:r w:rsidR="0034108F">
        <w:rPr>
          <w:rFonts w:ascii="Arial" w:hAnsi="Arial" w:cs="Arial"/>
          <w:i/>
          <w:iCs/>
          <w:sz w:val="18"/>
          <w:szCs w:val="18"/>
          <w:lang w:val="en-IN"/>
        </w:rPr>
        <w:t>df</w:t>
      </w:r>
      <w:proofErr w:type="spellEnd"/>
      <w:r w:rsidR="0034108F">
        <w:rPr>
          <w:rFonts w:ascii="Arial" w:hAnsi="Arial" w:cs="Arial"/>
          <w:i/>
          <w:iCs/>
          <w:sz w:val="18"/>
          <w:szCs w:val="18"/>
          <w:lang w:val="en-IN"/>
        </w:rPr>
        <w:t xml:space="preserve"> = 8). *p &lt; 0.05, ** p &lt; 0.0</w:t>
      </w:r>
      <w:r w:rsidR="00367250">
        <w:rPr>
          <w:rFonts w:ascii="Arial" w:hAnsi="Arial" w:cs="Arial"/>
          <w:i/>
          <w:iCs/>
          <w:sz w:val="18"/>
          <w:szCs w:val="18"/>
          <w:lang w:val="en-IN"/>
        </w:rPr>
        <w:t>1;</w:t>
      </w:r>
      <w:r w:rsidR="0034108F">
        <w:rPr>
          <w:rFonts w:ascii="Arial" w:hAnsi="Arial" w:cs="Arial"/>
          <w:i/>
          <w:iCs/>
          <w:sz w:val="18"/>
          <w:szCs w:val="18"/>
          <w:lang w:val="en-IN"/>
        </w:rPr>
        <w:t xml:space="preserve"> ns = not significant (p &gt; 0.05).</w:t>
      </w:r>
    </w:p>
    <w:p w14:paraId="0C60A675" w14:textId="77777777" w:rsidR="00646C3C" w:rsidRPr="0067253C" w:rsidRDefault="00C05FD6" w:rsidP="00646C3C">
      <w:pPr>
        <w:pStyle w:val="Body"/>
        <w:spacing w:after="0"/>
        <w:jc w:val="left"/>
        <w:rPr>
          <w:rFonts w:ascii="Arial" w:hAnsi="Arial" w:cs="Arial"/>
          <w:b/>
          <w:bCs/>
          <w:sz w:val="22"/>
          <w:szCs w:val="22"/>
        </w:rPr>
      </w:pPr>
      <w:r>
        <w:rPr>
          <w:rFonts w:ascii="Arial" w:hAnsi="Arial" w:cs="Arial"/>
          <w:b/>
          <w:bCs/>
          <w:sz w:val="22"/>
          <w:szCs w:val="22"/>
        </w:rPr>
        <w:t>3.2 Sensory</w:t>
      </w:r>
      <w:r w:rsidR="00646C3C">
        <w:rPr>
          <w:rFonts w:ascii="Arial" w:hAnsi="Arial" w:cs="Arial"/>
          <w:b/>
          <w:bCs/>
          <w:sz w:val="22"/>
          <w:szCs w:val="22"/>
        </w:rPr>
        <w:t xml:space="preserve"> perception and orientational </w:t>
      </w:r>
      <w:proofErr w:type="spellStart"/>
      <w:r w:rsidR="00646C3C">
        <w:rPr>
          <w:rFonts w:ascii="Arial" w:hAnsi="Arial" w:cs="Arial"/>
          <w:b/>
          <w:bCs/>
          <w:sz w:val="22"/>
          <w:szCs w:val="22"/>
        </w:rPr>
        <w:t>behaviour</w:t>
      </w:r>
      <w:proofErr w:type="spellEnd"/>
      <w:r w:rsidR="00646C3C">
        <w:rPr>
          <w:rFonts w:ascii="Arial" w:hAnsi="Arial" w:cs="Arial"/>
          <w:b/>
          <w:bCs/>
          <w:sz w:val="22"/>
          <w:szCs w:val="22"/>
        </w:rPr>
        <w:t xml:space="preserve"> (</w:t>
      </w:r>
      <w:r w:rsidR="00646C3C" w:rsidRPr="0067253C">
        <w:rPr>
          <w:rFonts w:ascii="Arial" w:hAnsi="Arial" w:cs="Arial"/>
          <w:b/>
          <w:bCs/>
          <w:sz w:val="22"/>
          <w:szCs w:val="22"/>
        </w:rPr>
        <w:t xml:space="preserve">Phototactic </w:t>
      </w:r>
      <w:r w:rsidR="00646C3C">
        <w:rPr>
          <w:rFonts w:ascii="Arial" w:hAnsi="Arial" w:cs="Arial"/>
          <w:b/>
          <w:bCs/>
          <w:sz w:val="22"/>
          <w:szCs w:val="22"/>
        </w:rPr>
        <w:t>preference as</w:t>
      </w:r>
      <w:r w:rsidR="00646C3C" w:rsidRPr="0067253C">
        <w:rPr>
          <w:rFonts w:ascii="Arial" w:hAnsi="Arial" w:cs="Arial"/>
          <w:b/>
          <w:bCs/>
          <w:sz w:val="22"/>
          <w:szCs w:val="22"/>
        </w:rPr>
        <w:t>say</w:t>
      </w:r>
      <w:r w:rsidR="00646C3C">
        <w:rPr>
          <w:rFonts w:ascii="Arial" w:hAnsi="Arial" w:cs="Arial"/>
          <w:b/>
          <w:bCs/>
          <w:sz w:val="22"/>
          <w:szCs w:val="22"/>
        </w:rPr>
        <w:t>)</w:t>
      </w:r>
    </w:p>
    <w:p w14:paraId="72DE7DB0" w14:textId="77777777" w:rsidR="00391941" w:rsidRDefault="00391941" w:rsidP="00441B6F">
      <w:pPr>
        <w:pStyle w:val="Body"/>
        <w:spacing w:after="0"/>
        <w:rPr>
          <w:rFonts w:ascii="Arial" w:hAnsi="Arial" w:cs="Arial"/>
        </w:rPr>
      </w:pPr>
    </w:p>
    <w:p w14:paraId="5C88C910" w14:textId="77777777" w:rsidR="00A77AF2" w:rsidRPr="00A77AF2" w:rsidRDefault="00A77AF2" w:rsidP="00A77AF2">
      <w:pPr>
        <w:pStyle w:val="Body"/>
        <w:rPr>
          <w:rFonts w:ascii="Arial" w:hAnsi="Arial" w:cs="Arial"/>
          <w:lang w:val="en-IN"/>
        </w:rPr>
      </w:pPr>
      <w:r>
        <w:rPr>
          <w:rFonts w:ascii="Arial" w:hAnsi="Arial" w:cs="Arial"/>
          <w:lang w:val="en-IN"/>
        </w:rPr>
        <w:t>Light</w:t>
      </w:r>
      <w:r>
        <w:rPr>
          <w:rFonts w:ascii="Arial" w:hAnsi="Arial" w:cs="Arial"/>
          <w:highlight w:val="yellow"/>
          <w:lang w:val="en-IN"/>
        </w:rPr>
        <w:t>-</w:t>
      </w:r>
      <w:r>
        <w:rPr>
          <w:rFonts w:ascii="Arial" w:hAnsi="Arial" w:cs="Arial"/>
          <w:lang w:val="en-IN"/>
        </w:rPr>
        <w:t>seeking phototactic behavio</w:t>
      </w:r>
      <w:r>
        <w:rPr>
          <w:rFonts w:ascii="Arial" w:hAnsi="Arial" w:cs="Arial"/>
          <w:highlight w:val="yellow"/>
          <w:lang w:val="en-IN"/>
        </w:rPr>
        <w:t>u</w:t>
      </w:r>
      <w:r>
        <w:rPr>
          <w:rFonts w:ascii="Arial" w:hAnsi="Arial" w:cs="Arial"/>
          <w:lang w:val="en-IN"/>
        </w:rPr>
        <w:t>r was assessed across the</w:t>
      </w:r>
      <w:r>
        <w:rPr>
          <w:rFonts w:ascii="Arial" w:hAnsi="Arial" w:cs="Arial"/>
          <w:highlight w:val="yellow"/>
          <w:lang w:val="en-IN"/>
        </w:rPr>
        <w:t xml:space="preserve"> </w:t>
      </w:r>
      <w:r>
        <w:rPr>
          <w:rFonts w:ascii="Arial" w:hAnsi="Arial" w:cs="Arial"/>
          <w:lang w:val="en-IN"/>
        </w:rPr>
        <w:t xml:space="preserve">four experimental groups to measure light-directed locomotor activity in </w:t>
      </w:r>
      <w:r>
        <w:rPr>
          <w:rFonts w:ascii="Arial" w:hAnsi="Arial" w:cs="Arial"/>
          <w:i/>
          <w:iCs/>
          <w:lang w:val="en-IN"/>
        </w:rPr>
        <w:t>Drosophila melanogaster</w:t>
      </w:r>
      <w:r>
        <w:rPr>
          <w:rFonts w:ascii="Arial" w:hAnsi="Arial" w:cs="Arial"/>
          <w:lang w:val="en-IN"/>
        </w:rPr>
        <w:t xml:space="preserve"> (Fig. 3). Both </w:t>
      </w:r>
      <w:r>
        <w:rPr>
          <w:rFonts w:ascii="Arial" w:hAnsi="Arial" w:cs="Arial"/>
          <w:highlight w:val="yellow"/>
          <w:lang w:val="en-IN"/>
        </w:rPr>
        <w:t>c</w:t>
      </w:r>
      <w:r>
        <w:rPr>
          <w:rFonts w:ascii="Arial" w:hAnsi="Arial" w:cs="Arial"/>
          <w:lang w:val="en-IN"/>
        </w:rPr>
        <w:t>ontrol</w:t>
      </w:r>
      <w:r>
        <w:rPr>
          <w:rFonts w:ascii="Arial" w:hAnsi="Arial" w:cs="Arial"/>
          <w:highlight w:val="yellow"/>
          <w:lang w:val="en-IN"/>
        </w:rPr>
        <w:t xml:space="preserve"> (</w:t>
      </w:r>
      <w:r>
        <w:rPr>
          <w:rFonts w:ascii="Arial" w:hAnsi="Arial" w:cs="Arial"/>
          <w:lang w:val="en-IN"/>
        </w:rPr>
        <w:t>C</w:t>
      </w:r>
      <w:r>
        <w:rPr>
          <w:rFonts w:ascii="Arial" w:hAnsi="Arial" w:cs="Arial"/>
          <w:highlight w:val="yellow"/>
          <w:lang w:val="en-IN"/>
        </w:rPr>
        <w:t>)</w:t>
      </w:r>
      <w:r>
        <w:rPr>
          <w:rFonts w:ascii="Arial" w:hAnsi="Arial" w:cs="Arial"/>
          <w:lang w:val="en-IN"/>
        </w:rPr>
        <w:t xml:space="preserve"> and pre-Q</w:t>
      </w:r>
      <w:r>
        <w:rPr>
          <w:rFonts w:ascii="Arial" w:hAnsi="Arial" w:cs="Arial"/>
          <w:highlight w:val="yellow"/>
          <w:lang w:val="en-IN"/>
        </w:rPr>
        <w:t>-</w:t>
      </w:r>
      <w:r>
        <w:rPr>
          <w:rFonts w:ascii="Arial" w:hAnsi="Arial" w:cs="Arial"/>
          <w:lang w:val="en-IN"/>
        </w:rPr>
        <w:t>treated flies exhibited strong positive phototaxis, moving toward</w:t>
      </w:r>
      <w:r>
        <w:rPr>
          <w:rFonts w:ascii="Arial" w:hAnsi="Arial" w:cs="Arial"/>
          <w:highlight w:val="yellow"/>
          <w:lang w:val="en-IN"/>
        </w:rPr>
        <w:t>s</w:t>
      </w:r>
      <w:r>
        <w:rPr>
          <w:rFonts w:ascii="Arial" w:hAnsi="Arial" w:cs="Arial"/>
          <w:lang w:val="en-IN"/>
        </w:rPr>
        <w:t xml:space="preserve"> light. Exposure to UV-C radiation significantly reduced phototactic behavio</w:t>
      </w:r>
      <w:r>
        <w:rPr>
          <w:rFonts w:ascii="Arial" w:hAnsi="Arial" w:cs="Arial"/>
          <w:highlight w:val="yellow"/>
          <w:lang w:val="en-IN"/>
        </w:rPr>
        <w:t>u</w:t>
      </w:r>
      <w:r>
        <w:rPr>
          <w:rFonts w:ascii="Arial" w:hAnsi="Arial" w:cs="Arial"/>
          <w:lang w:val="en-IN"/>
        </w:rPr>
        <w:t xml:space="preserve">r in flies, indicating impairment </w:t>
      </w:r>
      <w:r>
        <w:rPr>
          <w:rFonts w:ascii="Arial" w:hAnsi="Arial" w:cs="Arial"/>
          <w:highlight w:val="yellow"/>
          <w:lang w:val="en-IN"/>
        </w:rPr>
        <w:t>of</w:t>
      </w:r>
      <w:r>
        <w:rPr>
          <w:rFonts w:ascii="Arial" w:hAnsi="Arial" w:cs="Arial"/>
          <w:lang w:val="en-IN"/>
        </w:rPr>
        <w:t xml:space="preserve"> their innate phototactic movement. In the Q+UV group, positive phototaxis was significantly restored compared </w:t>
      </w:r>
      <w:r>
        <w:rPr>
          <w:rFonts w:ascii="Arial" w:hAnsi="Arial" w:cs="Arial"/>
          <w:highlight w:val="yellow"/>
          <w:lang w:val="en-IN"/>
        </w:rPr>
        <w:t>wi</w:t>
      </w:r>
      <w:r>
        <w:rPr>
          <w:rFonts w:ascii="Arial" w:hAnsi="Arial" w:cs="Arial"/>
          <w:lang w:val="en-IN"/>
        </w:rPr>
        <w:t>t</w:t>
      </w:r>
      <w:r>
        <w:rPr>
          <w:rFonts w:ascii="Arial" w:hAnsi="Arial" w:cs="Arial"/>
          <w:highlight w:val="yellow"/>
          <w:lang w:val="en-IN"/>
        </w:rPr>
        <w:t>h</w:t>
      </w:r>
      <w:r>
        <w:rPr>
          <w:rFonts w:ascii="Arial" w:hAnsi="Arial" w:cs="Arial"/>
          <w:lang w:val="en-IN"/>
        </w:rPr>
        <w:t xml:space="preserve"> UV alone (Tables 2 and 3).</w:t>
      </w:r>
    </w:p>
    <w:p w14:paraId="06965C08" w14:textId="77777777" w:rsidR="00391941" w:rsidRDefault="00391941" w:rsidP="00441B6F">
      <w:pPr>
        <w:pStyle w:val="Body"/>
        <w:spacing w:after="0"/>
        <w:rPr>
          <w:rFonts w:ascii="Arial" w:hAnsi="Arial" w:cs="Arial"/>
        </w:rPr>
      </w:pPr>
    </w:p>
    <w:p w14:paraId="515563FD" w14:textId="77777777" w:rsidR="00391941" w:rsidRDefault="0000376E" w:rsidP="00441B6F">
      <w:pPr>
        <w:pStyle w:val="Body"/>
        <w:spacing w:after="0"/>
        <w:rPr>
          <w:rFonts w:ascii="Arial" w:hAnsi="Arial" w:cs="Arial"/>
        </w:rPr>
      </w:pPr>
      <w:r w:rsidRPr="00884203">
        <w:rPr>
          <w:b/>
          <w:bCs/>
          <w:noProof/>
        </w:rPr>
        <w:lastRenderedPageBreak/>
        <w:drawing>
          <wp:anchor distT="0" distB="0" distL="114300" distR="114300" simplePos="0" relativeHeight="251696128" behindDoc="1" locked="0" layoutInCell="1" allowOverlap="1" wp14:anchorId="16E26081" wp14:editId="447417AF">
            <wp:simplePos x="0" y="0"/>
            <wp:positionH relativeFrom="column">
              <wp:posOffset>173907</wp:posOffset>
            </wp:positionH>
            <wp:positionV relativeFrom="paragraph">
              <wp:posOffset>126723</wp:posOffset>
            </wp:positionV>
            <wp:extent cx="4425950" cy="2743200"/>
            <wp:effectExtent l="0" t="0" r="12700" b="0"/>
            <wp:wrapTight wrapText="bothSides">
              <wp:wrapPolygon edited="0">
                <wp:start x="0" y="0"/>
                <wp:lineTo x="0" y="21450"/>
                <wp:lineTo x="21569" y="21450"/>
                <wp:lineTo x="21569" y="0"/>
                <wp:lineTo x="0" y="0"/>
              </wp:wrapPolygon>
            </wp:wrapTight>
            <wp:docPr id="2052535942" name="Chart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3E9CCE2" w14:textId="77777777" w:rsidR="003113FE" w:rsidRDefault="003113FE" w:rsidP="00441B6F">
      <w:pPr>
        <w:pStyle w:val="Body"/>
        <w:spacing w:after="0"/>
        <w:rPr>
          <w:rFonts w:ascii="Arial" w:hAnsi="Arial" w:cs="Arial"/>
        </w:rPr>
      </w:pPr>
    </w:p>
    <w:p w14:paraId="4B65CA20" w14:textId="77777777" w:rsidR="003113FE" w:rsidRDefault="003113FE" w:rsidP="00441B6F">
      <w:pPr>
        <w:pStyle w:val="Body"/>
        <w:spacing w:after="0"/>
        <w:rPr>
          <w:rFonts w:ascii="Arial" w:hAnsi="Arial" w:cs="Arial"/>
        </w:rPr>
      </w:pPr>
    </w:p>
    <w:p w14:paraId="1B08072B" w14:textId="77777777" w:rsidR="003113FE" w:rsidRDefault="003113FE" w:rsidP="00441B6F">
      <w:pPr>
        <w:pStyle w:val="Body"/>
        <w:spacing w:after="0"/>
        <w:rPr>
          <w:rFonts w:ascii="Arial" w:hAnsi="Arial" w:cs="Arial"/>
        </w:rPr>
      </w:pPr>
    </w:p>
    <w:p w14:paraId="1E07B26C" w14:textId="77777777" w:rsidR="003113FE" w:rsidRDefault="003113FE" w:rsidP="00441B6F">
      <w:pPr>
        <w:pStyle w:val="Body"/>
        <w:spacing w:after="0"/>
        <w:rPr>
          <w:rFonts w:ascii="Arial" w:hAnsi="Arial" w:cs="Arial"/>
        </w:rPr>
      </w:pPr>
    </w:p>
    <w:p w14:paraId="28549CBF" w14:textId="77777777" w:rsidR="003113FE" w:rsidRDefault="003113FE" w:rsidP="00441B6F">
      <w:pPr>
        <w:pStyle w:val="Body"/>
        <w:spacing w:after="0"/>
        <w:rPr>
          <w:rFonts w:ascii="Arial" w:hAnsi="Arial" w:cs="Arial"/>
        </w:rPr>
      </w:pPr>
    </w:p>
    <w:p w14:paraId="510E181D" w14:textId="77777777" w:rsidR="003113FE" w:rsidRDefault="003113FE" w:rsidP="00441B6F">
      <w:pPr>
        <w:pStyle w:val="Body"/>
        <w:spacing w:after="0"/>
        <w:rPr>
          <w:rFonts w:ascii="Arial" w:hAnsi="Arial" w:cs="Arial"/>
        </w:rPr>
      </w:pPr>
    </w:p>
    <w:p w14:paraId="24BFEA60" w14:textId="77777777" w:rsidR="003113FE" w:rsidRDefault="003113FE" w:rsidP="00441B6F">
      <w:pPr>
        <w:pStyle w:val="Body"/>
        <w:spacing w:after="0"/>
        <w:rPr>
          <w:rFonts w:ascii="Arial" w:hAnsi="Arial" w:cs="Arial"/>
        </w:rPr>
      </w:pPr>
    </w:p>
    <w:p w14:paraId="718F368B" w14:textId="77777777" w:rsidR="00F50FC6" w:rsidRDefault="00F50FC6" w:rsidP="00441B6F">
      <w:pPr>
        <w:pStyle w:val="Body"/>
        <w:spacing w:after="0"/>
        <w:rPr>
          <w:rFonts w:ascii="Arial" w:hAnsi="Arial" w:cs="Arial"/>
        </w:rPr>
      </w:pPr>
    </w:p>
    <w:p w14:paraId="1E2C7240" w14:textId="77777777" w:rsidR="00F50FC6" w:rsidRDefault="00F50FC6" w:rsidP="00441B6F">
      <w:pPr>
        <w:pStyle w:val="Body"/>
        <w:spacing w:after="0"/>
        <w:rPr>
          <w:rFonts w:ascii="Arial" w:hAnsi="Arial" w:cs="Arial"/>
        </w:rPr>
      </w:pPr>
    </w:p>
    <w:p w14:paraId="2A27CF8D" w14:textId="77777777" w:rsidR="00F50FC6" w:rsidRDefault="00F50FC6" w:rsidP="00441B6F">
      <w:pPr>
        <w:pStyle w:val="Body"/>
        <w:spacing w:after="0"/>
        <w:rPr>
          <w:rFonts w:ascii="Arial" w:hAnsi="Arial" w:cs="Arial"/>
        </w:rPr>
      </w:pPr>
    </w:p>
    <w:p w14:paraId="545226F1" w14:textId="77777777" w:rsidR="00F50FC6" w:rsidRDefault="00F50FC6" w:rsidP="00441B6F">
      <w:pPr>
        <w:pStyle w:val="Body"/>
        <w:spacing w:after="0"/>
        <w:rPr>
          <w:rFonts w:ascii="Arial" w:hAnsi="Arial" w:cs="Arial"/>
        </w:rPr>
      </w:pPr>
    </w:p>
    <w:p w14:paraId="6EACD9C5" w14:textId="77777777" w:rsidR="00F50FC6" w:rsidRDefault="00F50FC6" w:rsidP="00441B6F">
      <w:pPr>
        <w:pStyle w:val="Body"/>
        <w:spacing w:after="0"/>
        <w:rPr>
          <w:rFonts w:ascii="Arial" w:hAnsi="Arial" w:cs="Arial"/>
        </w:rPr>
      </w:pPr>
    </w:p>
    <w:p w14:paraId="782B3BD2" w14:textId="77777777" w:rsidR="00F50FC6" w:rsidRDefault="00F50FC6" w:rsidP="00441B6F">
      <w:pPr>
        <w:pStyle w:val="Body"/>
        <w:spacing w:after="0"/>
        <w:rPr>
          <w:rFonts w:ascii="Arial" w:hAnsi="Arial" w:cs="Arial"/>
        </w:rPr>
      </w:pPr>
    </w:p>
    <w:p w14:paraId="2DA2DECD" w14:textId="77777777" w:rsidR="00F50FC6" w:rsidRDefault="00F50FC6" w:rsidP="00441B6F">
      <w:pPr>
        <w:pStyle w:val="Body"/>
        <w:spacing w:after="0"/>
        <w:rPr>
          <w:rFonts w:ascii="Arial" w:hAnsi="Arial" w:cs="Arial"/>
        </w:rPr>
      </w:pPr>
    </w:p>
    <w:p w14:paraId="5C4A2D85" w14:textId="77777777" w:rsidR="00F50FC6" w:rsidRDefault="00F50FC6" w:rsidP="00441B6F">
      <w:pPr>
        <w:pStyle w:val="Body"/>
        <w:spacing w:after="0"/>
        <w:rPr>
          <w:rFonts w:ascii="Arial" w:hAnsi="Arial" w:cs="Arial"/>
        </w:rPr>
      </w:pPr>
    </w:p>
    <w:p w14:paraId="24C1395C" w14:textId="77777777" w:rsidR="00F50FC6" w:rsidRDefault="00F50FC6" w:rsidP="00441B6F">
      <w:pPr>
        <w:pStyle w:val="Body"/>
        <w:spacing w:after="0"/>
        <w:rPr>
          <w:rFonts w:ascii="Arial" w:hAnsi="Arial" w:cs="Arial"/>
        </w:rPr>
      </w:pPr>
    </w:p>
    <w:p w14:paraId="23C2436F" w14:textId="77777777" w:rsidR="00F50FC6" w:rsidRDefault="00F50FC6" w:rsidP="00441B6F">
      <w:pPr>
        <w:pStyle w:val="Body"/>
        <w:spacing w:after="0"/>
        <w:rPr>
          <w:rFonts w:ascii="Arial" w:hAnsi="Arial" w:cs="Arial"/>
        </w:rPr>
      </w:pPr>
    </w:p>
    <w:p w14:paraId="6EA1B7F6" w14:textId="77777777" w:rsidR="00F50FC6" w:rsidRDefault="00F50FC6" w:rsidP="00441B6F">
      <w:pPr>
        <w:pStyle w:val="Body"/>
        <w:spacing w:after="0"/>
        <w:rPr>
          <w:rFonts w:ascii="Arial" w:hAnsi="Arial" w:cs="Arial"/>
        </w:rPr>
      </w:pPr>
    </w:p>
    <w:p w14:paraId="4D1B52E0" w14:textId="77777777" w:rsidR="00F50FC6" w:rsidRDefault="00F50FC6" w:rsidP="00441B6F">
      <w:pPr>
        <w:pStyle w:val="Body"/>
        <w:spacing w:after="0"/>
        <w:rPr>
          <w:rFonts w:ascii="Arial" w:hAnsi="Arial" w:cs="Arial"/>
        </w:rPr>
      </w:pPr>
    </w:p>
    <w:p w14:paraId="2C47349E" w14:textId="77777777" w:rsidR="00F50FC6" w:rsidRDefault="00F50FC6" w:rsidP="00441B6F">
      <w:pPr>
        <w:pStyle w:val="Body"/>
        <w:spacing w:after="0"/>
        <w:rPr>
          <w:rFonts w:ascii="Arial" w:hAnsi="Arial" w:cs="Arial"/>
        </w:rPr>
      </w:pPr>
    </w:p>
    <w:p w14:paraId="42BA51B0" w14:textId="77777777" w:rsidR="00D91ED4" w:rsidRDefault="00F50FC6" w:rsidP="00F50FC6">
      <w:pPr>
        <w:pStyle w:val="Body"/>
        <w:rPr>
          <w:rFonts w:ascii="Arial" w:hAnsi="Arial" w:cs="Arial"/>
          <w:b/>
          <w:bCs/>
          <w:lang w:val="en-IN"/>
        </w:rPr>
      </w:pPr>
      <w:r>
        <w:rPr>
          <w:rFonts w:ascii="Arial" w:hAnsi="Arial" w:cs="Arial"/>
          <w:b/>
          <w:bCs/>
          <w:lang w:val="en-IN"/>
        </w:rPr>
        <w:t>Fig. 3.</w:t>
      </w:r>
      <w:r w:rsidR="00D91ED4">
        <w:rPr>
          <w:rFonts w:ascii="Arial" w:hAnsi="Arial" w:cs="Arial"/>
          <w:b/>
          <w:bCs/>
          <w:lang w:val="en-IN"/>
        </w:rPr>
        <w:t xml:space="preserve"> </w:t>
      </w:r>
      <w:r>
        <w:rPr>
          <w:rFonts w:ascii="Arial" w:hAnsi="Arial" w:cs="Arial"/>
          <w:b/>
          <w:bCs/>
          <w:lang w:val="en-IN"/>
        </w:rPr>
        <w:t xml:space="preserve"> </w:t>
      </w:r>
      <w:r w:rsidR="00C136EC" w:rsidRPr="00C136EC">
        <w:rPr>
          <w:rFonts w:ascii="Arial" w:hAnsi="Arial" w:cs="Arial"/>
          <w:b/>
          <w:bCs/>
        </w:rPr>
        <w:t xml:space="preserve">Assessment of phototactic behavior in </w:t>
      </w:r>
      <w:r w:rsidR="00C136EC" w:rsidRPr="00C136EC">
        <w:rPr>
          <w:rFonts w:ascii="Arial" w:hAnsi="Arial" w:cs="Arial"/>
          <w:b/>
          <w:bCs/>
          <w:i/>
          <w:iCs/>
        </w:rPr>
        <w:t>Drosophila melanogaster</w:t>
      </w:r>
      <w:r w:rsidR="00C136EC" w:rsidRPr="00C136EC">
        <w:rPr>
          <w:rFonts w:ascii="Arial" w:hAnsi="Arial" w:cs="Arial"/>
          <w:b/>
          <w:bCs/>
        </w:rPr>
        <w:t xml:space="preserve"> following UV</w:t>
      </w:r>
      <w:r w:rsidR="00C136EC">
        <w:rPr>
          <w:rFonts w:ascii="Arial" w:hAnsi="Arial" w:cs="Arial"/>
          <w:b/>
          <w:bCs/>
        </w:rPr>
        <w:t>-C</w:t>
      </w:r>
      <w:r w:rsidR="00C136EC" w:rsidRPr="00C136EC">
        <w:rPr>
          <w:rFonts w:ascii="Arial" w:hAnsi="Arial" w:cs="Arial"/>
          <w:b/>
          <w:bCs/>
        </w:rPr>
        <w:t xml:space="preserve"> exposure and </w:t>
      </w:r>
      <w:r w:rsidR="00C136EC">
        <w:rPr>
          <w:rFonts w:ascii="Arial" w:hAnsi="Arial" w:cs="Arial"/>
          <w:b/>
          <w:bCs/>
        </w:rPr>
        <w:t>q</w:t>
      </w:r>
      <w:r w:rsidR="00C136EC" w:rsidRPr="00C136EC">
        <w:rPr>
          <w:rFonts w:ascii="Arial" w:hAnsi="Arial" w:cs="Arial"/>
          <w:b/>
          <w:bCs/>
        </w:rPr>
        <w:t>uercetin pre-treatment</w:t>
      </w:r>
      <w:r w:rsidRPr="00F50FC6">
        <w:rPr>
          <w:rFonts w:ascii="Arial" w:hAnsi="Arial" w:cs="Arial"/>
          <w:b/>
          <w:bCs/>
          <w:lang w:val="en-IN"/>
        </w:rPr>
        <w:t>.</w:t>
      </w:r>
    </w:p>
    <w:p w14:paraId="00DCA0F0" w14:textId="77777777" w:rsidR="00F50FC6" w:rsidRPr="00C136EC" w:rsidRDefault="00F50FC6" w:rsidP="00F50FC6">
      <w:pPr>
        <w:pStyle w:val="Body"/>
        <w:rPr>
          <w:rFonts w:ascii="Arial" w:hAnsi="Arial" w:cs="Arial"/>
          <w:b/>
          <w:bCs/>
          <w:lang w:val="en-IN"/>
        </w:rPr>
      </w:pPr>
      <w:r w:rsidRPr="00C136EC">
        <w:rPr>
          <w:rFonts w:ascii="Arial" w:hAnsi="Arial" w:cs="Arial"/>
          <w:i/>
          <w:iCs/>
          <w:sz w:val="18"/>
          <w:szCs w:val="18"/>
          <w:lang w:val="en-IN"/>
        </w:rPr>
        <w:t>Bars indicate the mean number of flies moving toward (+</w:t>
      </w:r>
      <w:proofErr w:type="spellStart"/>
      <w:r w:rsidRPr="00C136EC">
        <w:rPr>
          <w:rFonts w:ascii="Arial" w:hAnsi="Arial" w:cs="Arial"/>
          <w:i/>
          <w:iCs/>
          <w:sz w:val="18"/>
          <w:szCs w:val="18"/>
          <w:lang w:val="en-IN"/>
        </w:rPr>
        <w:t>ve</w:t>
      </w:r>
      <w:proofErr w:type="spellEnd"/>
      <w:r w:rsidRPr="00C136EC">
        <w:rPr>
          <w:rFonts w:ascii="Arial" w:hAnsi="Arial" w:cs="Arial"/>
          <w:i/>
          <w:iCs/>
          <w:sz w:val="18"/>
          <w:szCs w:val="18"/>
          <w:lang w:val="en-IN"/>
        </w:rPr>
        <w:t>) or away from (-</w:t>
      </w:r>
      <w:proofErr w:type="spellStart"/>
      <w:r w:rsidRPr="00C136EC">
        <w:rPr>
          <w:rFonts w:ascii="Arial" w:hAnsi="Arial" w:cs="Arial"/>
          <w:i/>
          <w:iCs/>
          <w:sz w:val="18"/>
          <w:szCs w:val="18"/>
          <w:lang w:val="en-IN"/>
        </w:rPr>
        <w:t>ve</w:t>
      </w:r>
      <w:proofErr w:type="spellEnd"/>
      <w:r w:rsidRPr="00C136EC">
        <w:rPr>
          <w:rFonts w:ascii="Arial" w:hAnsi="Arial" w:cs="Arial"/>
          <w:i/>
          <w:iCs/>
          <w:sz w:val="18"/>
          <w:szCs w:val="18"/>
          <w:lang w:val="en-IN"/>
        </w:rPr>
        <w:t xml:space="preserve">) light. Error bars indicate </w:t>
      </w:r>
      <m:oMath>
        <m:r>
          <w:rPr>
            <w:rFonts w:ascii="Cambria Math" w:hAnsi="Cambria Math" w:cs="Arial"/>
            <w:sz w:val="18"/>
            <w:szCs w:val="18"/>
            <w:lang w:val="en-IN"/>
          </w:rPr>
          <m:t>±</m:t>
        </m:r>
      </m:oMath>
      <w:r w:rsidRPr="00C136EC">
        <w:rPr>
          <w:rFonts w:ascii="Arial" w:hAnsi="Arial" w:cs="Arial"/>
          <w:i/>
          <w:iCs/>
          <w:sz w:val="18"/>
          <w:szCs w:val="18"/>
          <w:lang w:val="en-IN"/>
        </w:rPr>
        <w:t xml:space="preserve"> SE</w:t>
      </w:r>
      <w:r w:rsidR="00D147A7">
        <w:rPr>
          <w:rFonts w:ascii="Arial" w:hAnsi="Arial" w:cs="Arial"/>
          <w:i/>
          <w:iCs/>
          <w:sz w:val="18"/>
          <w:szCs w:val="18"/>
          <w:lang w:val="en-IN"/>
        </w:rPr>
        <w:t xml:space="preserve"> (n=3).</w:t>
      </w:r>
      <w:r w:rsidRPr="00C136EC">
        <w:rPr>
          <w:rFonts w:ascii="Arial" w:hAnsi="Arial" w:cs="Arial"/>
          <w:i/>
          <w:iCs/>
          <w:sz w:val="18"/>
          <w:szCs w:val="18"/>
          <w:lang w:val="en-IN"/>
        </w:rPr>
        <w:t xml:space="preserve"> </w:t>
      </w:r>
    </w:p>
    <w:p w14:paraId="2B16BC0E" w14:textId="77777777" w:rsidR="00255B93" w:rsidRPr="00CD3614" w:rsidRDefault="00B20C20" w:rsidP="00CD3614">
      <w:pPr>
        <w:pStyle w:val="Body"/>
        <w:rPr>
          <w:rFonts w:ascii="Arial" w:hAnsi="Arial" w:cs="Arial"/>
          <w:lang w:val="en-IN"/>
        </w:rPr>
      </w:pPr>
      <w:r w:rsidRPr="00B20C20">
        <w:rPr>
          <w:rFonts w:ascii="Arial" w:hAnsi="Arial" w:cs="Arial"/>
          <w:b/>
          <w:bCs/>
        </w:rPr>
        <w:t xml:space="preserve">Table </w:t>
      </w:r>
      <w:r w:rsidR="000A4603">
        <w:rPr>
          <w:rFonts w:ascii="Arial" w:hAnsi="Arial" w:cs="Arial"/>
          <w:b/>
          <w:bCs/>
        </w:rPr>
        <w:t>2</w:t>
      </w:r>
      <w:r w:rsidRPr="00B20C20">
        <w:rPr>
          <w:rFonts w:ascii="Arial" w:hAnsi="Arial" w:cs="Arial"/>
          <w:b/>
          <w:bCs/>
        </w:rPr>
        <w:t>.</w:t>
      </w:r>
      <w:r w:rsidRPr="00B20C20">
        <w:rPr>
          <w:rFonts w:ascii="Arial" w:hAnsi="Arial" w:cs="Arial"/>
          <w:b/>
          <w:bCs/>
        </w:rPr>
        <w:tab/>
      </w:r>
      <w:r w:rsidRPr="00B20C20">
        <w:rPr>
          <w:rFonts w:ascii="Arial" w:hAnsi="Arial" w:cs="Arial"/>
          <w:b/>
          <w:bCs/>
          <w:lang w:val="en-IN"/>
        </w:rPr>
        <w:t xml:space="preserve"> One-Way ANOVA for positive phototaxis response across 4 experimental groups</w:t>
      </w:r>
      <w:r w:rsidRPr="00B20C20">
        <w:rPr>
          <w:rFonts w:ascii="Arial" w:hAnsi="Arial" w:cs="Arial"/>
          <w:lang w:val="en-IN"/>
        </w:rPr>
        <w:t xml:space="preserve"> </w:t>
      </w:r>
    </w:p>
    <w:tbl>
      <w:tblPr>
        <w:tblStyle w:val="PlainTable5"/>
        <w:tblW w:w="8208" w:type="dxa"/>
        <w:tblLook w:val="04A0" w:firstRow="1" w:lastRow="0" w:firstColumn="1" w:lastColumn="0" w:noHBand="0" w:noVBand="1"/>
      </w:tblPr>
      <w:tblGrid>
        <w:gridCol w:w="1254"/>
        <w:gridCol w:w="1213"/>
        <w:gridCol w:w="1317"/>
        <w:gridCol w:w="1079"/>
        <w:gridCol w:w="1005"/>
        <w:gridCol w:w="945"/>
        <w:gridCol w:w="1395"/>
      </w:tblGrid>
      <w:tr w:rsidR="00B20C20" w:rsidRPr="002751B6" w14:paraId="4D53BE50" w14:textId="77777777" w:rsidTr="002751B6">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7F7F7F" w:themeColor="text1" w:themeTint="80"/>
            </w:tcBorders>
            <w:shd w:val="clear" w:color="auto" w:fill="auto"/>
            <w:hideMark/>
          </w:tcPr>
          <w:p w14:paraId="223926A7" w14:textId="77777777" w:rsidR="00B20C20" w:rsidRPr="002751B6" w:rsidRDefault="00B20C20" w:rsidP="00B20C20">
            <w:pPr>
              <w:pStyle w:val="Body"/>
              <w:rPr>
                <w:rFonts w:ascii="Arial" w:hAnsi="Arial" w:cs="Arial"/>
                <w:b/>
                <w:bCs/>
                <w:i w:val="0"/>
                <w:iCs w:val="0"/>
                <w:sz w:val="20"/>
                <w:lang w:val="en-IN"/>
              </w:rPr>
            </w:pPr>
            <w:r w:rsidRPr="002751B6">
              <w:rPr>
                <w:rFonts w:ascii="Arial" w:hAnsi="Arial" w:cs="Arial"/>
                <w:b/>
                <w:bCs/>
                <w:i w:val="0"/>
                <w:iCs w:val="0"/>
                <w:sz w:val="20"/>
                <w:lang w:val="en-IN"/>
              </w:rPr>
              <w:t>Source of Variation</w:t>
            </w:r>
          </w:p>
        </w:tc>
        <w:tc>
          <w:tcPr>
            <w:tcW w:w="0" w:type="auto"/>
            <w:tcBorders>
              <w:top w:val="single" w:sz="4" w:space="0" w:color="7F7F7F" w:themeColor="text1" w:themeTint="80"/>
            </w:tcBorders>
            <w:shd w:val="clear" w:color="auto" w:fill="auto"/>
            <w:hideMark/>
          </w:tcPr>
          <w:p w14:paraId="058C912D"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Sum of Squares (SS)</w:t>
            </w:r>
          </w:p>
        </w:tc>
        <w:tc>
          <w:tcPr>
            <w:tcW w:w="0" w:type="auto"/>
            <w:tcBorders>
              <w:top w:val="single" w:sz="4" w:space="0" w:color="7F7F7F" w:themeColor="text1" w:themeTint="80"/>
            </w:tcBorders>
            <w:shd w:val="clear" w:color="auto" w:fill="auto"/>
            <w:hideMark/>
          </w:tcPr>
          <w:p w14:paraId="7CAA2587"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Degrees of Freedom (</w:t>
            </w:r>
            <w:proofErr w:type="spellStart"/>
            <w:r w:rsidRPr="002751B6">
              <w:rPr>
                <w:rFonts w:ascii="Arial" w:hAnsi="Arial" w:cs="Arial"/>
                <w:b/>
                <w:bCs/>
                <w:i w:val="0"/>
                <w:iCs w:val="0"/>
                <w:sz w:val="20"/>
                <w:lang w:val="en-IN"/>
              </w:rPr>
              <w:t>df</w:t>
            </w:r>
            <w:proofErr w:type="spellEnd"/>
            <w:r w:rsidRPr="002751B6">
              <w:rPr>
                <w:rFonts w:ascii="Arial" w:hAnsi="Arial" w:cs="Arial"/>
                <w:b/>
                <w:bCs/>
                <w:i w:val="0"/>
                <w:iCs w:val="0"/>
                <w:sz w:val="20"/>
                <w:lang w:val="en-IN"/>
              </w:rPr>
              <w:t>)</w:t>
            </w:r>
          </w:p>
        </w:tc>
        <w:tc>
          <w:tcPr>
            <w:tcW w:w="0" w:type="auto"/>
            <w:tcBorders>
              <w:top w:val="single" w:sz="4" w:space="0" w:color="7F7F7F" w:themeColor="text1" w:themeTint="80"/>
            </w:tcBorders>
            <w:shd w:val="clear" w:color="auto" w:fill="auto"/>
            <w:hideMark/>
          </w:tcPr>
          <w:p w14:paraId="266E9AC0"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Mean Square (MS)</w:t>
            </w:r>
          </w:p>
        </w:tc>
        <w:tc>
          <w:tcPr>
            <w:tcW w:w="0" w:type="auto"/>
            <w:tcBorders>
              <w:top w:val="single" w:sz="4" w:space="0" w:color="7F7F7F" w:themeColor="text1" w:themeTint="80"/>
            </w:tcBorders>
            <w:shd w:val="clear" w:color="auto" w:fill="auto"/>
            <w:hideMark/>
          </w:tcPr>
          <w:p w14:paraId="7C338CCA"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F-statistic</w:t>
            </w:r>
          </w:p>
        </w:tc>
        <w:tc>
          <w:tcPr>
            <w:tcW w:w="0" w:type="auto"/>
            <w:tcBorders>
              <w:top w:val="single" w:sz="4" w:space="0" w:color="7F7F7F" w:themeColor="text1" w:themeTint="80"/>
            </w:tcBorders>
            <w:shd w:val="clear" w:color="auto" w:fill="auto"/>
            <w:hideMark/>
          </w:tcPr>
          <w:p w14:paraId="60AD27CD" w14:textId="77777777" w:rsidR="00B20C20" w:rsidRPr="00895E22"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sz w:val="20"/>
                <w:lang w:val="en-IN"/>
              </w:rPr>
            </w:pPr>
            <w:r w:rsidRPr="00895E22">
              <w:rPr>
                <w:rFonts w:ascii="Arial" w:hAnsi="Arial" w:cs="Arial"/>
                <w:b/>
                <w:bCs/>
                <w:sz w:val="20"/>
                <w:lang w:val="en-IN"/>
              </w:rPr>
              <w:t>p-value</w:t>
            </w:r>
          </w:p>
        </w:tc>
        <w:tc>
          <w:tcPr>
            <w:tcW w:w="0" w:type="auto"/>
            <w:tcBorders>
              <w:top w:val="single" w:sz="4" w:space="0" w:color="7F7F7F" w:themeColor="text1" w:themeTint="80"/>
            </w:tcBorders>
            <w:shd w:val="clear" w:color="auto" w:fill="auto"/>
            <w:hideMark/>
          </w:tcPr>
          <w:p w14:paraId="6DDCDE94"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Significance</w:t>
            </w:r>
          </w:p>
        </w:tc>
      </w:tr>
      <w:tr w:rsidR="00B20C20" w:rsidRPr="002751B6" w14:paraId="1FB5190A" w14:textId="77777777" w:rsidTr="002751B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right w:val="none" w:sz="0" w:space="0" w:color="auto"/>
            </w:tcBorders>
            <w:shd w:val="clear" w:color="auto" w:fill="auto"/>
            <w:hideMark/>
          </w:tcPr>
          <w:p w14:paraId="20B8E84B"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Between Groups</w:t>
            </w:r>
          </w:p>
        </w:tc>
        <w:tc>
          <w:tcPr>
            <w:tcW w:w="0" w:type="auto"/>
            <w:tcBorders>
              <w:top w:val="single" w:sz="4" w:space="0" w:color="7F7F7F" w:themeColor="text1" w:themeTint="80"/>
            </w:tcBorders>
            <w:shd w:val="clear" w:color="auto" w:fill="auto"/>
            <w:hideMark/>
          </w:tcPr>
          <w:p w14:paraId="70B447EE"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29.583</w:t>
            </w:r>
          </w:p>
        </w:tc>
        <w:tc>
          <w:tcPr>
            <w:tcW w:w="0" w:type="auto"/>
            <w:tcBorders>
              <w:top w:val="single" w:sz="4" w:space="0" w:color="7F7F7F" w:themeColor="text1" w:themeTint="80"/>
            </w:tcBorders>
            <w:shd w:val="clear" w:color="auto" w:fill="auto"/>
            <w:hideMark/>
          </w:tcPr>
          <w:p w14:paraId="4F3868A0"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3</w:t>
            </w:r>
          </w:p>
        </w:tc>
        <w:tc>
          <w:tcPr>
            <w:tcW w:w="0" w:type="auto"/>
            <w:tcBorders>
              <w:top w:val="single" w:sz="4" w:space="0" w:color="7F7F7F" w:themeColor="text1" w:themeTint="80"/>
            </w:tcBorders>
            <w:shd w:val="clear" w:color="auto" w:fill="auto"/>
            <w:hideMark/>
          </w:tcPr>
          <w:p w14:paraId="4212A302"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9.861</w:t>
            </w:r>
          </w:p>
        </w:tc>
        <w:tc>
          <w:tcPr>
            <w:tcW w:w="0" w:type="auto"/>
            <w:tcBorders>
              <w:top w:val="single" w:sz="4" w:space="0" w:color="7F7F7F" w:themeColor="text1" w:themeTint="80"/>
            </w:tcBorders>
            <w:shd w:val="clear" w:color="auto" w:fill="auto"/>
            <w:hideMark/>
          </w:tcPr>
          <w:p w14:paraId="6004583E"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42.12</w:t>
            </w:r>
          </w:p>
        </w:tc>
        <w:tc>
          <w:tcPr>
            <w:tcW w:w="0" w:type="auto"/>
            <w:tcBorders>
              <w:top w:val="single" w:sz="4" w:space="0" w:color="7F7F7F" w:themeColor="text1" w:themeTint="80"/>
            </w:tcBorders>
            <w:shd w:val="clear" w:color="auto" w:fill="auto"/>
            <w:hideMark/>
          </w:tcPr>
          <w:p w14:paraId="21BA3E88" w14:textId="77777777" w:rsidR="00B20C20" w:rsidRPr="00895E22"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i/>
                <w:iCs/>
                <w:lang w:val="en-IN"/>
              </w:rPr>
            </w:pPr>
            <w:r w:rsidRPr="00895E22">
              <w:rPr>
                <w:rFonts w:ascii="Arial" w:hAnsi="Arial" w:cs="Arial"/>
                <w:i/>
                <w:iCs/>
                <w:lang w:val="en-IN"/>
              </w:rPr>
              <w:t>&lt;0.0001</w:t>
            </w:r>
          </w:p>
        </w:tc>
        <w:tc>
          <w:tcPr>
            <w:tcW w:w="0" w:type="auto"/>
            <w:tcBorders>
              <w:top w:val="single" w:sz="4" w:space="0" w:color="7F7F7F" w:themeColor="text1" w:themeTint="80"/>
            </w:tcBorders>
            <w:shd w:val="clear" w:color="auto" w:fill="auto"/>
            <w:hideMark/>
          </w:tcPr>
          <w:p w14:paraId="00FDB27D"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r>
      <w:tr w:rsidR="00B20C20" w:rsidRPr="002751B6" w14:paraId="46F619A2" w14:textId="77777777" w:rsidTr="002751B6">
        <w:trPr>
          <w:trHeight w:val="31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018E4DE2"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Within Groups (Error)</w:t>
            </w:r>
          </w:p>
        </w:tc>
        <w:tc>
          <w:tcPr>
            <w:tcW w:w="0" w:type="auto"/>
            <w:tcBorders>
              <w:left w:val="nil"/>
            </w:tcBorders>
            <w:hideMark/>
          </w:tcPr>
          <w:p w14:paraId="4B4E8D63"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1.873</w:t>
            </w:r>
          </w:p>
        </w:tc>
        <w:tc>
          <w:tcPr>
            <w:tcW w:w="0" w:type="auto"/>
            <w:hideMark/>
          </w:tcPr>
          <w:p w14:paraId="1F92EC97"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8</w:t>
            </w:r>
          </w:p>
        </w:tc>
        <w:tc>
          <w:tcPr>
            <w:tcW w:w="0" w:type="auto"/>
            <w:hideMark/>
          </w:tcPr>
          <w:p w14:paraId="628B2D7A"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0.234</w:t>
            </w:r>
          </w:p>
        </w:tc>
        <w:tc>
          <w:tcPr>
            <w:tcW w:w="0" w:type="auto"/>
            <w:hideMark/>
          </w:tcPr>
          <w:p w14:paraId="105C8C3F"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hideMark/>
          </w:tcPr>
          <w:p w14:paraId="497D0814"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hideMark/>
          </w:tcPr>
          <w:p w14:paraId="5CABD423"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r>
      <w:tr w:rsidR="00B20C20" w:rsidRPr="002751B6" w14:paraId="2021879E" w14:textId="77777777" w:rsidTr="002751B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right w:val="none" w:sz="0" w:space="0" w:color="auto"/>
            </w:tcBorders>
            <w:shd w:val="clear" w:color="auto" w:fill="auto"/>
            <w:hideMark/>
          </w:tcPr>
          <w:p w14:paraId="6A422A4D"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Total</w:t>
            </w:r>
          </w:p>
        </w:tc>
        <w:tc>
          <w:tcPr>
            <w:tcW w:w="0" w:type="auto"/>
            <w:tcBorders>
              <w:bottom w:val="single" w:sz="4" w:space="0" w:color="7F7F7F" w:themeColor="text1" w:themeTint="80"/>
            </w:tcBorders>
            <w:shd w:val="clear" w:color="auto" w:fill="auto"/>
            <w:hideMark/>
          </w:tcPr>
          <w:p w14:paraId="075DACA2"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31.456</w:t>
            </w:r>
          </w:p>
        </w:tc>
        <w:tc>
          <w:tcPr>
            <w:tcW w:w="0" w:type="auto"/>
            <w:tcBorders>
              <w:bottom w:val="single" w:sz="4" w:space="0" w:color="7F7F7F" w:themeColor="text1" w:themeTint="80"/>
            </w:tcBorders>
            <w:shd w:val="clear" w:color="auto" w:fill="auto"/>
            <w:hideMark/>
          </w:tcPr>
          <w:p w14:paraId="2FB48278"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11</w:t>
            </w:r>
          </w:p>
        </w:tc>
        <w:tc>
          <w:tcPr>
            <w:tcW w:w="0" w:type="auto"/>
            <w:tcBorders>
              <w:bottom w:val="single" w:sz="4" w:space="0" w:color="7F7F7F" w:themeColor="text1" w:themeTint="80"/>
            </w:tcBorders>
            <w:shd w:val="clear" w:color="auto" w:fill="auto"/>
            <w:hideMark/>
          </w:tcPr>
          <w:p w14:paraId="3AFDF13D"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3B1C7B1D"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4EABEC17"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348CFF0E"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r>
    </w:tbl>
    <w:p w14:paraId="415C6F79" w14:textId="77777777" w:rsidR="009B7B89" w:rsidRPr="009B7B89" w:rsidRDefault="00895E22" w:rsidP="001A3917">
      <w:pPr>
        <w:pStyle w:val="Body"/>
        <w:rPr>
          <w:rFonts w:ascii="Arial" w:hAnsi="Arial" w:cs="Arial"/>
          <w:i/>
          <w:lang w:val="en-IN"/>
        </w:rPr>
      </w:pPr>
      <w:r>
        <w:rPr>
          <w:rFonts w:ascii="Arial" w:hAnsi="Arial" w:cs="Arial"/>
          <w:i/>
          <w:iCs/>
          <w:lang w:val="en-IN"/>
        </w:rPr>
        <w:t xml:space="preserve">(n = 3 </w:t>
      </w:r>
      <w:r w:rsidR="002751B6" w:rsidRPr="00B20C20">
        <w:rPr>
          <w:rFonts w:ascii="Arial" w:hAnsi="Arial" w:cs="Arial"/>
          <w:i/>
          <w:iCs/>
          <w:lang w:val="en-IN"/>
        </w:rPr>
        <w:t>independent biological replicates per group,</w:t>
      </w:r>
      <w:r>
        <w:rPr>
          <w:rFonts w:ascii="Arial" w:hAnsi="Arial" w:cs="Arial"/>
          <w:i/>
          <w:iCs/>
          <w:lang w:val="en-IN"/>
        </w:rPr>
        <w:t xml:space="preserve"> N = 12</w:t>
      </w:r>
      <w:r w:rsidR="002751B6" w:rsidRPr="00B20C20">
        <w:rPr>
          <w:rFonts w:ascii="Arial" w:hAnsi="Arial" w:cs="Arial"/>
          <w:i/>
          <w:iCs/>
          <w:lang w:val="en-IN"/>
        </w:rPr>
        <w:t>).</w:t>
      </w:r>
      <w:r>
        <w:rPr>
          <w:rFonts w:ascii="Arial" w:hAnsi="Arial" w:cs="Arial"/>
          <w:i/>
          <w:iCs/>
          <w:lang w:val="en-IN"/>
        </w:rPr>
        <w:t xml:space="preserve"> MS</w:t>
      </w:r>
      <w:r w:rsidRPr="00895E22">
        <w:rPr>
          <w:rFonts w:ascii="Arial" w:hAnsi="Arial" w:cs="Arial"/>
          <w:i/>
          <w:iCs/>
          <w:vertAlign w:val="subscript"/>
          <w:lang w:val="en-IN"/>
        </w:rPr>
        <w:t>Error</w:t>
      </w:r>
      <w:r>
        <w:rPr>
          <w:rFonts w:ascii="Arial" w:hAnsi="Arial" w:cs="Arial"/>
          <w:i/>
          <w:iCs/>
          <w:lang w:val="en-IN"/>
        </w:rPr>
        <w:t xml:space="preserve"> = 0.234.</w:t>
      </w:r>
      <w:r w:rsidR="009B7B89">
        <w:rPr>
          <w:rFonts w:ascii="Arial" w:hAnsi="Arial" w:cs="Arial"/>
          <w:i/>
          <w:iCs/>
          <w:lang w:val="en-IN"/>
        </w:rPr>
        <w:t xml:space="preserve"> </w:t>
      </w:r>
      <w:r w:rsidR="002751B6" w:rsidRPr="00B20C20">
        <w:rPr>
          <w:rFonts w:ascii="Arial" w:hAnsi="Arial" w:cs="Arial"/>
          <w:i/>
          <w:iCs/>
          <w:lang w:val="en-IN"/>
        </w:rPr>
        <w:t xml:space="preserve">Significance level: **** </w:t>
      </w:r>
      <w:r>
        <w:rPr>
          <w:rFonts w:ascii="Arial" w:hAnsi="Arial" w:cs="Arial"/>
          <w:i/>
          <w:iCs/>
          <w:lang w:val="en-IN"/>
        </w:rPr>
        <w:t>(p &lt; 0.0001)</w:t>
      </w:r>
    </w:p>
    <w:p w14:paraId="122D3BD8" w14:textId="77777777" w:rsidR="00EB321F" w:rsidRPr="00EB321F" w:rsidRDefault="00684463" w:rsidP="001A3917">
      <w:pPr>
        <w:pStyle w:val="Body"/>
        <w:rPr>
          <w:rFonts w:ascii="Arial" w:hAnsi="Arial" w:cs="Arial"/>
          <w:lang w:val="en-IN"/>
        </w:rPr>
      </w:pPr>
      <w:r w:rsidRPr="00684463">
        <w:rPr>
          <w:rFonts w:ascii="Arial" w:hAnsi="Arial" w:cs="Arial"/>
          <w:b/>
          <w:bCs/>
          <w:lang w:val="en-IN"/>
        </w:rPr>
        <w:t xml:space="preserve">Table </w:t>
      </w:r>
      <w:r w:rsidR="009F7A74">
        <w:rPr>
          <w:rFonts w:ascii="Arial" w:hAnsi="Arial" w:cs="Arial"/>
          <w:b/>
          <w:bCs/>
          <w:lang w:val="en-IN"/>
        </w:rPr>
        <w:t>3</w:t>
      </w:r>
      <w:r>
        <w:rPr>
          <w:rFonts w:ascii="Arial" w:hAnsi="Arial" w:cs="Arial"/>
          <w:b/>
          <w:bCs/>
          <w:lang w:val="en-IN"/>
        </w:rPr>
        <w:t>.</w:t>
      </w:r>
      <w:r>
        <w:rPr>
          <w:rFonts w:ascii="Arial" w:hAnsi="Arial" w:cs="Arial"/>
          <w:b/>
          <w:bCs/>
          <w:lang w:val="en-IN"/>
        </w:rPr>
        <w:tab/>
      </w:r>
      <w:r w:rsidR="00261198" w:rsidRPr="00261198">
        <w:rPr>
          <w:rFonts w:ascii="Arial" w:hAnsi="Arial" w:cs="Arial"/>
          <w:b/>
          <w:bCs/>
        </w:rPr>
        <w:t xml:space="preserve">Tukey’s HSD Post-Hoc Pairwise Comparisons </w:t>
      </w:r>
      <w:r w:rsidR="00CD3614" w:rsidRPr="00B20C20">
        <w:rPr>
          <w:rFonts w:ascii="Arial" w:hAnsi="Arial" w:cs="Arial"/>
          <w:b/>
          <w:bCs/>
          <w:lang w:val="en-IN"/>
        </w:rPr>
        <w:t>for positive phototaxis response across 4 experimental groups</w:t>
      </w:r>
      <w:r w:rsidR="00CD3614" w:rsidRPr="00261198">
        <w:rPr>
          <w:rFonts w:ascii="Arial" w:hAnsi="Arial" w:cs="Arial"/>
          <w:b/>
          <w:bCs/>
        </w:rPr>
        <w:t xml:space="preserve"> </w:t>
      </w:r>
    </w:p>
    <w:tbl>
      <w:tblPr>
        <w:tblpPr w:leftFromText="180" w:rightFromText="180" w:vertAnchor="text" w:horzAnchor="margin" w:tblpY="255"/>
        <w:tblW w:w="9010" w:type="dxa"/>
        <w:tblBorders>
          <w:top w:val="single" w:sz="8" w:space="0" w:color="CCCCCC"/>
          <w:bottom w:val="single" w:sz="8" w:space="0" w:color="CCCCCC"/>
        </w:tblBorders>
        <w:tblLayout w:type="fixed"/>
        <w:tblLook w:val="04A0" w:firstRow="1" w:lastRow="0" w:firstColumn="1" w:lastColumn="0" w:noHBand="0" w:noVBand="1"/>
      </w:tblPr>
      <w:tblGrid>
        <w:gridCol w:w="2419"/>
        <w:gridCol w:w="1654"/>
        <w:gridCol w:w="1144"/>
        <w:gridCol w:w="1250"/>
        <w:gridCol w:w="1144"/>
        <w:gridCol w:w="1399"/>
      </w:tblGrid>
      <w:tr w:rsidR="00EB321F" w:rsidRPr="00261198" w14:paraId="1C2257DF" w14:textId="77777777" w:rsidTr="00EB321F">
        <w:trPr>
          <w:trHeight w:val="1192"/>
        </w:trPr>
        <w:tc>
          <w:tcPr>
            <w:tcW w:w="2419" w:type="dxa"/>
            <w:tcBorders>
              <w:top w:val="single" w:sz="8" w:space="0" w:color="000000" w:themeColor="text1"/>
              <w:bottom w:val="single" w:sz="8" w:space="0" w:color="000000" w:themeColor="text1"/>
            </w:tcBorders>
            <w:vAlign w:val="bottom"/>
            <w:hideMark/>
          </w:tcPr>
          <w:p w14:paraId="6C5D7A80" w14:textId="77777777" w:rsidR="00EB321F" w:rsidRPr="00261198" w:rsidRDefault="00EB321F" w:rsidP="00EB321F">
            <w:pPr>
              <w:ind w:right="324"/>
              <w:jc w:val="both"/>
              <w:rPr>
                <w:rFonts w:ascii="Arial" w:hAnsi="Arial" w:cs="Arial"/>
                <w:b/>
                <w:bCs/>
                <w:color w:val="000000"/>
                <w:lang w:val="en-IN" w:eastAsia="en-IN"/>
              </w:rPr>
            </w:pPr>
            <w:r w:rsidRPr="00261198">
              <w:rPr>
                <w:rFonts w:ascii="Arial" w:hAnsi="Arial" w:cs="Arial"/>
                <w:b/>
                <w:bCs/>
                <w:color w:val="000000"/>
                <w:lang w:val="en-IN" w:eastAsia="en-IN"/>
              </w:rPr>
              <w:lastRenderedPageBreak/>
              <w:t>Pairwise</w:t>
            </w:r>
            <w:r>
              <w:rPr>
                <w:rFonts w:ascii="Arial" w:hAnsi="Arial" w:cs="Arial"/>
                <w:b/>
                <w:bCs/>
                <w:color w:val="000000"/>
                <w:lang w:val="en-IN" w:eastAsia="en-IN"/>
              </w:rPr>
              <w:t xml:space="preserve"> </w:t>
            </w:r>
            <w:r w:rsidRPr="00261198">
              <w:rPr>
                <w:rFonts w:ascii="Arial" w:hAnsi="Arial" w:cs="Arial"/>
                <w:b/>
                <w:bCs/>
                <w:color w:val="000000"/>
                <w:lang w:val="en-IN" w:eastAsia="en-IN"/>
              </w:rPr>
              <w:t>Group Comparison</w:t>
            </w:r>
          </w:p>
        </w:tc>
        <w:tc>
          <w:tcPr>
            <w:tcW w:w="1654" w:type="dxa"/>
            <w:tcBorders>
              <w:top w:val="single" w:sz="8" w:space="0" w:color="000000" w:themeColor="text1"/>
              <w:bottom w:val="single" w:sz="8" w:space="0" w:color="000000" w:themeColor="text1"/>
            </w:tcBorders>
            <w:vAlign w:val="bottom"/>
            <w:hideMark/>
          </w:tcPr>
          <w:p w14:paraId="593160B5"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Mean Difference (ΔXˉ)</w:t>
            </w:r>
          </w:p>
        </w:tc>
        <w:tc>
          <w:tcPr>
            <w:tcW w:w="1144" w:type="dxa"/>
            <w:tcBorders>
              <w:top w:val="single" w:sz="8" w:space="0" w:color="000000" w:themeColor="text1"/>
              <w:bottom w:val="single" w:sz="8" w:space="0" w:color="000000" w:themeColor="text1"/>
            </w:tcBorders>
            <w:vAlign w:val="bottom"/>
            <w:hideMark/>
          </w:tcPr>
          <w:p w14:paraId="5657E249"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Standard Error (SEHSD​)</w:t>
            </w:r>
          </w:p>
        </w:tc>
        <w:tc>
          <w:tcPr>
            <w:tcW w:w="1250" w:type="dxa"/>
            <w:tcBorders>
              <w:top w:val="single" w:sz="8" w:space="0" w:color="000000" w:themeColor="text1"/>
              <w:bottom w:val="single" w:sz="8" w:space="0" w:color="000000" w:themeColor="text1"/>
            </w:tcBorders>
            <w:vAlign w:val="bottom"/>
            <w:hideMark/>
          </w:tcPr>
          <w:p w14:paraId="0490DEE5"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q-statistic</w:t>
            </w:r>
          </w:p>
        </w:tc>
        <w:tc>
          <w:tcPr>
            <w:tcW w:w="1144" w:type="dxa"/>
            <w:tcBorders>
              <w:top w:val="single" w:sz="8" w:space="0" w:color="000000" w:themeColor="text1"/>
              <w:bottom w:val="single" w:sz="8" w:space="0" w:color="000000" w:themeColor="text1"/>
            </w:tcBorders>
            <w:vAlign w:val="bottom"/>
            <w:hideMark/>
          </w:tcPr>
          <w:p w14:paraId="44C39889" w14:textId="77777777" w:rsidR="00EB321F"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Adjusted</w:t>
            </w:r>
            <w:r>
              <w:rPr>
                <w:rFonts w:ascii="Arial" w:hAnsi="Arial" w:cs="Arial"/>
                <w:b/>
                <w:bCs/>
                <w:color w:val="000000"/>
                <w:lang w:val="en-IN" w:eastAsia="en-IN"/>
              </w:rPr>
              <w:t xml:space="preserve"> </w:t>
            </w:r>
          </w:p>
          <w:p w14:paraId="1EBF9318"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p-value</w:t>
            </w:r>
          </w:p>
        </w:tc>
        <w:tc>
          <w:tcPr>
            <w:tcW w:w="1399" w:type="dxa"/>
            <w:tcBorders>
              <w:top w:val="single" w:sz="8" w:space="0" w:color="000000" w:themeColor="text1"/>
              <w:bottom w:val="single" w:sz="8" w:space="0" w:color="000000" w:themeColor="text1"/>
            </w:tcBorders>
            <w:vAlign w:val="bottom"/>
            <w:hideMark/>
          </w:tcPr>
          <w:p w14:paraId="367AB299"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Significance</w:t>
            </w:r>
          </w:p>
        </w:tc>
      </w:tr>
      <w:tr w:rsidR="00EB321F" w:rsidRPr="00261198" w14:paraId="2C6F4C45" w14:textId="77777777" w:rsidTr="00EB321F">
        <w:trPr>
          <w:trHeight w:val="876"/>
        </w:trPr>
        <w:tc>
          <w:tcPr>
            <w:tcW w:w="2419" w:type="dxa"/>
            <w:vAlign w:val="bottom"/>
            <w:hideMark/>
          </w:tcPr>
          <w:p w14:paraId="6C91DA01"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C vs. UV</w:t>
            </w:r>
          </w:p>
        </w:tc>
        <w:tc>
          <w:tcPr>
            <w:tcW w:w="1654" w:type="dxa"/>
            <w:vAlign w:val="bottom"/>
            <w:hideMark/>
          </w:tcPr>
          <w:p w14:paraId="326549F5"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4</w:t>
            </w:r>
          </w:p>
        </w:tc>
        <w:tc>
          <w:tcPr>
            <w:tcW w:w="1144" w:type="dxa"/>
            <w:vAlign w:val="bottom"/>
            <w:hideMark/>
          </w:tcPr>
          <w:p w14:paraId="72D2FD90"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23567B0B"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14.32</w:t>
            </w:r>
          </w:p>
        </w:tc>
        <w:tc>
          <w:tcPr>
            <w:tcW w:w="1144" w:type="dxa"/>
            <w:vAlign w:val="bottom"/>
            <w:hideMark/>
          </w:tcPr>
          <w:p w14:paraId="47BB270B"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&lt;0.0001</w:t>
            </w:r>
          </w:p>
        </w:tc>
        <w:tc>
          <w:tcPr>
            <w:tcW w:w="1399" w:type="dxa"/>
            <w:vAlign w:val="bottom"/>
            <w:hideMark/>
          </w:tcPr>
          <w:p w14:paraId="71D5A6DC"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685BC5A9" w14:textId="77777777" w:rsidTr="00EB321F">
        <w:trPr>
          <w:trHeight w:val="876"/>
        </w:trPr>
        <w:tc>
          <w:tcPr>
            <w:tcW w:w="2419" w:type="dxa"/>
            <w:vAlign w:val="bottom"/>
            <w:hideMark/>
          </w:tcPr>
          <w:p w14:paraId="44CDC0C4"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C vs. Q+UV</w:t>
            </w:r>
          </w:p>
        </w:tc>
        <w:tc>
          <w:tcPr>
            <w:tcW w:w="1654" w:type="dxa"/>
            <w:vAlign w:val="bottom"/>
            <w:hideMark/>
          </w:tcPr>
          <w:p w14:paraId="246906E8"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3</w:t>
            </w:r>
          </w:p>
        </w:tc>
        <w:tc>
          <w:tcPr>
            <w:tcW w:w="1144" w:type="dxa"/>
            <w:vAlign w:val="bottom"/>
            <w:hideMark/>
          </w:tcPr>
          <w:p w14:paraId="6C3AB4BE"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2334BB49"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10.74</w:t>
            </w:r>
          </w:p>
        </w:tc>
        <w:tc>
          <w:tcPr>
            <w:tcW w:w="1144" w:type="dxa"/>
            <w:vAlign w:val="bottom"/>
            <w:hideMark/>
          </w:tcPr>
          <w:p w14:paraId="3901A67A"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0.0002</w:t>
            </w:r>
          </w:p>
        </w:tc>
        <w:tc>
          <w:tcPr>
            <w:tcW w:w="1399" w:type="dxa"/>
            <w:vAlign w:val="bottom"/>
            <w:hideMark/>
          </w:tcPr>
          <w:p w14:paraId="0F5C70B0"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23E198B0" w14:textId="77777777" w:rsidTr="00EB321F">
        <w:trPr>
          <w:trHeight w:val="876"/>
        </w:trPr>
        <w:tc>
          <w:tcPr>
            <w:tcW w:w="2419" w:type="dxa"/>
            <w:vAlign w:val="bottom"/>
            <w:hideMark/>
          </w:tcPr>
          <w:p w14:paraId="23BAC74D" w14:textId="77777777" w:rsidR="00EB321F" w:rsidRPr="00261198" w:rsidRDefault="00385D24" w:rsidP="00EB321F">
            <w:pPr>
              <w:jc w:val="both"/>
              <w:rPr>
                <w:rFonts w:ascii="Arial" w:hAnsi="Arial" w:cs="Arial"/>
                <w:color w:val="000000"/>
                <w:lang w:val="en-IN" w:eastAsia="en-IN"/>
              </w:rPr>
            </w:pPr>
            <w:r>
              <w:rPr>
                <w:rFonts w:ascii="Arial" w:hAnsi="Arial" w:cs="Arial"/>
                <w:color w:val="000000"/>
                <w:lang w:val="en-IN" w:eastAsia="en-IN"/>
              </w:rPr>
              <w:t>Pre-</w:t>
            </w:r>
            <w:r w:rsidR="00EB321F" w:rsidRPr="00261198">
              <w:rPr>
                <w:rFonts w:ascii="Arial" w:hAnsi="Arial" w:cs="Arial"/>
                <w:color w:val="000000"/>
                <w:lang w:val="en-IN" w:eastAsia="en-IN"/>
              </w:rPr>
              <w:t>Q vs. UV</w:t>
            </w:r>
          </w:p>
        </w:tc>
        <w:tc>
          <w:tcPr>
            <w:tcW w:w="1654" w:type="dxa"/>
            <w:vAlign w:val="bottom"/>
            <w:hideMark/>
          </w:tcPr>
          <w:p w14:paraId="4F7CA5D2"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3.33</w:t>
            </w:r>
          </w:p>
        </w:tc>
        <w:tc>
          <w:tcPr>
            <w:tcW w:w="1144" w:type="dxa"/>
            <w:vAlign w:val="bottom"/>
            <w:hideMark/>
          </w:tcPr>
          <w:p w14:paraId="7BF242C0"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17F7BB4F"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11.92</w:t>
            </w:r>
          </w:p>
        </w:tc>
        <w:tc>
          <w:tcPr>
            <w:tcW w:w="1144" w:type="dxa"/>
            <w:vAlign w:val="bottom"/>
            <w:hideMark/>
          </w:tcPr>
          <w:p w14:paraId="15D98D69"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&lt;0.0001</w:t>
            </w:r>
          </w:p>
        </w:tc>
        <w:tc>
          <w:tcPr>
            <w:tcW w:w="1399" w:type="dxa"/>
            <w:vAlign w:val="bottom"/>
            <w:hideMark/>
          </w:tcPr>
          <w:p w14:paraId="5612A21A"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550849E6" w14:textId="77777777" w:rsidTr="00EB321F">
        <w:trPr>
          <w:trHeight w:val="876"/>
        </w:trPr>
        <w:tc>
          <w:tcPr>
            <w:tcW w:w="2419" w:type="dxa"/>
            <w:tcBorders>
              <w:bottom w:val="single" w:sz="8" w:space="0" w:color="000000" w:themeColor="text1"/>
            </w:tcBorders>
            <w:vAlign w:val="bottom"/>
            <w:hideMark/>
          </w:tcPr>
          <w:p w14:paraId="20AB583A" w14:textId="77777777" w:rsidR="00EB321F" w:rsidRPr="00261198" w:rsidRDefault="0088520D" w:rsidP="00EB321F">
            <w:pPr>
              <w:jc w:val="both"/>
              <w:rPr>
                <w:rFonts w:ascii="Arial" w:hAnsi="Arial" w:cs="Arial"/>
                <w:color w:val="000000"/>
                <w:lang w:val="en-IN" w:eastAsia="en-IN"/>
              </w:rPr>
            </w:pPr>
            <w:r>
              <w:rPr>
                <w:rFonts w:ascii="Arial" w:hAnsi="Arial" w:cs="Arial"/>
                <w:color w:val="000000"/>
                <w:lang w:val="en-IN" w:eastAsia="en-IN"/>
              </w:rPr>
              <w:t>Pre-</w:t>
            </w:r>
            <w:r w:rsidR="00EB321F" w:rsidRPr="00261198">
              <w:rPr>
                <w:rFonts w:ascii="Arial" w:hAnsi="Arial" w:cs="Arial"/>
                <w:color w:val="000000"/>
                <w:lang w:val="en-IN" w:eastAsia="en-IN"/>
              </w:rPr>
              <w:t>Q</w:t>
            </w:r>
            <w:r w:rsidR="00CD3614">
              <w:rPr>
                <w:rFonts w:ascii="Arial" w:hAnsi="Arial" w:cs="Arial"/>
                <w:color w:val="000000"/>
                <w:lang w:val="en-IN" w:eastAsia="en-IN"/>
              </w:rPr>
              <w:t xml:space="preserve"> </w:t>
            </w:r>
            <w:r w:rsidR="00EB321F" w:rsidRPr="00261198">
              <w:rPr>
                <w:rFonts w:ascii="Arial" w:hAnsi="Arial" w:cs="Arial"/>
                <w:color w:val="000000"/>
                <w:lang w:val="en-IN" w:eastAsia="en-IN"/>
              </w:rPr>
              <w:t>vs. Q+UV</w:t>
            </w:r>
          </w:p>
        </w:tc>
        <w:tc>
          <w:tcPr>
            <w:tcW w:w="1654" w:type="dxa"/>
            <w:tcBorders>
              <w:bottom w:val="single" w:sz="8" w:space="0" w:color="000000" w:themeColor="text1"/>
            </w:tcBorders>
            <w:vAlign w:val="bottom"/>
            <w:hideMark/>
          </w:tcPr>
          <w:p w14:paraId="68647D10"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2.33</w:t>
            </w:r>
          </w:p>
        </w:tc>
        <w:tc>
          <w:tcPr>
            <w:tcW w:w="1144" w:type="dxa"/>
            <w:tcBorders>
              <w:bottom w:val="single" w:sz="8" w:space="0" w:color="000000" w:themeColor="text1"/>
            </w:tcBorders>
            <w:vAlign w:val="bottom"/>
            <w:hideMark/>
          </w:tcPr>
          <w:p w14:paraId="721EC067"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tcBorders>
              <w:bottom w:val="single" w:sz="8" w:space="0" w:color="000000" w:themeColor="text1"/>
            </w:tcBorders>
            <w:vAlign w:val="bottom"/>
            <w:hideMark/>
          </w:tcPr>
          <w:p w14:paraId="20C81759"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8.34</w:t>
            </w:r>
          </w:p>
        </w:tc>
        <w:tc>
          <w:tcPr>
            <w:tcW w:w="1144" w:type="dxa"/>
            <w:tcBorders>
              <w:bottom w:val="single" w:sz="8" w:space="0" w:color="000000" w:themeColor="text1"/>
            </w:tcBorders>
            <w:vAlign w:val="bottom"/>
            <w:hideMark/>
          </w:tcPr>
          <w:p w14:paraId="37346269"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0.0016</w:t>
            </w:r>
          </w:p>
        </w:tc>
        <w:tc>
          <w:tcPr>
            <w:tcW w:w="1399" w:type="dxa"/>
            <w:tcBorders>
              <w:bottom w:val="single" w:sz="8" w:space="0" w:color="000000" w:themeColor="text1"/>
            </w:tcBorders>
            <w:vAlign w:val="bottom"/>
            <w:hideMark/>
          </w:tcPr>
          <w:p w14:paraId="6FB02F02"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bl>
    <w:p w14:paraId="3A07E53B" w14:textId="77777777" w:rsidR="00261198" w:rsidRDefault="00261198" w:rsidP="00441B6F">
      <w:pPr>
        <w:pStyle w:val="Body"/>
        <w:spacing w:after="0"/>
        <w:rPr>
          <w:rFonts w:ascii="Arial" w:hAnsi="Arial" w:cs="Arial"/>
        </w:rPr>
      </w:pPr>
    </w:p>
    <w:p w14:paraId="5BF1D8C1" w14:textId="77777777" w:rsidR="00261198" w:rsidRPr="003B534E" w:rsidRDefault="001B1953" w:rsidP="00261198">
      <w:pPr>
        <w:pStyle w:val="Body"/>
        <w:rPr>
          <w:rFonts w:ascii="Arial" w:hAnsi="Arial" w:cs="Arial"/>
          <w:i/>
          <w:iCs/>
          <w:sz w:val="18"/>
          <w:szCs w:val="18"/>
          <w:lang w:val="en-IN"/>
        </w:rPr>
      </w:pPr>
      <w:r>
        <w:rPr>
          <w:rFonts w:ascii="Arial" w:hAnsi="Arial" w:cs="Arial"/>
          <w:i/>
          <w:iCs/>
          <w:sz w:val="18"/>
          <w:szCs w:val="18"/>
          <w:lang w:val="en-IN"/>
        </w:rPr>
        <w:t>D</w:t>
      </w:r>
      <w:r w:rsidR="00261198" w:rsidRPr="003B534E">
        <w:rPr>
          <w:rFonts w:ascii="Arial" w:hAnsi="Arial" w:cs="Arial"/>
          <w:i/>
          <w:iCs/>
          <w:sz w:val="18"/>
          <w:szCs w:val="18"/>
          <w:lang w:val="en-IN"/>
        </w:rPr>
        <w:t xml:space="preserve">ata are presented as Mean </w:t>
      </w:r>
      <m:oMath>
        <m:r>
          <w:rPr>
            <w:rFonts w:ascii="Cambria Math" w:hAnsi="Cambria Math" w:cs="Arial"/>
            <w:sz w:val="18"/>
            <w:szCs w:val="18"/>
            <w:lang w:val="en-IN"/>
          </w:rPr>
          <m:t>±</m:t>
        </m:r>
      </m:oMath>
      <w:r w:rsidR="00261198" w:rsidRPr="003B534E">
        <w:rPr>
          <w:rFonts w:ascii="Arial" w:hAnsi="Arial" w:cs="Arial"/>
          <w:i/>
          <w:iCs/>
          <w:sz w:val="18"/>
          <w:szCs w:val="18"/>
          <w:lang w:val="en-IN"/>
        </w:rPr>
        <w:t>SE</w:t>
      </w:r>
      <w:r w:rsidR="00E37399">
        <w:rPr>
          <w:rFonts w:ascii="Arial" w:hAnsi="Arial" w:cs="Arial"/>
          <w:i/>
          <w:iCs/>
          <w:sz w:val="18"/>
          <w:szCs w:val="18"/>
          <w:lang w:val="en-IN"/>
        </w:rPr>
        <w:t xml:space="preserve"> (n=3)</w:t>
      </w:r>
      <w:r w:rsidR="00261198" w:rsidRPr="003B534E">
        <w:rPr>
          <w:rFonts w:ascii="Arial" w:hAnsi="Arial" w:cs="Arial"/>
          <w:i/>
          <w:iCs/>
          <w:sz w:val="18"/>
          <w:szCs w:val="18"/>
          <w:lang w:val="en-IN"/>
        </w:rPr>
        <w:t xml:space="preserve">. Statistical significance was </w:t>
      </w:r>
      <w:proofErr w:type="spellStart"/>
      <w:r w:rsidR="00261198" w:rsidRPr="003B534E">
        <w:rPr>
          <w:rFonts w:ascii="Arial" w:hAnsi="Arial" w:cs="Arial"/>
          <w:i/>
          <w:iCs/>
          <w:sz w:val="18"/>
          <w:szCs w:val="18"/>
          <w:lang w:val="en-IN"/>
        </w:rPr>
        <w:t>analyzed</w:t>
      </w:r>
      <w:proofErr w:type="spellEnd"/>
      <w:r w:rsidR="00261198" w:rsidRPr="003B534E">
        <w:rPr>
          <w:rFonts w:ascii="Arial" w:hAnsi="Arial" w:cs="Arial"/>
          <w:i/>
          <w:iCs/>
          <w:sz w:val="18"/>
          <w:szCs w:val="18"/>
          <w:lang w:val="en-IN"/>
        </w:rPr>
        <w:t xml:space="preserve"> using Tukey’s HSD post-hoc test.</w:t>
      </w:r>
      <w:r w:rsidR="00E37399">
        <w:rPr>
          <w:rFonts w:ascii="Arial" w:hAnsi="Arial" w:cs="Arial"/>
          <w:i/>
          <w:iCs/>
          <w:sz w:val="18"/>
          <w:szCs w:val="18"/>
          <w:lang w:val="en-IN"/>
        </w:rPr>
        <w:t xml:space="preserve"> SE</w:t>
      </w:r>
      <w:r w:rsidR="00E37399" w:rsidRPr="00E37399">
        <w:rPr>
          <w:rFonts w:ascii="Arial" w:hAnsi="Arial" w:cs="Arial"/>
          <w:i/>
          <w:iCs/>
          <w:sz w:val="18"/>
          <w:szCs w:val="18"/>
          <w:vertAlign w:val="subscript"/>
          <w:lang w:val="en-IN"/>
        </w:rPr>
        <w:t>HSD</w:t>
      </w:r>
      <w:r w:rsidR="00E37399">
        <w:rPr>
          <w:rFonts w:ascii="Arial" w:hAnsi="Arial" w:cs="Arial"/>
          <w:i/>
          <w:iCs/>
          <w:sz w:val="18"/>
          <w:szCs w:val="18"/>
          <w:vertAlign w:val="subscript"/>
          <w:lang w:val="en-IN"/>
        </w:rPr>
        <w:t xml:space="preserve"> </w:t>
      </w:r>
      <w:r w:rsidR="00E37399">
        <w:rPr>
          <w:rFonts w:ascii="Arial" w:hAnsi="Arial" w:cs="Arial"/>
          <w:i/>
          <w:iCs/>
          <w:sz w:val="18"/>
          <w:szCs w:val="18"/>
          <w:lang w:val="en-IN"/>
        </w:rPr>
        <w:t xml:space="preserve">= </w:t>
      </w:r>
      <m:oMath>
        <m:rad>
          <m:radPr>
            <m:degHide m:val="1"/>
            <m:ctrlPr>
              <w:rPr>
                <w:rFonts w:ascii="Cambria Math" w:hAnsi="Cambria Math" w:cs="Arial"/>
                <w:i/>
                <w:iCs/>
                <w:sz w:val="18"/>
                <w:szCs w:val="18"/>
                <w:lang w:val="en-IN"/>
              </w:rPr>
            </m:ctrlPr>
          </m:radPr>
          <m:deg/>
          <m:e>
            <m:f>
              <m:fPr>
                <m:ctrlPr>
                  <w:rPr>
                    <w:rFonts w:ascii="Cambria Math" w:hAnsi="Cambria Math" w:cs="Arial"/>
                    <w:i/>
                    <w:iCs/>
                    <w:sz w:val="18"/>
                    <w:szCs w:val="18"/>
                    <w:lang w:val="en-IN"/>
                  </w:rPr>
                </m:ctrlPr>
              </m:fPr>
              <m:num>
                <m:r>
                  <w:rPr>
                    <w:rFonts w:ascii="Cambria Math" w:hAnsi="Cambria Math" w:cs="Arial"/>
                    <w:sz w:val="18"/>
                    <w:szCs w:val="18"/>
                    <w:lang w:val="en-IN"/>
                  </w:rPr>
                  <m:t>M</m:t>
                </m:r>
                <m:sSub>
                  <m:sSubPr>
                    <m:ctrlPr>
                      <w:rPr>
                        <w:rFonts w:ascii="Cambria Math" w:hAnsi="Cambria Math" w:cs="Arial"/>
                        <w:i/>
                        <w:iCs/>
                        <w:sz w:val="18"/>
                        <w:szCs w:val="18"/>
                        <w:lang w:val="en-IN"/>
                      </w:rPr>
                    </m:ctrlPr>
                  </m:sSubPr>
                  <m:e>
                    <m:r>
                      <w:rPr>
                        <w:rFonts w:ascii="Cambria Math" w:hAnsi="Cambria Math" w:cs="Arial"/>
                        <w:sz w:val="18"/>
                        <w:szCs w:val="18"/>
                        <w:lang w:val="en-IN"/>
                      </w:rPr>
                      <m:t>S</m:t>
                    </m:r>
                  </m:e>
                  <m:sub>
                    <m:r>
                      <m:rPr>
                        <m:nor/>
                      </m:rPr>
                      <w:rPr>
                        <w:rFonts w:ascii="Arial" w:hAnsi="Arial" w:cs="Arial"/>
                        <w:i/>
                        <w:iCs/>
                        <w:sz w:val="18"/>
                        <w:szCs w:val="18"/>
                        <w:lang w:val="en-IN"/>
                      </w:rPr>
                      <m:t>Error</m:t>
                    </m:r>
                  </m:sub>
                </m:sSub>
              </m:num>
              <m:den>
                <m:r>
                  <w:rPr>
                    <w:rFonts w:ascii="Cambria Math" w:hAnsi="Cambria Math" w:cs="Arial"/>
                    <w:sz w:val="18"/>
                    <w:szCs w:val="18"/>
                    <w:lang w:val="en-IN"/>
                  </w:rPr>
                  <m:t>n</m:t>
                </m:r>
              </m:den>
            </m:f>
          </m:e>
        </m:rad>
      </m:oMath>
      <w:r w:rsidR="00E37399">
        <w:rPr>
          <w:rFonts w:ascii="Arial" w:hAnsi="Arial" w:cs="Arial"/>
          <w:i/>
          <w:iCs/>
          <w:sz w:val="18"/>
          <w:szCs w:val="18"/>
          <w:lang w:val="en-IN"/>
        </w:rPr>
        <w:t xml:space="preserve"> </w:t>
      </w:r>
      <w:r w:rsidR="00261198" w:rsidRPr="003B534E">
        <w:rPr>
          <w:rFonts w:ascii="Arial" w:hAnsi="Arial" w:cs="Arial"/>
          <w:i/>
          <w:iCs/>
          <w:sz w:val="18"/>
          <w:szCs w:val="18"/>
          <w:lang w:val="en-IN"/>
        </w:rPr>
        <w:t xml:space="preserve"> </w:t>
      </w:r>
      <w:r w:rsidR="00E37399">
        <w:rPr>
          <w:rFonts w:ascii="Arial" w:hAnsi="Arial" w:cs="Arial"/>
          <w:i/>
          <w:iCs/>
          <w:sz w:val="18"/>
          <w:szCs w:val="18"/>
          <w:lang w:val="en-IN"/>
        </w:rPr>
        <w:t xml:space="preserve">= 0.279, </w:t>
      </w:r>
      <w:r w:rsidR="00261198" w:rsidRPr="003B534E">
        <w:rPr>
          <w:rFonts w:ascii="Arial" w:hAnsi="Arial" w:cs="Arial"/>
          <w:i/>
          <w:iCs/>
          <w:sz w:val="18"/>
          <w:szCs w:val="18"/>
          <w:lang w:val="en-IN"/>
        </w:rPr>
        <w:t>Significance thresholds:</w:t>
      </w:r>
      <w:r w:rsidR="00DD2D58">
        <w:rPr>
          <w:rFonts w:ascii="Arial" w:hAnsi="Arial" w:cs="Arial"/>
          <w:i/>
          <w:iCs/>
          <w:sz w:val="18"/>
          <w:szCs w:val="18"/>
          <w:lang w:val="en-IN"/>
        </w:rPr>
        <w:t xml:space="preserve"> </w:t>
      </w:r>
      <w:r w:rsidR="00A8321F">
        <w:rPr>
          <w:rFonts w:ascii="Arial" w:hAnsi="Arial" w:cs="Arial"/>
          <w:i/>
          <w:iCs/>
          <w:sz w:val="18"/>
          <w:szCs w:val="18"/>
          <w:lang w:val="en-IN"/>
        </w:rPr>
        <w:t>** (p &lt; 0.01); *** (p &lt;0.001), **** (p &lt; 0.0001).</w:t>
      </w:r>
      <w:r w:rsidR="00261198" w:rsidRPr="003B534E">
        <w:rPr>
          <w:rFonts w:ascii="Arial" w:hAnsi="Arial" w:cs="Arial"/>
          <w:i/>
          <w:iCs/>
          <w:sz w:val="18"/>
          <w:szCs w:val="18"/>
          <w:lang w:val="en-IN"/>
        </w:rPr>
        <w:t xml:space="preserve"> </w:t>
      </w:r>
    </w:p>
    <w:p w14:paraId="68155986" w14:textId="77777777" w:rsidR="00261198" w:rsidRPr="003B534E" w:rsidRDefault="00261198" w:rsidP="00441B6F">
      <w:pPr>
        <w:pStyle w:val="Body"/>
        <w:spacing w:after="0"/>
        <w:rPr>
          <w:rFonts w:ascii="Arial" w:hAnsi="Arial" w:cs="Arial"/>
          <w:i/>
          <w:iCs/>
          <w:sz w:val="18"/>
          <w:szCs w:val="18"/>
        </w:rPr>
      </w:pPr>
    </w:p>
    <w:p w14:paraId="16185BB9" w14:textId="77777777" w:rsidR="00865130" w:rsidRDefault="00865130" w:rsidP="00865130">
      <w:pPr>
        <w:pStyle w:val="Body"/>
        <w:spacing w:after="0"/>
        <w:jc w:val="left"/>
        <w:rPr>
          <w:rFonts w:ascii="Arial" w:hAnsi="Arial" w:cs="Arial"/>
          <w:b/>
          <w:bCs/>
          <w:sz w:val="22"/>
          <w:szCs w:val="22"/>
        </w:rPr>
      </w:pPr>
      <w:r>
        <w:rPr>
          <w:rFonts w:ascii="Arial" w:hAnsi="Arial" w:cs="Arial"/>
          <w:b/>
          <w:bCs/>
          <w:sz w:val="22"/>
          <w:szCs w:val="22"/>
        </w:rPr>
        <w:t xml:space="preserve">3.3 Stress vulnerability and mechanical shock recovery (Vortex assay for </w:t>
      </w:r>
      <w:r w:rsidRPr="0067253C">
        <w:rPr>
          <w:rFonts w:ascii="Arial" w:hAnsi="Arial" w:cs="Arial"/>
          <w:b/>
          <w:bCs/>
          <w:sz w:val="22"/>
          <w:szCs w:val="22"/>
        </w:rPr>
        <w:t>Mechanical shock recovery</w:t>
      </w:r>
      <w:r>
        <w:rPr>
          <w:rFonts w:ascii="Arial" w:hAnsi="Arial" w:cs="Arial"/>
          <w:b/>
          <w:bCs/>
          <w:sz w:val="22"/>
          <w:szCs w:val="22"/>
        </w:rPr>
        <w:t>)</w:t>
      </w:r>
    </w:p>
    <w:p w14:paraId="3F838D37" w14:textId="77777777" w:rsidR="00391941" w:rsidRDefault="00391941" w:rsidP="00441B6F">
      <w:pPr>
        <w:pStyle w:val="Body"/>
        <w:spacing w:after="0"/>
        <w:rPr>
          <w:rFonts w:ascii="Arial" w:hAnsi="Arial" w:cs="Arial"/>
        </w:rPr>
      </w:pPr>
    </w:p>
    <w:p w14:paraId="34CD5BFC" w14:textId="77777777" w:rsidR="00DB7AB2" w:rsidRPr="00D073D3" w:rsidRDefault="00DB7AB2" w:rsidP="00DB7AB2">
      <w:pPr>
        <w:pStyle w:val="Body"/>
        <w:rPr>
          <w:rFonts w:ascii="Arial" w:hAnsi="Arial" w:cs="Arial"/>
          <w:color w:val="000000"/>
          <w:lang w:val="en-IN"/>
        </w:rPr>
      </w:pPr>
      <w:r>
        <w:rPr>
          <w:rFonts w:ascii="Arial" w:hAnsi="Arial" w:cs="Arial"/>
          <w:color w:val="000000"/>
          <w:lang w:val="en-IN"/>
        </w:rPr>
        <w:t>Post-seizure recovery kinetics across all experimental conditions were recorded. Among the experimental groups, seizure behavio</w:t>
      </w:r>
      <w:r>
        <w:rPr>
          <w:rFonts w:ascii="Arial" w:hAnsi="Arial" w:cs="Arial"/>
          <w:color w:val="000000"/>
          <w:highlight w:val="yellow"/>
          <w:lang w:val="en-IN"/>
        </w:rPr>
        <w:t>u</w:t>
      </w:r>
      <w:r>
        <w:rPr>
          <w:rFonts w:ascii="Arial" w:hAnsi="Arial" w:cs="Arial"/>
          <w:color w:val="000000"/>
          <w:lang w:val="en-IN"/>
        </w:rPr>
        <w:t>r (i.e., leg twitching or jerking, wing flapping, paralysis, and proboscis extension) was much lower in the UV-treated groups than in the others. Kaplan-Meier cumulative probability curves show that UV-C radiation exposure significantly (p</w:t>
      </w:r>
      <w:r>
        <w:rPr>
          <w:rFonts w:ascii="Arial" w:hAnsi="Arial" w:cs="Arial"/>
          <w:color w:val="000000"/>
          <w:highlight w:val="yellow"/>
          <w:lang w:val="en-IN"/>
        </w:rPr>
        <w:t xml:space="preserve"> </w:t>
      </w:r>
      <w:r>
        <w:rPr>
          <w:rFonts w:ascii="Arial" w:hAnsi="Arial" w:cs="Arial"/>
          <w:color w:val="000000"/>
          <w:lang w:val="en-IN"/>
        </w:rPr>
        <w:t>&lt;</w:t>
      </w:r>
      <w:r>
        <w:rPr>
          <w:rFonts w:ascii="Arial" w:hAnsi="Arial" w:cs="Arial"/>
          <w:color w:val="000000"/>
          <w:highlight w:val="yellow"/>
          <w:lang w:val="en-IN"/>
        </w:rPr>
        <w:t xml:space="preserve"> </w:t>
      </w:r>
      <w:r>
        <w:rPr>
          <w:rFonts w:ascii="Arial" w:hAnsi="Arial" w:cs="Arial"/>
          <w:color w:val="000000"/>
          <w:lang w:val="en-IN"/>
        </w:rPr>
        <w:t>0.05) delayed post-seizure recovery time relative to the C and pre-Q groups</w:t>
      </w:r>
      <w:r>
        <w:rPr>
          <w:rFonts w:ascii="Arial" w:hAnsi="Arial" w:cs="Arial"/>
          <w:color w:val="000000"/>
          <w:highlight w:val="yellow"/>
          <w:lang w:val="en-IN"/>
        </w:rPr>
        <w:t>.</w:t>
      </w:r>
      <w:r>
        <w:rPr>
          <w:rFonts w:ascii="Arial" w:hAnsi="Arial" w:cs="Arial"/>
          <w:color w:val="000000"/>
          <w:lang w:val="en-IN"/>
        </w:rPr>
        <w:t xml:space="preserve"> This confirms that UV exposure induces significant neurofunctional impairment (Fig. 4). The UV recovery curve is substantially right-shifted and displays the shallowest slope among all groups (reaching ET</w:t>
      </w:r>
      <w:r>
        <w:rPr>
          <w:rFonts w:ascii="Arial" w:hAnsi="Arial" w:cs="Arial"/>
          <w:color w:val="000000"/>
          <w:vertAlign w:val="subscript"/>
          <w:lang w:val="en-IN"/>
        </w:rPr>
        <w:t>50</w:t>
      </w:r>
      <w:r>
        <w:rPr>
          <w:rFonts w:ascii="Arial" w:hAnsi="Arial" w:cs="Arial"/>
          <w:color w:val="000000"/>
          <w:lang w:val="en-IN"/>
        </w:rPr>
        <w:t xml:space="preserve"> at 40.5s). Conversely, quercetin pretreatment in the Q+UV group markedly rescued these kinetics</w:t>
      </w:r>
      <w:r>
        <w:rPr>
          <w:rFonts w:ascii="Arial" w:hAnsi="Arial" w:cs="Arial"/>
          <w:color w:val="000000"/>
          <w:highlight w:val="yellow"/>
          <w:lang w:val="en-IN"/>
        </w:rPr>
        <w:t>,</w:t>
      </w:r>
      <w:r>
        <w:rPr>
          <w:rFonts w:ascii="Arial" w:hAnsi="Arial" w:cs="Arial"/>
          <w:color w:val="000000"/>
          <w:lang w:val="en-IN"/>
        </w:rPr>
        <w:t xml:space="preserve"> </w:t>
      </w:r>
      <w:r>
        <w:rPr>
          <w:rFonts w:ascii="Arial" w:hAnsi="Arial" w:cs="Arial"/>
          <w:color w:val="000000"/>
          <w:highlight w:val="yellow"/>
          <w:lang w:val="en-IN"/>
        </w:rPr>
        <w:t>w</w:t>
      </w:r>
      <w:r>
        <w:rPr>
          <w:rFonts w:ascii="Arial" w:hAnsi="Arial" w:cs="Arial"/>
          <w:color w:val="000000"/>
          <w:lang w:val="en-IN"/>
        </w:rPr>
        <w:t>i</w:t>
      </w:r>
      <w:r>
        <w:rPr>
          <w:rFonts w:ascii="Arial" w:hAnsi="Arial" w:cs="Arial"/>
          <w:color w:val="000000"/>
          <w:highlight w:val="yellow"/>
          <w:lang w:val="en-IN"/>
        </w:rPr>
        <w:t>th</w:t>
      </w:r>
      <w:r>
        <w:rPr>
          <w:rFonts w:ascii="Arial" w:hAnsi="Arial" w:cs="Arial"/>
          <w:color w:val="000000"/>
          <w:lang w:val="en-IN"/>
        </w:rPr>
        <w:t xml:space="preserve"> significantly faster</w:t>
      </w:r>
      <w:r>
        <w:rPr>
          <w:rFonts w:ascii="Arial" w:hAnsi="Arial" w:cs="Arial"/>
          <w:color w:val="000000"/>
          <w:highlight w:val="yellow"/>
          <w:lang w:val="en-IN"/>
        </w:rPr>
        <w:t xml:space="preserve"> recovery</w:t>
      </w:r>
      <w:r>
        <w:rPr>
          <w:rFonts w:ascii="Arial" w:hAnsi="Arial" w:cs="Arial"/>
          <w:color w:val="000000"/>
          <w:lang w:val="en-IN"/>
        </w:rPr>
        <w:t>, reaching ET</w:t>
      </w:r>
      <w:r>
        <w:rPr>
          <w:rFonts w:ascii="Arial" w:hAnsi="Arial" w:cs="Arial"/>
          <w:color w:val="000000"/>
          <w:vertAlign w:val="subscript"/>
          <w:lang w:val="en-IN"/>
        </w:rPr>
        <w:t>50</w:t>
      </w:r>
      <w:r>
        <w:rPr>
          <w:rFonts w:ascii="Arial" w:hAnsi="Arial" w:cs="Arial"/>
          <w:color w:val="000000"/>
          <w:lang w:val="en-IN"/>
        </w:rPr>
        <w:t xml:space="preserve"> at 26.5s and full cohort recovery by 29s. Inter-group statistical differences in post-seizure recovery kinetics were evaluated using the </w:t>
      </w:r>
      <w:r>
        <w:rPr>
          <w:rFonts w:ascii="Arial" w:hAnsi="Arial" w:cs="Arial"/>
          <w:color w:val="000000"/>
          <w:highlight w:val="yellow"/>
          <w:lang w:val="en-IN"/>
        </w:rPr>
        <w:t>l</w:t>
      </w:r>
      <w:r>
        <w:rPr>
          <w:rFonts w:ascii="Arial" w:hAnsi="Arial" w:cs="Arial"/>
          <w:color w:val="000000"/>
          <w:lang w:val="en-IN"/>
        </w:rPr>
        <w:t>og-</w:t>
      </w:r>
      <w:r>
        <w:rPr>
          <w:rFonts w:ascii="Arial" w:hAnsi="Arial" w:cs="Arial"/>
          <w:color w:val="000000"/>
          <w:highlight w:val="yellow"/>
          <w:lang w:val="en-IN"/>
        </w:rPr>
        <w:t>r</w:t>
      </w:r>
      <w:r>
        <w:rPr>
          <w:rFonts w:ascii="Arial" w:hAnsi="Arial" w:cs="Arial"/>
          <w:color w:val="000000"/>
          <w:lang w:val="en-IN"/>
        </w:rPr>
        <w:t>ank (Mantel-Cox) test, which confirmed that recovery kinetics differed significantly among the four conditions (Table 4). Overall, quercetin preserves post-seizure recovery under UV stress.</w:t>
      </w:r>
    </w:p>
    <w:p w14:paraId="454EA6B1" w14:textId="77777777" w:rsidR="00FE3C0B" w:rsidRPr="00FE3C0B" w:rsidRDefault="00CD6D40" w:rsidP="00FE3C0B">
      <w:pPr>
        <w:pStyle w:val="Body"/>
        <w:rPr>
          <w:color w:val="000000"/>
        </w:rPr>
      </w:pPr>
      <w:r w:rsidRPr="00BA2CF2">
        <w:rPr>
          <w:noProof/>
          <w:color w:val="FFC000"/>
        </w:rPr>
        <w:lastRenderedPageBreak/>
        <w:drawing>
          <wp:inline distT="0" distB="0" distL="0" distR="0" wp14:anchorId="69E90A6E" wp14:editId="0D2AC761">
            <wp:extent cx="4839286" cy="3608070"/>
            <wp:effectExtent l="0" t="0" r="0" b="11430"/>
            <wp:docPr id="1860178988" name="Chart 1">
              <a:extLst xmlns:a="http://schemas.openxmlformats.org/drawingml/2006/main">
                <a:ext uri="{FF2B5EF4-FFF2-40B4-BE49-F238E27FC236}">
                  <a16:creationId xmlns:a16="http://schemas.microsoft.com/office/drawing/2014/main" id="{63CA775E-445A-0D96-55A5-6DB6026D9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5DAD76" w14:textId="77777777" w:rsidR="00FE3C0B" w:rsidRDefault="00FE3C0B" w:rsidP="00441B6F">
      <w:pPr>
        <w:pStyle w:val="Body"/>
        <w:spacing w:after="0"/>
        <w:rPr>
          <w:rFonts w:ascii="Arial" w:hAnsi="Arial" w:cs="Arial"/>
        </w:rPr>
      </w:pPr>
    </w:p>
    <w:p w14:paraId="25D48DEA" w14:textId="77777777" w:rsidR="007E431A" w:rsidRDefault="007E431A" w:rsidP="007E431A">
      <w:pPr>
        <w:pStyle w:val="Caption"/>
        <w:jc w:val="both"/>
        <w:rPr>
          <w:rFonts w:ascii="Arial" w:hAnsi="Arial" w:cs="Arial"/>
          <w:b/>
          <w:bCs/>
          <w:i w:val="0"/>
          <w:iCs w:val="0"/>
          <w:color w:val="auto"/>
          <w:sz w:val="20"/>
          <w:szCs w:val="20"/>
        </w:rPr>
      </w:pPr>
      <w:r w:rsidRPr="007E431A">
        <w:rPr>
          <w:rFonts w:ascii="Arial" w:hAnsi="Arial" w:cs="Arial"/>
          <w:b/>
          <w:bCs/>
          <w:i w:val="0"/>
          <w:iCs w:val="0"/>
          <w:color w:val="auto"/>
          <w:sz w:val="20"/>
          <w:szCs w:val="20"/>
        </w:rPr>
        <w:t xml:space="preserve">Fig. 4. </w:t>
      </w:r>
      <w:r w:rsidR="00BA2CF2">
        <w:rPr>
          <w:rFonts w:ascii="Arial" w:hAnsi="Arial" w:cs="Arial"/>
          <w:b/>
          <w:bCs/>
          <w:i w:val="0"/>
          <w:iCs w:val="0"/>
          <w:color w:val="auto"/>
          <w:sz w:val="20"/>
          <w:szCs w:val="20"/>
        </w:rPr>
        <w:t>Analysis</w:t>
      </w:r>
      <w:r w:rsidR="00F32DBC" w:rsidRPr="00F32DBC">
        <w:rPr>
          <w:rFonts w:ascii="Arial" w:hAnsi="Arial" w:cs="Arial"/>
          <w:b/>
          <w:bCs/>
          <w:i w:val="0"/>
          <w:iCs w:val="0"/>
          <w:color w:val="auto"/>
          <w:sz w:val="20"/>
          <w:szCs w:val="20"/>
        </w:rPr>
        <w:t xml:space="preserve"> </w:t>
      </w:r>
      <w:r w:rsidR="00BA2CF2" w:rsidRPr="00BA2CF2">
        <w:rPr>
          <w:rFonts w:ascii="Arial" w:hAnsi="Arial" w:cs="Arial"/>
          <w:b/>
          <w:bCs/>
          <w:i w:val="0"/>
          <w:iCs w:val="0"/>
          <w:color w:val="auto"/>
          <w:sz w:val="20"/>
          <w:szCs w:val="20"/>
        </w:rPr>
        <w:t>of post-seizure recovery kinetics</w:t>
      </w:r>
      <w:r w:rsidR="00DE518A">
        <w:rPr>
          <w:rFonts w:ascii="Arial" w:hAnsi="Arial" w:cs="Arial"/>
          <w:b/>
          <w:bCs/>
          <w:i w:val="0"/>
          <w:iCs w:val="0"/>
          <w:color w:val="auto"/>
          <w:sz w:val="20"/>
          <w:szCs w:val="20"/>
        </w:rPr>
        <w:t xml:space="preserve"> using </w:t>
      </w:r>
      <w:r w:rsidR="00DE518A" w:rsidRPr="00DE518A">
        <w:rPr>
          <w:rFonts w:ascii="Arial" w:hAnsi="Arial" w:cs="Arial"/>
          <w:b/>
          <w:bCs/>
          <w:i w:val="0"/>
          <w:iCs w:val="0"/>
          <w:color w:val="auto"/>
          <w:sz w:val="20"/>
          <w:szCs w:val="20"/>
        </w:rPr>
        <w:t>Kaplan-Meier recovery curves</w:t>
      </w:r>
      <w:r w:rsidR="00BA2CF2" w:rsidRPr="00BA2CF2">
        <w:rPr>
          <w:rFonts w:ascii="Arial" w:hAnsi="Arial" w:cs="Arial"/>
          <w:b/>
          <w:bCs/>
          <w:i w:val="0"/>
          <w:iCs w:val="0"/>
          <w:color w:val="auto"/>
          <w:sz w:val="20"/>
          <w:szCs w:val="20"/>
        </w:rPr>
        <w:t xml:space="preserve"> across all experimental </w:t>
      </w:r>
      <w:r w:rsidR="00BA2CF2">
        <w:rPr>
          <w:rFonts w:ascii="Arial" w:hAnsi="Arial" w:cs="Arial"/>
          <w:b/>
          <w:bCs/>
          <w:i w:val="0"/>
          <w:iCs w:val="0"/>
          <w:color w:val="auto"/>
          <w:sz w:val="20"/>
          <w:szCs w:val="20"/>
        </w:rPr>
        <w:t>groups</w:t>
      </w:r>
      <w:r w:rsidR="00F32DBC" w:rsidRPr="00F32DBC">
        <w:rPr>
          <w:rFonts w:ascii="Arial" w:hAnsi="Arial" w:cs="Arial"/>
          <w:b/>
          <w:bCs/>
          <w:i w:val="0"/>
          <w:iCs w:val="0"/>
          <w:color w:val="auto"/>
          <w:sz w:val="20"/>
          <w:szCs w:val="20"/>
        </w:rPr>
        <w:t>.</w:t>
      </w:r>
      <w:r w:rsidR="00E05993">
        <w:rPr>
          <w:rFonts w:ascii="Arial" w:hAnsi="Arial" w:cs="Arial"/>
          <w:b/>
          <w:bCs/>
          <w:i w:val="0"/>
          <w:iCs w:val="0"/>
          <w:color w:val="auto"/>
          <w:sz w:val="20"/>
          <w:szCs w:val="20"/>
        </w:rPr>
        <w:t xml:space="preserve"> </w:t>
      </w:r>
    </w:p>
    <w:p w14:paraId="66552232" w14:textId="77777777" w:rsidR="003E7792" w:rsidRPr="003E7792" w:rsidRDefault="003E7792" w:rsidP="00B77F37">
      <w:pPr>
        <w:jc w:val="both"/>
        <w:rPr>
          <w:rFonts w:ascii="Arial" w:hAnsi="Arial" w:cs="Arial"/>
          <w:i/>
          <w:iCs/>
          <w:sz w:val="18"/>
          <w:szCs w:val="18"/>
          <w:lang w:val="en-IN"/>
        </w:rPr>
      </w:pPr>
      <w:r w:rsidRPr="003E7792">
        <w:rPr>
          <w:rFonts w:ascii="Arial" w:hAnsi="Arial" w:cs="Arial"/>
          <w:i/>
          <w:iCs/>
          <w:sz w:val="18"/>
          <w:szCs w:val="18"/>
          <w:lang w:val="en-IN"/>
        </w:rPr>
        <w:t>Curves display the cumulative probability of subjects remaining in a post-seizure unrecovered state over time</w:t>
      </w:r>
      <w:r w:rsidR="006E2EE1">
        <w:rPr>
          <w:rFonts w:ascii="Arial" w:hAnsi="Arial" w:cs="Arial"/>
          <w:i/>
          <w:iCs/>
          <w:sz w:val="18"/>
          <w:szCs w:val="18"/>
          <w:lang w:val="en-IN"/>
        </w:rPr>
        <w:t xml:space="preserve"> (s)</w:t>
      </w:r>
      <w:r w:rsidRPr="003E7792">
        <w:rPr>
          <w:rFonts w:ascii="Arial" w:hAnsi="Arial" w:cs="Arial"/>
          <w:i/>
          <w:iCs/>
          <w:sz w:val="18"/>
          <w:szCs w:val="18"/>
          <w:lang w:val="en-IN"/>
        </w:rPr>
        <w:t xml:space="preserve">. Subjects pre-treated with quercetin followed by UV-C exposure (Q+UV, </w:t>
      </w:r>
      <w:r>
        <w:rPr>
          <w:rFonts w:ascii="Arial" w:hAnsi="Arial" w:cs="Arial"/>
          <w:i/>
          <w:iCs/>
          <w:sz w:val="18"/>
          <w:szCs w:val="18"/>
          <w:lang w:val="en-IN"/>
        </w:rPr>
        <w:t>yellow</w:t>
      </w:r>
      <w:r w:rsidRPr="003E7792">
        <w:rPr>
          <w:rFonts w:ascii="Arial" w:hAnsi="Arial" w:cs="Arial"/>
          <w:i/>
          <w:iCs/>
          <w:sz w:val="18"/>
          <w:szCs w:val="18"/>
          <w:lang w:val="en-IN"/>
        </w:rPr>
        <w:t xml:space="preserve">) exhibited significantly accelerated recovery kinetics compared to the UV-C exposed group without pre-treatment (UV, red). Control (C, </w:t>
      </w:r>
      <w:r>
        <w:rPr>
          <w:rFonts w:ascii="Arial" w:hAnsi="Arial" w:cs="Arial"/>
          <w:i/>
          <w:iCs/>
          <w:sz w:val="18"/>
          <w:szCs w:val="18"/>
          <w:lang w:val="en-IN"/>
        </w:rPr>
        <w:t>violet</w:t>
      </w:r>
      <w:r w:rsidRPr="003E7792">
        <w:rPr>
          <w:rFonts w:ascii="Arial" w:hAnsi="Arial" w:cs="Arial"/>
          <w:i/>
          <w:iCs/>
          <w:sz w:val="18"/>
          <w:szCs w:val="18"/>
          <w:lang w:val="en-IN"/>
        </w:rPr>
        <w:t xml:space="preserve">) and Pre-treatment Quercetin (Pre-Q, </w:t>
      </w:r>
      <w:r>
        <w:rPr>
          <w:rFonts w:ascii="Arial" w:hAnsi="Arial" w:cs="Arial"/>
          <w:i/>
          <w:iCs/>
          <w:sz w:val="18"/>
          <w:szCs w:val="18"/>
          <w:lang w:val="en-IN"/>
        </w:rPr>
        <w:t>green</w:t>
      </w:r>
      <w:r w:rsidRPr="003E7792">
        <w:rPr>
          <w:rFonts w:ascii="Arial" w:hAnsi="Arial" w:cs="Arial"/>
          <w:i/>
          <w:iCs/>
          <w:sz w:val="18"/>
          <w:szCs w:val="18"/>
          <w:lang w:val="en-IN"/>
        </w:rPr>
        <w:t xml:space="preserve">) groups exhibited rapid recovery dynamics. </w:t>
      </w:r>
    </w:p>
    <w:p w14:paraId="6B0DD059" w14:textId="77777777" w:rsidR="00E05993" w:rsidRDefault="00E05993" w:rsidP="00E05993">
      <w:pPr>
        <w:rPr>
          <w:rFonts w:ascii="Arial" w:hAnsi="Arial" w:cs="Arial"/>
          <w:i/>
          <w:iCs/>
          <w:sz w:val="18"/>
          <w:szCs w:val="18"/>
        </w:rPr>
      </w:pPr>
    </w:p>
    <w:p w14:paraId="0BFECDA9" w14:textId="77777777" w:rsidR="00BE126B" w:rsidRPr="00BE126B" w:rsidRDefault="00BE126B" w:rsidP="00BE126B">
      <w:pPr>
        <w:rPr>
          <w:rFonts w:ascii="Arial" w:hAnsi="Arial" w:cs="Arial"/>
          <w:b/>
          <w:bCs/>
          <w:lang w:val="en-IN"/>
        </w:rPr>
      </w:pPr>
      <w:r w:rsidRPr="00BE126B">
        <w:rPr>
          <w:rFonts w:ascii="Arial" w:hAnsi="Arial" w:cs="Arial"/>
          <w:b/>
          <w:bCs/>
          <w:lang w:val="en-IN"/>
        </w:rPr>
        <w:t xml:space="preserve">Table </w:t>
      </w:r>
      <w:r w:rsidR="001370EF">
        <w:rPr>
          <w:rFonts w:ascii="Arial" w:hAnsi="Arial" w:cs="Arial"/>
          <w:b/>
          <w:bCs/>
          <w:lang w:val="en-IN"/>
        </w:rPr>
        <w:t>4</w:t>
      </w:r>
      <w:r w:rsidRPr="00BE126B">
        <w:rPr>
          <w:rFonts w:ascii="Arial" w:hAnsi="Arial" w:cs="Arial"/>
          <w:b/>
          <w:bCs/>
          <w:lang w:val="en-IN"/>
        </w:rPr>
        <w:t>. Summary of post-seizure recovery kinetics and Kaplan-Meier Log-Rank statistics across experimental cohorts</w:t>
      </w:r>
    </w:p>
    <w:p w14:paraId="49249274" w14:textId="77777777" w:rsidR="00255B93" w:rsidRDefault="00255B93" w:rsidP="00441B6F">
      <w:pPr>
        <w:pStyle w:val="Body"/>
        <w:spacing w:after="0"/>
        <w:rPr>
          <w:rFonts w:ascii="Arial" w:hAnsi="Arial" w:cs="Arial"/>
          <w:b/>
          <w:bCs/>
        </w:rPr>
      </w:pPr>
    </w:p>
    <w:tbl>
      <w:tblPr>
        <w:tblW w:w="8350"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696"/>
        <w:gridCol w:w="2132"/>
        <w:gridCol w:w="2268"/>
        <w:gridCol w:w="2254"/>
      </w:tblGrid>
      <w:tr w:rsidR="00BE126B" w:rsidRPr="00BF587C" w14:paraId="0DB0EB41" w14:textId="77777777" w:rsidTr="002B1896">
        <w:trPr>
          <w:trHeight w:val="315"/>
        </w:trPr>
        <w:tc>
          <w:tcPr>
            <w:tcW w:w="0" w:type="auto"/>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1B133F9D"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Experimental Cohort</w:t>
            </w:r>
          </w:p>
        </w:tc>
        <w:tc>
          <w:tcPr>
            <w:tcW w:w="2132" w:type="dxa"/>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4C7C2AD9" w14:textId="77777777"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Median Recovery Tim</w:t>
            </w:r>
            <w:r w:rsidR="00280993" w:rsidRPr="00BF587C">
              <w:rPr>
                <w:rFonts w:ascii="Arial" w:hAnsi="Arial" w:cs="Arial"/>
                <w:b/>
                <w:bCs/>
                <w:lang w:val="en-IN"/>
              </w:rPr>
              <w:t xml:space="preserve">e </w:t>
            </w:r>
            <w:r w:rsidRPr="00BF587C">
              <w:rPr>
                <w:rFonts w:ascii="Arial" w:hAnsi="Arial" w:cs="Arial"/>
                <w:b/>
                <w:bCs/>
                <w:lang w:val="en-IN"/>
              </w:rPr>
              <w:t>(ET</w:t>
            </w:r>
            <w:r w:rsidRPr="004735AB">
              <w:rPr>
                <w:rFonts w:ascii="Arial" w:hAnsi="Arial" w:cs="Arial"/>
                <w:b/>
                <w:bCs/>
                <w:vertAlign w:val="subscript"/>
                <w:lang w:val="en-IN"/>
              </w:rPr>
              <w:t>50</w:t>
            </w:r>
            <w:r w:rsidRPr="00BF587C">
              <w:rPr>
                <w:rFonts w:ascii="Arial" w:hAnsi="Arial" w:cs="Arial"/>
                <w:b/>
                <w:bCs/>
                <w:lang w:val="en-IN"/>
              </w:rPr>
              <w:t>​, s)</w:t>
            </w:r>
          </w:p>
        </w:tc>
        <w:tc>
          <w:tcPr>
            <w:tcW w:w="2268" w:type="dxa"/>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5284A53E" w14:textId="77777777"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Total Recovery Time (ET</w:t>
            </w:r>
            <w:r w:rsidRPr="004735AB">
              <w:rPr>
                <w:rFonts w:ascii="Arial" w:hAnsi="Arial" w:cs="Arial"/>
                <w:b/>
                <w:bCs/>
                <w:vertAlign w:val="subscript"/>
                <w:lang w:val="en-IN"/>
              </w:rPr>
              <w:t>100</w:t>
            </w:r>
            <w:r w:rsidRPr="00BF587C">
              <w:rPr>
                <w:rFonts w:ascii="Arial" w:hAnsi="Arial" w:cs="Arial"/>
                <w:b/>
                <w:bCs/>
                <w:lang w:val="en-IN"/>
              </w:rPr>
              <w:t>​, s)</w:t>
            </w:r>
          </w:p>
        </w:tc>
        <w:tc>
          <w:tcPr>
            <w:tcW w:w="2254" w:type="dxa"/>
            <w:tcBorders>
              <w:top w:val="single" w:sz="4" w:space="0" w:color="0D0D0D" w:themeColor="text1" w:themeTint="F2"/>
              <w:bottom w:val="single" w:sz="4" w:space="0" w:color="0D0D0D" w:themeColor="text1" w:themeTint="F2"/>
            </w:tcBorders>
            <w:tcMar>
              <w:top w:w="30" w:type="dxa"/>
              <w:left w:w="0" w:type="dxa"/>
              <w:bottom w:w="30" w:type="dxa"/>
              <w:right w:w="0" w:type="dxa"/>
            </w:tcMar>
            <w:vAlign w:val="bottom"/>
            <w:hideMark/>
          </w:tcPr>
          <w:p w14:paraId="45C41044" w14:textId="77777777"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Log-Rank (Mantel-Cox) Test</w:t>
            </w:r>
          </w:p>
        </w:tc>
      </w:tr>
      <w:tr w:rsidR="00BE126B" w:rsidRPr="00BF587C" w14:paraId="512583B2" w14:textId="77777777" w:rsidTr="002B1896">
        <w:trPr>
          <w:trHeight w:val="315"/>
        </w:trPr>
        <w:tc>
          <w:tcPr>
            <w:tcW w:w="0" w:type="auto"/>
            <w:tcBorders>
              <w:top w:val="single" w:sz="4" w:space="0" w:color="0D0D0D" w:themeColor="text1" w:themeTint="F2"/>
            </w:tcBorders>
            <w:tcMar>
              <w:top w:w="30" w:type="dxa"/>
              <w:left w:w="45" w:type="dxa"/>
              <w:bottom w:w="30" w:type="dxa"/>
              <w:right w:w="45" w:type="dxa"/>
            </w:tcMar>
            <w:vAlign w:val="bottom"/>
            <w:hideMark/>
          </w:tcPr>
          <w:p w14:paraId="573DDB54"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Control (C)</w:t>
            </w:r>
          </w:p>
        </w:tc>
        <w:tc>
          <w:tcPr>
            <w:tcW w:w="2132" w:type="dxa"/>
            <w:tcBorders>
              <w:top w:val="single" w:sz="4" w:space="0" w:color="0D0D0D" w:themeColor="text1" w:themeTint="F2"/>
            </w:tcBorders>
            <w:tcMar>
              <w:top w:w="30" w:type="dxa"/>
              <w:left w:w="45" w:type="dxa"/>
              <w:bottom w:w="30" w:type="dxa"/>
              <w:right w:w="45" w:type="dxa"/>
            </w:tcMar>
            <w:vAlign w:val="bottom"/>
            <w:hideMark/>
          </w:tcPr>
          <w:p w14:paraId="7B1400A0" w14:textId="77777777" w:rsidR="00BE126B" w:rsidRPr="00BF587C" w:rsidRDefault="00BE126B" w:rsidP="00BE126B">
            <w:pPr>
              <w:pStyle w:val="Body"/>
              <w:rPr>
                <w:rFonts w:ascii="Arial" w:hAnsi="Arial" w:cs="Arial"/>
                <w:lang w:val="en-IN"/>
              </w:rPr>
            </w:pPr>
            <w:r w:rsidRPr="00BF587C">
              <w:rPr>
                <w:rFonts w:ascii="Arial" w:hAnsi="Arial" w:cs="Arial"/>
                <w:lang w:val="en-IN"/>
              </w:rPr>
              <w:t>18.5</w:t>
            </w:r>
          </w:p>
        </w:tc>
        <w:tc>
          <w:tcPr>
            <w:tcW w:w="2268" w:type="dxa"/>
            <w:tcBorders>
              <w:top w:val="single" w:sz="4" w:space="0" w:color="0D0D0D" w:themeColor="text1" w:themeTint="F2"/>
            </w:tcBorders>
            <w:tcMar>
              <w:top w:w="30" w:type="dxa"/>
              <w:left w:w="45" w:type="dxa"/>
              <w:bottom w:w="30" w:type="dxa"/>
              <w:right w:w="45" w:type="dxa"/>
            </w:tcMar>
            <w:vAlign w:val="bottom"/>
            <w:hideMark/>
          </w:tcPr>
          <w:p w14:paraId="4968F588" w14:textId="77777777" w:rsidR="00BE126B" w:rsidRPr="00BF587C" w:rsidRDefault="00BE126B" w:rsidP="00BE126B">
            <w:pPr>
              <w:pStyle w:val="Body"/>
              <w:rPr>
                <w:rFonts w:ascii="Arial" w:hAnsi="Arial" w:cs="Arial"/>
                <w:lang w:val="en-IN"/>
              </w:rPr>
            </w:pPr>
            <w:r w:rsidRPr="00BF587C">
              <w:rPr>
                <w:rFonts w:ascii="Arial" w:hAnsi="Arial" w:cs="Arial"/>
                <w:lang w:val="en-IN"/>
              </w:rPr>
              <w:t>21</w:t>
            </w:r>
          </w:p>
        </w:tc>
        <w:tc>
          <w:tcPr>
            <w:tcW w:w="2254" w:type="dxa"/>
            <w:tcBorders>
              <w:top w:val="single" w:sz="4" w:space="0" w:color="0D0D0D" w:themeColor="text1" w:themeTint="F2"/>
            </w:tcBorders>
            <w:tcMar>
              <w:top w:w="30" w:type="dxa"/>
              <w:left w:w="0" w:type="dxa"/>
              <w:bottom w:w="30" w:type="dxa"/>
              <w:right w:w="0" w:type="dxa"/>
            </w:tcMar>
            <w:vAlign w:val="bottom"/>
            <w:hideMark/>
          </w:tcPr>
          <w:p w14:paraId="5AA0428A" w14:textId="77777777" w:rsidR="00BE126B" w:rsidRPr="00BF587C" w:rsidRDefault="00D138C4" w:rsidP="00BE126B">
            <w:pPr>
              <w:pStyle w:val="Body"/>
              <w:rPr>
                <w:rFonts w:ascii="Arial" w:hAnsi="Arial" w:cs="Arial"/>
                <w:i/>
                <w:iCs/>
                <w:lang w:val="en-IN"/>
              </w:rPr>
            </w:pPr>
            <w:r w:rsidRPr="00BF587C">
              <w:rPr>
                <w:rFonts w:ascii="Arial" w:hAnsi="Arial" w:cs="Arial"/>
                <w:i/>
                <w:iCs/>
                <w:lang w:val="en-IN"/>
              </w:rPr>
              <w:t>χ</w:t>
            </w:r>
            <w:r w:rsidRPr="00BF587C">
              <w:rPr>
                <w:rFonts w:ascii="Arial" w:hAnsi="Arial" w:cs="Arial"/>
                <w:i/>
                <w:iCs/>
                <w:vertAlign w:val="superscript"/>
                <w:lang w:val="en-IN"/>
              </w:rPr>
              <w:t>2</w:t>
            </w:r>
            <w:r w:rsidRPr="00BF587C">
              <w:rPr>
                <w:rFonts w:ascii="Arial" w:hAnsi="Arial" w:cs="Arial"/>
                <w:i/>
                <w:iCs/>
                <w:lang w:val="en-IN"/>
              </w:rPr>
              <w:t>=10.82</w:t>
            </w:r>
          </w:p>
        </w:tc>
      </w:tr>
      <w:tr w:rsidR="00BE126B" w:rsidRPr="00BF587C" w14:paraId="19F9073F" w14:textId="77777777" w:rsidTr="00D138C4">
        <w:trPr>
          <w:trHeight w:val="315"/>
        </w:trPr>
        <w:tc>
          <w:tcPr>
            <w:tcW w:w="0" w:type="auto"/>
            <w:tcMar>
              <w:top w:w="30" w:type="dxa"/>
              <w:left w:w="45" w:type="dxa"/>
              <w:bottom w:w="30" w:type="dxa"/>
              <w:right w:w="45" w:type="dxa"/>
            </w:tcMar>
            <w:vAlign w:val="bottom"/>
            <w:hideMark/>
          </w:tcPr>
          <w:p w14:paraId="273A1C28"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Pre-Q</w:t>
            </w:r>
          </w:p>
        </w:tc>
        <w:tc>
          <w:tcPr>
            <w:tcW w:w="2132" w:type="dxa"/>
            <w:tcMar>
              <w:top w:w="30" w:type="dxa"/>
              <w:left w:w="45" w:type="dxa"/>
              <w:bottom w:w="30" w:type="dxa"/>
              <w:right w:w="45" w:type="dxa"/>
            </w:tcMar>
            <w:vAlign w:val="bottom"/>
            <w:hideMark/>
          </w:tcPr>
          <w:p w14:paraId="7B56F1DC" w14:textId="77777777" w:rsidR="00BE126B" w:rsidRPr="00BF587C" w:rsidRDefault="00BE126B" w:rsidP="00BE126B">
            <w:pPr>
              <w:pStyle w:val="Body"/>
              <w:rPr>
                <w:rFonts w:ascii="Arial" w:hAnsi="Arial" w:cs="Arial"/>
                <w:lang w:val="en-IN"/>
              </w:rPr>
            </w:pPr>
            <w:r w:rsidRPr="00BF587C">
              <w:rPr>
                <w:rFonts w:ascii="Arial" w:hAnsi="Arial" w:cs="Arial"/>
                <w:lang w:val="en-IN"/>
              </w:rPr>
              <w:t>20</w:t>
            </w:r>
          </w:p>
        </w:tc>
        <w:tc>
          <w:tcPr>
            <w:tcW w:w="2268" w:type="dxa"/>
            <w:tcMar>
              <w:top w:w="30" w:type="dxa"/>
              <w:left w:w="45" w:type="dxa"/>
              <w:bottom w:w="30" w:type="dxa"/>
              <w:right w:w="45" w:type="dxa"/>
            </w:tcMar>
            <w:vAlign w:val="bottom"/>
            <w:hideMark/>
          </w:tcPr>
          <w:p w14:paraId="51898220" w14:textId="77777777" w:rsidR="00BE126B" w:rsidRPr="00BF587C" w:rsidRDefault="00BE126B" w:rsidP="00BE126B">
            <w:pPr>
              <w:pStyle w:val="Body"/>
              <w:rPr>
                <w:rFonts w:ascii="Arial" w:hAnsi="Arial" w:cs="Arial"/>
                <w:lang w:val="en-IN"/>
              </w:rPr>
            </w:pPr>
            <w:r w:rsidRPr="00BF587C">
              <w:rPr>
                <w:rFonts w:ascii="Arial" w:hAnsi="Arial" w:cs="Arial"/>
                <w:lang w:val="en-IN"/>
              </w:rPr>
              <w:t>23</w:t>
            </w:r>
          </w:p>
        </w:tc>
        <w:tc>
          <w:tcPr>
            <w:tcW w:w="2254" w:type="dxa"/>
            <w:tcMar>
              <w:top w:w="30" w:type="dxa"/>
              <w:left w:w="0" w:type="dxa"/>
              <w:bottom w:w="30" w:type="dxa"/>
              <w:right w:w="0" w:type="dxa"/>
            </w:tcMar>
            <w:vAlign w:val="bottom"/>
            <w:hideMark/>
          </w:tcPr>
          <w:p w14:paraId="2351F38C" w14:textId="77777777" w:rsidR="00BE126B" w:rsidRPr="00BF587C" w:rsidRDefault="00B77F37" w:rsidP="00BE126B">
            <w:pPr>
              <w:pStyle w:val="Body"/>
              <w:rPr>
                <w:rFonts w:ascii="Arial" w:hAnsi="Arial" w:cs="Arial"/>
                <w:i/>
                <w:iCs/>
                <w:lang w:val="en-IN"/>
              </w:rPr>
            </w:pPr>
            <w:r w:rsidRPr="00BF587C">
              <w:rPr>
                <w:rFonts w:ascii="Arial" w:hAnsi="Arial" w:cs="Arial"/>
                <w:i/>
                <w:iCs/>
                <w:lang w:val="en-IN"/>
              </w:rPr>
              <w:t>(</w:t>
            </w:r>
            <w:proofErr w:type="spellStart"/>
            <w:r w:rsidRPr="00BF587C">
              <w:rPr>
                <w:rFonts w:ascii="Arial" w:hAnsi="Arial" w:cs="Arial"/>
                <w:i/>
                <w:iCs/>
                <w:lang w:val="en-IN"/>
              </w:rPr>
              <w:t>df</w:t>
            </w:r>
            <w:proofErr w:type="spellEnd"/>
            <w:r w:rsidRPr="00BF587C">
              <w:rPr>
                <w:rFonts w:ascii="Arial" w:hAnsi="Arial" w:cs="Arial"/>
                <w:i/>
                <w:iCs/>
                <w:lang w:val="en-IN"/>
              </w:rPr>
              <w:t>=3, p=0.0128</w:t>
            </w:r>
            <w:r w:rsidR="00D916A8" w:rsidRPr="00BF587C">
              <w:rPr>
                <w:rFonts w:ascii="Arial" w:hAnsi="Arial" w:cs="Arial"/>
                <w:i/>
                <w:iCs/>
                <w:lang w:val="en-IN"/>
              </w:rPr>
              <w:t xml:space="preserve"> (p&lt;0.05</w:t>
            </w:r>
            <w:r w:rsidRPr="00BF587C">
              <w:rPr>
                <w:rFonts w:ascii="Cambria Math" w:hAnsi="Cambria Math" w:cs="Cambria Math"/>
                <w:i/>
                <w:iCs/>
                <w:lang w:val="en-IN"/>
              </w:rPr>
              <w:t>∗</w:t>
            </w:r>
            <w:r w:rsidRPr="00BF587C">
              <w:rPr>
                <w:rFonts w:ascii="Arial" w:hAnsi="Arial" w:cs="Arial"/>
                <w:i/>
                <w:iCs/>
                <w:lang w:val="en-IN"/>
              </w:rPr>
              <w:t>)</w:t>
            </w:r>
          </w:p>
        </w:tc>
      </w:tr>
      <w:tr w:rsidR="00BE126B" w:rsidRPr="00BF587C" w14:paraId="6CA7F068" w14:textId="77777777" w:rsidTr="00D138C4">
        <w:trPr>
          <w:trHeight w:val="315"/>
        </w:trPr>
        <w:tc>
          <w:tcPr>
            <w:tcW w:w="0" w:type="auto"/>
            <w:tcMar>
              <w:top w:w="30" w:type="dxa"/>
              <w:left w:w="45" w:type="dxa"/>
              <w:bottom w:w="30" w:type="dxa"/>
              <w:right w:w="45" w:type="dxa"/>
            </w:tcMar>
            <w:vAlign w:val="bottom"/>
            <w:hideMark/>
          </w:tcPr>
          <w:p w14:paraId="0197B702"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UV</w:t>
            </w:r>
          </w:p>
        </w:tc>
        <w:tc>
          <w:tcPr>
            <w:tcW w:w="2132" w:type="dxa"/>
            <w:tcMar>
              <w:top w:w="30" w:type="dxa"/>
              <w:left w:w="45" w:type="dxa"/>
              <w:bottom w:w="30" w:type="dxa"/>
              <w:right w:w="45" w:type="dxa"/>
            </w:tcMar>
            <w:vAlign w:val="bottom"/>
            <w:hideMark/>
          </w:tcPr>
          <w:p w14:paraId="34548744" w14:textId="77777777" w:rsidR="00BE126B" w:rsidRPr="00BF587C" w:rsidRDefault="00BE126B" w:rsidP="00BE126B">
            <w:pPr>
              <w:pStyle w:val="Body"/>
              <w:rPr>
                <w:rFonts w:ascii="Arial" w:hAnsi="Arial" w:cs="Arial"/>
                <w:lang w:val="en-IN"/>
              </w:rPr>
            </w:pPr>
            <w:r w:rsidRPr="00BF587C">
              <w:rPr>
                <w:rFonts w:ascii="Arial" w:hAnsi="Arial" w:cs="Arial"/>
                <w:lang w:val="en-IN"/>
              </w:rPr>
              <w:t>40.5</w:t>
            </w:r>
          </w:p>
        </w:tc>
        <w:tc>
          <w:tcPr>
            <w:tcW w:w="2268" w:type="dxa"/>
            <w:tcMar>
              <w:top w:w="30" w:type="dxa"/>
              <w:left w:w="45" w:type="dxa"/>
              <w:bottom w:w="30" w:type="dxa"/>
              <w:right w:w="45" w:type="dxa"/>
            </w:tcMar>
            <w:vAlign w:val="bottom"/>
            <w:hideMark/>
          </w:tcPr>
          <w:p w14:paraId="29D616BE" w14:textId="77777777" w:rsidR="00BE126B" w:rsidRPr="00BF587C" w:rsidRDefault="00BE126B" w:rsidP="00BE126B">
            <w:pPr>
              <w:pStyle w:val="Body"/>
              <w:rPr>
                <w:rFonts w:ascii="Arial" w:hAnsi="Arial" w:cs="Arial"/>
                <w:lang w:val="en-IN"/>
              </w:rPr>
            </w:pPr>
            <w:r w:rsidRPr="00BF587C">
              <w:rPr>
                <w:rFonts w:ascii="Arial" w:hAnsi="Arial" w:cs="Arial"/>
                <w:lang w:val="en-IN"/>
              </w:rPr>
              <w:t>43</w:t>
            </w:r>
          </w:p>
        </w:tc>
        <w:tc>
          <w:tcPr>
            <w:tcW w:w="2254" w:type="dxa"/>
            <w:tcMar>
              <w:top w:w="30" w:type="dxa"/>
              <w:left w:w="0" w:type="dxa"/>
              <w:bottom w:w="30" w:type="dxa"/>
              <w:right w:w="0" w:type="dxa"/>
            </w:tcMar>
            <w:vAlign w:val="bottom"/>
            <w:hideMark/>
          </w:tcPr>
          <w:p w14:paraId="1533509A" w14:textId="77777777" w:rsidR="00BE126B" w:rsidRPr="00BF587C" w:rsidRDefault="00BE126B" w:rsidP="00BE126B">
            <w:pPr>
              <w:pStyle w:val="Body"/>
              <w:rPr>
                <w:rFonts w:ascii="Arial" w:hAnsi="Arial" w:cs="Arial"/>
                <w:lang w:val="en-IN"/>
              </w:rPr>
            </w:pPr>
          </w:p>
        </w:tc>
      </w:tr>
      <w:tr w:rsidR="00BE126B" w:rsidRPr="00BF587C" w14:paraId="24AA7DB0" w14:textId="77777777" w:rsidTr="002B1896">
        <w:trPr>
          <w:trHeight w:val="315"/>
        </w:trPr>
        <w:tc>
          <w:tcPr>
            <w:tcW w:w="0" w:type="auto"/>
            <w:tcBorders>
              <w:bottom w:val="single" w:sz="4" w:space="0" w:color="0D0D0D" w:themeColor="text1" w:themeTint="F2"/>
            </w:tcBorders>
            <w:tcMar>
              <w:top w:w="30" w:type="dxa"/>
              <w:left w:w="45" w:type="dxa"/>
              <w:bottom w:w="30" w:type="dxa"/>
              <w:right w:w="45" w:type="dxa"/>
            </w:tcMar>
            <w:vAlign w:val="bottom"/>
            <w:hideMark/>
          </w:tcPr>
          <w:p w14:paraId="01BEC0C8"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Q+UV</w:t>
            </w:r>
          </w:p>
        </w:tc>
        <w:tc>
          <w:tcPr>
            <w:tcW w:w="2132" w:type="dxa"/>
            <w:tcBorders>
              <w:bottom w:val="single" w:sz="4" w:space="0" w:color="0D0D0D" w:themeColor="text1" w:themeTint="F2"/>
            </w:tcBorders>
            <w:tcMar>
              <w:top w:w="30" w:type="dxa"/>
              <w:left w:w="45" w:type="dxa"/>
              <w:bottom w:w="30" w:type="dxa"/>
              <w:right w:w="45" w:type="dxa"/>
            </w:tcMar>
            <w:vAlign w:val="bottom"/>
            <w:hideMark/>
          </w:tcPr>
          <w:p w14:paraId="0DF65F3F" w14:textId="77777777" w:rsidR="00BE126B" w:rsidRPr="00BF587C" w:rsidRDefault="00BE126B" w:rsidP="00BE126B">
            <w:pPr>
              <w:pStyle w:val="Body"/>
              <w:rPr>
                <w:rFonts w:ascii="Arial" w:hAnsi="Arial" w:cs="Arial"/>
                <w:lang w:val="en-IN"/>
              </w:rPr>
            </w:pPr>
            <w:r w:rsidRPr="00BF587C">
              <w:rPr>
                <w:rFonts w:ascii="Arial" w:hAnsi="Arial" w:cs="Arial"/>
                <w:lang w:val="en-IN"/>
              </w:rPr>
              <w:t>26.5</w:t>
            </w:r>
          </w:p>
        </w:tc>
        <w:tc>
          <w:tcPr>
            <w:tcW w:w="2268" w:type="dxa"/>
            <w:tcBorders>
              <w:bottom w:val="single" w:sz="4" w:space="0" w:color="0D0D0D" w:themeColor="text1" w:themeTint="F2"/>
            </w:tcBorders>
            <w:tcMar>
              <w:top w:w="30" w:type="dxa"/>
              <w:left w:w="45" w:type="dxa"/>
              <w:bottom w:w="30" w:type="dxa"/>
              <w:right w:w="45" w:type="dxa"/>
            </w:tcMar>
            <w:vAlign w:val="bottom"/>
            <w:hideMark/>
          </w:tcPr>
          <w:p w14:paraId="3FB0BC45" w14:textId="77777777" w:rsidR="00BE126B" w:rsidRPr="00BF587C" w:rsidRDefault="00BE126B" w:rsidP="00BE126B">
            <w:pPr>
              <w:pStyle w:val="Body"/>
              <w:rPr>
                <w:rFonts w:ascii="Arial" w:hAnsi="Arial" w:cs="Arial"/>
                <w:lang w:val="en-IN"/>
              </w:rPr>
            </w:pPr>
            <w:r w:rsidRPr="00BF587C">
              <w:rPr>
                <w:rFonts w:ascii="Arial" w:hAnsi="Arial" w:cs="Arial"/>
                <w:lang w:val="en-IN"/>
              </w:rPr>
              <w:t>29</w:t>
            </w:r>
          </w:p>
        </w:tc>
        <w:tc>
          <w:tcPr>
            <w:tcW w:w="2254" w:type="dxa"/>
            <w:tcBorders>
              <w:bottom w:val="single" w:sz="4" w:space="0" w:color="0D0D0D" w:themeColor="text1" w:themeTint="F2"/>
            </w:tcBorders>
            <w:tcMar>
              <w:top w:w="30" w:type="dxa"/>
              <w:left w:w="0" w:type="dxa"/>
              <w:bottom w:w="30" w:type="dxa"/>
              <w:right w:w="0" w:type="dxa"/>
            </w:tcMar>
            <w:vAlign w:val="bottom"/>
            <w:hideMark/>
          </w:tcPr>
          <w:p w14:paraId="7A337F60" w14:textId="77777777" w:rsidR="00BE126B" w:rsidRPr="00BF587C" w:rsidRDefault="00BE126B" w:rsidP="00BE126B">
            <w:pPr>
              <w:pStyle w:val="Body"/>
              <w:rPr>
                <w:rFonts w:ascii="Arial" w:hAnsi="Arial" w:cs="Arial"/>
                <w:i/>
                <w:iCs/>
                <w:lang w:val="en-IN"/>
              </w:rPr>
            </w:pPr>
          </w:p>
        </w:tc>
      </w:tr>
    </w:tbl>
    <w:p w14:paraId="3BA48D7F" w14:textId="77777777" w:rsidR="00BE126B" w:rsidRDefault="00BE126B" w:rsidP="00441B6F">
      <w:pPr>
        <w:pStyle w:val="Body"/>
        <w:spacing w:after="0"/>
        <w:rPr>
          <w:rFonts w:ascii="Arial" w:hAnsi="Arial" w:cs="Arial"/>
          <w:b/>
          <w:bCs/>
        </w:rPr>
      </w:pPr>
    </w:p>
    <w:p w14:paraId="32D522B2" w14:textId="77777777" w:rsidR="00A56155" w:rsidRPr="00A56155" w:rsidRDefault="009B7E48" w:rsidP="00A56155">
      <w:pPr>
        <w:pStyle w:val="Body"/>
        <w:spacing w:after="0"/>
        <w:rPr>
          <w:rFonts w:ascii="Arial" w:hAnsi="Arial" w:cs="Arial"/>
          <w:i/>
          <w:iCs/>
          <w:sz w:val="18"/>
          <w:szCs w:val="18"/>
          <w:lang w:val="en-IN"/>
        </w:rPr>
      </w:pPr>
      <w:r w:rsidRPr="009B7E48">
        <w:rPr>
          <w:rFonts w:ascii="Arial" w:hAnsi="Arial" w:cs="Arial"/>
          <w:i/>
          <w:sz w:val="18"/>
          <w:szCs w:val="18"/>
          <w:lang w:val="en-IN"/>
        </w:rPr>
        <w:lastRenderedPageBreak/>
        <w:t>n = 3</w:t>
      </w:r>
      <w:r>
        <w:rPr>
          <w:rFonts w:ascii="Arial" w:hAnsi="Arial" w:cs="Arial"/>
          <w:i/>
          <w:sz w:val="18"/>
          <w:szCs w:val="18"/>
          <w:lang w:val="en-IN"/>
        </w:rPr>
        <w:t xml:space="preserve"> per group; ET</w:t>
      </w:r>
      <w:r w:rsidRPr="009B7E48">
        <w:rPr>
          <w:rFonts w:ascii="Arial" w:hAnsi="Arial" w:cs="Arial"/>
          <w:i/>
          <w:sz w:val="18"/>
          <w:szCs w:val="18"/>
          <w:vertAlign w:val="subscript"/>
          <w:lang w:val="en-IN"/>
        </w:rPr>
        <w:t>50</w:t>
      </w:r>
      <w:r>
        <w:rPr>
          <w:rFonts w:ascii="Arial" w:hAnsi="Arial" w:cs="Arial"/>
          <w:i/>
          <w:sz w:val="18"/>
          <w:szCs w:val="18"/>
          <w:lang w:val="en-IN"/>
        </w:rPr>
        <w:t>:</w:t>
      </w:r>
      <w:r w:rsidR="00D528D8">
        <w:rPr>
          <w:rFonts w:ascii="Arial" w:hAnsi="Arial" w:cs="Arial"/>
          <w:i/>
          <w:sz w:val="18"/>
          <w:szCs w:val="18"/>
          <w:lang w:val="en-IN"/>
        </w:rPr>
        <w:t xml:space="preserve"> n = 3  per group; ET</w:t>
      </w:r>
      <w:r w:rsidR="00D528D8" w:rsidRPr="009B7E48">
        <w:rPr>
          <w:rFonts w:ascii="Arial" w:hAnsi="Arial" w:cs="Arial"/>
          <w:i/>
          <w:sz w:val="18"/>
          <w:szCs w:val="18"/>
          <w:vertAlign w:val="subscript"/>
          <w:lang w:val="en-IN"/>
        </w:rPr>
        <w:t>50</w:t>
      </w:r>
      <w:r w:rsidR="00D528D8">
        <w:rPr>
          <w:rFonts w:ascii="Arial" w:hAnsi="Arial" w:cs="Arial"/>
          <w:i/>
          <w:sz w:val="18"/>
          <w:szCs w:val="18"/>
          <w:lang w:val="en-IN"/>
        </w:rPr>
        <w:t xml:space="preserve">: </w:t>
      </w:r>
      <w:r w:rsidR="00A56155" w:rsidRPr="00A56155">
        <w:rPr>
          <w:rFonts w:ascii="Arial" w:hAnsi="Arial" w:cs="Arial"/>
          <w:i/>
          <w:iCs/>
          <w:sz w:val="18"/>
          <w:szCs w:val="18"/>
          <w:lang w:val="en-IN"/>
        </w:rPr>
        <w:t>Time at which 50% of the cohort achieved full posture recovery;</w:t>
      </w:r>
      <w:r>
        <w:rPr>
          <w:rFonts w:ascii="Arial" w:hAnsi="Arial" w:cs="Arial"/>
          <w:i/>
          <w:iCs/>
          <w:sz w:val="18"/>
          <w:szCs w:val="18"/>
          <w:lang w:val="en-IN"/>
        </w:rPr>
        <w:t xml:space="preserve"> </w:t>
      </w:r>
      <w:r>
        <w:rPr>
          <w:rFonts w:ascii="Arial" w:hAnsi="Arial" w:cs="Arial"/>
          <w:i/>
          <w:sz w:val="18"/>
          <w:szCs w:val="18"/>
          <w:lang w:val="en-IN"/>
        </w:rPr>
        <w:t>ET</w:t>
      </w:r>
      <w:r>
        <w:rPr>
          <w:rFonts w:ascii="Arial" w:hAnsi="Arial" w:cs="Arial"/>
          <w:i/>
          <w:sz w:val="18"/>
          <w:szCs w:val="18"/>
          <w:vertAlign w:val="subscript"/>
          <w:lang w:val="en-IN"/>
        </w:rPr>
        <w:t>10</w:t>
      </w:r>
      <w:r w:rsidRPr="009B7E48">
        <w:rPr>
          <w:rFonts w:ascii="Arial" w:hAnsi="Arial" w:cs="Arial"/>
          <w:i/>
          <w:sz w:val="18"/>
          <w:szCs w:val="18"/>
          <w:vertAlign w:val="subscript"/>
          <w:lang w:val="en-IN"/>
        </w:rPr>
        <w:t>0</w:t>
      </w:r>
      <w:r>
        <w:rPr>
          <w:rFonts w:ascii="Arial" w:hAnsi="Arial" w:cs="Arial"/>
          <w:i/>
          <w:sz w:val="18"/>
          <w:szCs w:val="18"/>
          <w:lang w:val="en-IN"/>
        </w:rPr>
        <w:t>:</w:t>
      </w:r>
      <w:r w:rsidR="00A56155" w:rsidRPr="00A56155">
        <w:rPr>
          <w:rFonts w:ascii="Arial" w:hAnsi="Arial" w:cs="Arial"/>
          <w:i/>
          <w:iCs/>
          <w:sz w:val="18"/>
          <w:szCs w:val="18"/>
          <w:lang w:val="en-IN"/>
        </w:rPr>
        <w:t xml:space="preserve"> Time at which 100% of the cohort achieved full posture recovery. Statistical significance evaluated at</w:t>
      </w:r>
      <w:r w:rsidR="000F4DCA">
        <w:rPr>
          <w:rFonts w:ascii="Arial" w:hAnsi="Arial" w:cs="Arial"/>
          <w:i/>
          <w:iCs/>
          <w:sz w:val="18"/>
          <w:szCs w:val="18"/>
          <w:lang w:val="en-IN"/>
        </w:rPr>
        <w:t xml:space="preserve"> α = 0.05</w:t>
      </w:r>
      <w:r w:rsidR="00CF35FA">
        <w:rPr>
          <w:rFonts w:ascii="Arial" w:hAnsi="Arial" w:cs="Arial"/>
          <w:i/>
          <w:iCs/>
          <w:sz w:val="18"/>
          <w:szCs w:val="18"/>
          <w:lang w:val="en-IN"/>
        </w:rPr>
        <w:t>.</w:t>
      </w:r>
      <w:r w:rsidR="000F4DCA">
        <w:rPr>
          <w:rFonts w:ascii="Arial" w:hAnsi="Arial" w:cs="Arial"/>
          <w:i/>
          <w:iCs/>
          <w:sz w:val="18"/>
          <w:szCs w:val="18"/>
          <w:lang w:val="en-IN"/>
        </w:rPr>
        <w:t xml:space="preserve"> (*p &lt; 0.05, ** p &lt; 0.01</w:t>
      </w:r>
      <w:r w:rsidR="00CF35FA">
        <w:rPr>
          <w:rFonts w:ascii="Arial" w:hAnsi="Arial" w:cs="Arial"/>
          <w:i/>
          <w:iCs/>
          <w:sz w:val="18"/>
          <w:szCs w:val="18"/>
          <w:lang w:val="en-IN"/>
        </w:rPr>
        <w:t>).</w:t>
      </w:r>
    </w:p>
    <w:p w14:paraId="35A0CD2C" w14:textId="77777777" w:rsidR="00391941" w:rsidRDefault="00391941" w:rsidP="00441B6F">
      <w:pPr>
        <w:pStyle w:val="Body"/>
        <w:spacing w:after="0"/>
        <w:rPr>
          <w:rFonts w:ascii="Arial" w:hAnsi="Arial" w:cs="Arial"/>
        </w:rPr>
      </w:pPr>
    </w:p>
    <w:p w14:paraId="74EBE7E6"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192C575F" w14:textId="77777777" w:rsidR="00790ADA" w:rsidRPr="00FB3A86" w:rsidRDefault="00790ADA" w:rsidP="00441B6F">
      <w:pPr>
        <w:pStyle w:val="ConcHead"/>
        <w:spacing w:after="0"/>
        <w:jc w:val="both"/>
        <w:rPr>
          <w:rFonts w:ascii="Arial" w:hAnsi="Arial" w:cs="Arial"/>
        </w:rPr>
      </w:pPr>
    </w:p>
    <w:p w14:paraId="552091E1" w14:textId="77777777" w:rsidR="005926EF" w:rsidRPr="005926EF" w:rsidRDefault="00F966C9" w:rsidP="008F3115">
      <w:pPr>
        <w:jc w:val="both"/>
        <w:rPr>
          <w:rFonts w:ascii="Arial" w:hAnsi="Arial" w:cs="Arial"/>
          <w:lang w:val="en-IN"/>
        </w:rPr>
      </w:pPr>
      <w:r>
        <w:rPr>
          <w:rFonts w:ascii="Arial" w:hAnsi="Arial" w:cs="Arial"/>
        </w:rPr>
        <w:t xml:space="preserve">Taken together, this study demonstrates the broad efficacy of quercetin in safeguarding </w:t>
      </w:r>
      <w:r>
        <w:rPr>
          <w:rFonts w:ascii="Arial" w:hAnsi="Arial" w:cs="Arial"/>
          <w:i/>
          <w:iCs/>
        </w:rPr>
        <w:t>Drosophila melanogaster</w:t>
      </w:r>
      <w:r>
        <w:rPr>
          <w:rFonts w:ascii="Arial" w:hAnsi="Arial" w:cs="Arial"/>
        </w:rPr>
        <w:t xml:space="preserve"> against UV-C</w:t>
      </w:r>
      <w:r>
        <w:rPr>
          <w:rFonts w:ascii="Arial" w:hAnsi="Arial" w:cs="Arial"/>
          <w:highlight w:val="yellow"/>
        </w:rPr>
        <w:t>-</w:t>
      </w:r>
      <w:r>
        <w:rPr>
          <w:rFonts w:ascii="Arial" w:hAnsi="Arial" w:cs="Arial"/>
        </w:rPr>
        <w:t xml:space="preserve">induced physiological and neurological dysfunction. </w:t>
      </w:r>
      <w:r>
        <w:rPr>
          <w:rFonts w:ascii="Arial" w:hAnsi="Arial" w:cs="Arial"/>
          <w:lang w:val="en-IN"/>
        </w:rPr>
        <w:t>It was observed that quercetin pretreatment protect</w:t>
      </w:r>
      <w:r>
        <w:rPr>
          <w:rFonts w:ascii="Arial" w:hAnsi="Arial" w:cs="Arial"/>
          <w:highlight w:val="yellow"/>
          <w:lang w:val="en-IN"/>
        </w:rPr>
        <w:t>ed</w:t>
      </w:r>
      <w:r>
        <w:rPr>
          <w:rFonts w:ascii="Arial" w:hAnsi="Arial" w:cs="Arial"/>
          <w:lang w:val="en-IN"/>
        </w:rPr>
        <w:t xml:space="preserve"> this animal against UV-C</w:t>
      </w:r>
      <w:r>
        <w:rPr>
          <w:rFonts w:ascii="Arial" w:hAnsi="Arial" w:cs="Arial"/>
          <w:highlight w:val="yellow"/>
          <w:lang w:val="en-IN"/>
        </w:rPr>
        <w:t>-</w:t>
      </w:r>
      <w:r>
        <w:rPr>
          <w:rFonts w:ascii="Arial" w:hAnsi="Arial" w:cs="Arial"/>
          <w:lang w:val="en-IN"/>
        </w:rPr>
        <w:t xml:space="preserve">induced neuromuscular damage. It also effectively </w:t>
      </w:r>
      <w:r>
        <w:rPr>
          <w:rFonts w:ascii="Arial" w:hAnsi="Arial" w:cs="Arial"/>
          <w:highlight w:val="yellow"/>
          <w:lang w:val="en-IN"/>
        </w:rPr>
        <w:t>mitigat</w:t>
      </w:r>
      <w:r>
        <w:rPr>
          <w:rFonts w:ascii="Arial" w:hAnsi="Arial" w:cs="Arial"/>
          <w:lang w:val="en-IN"/>
        </w:rPr>
        <w:t>e</w:t>
      </w:r>
      <w:r>
        <w:rPr>
          <w:rFonts w:ascii="Arial" w:hAnsi="Arial" w:cs="Arial"/>
          <w:highlight w:val="yellow"/>
          <w:lang w:val="en-IN"/>
        </w:rPr>
        <w:t>d</w:t>
      </w:r>
      <w:r>
        <w:rPr>
          <w:rFonts w:ascii="Arial" w:hAnsi="Arial" w:cs="Arial"/>
          <w:lang w:val="en-IN"/>
        </w:rPr>
        <w:t xml:space="preserve"> UV-C-induced motor deficits by maintaining the experimental groups’ innate negative geotaxis response and age-dependent negative geotaxis. Exposure to UV-C radiation impair</w:t>
      </w:r>
      <w:r>
        <w:rPr>
          <w:rFonts w:ascii="Arial" w:hAnsi="Arial" w:cs="Arial"/>
          <w:highlight w:val="yellow"/>
          <w:lang w:val="en-IN"/>
        </w:rPr>
        <w:t>ed</w:t>
      </w:r>
      <w:r>
        <w:rPr>
          <w:rFonts w:ascii="Arial" w:hAnsi="Arial" w:cs="Arial"/>
          <w:lang w:val="en-IN"/>
        </w:rPr>
        <w:t xml:space="preserve"> light-directed locomotor behavio</w:t>
      </w:r>
      <w:r>
        <w:rPr>
          <w:rFonts w:ascii="Arial" w:hAnsi="Arial" w:cs="Arial"/>
          <w:highlight w:val="yellow"/>
          <w:lang w:val="en-IN"/>
        </w:rPr>
        <w:t>u</w:t>
      </w:r>
      <w:r>
        <w:rPr>
          <w:rFonts w:ascii="Arial" w:hAnsi="Arial" w:cs="Arial"/>
          <w:lang w:val="en-IN"/>
        </w:rPr>
        <w:t>r a</w:t>
      </w:r>
      <w:r>
        <w:rPr>
          <w:rFonts w:ascii="Arial" w:hAnsi="Arial" w:cs="Arial"/>
          <w:highlight w:val="yellow"/>
          <w:lang w:val="en-IN"/>
        </w:rPr>
        <w:t>nd</w:t>
      </w:r>
      <w:r>
        <w:rPr>
          <w:rFonts w:ascii="Arial" w:hAnsi="Arial" w:cs="Arial"/>
          <w:lang w:val="en-IN"/>
        </w:rPr>
        <w:t xml:space="preserve"> severely disrupte</w:t>
      </w:r>
      <w:r>
        <w:rPr>
          <w:rFonts w:ascii="Arial" w:hAnsi="Arial" w:cs="Arial"/>
          <w:highlight w:val="yellow"/>
          <w:lang w:val="en-IN"/>
        </w:rPr>
        <w:t>d</w:t>
      </w:r>
      <w:r>
        <w:rPr>
          <w:rFonts w:ascii="Arial" w:hAnsi="Arial" w:cs="Arial"/>
          <w:lang w:val="en-IN"/>
        </w:rPr>
        <w:t xml:space="preserve"> natural positive phototaxis in </w:t>
      </w:r>
      <w:r>
        <w:rPr>
          <w:rFonts w:ascii="Arial" w:hAnsi="Arial" w:cs="Arial"/>
          <w:i/>
          <w:iCs/>
          <w:lang w:val="en-IN"/>
        </w:rPr>
        <w:t>Drosophila melanogaster</w:t>
      </w:r>
      <w:r>
        <w:rPr>
          <w:rFonts w:ascii="Arial" w:hAnsi="Arial" w:cs="Arial"/>
          <w:lang w:val="en-IN"/>
        </w:rPr>
        <w:t>. However, pretreatment with quercetin significantly restore</w:t>
      </w:r>
      <w:r>
        <w:rPr>
          <w:rFonts w:ascii="Arial" w:hAnsi="Arial" w:cs="Arial"/>
          <w:highlight w:val="yellow"/>
          <w:lang w:val="en-IN"/>
        </w:rPr>
        <w:t>d</w:t>
      </w:r>
      <w:r>
        <w:rPr>
          <w:rFonts w:ascii="Arial" w:hAnsi="Arial" w:cs="Arial"/>
          <w:lang w:val="en-IN"/>
        </w:rPr>
        <w:t xml:space="preserve"> positive phototactic responses under radiation stress. In the experimental groups, UV-C radiation induce</w:t>
      </w:r>
      <w:r>
        <w:rPr>
          <w:rFonts w:ascii="Arial" w:hAnsi="Arial" w:cs="Arial"/>
          <w:highlight w:val="yellow"/>
          <w:lang w:val="en-IN"/>
        </w:rPr>
        <w:t>d</w:t>
      </w:r>
      <w:r>
        <w:rPr>
          <w:rFonts w:ascii="Arial" w:hAnsi="Arial" w:cs="Arial"/>
          <w:lang w:val="en-IN"/>
        </w:rPr>
        <w:t xml:space="preserve"> severe neurofunctional impairment, resulting in delay</w:t>
      </w:r>
      <w:r>
        <w:rPr>
          <w:rFonts w:ascii="Arial" w:hAnsi="Arial" w:cs="Arial"/>
          <w:highlight w:val="yellow"/>
          <w:lang w:val="en-IN"/>
        </w:rPr>
        <w:t>ed</w:t>
      </w:r>
      <w:r>
        <w:rPr>
          <w:rFonts w:ascii="Arial" w:hAnsi="Arial" w:cs="Arial"/>
          <w:lang w:val="en-IN"/>
        </w:rPr>
        <w:t xml:space="preserve"> seizure recovery. Quercetin pretreatment effectively accelerated post-seizure recovery. This antioxidant protected the experimental groups from neurological dysfunction and restored motor coordination. Hence, it can be concluded that protecti</w:t>
      </w:r>
      <w:r>
        <w:rPr>
          <w:rFonts w:ascii="Arial" w:hAnsi="Arial" w:cs="Arial"/>
          <w:highlight w:val="yellow"/>
          <w:lang w:val="en-IN"/>
        </w:rPr>
        <w:t>o</w:t>
      </w:r>
      <w:r>
        <w:rPr>
          <w:rFonts w:ascii="Arial" w:hAnsi="Arial" w:cs="Arial"/>
          <w:lang w:val="en-IN"/>
        </w:rPr>
        <w:t>n</w:t>
      </w:r>
      <w:r>
        <w:rPr>
          <w:rFonts w:ascii="Arial" w:hAnsi="Arial" w:cs="Arial"/>
          <w:highlight w:val="yellow"/>
          <w:lang w:val="en-IN"/>
        </w:rPr>
        <w:t xml:space="preserve"> of</w:t>
      </w:r>
      <w:r>
        <w:rPr>
          <w:rFonts w:ascii="Arial" w:hAnsi="Arial" w:cs="Arial"/>
          <w:lang w:val="en-IN"/>
        </w:rPr>
        <w:t xml:space="preserve"> these core physical, motor, and sensory biomarkers demonstrates its strong potential to counteract UV-C</w:t>
      </w:r>
      <w:r>
        <w:rPr>
          <w:rFonts w:ascii="Arial" w:hAnsi="Arial" w:cs="Arial"/>
          <w:highlight w:val="yellow"/>
          <w:lang w:val="en-IN"/>
        </w:rPr>
        <w:t>-</w:t>
      </w:r>
      <w:r>
        <w:rPr>
          <w:rFonts w:ascii="Arial" w:hAnsi="Arial" w:cs="Arial"/>
          <w:lang w:val="en-IN"/>
        </w:rPr>
        <w:t>radiation</w:t>
      </w:r>
      <w:r>
        <w:rPr>
          <w:rFonts w:ascii="Arial" w:hAnsi="Arial" w:cs="Arial"/>
          <w:highlight w:val="yellow"/>
          <w:lang w:val="en-IN"/>
        </w:rPr>
        <w:t>-</w:t>
      </w:r>
      <w:r>
        <w:rPr>
          <w:rFonts w:ascii="Arial" w:hAnsi="Arial" w:cs="Arial"/>
          <w:lang w:val="en-IN"/>
        </w:rPr>
        <w:t xml:space="preserve">induced damage. These findings highlight quercetin’s broad efficacy as a neuroprotective agent against UV radiation stress. </w:t>
      </w:r>
      <w:r>
        <w:rPr>
          <w:rFonts w:ascii="Arial" w:hAnsi="Arial" w:cs="Arial"/>
          <w:highlight w:val="yellow"/>
          <w:lang w:val="en-IN"/>
        </w:rPr>
        <w:t>This work identifies key functional biomarkers and establishes functional outcomes. Further research is necessary to explain how quercetin works across specific cellular, tissue, and microscopic parameters in this insect model. In addition, testing these effects in mammalian models could pave the way for practical radioprotective therapies.</w:t>
      </w:r>
    </w:p>
    <w:p w14:paraId="5D8951AF" w14:textId="68CE4AF1" w:rsidR="00EF508A" w:rsidRDefault="00056F68" w:rsidP="00EF508A">
      <w:pPr>
        <w:pStyle w:val="Body"/>
        <w:rPr>
          <w:rFonts w:ascii="Arial" w:hAnsi="Arial" w:cs="Arial"/>
          <w:b/>
          <w:bCs/>
        </w:rPr>
      </w:pPr>
      <w:r w:rsidRPr="00056F68">
        <w:rPr>
          <w:rFonts w:ascii="Arial" w:hAnsi="Arial" w:cs="Arial"/>
          <w:b/>
          <w:bCs/>
        </w:rPr>
        <w:t>Limitation</w:t>
      </w:r>
    </w:p>
    <w:p w14:paraId="133049D5" w14:textId="25CBD8E8" w:rsidR="00056F68" w:rsidRPr="00056F68" w:rsidRDefault="00F52CE6" w:rsidP="00EF508A">
      <w:pPr>
        <w:pStyle w:val="Body"/>
        <w:rPr>
          <w:rFonts w:ascii="Arial" w:hAnsi="Arial" w:cs="Arial"/>
          <w:b/>
          <w:bCs/>
          <w:lang w:val="en-IN"/>
        </w:rPr>
      </w:pPr>
      <w:r>
        <w:t xml:space="preserve">This study was conducted in </w:t>
      </w:r>
      <w:r>
        <w:rPr>
          <w:rStyle w:val="Emphasis"/>
        </w:rPr>
        <w:t>Drosophila melanogaster</w:t>
      </w:r>
      <w:r>
        <w:t xml:space="preserve"> using a defined quercetin pretreatment regimen and a single UV-C exposure condition, with outcomes focused on </w:t>
      </w:r>
      <w:proofErr w:type="spellStart"/>
      <w:r>
        <w:t>behavioural</w:t>
      </w:r>
      <w:proofErr w:type="spellEnd"/>
      <w:r>
        <w:t xml:space="preserve"> and functional biomarkers. Cellular, tissue-level, and microscopic mechanisms underlying the observed responses were not examined. Accordingly, the findings are limited to the experimental conditions and invertebrate model used, and further mechanistic studies and validation in mammalian models are required before broader biological or translational conclusions can be drawn.</w:t>
      </w:r>
    </w:p>
    <w:p w14:paraId="780F8475" w14:textId="77777777" w:rsidR="00790ADA" w:rsidRDefault="00790ADA" w:rsidP="00D822FF">
      <w:pPr>
        <w:pStyle w:val="Body"/>
        <w:rPr>
          <w:rFonts w:ascii="Arial" w:hAnsi="Arial" w:cs="Arial"/>
          <w:lang w:val="en-IN"/>
        </w:rPr>
      </w:pPr>
    </w:p>
    <w:p w14:paraId="06596D33" w14:textId="77777777" w:rsidR="0013585F" w:rsidRDefault="0013585F" w:rsidP="0013585F">
      <w:pPr>
        <w:pStyle w:val="DefAcrHead"/>
        <w:spacing w:after="0"/>
        <w:jc w:val="both"/>
        <w:rPr>
          <w:rFonts w:ascii="Arial" w:hAnsi="Arial" w:cs="Arial"/>
        </w:rPr>
      </w:pPr>
      <w:r w:rsidRPr="00FB3A86">
        <w:rPr>
          <w:rFonts w:ascii="Arial" w:hAnsi="Arial" w:cs="Arial"/>
        </w:rPr>
        <w:t>Definitions, Acronyms, Abbreviations</w:t>
      </w:r>
    </w:p>
    <w:p w14:paraId="2FBEF833" w14:textId="77777777" w:rsidR="0013585F" w:rsidRPr="00097732" w:rsidRDefault="0013585F" w:rsidP="0013585F">
      <w:pPr>
        <w:pStyle w:val="Body"/>
        <w:rPr>
          <w:rFonts w:ascii="Arial" w:hAnsi="Arial" w:cs="Arial"/>
          <w:lang w:val="en-IN"/>
        </w:rPr>
      </w:pPr>
      <w:r w:rsidRPr="00097732">
        <w:rPr>
          <w:rFonts w:ascii="Arial" w:hAnsi="Arial" w:cs="Arial"/>
          <w:lang w:val="en-IN"/>
        </w:rPr>
        <w:t>List of Abbreviations &amp; Acronyms</w:t>
      </w:r>
    </w:p>
    <w:p w14:paraId="4C44789F" w14:textId="77777777" w:rsidR="0013585F" w:rsidRDefault="0013585F" w:rsidP="0013585F">
      <w:pPr>
        <w:pStyle w:val="Body"/>
        <w:rPr>
          <w:rFonts w:ascii="Arial" w:hAnsi="Arial" w:cs="Arial"/>
          <w:lang w:val="en-IN"/>
        </w:rPr>
      </w:pPr>
      <w:r>
        <w:rPr>
          <w:rFonts w:ascii="Arial" w:hAnsi="Arial" w:cs="Arial"/>
          <w:b/>
          <w:bCs/>
          <w:lang w:val="en-IN"/>
        </w:rPr>
        <w:t>ANOVA</w:t>
      </w:r>
      <w:r>
        <w:rPr>
          <w:rFonts w:ascii="Arial" w:hAnsi="Arial" w:cs="Arial"/>
          <w:lang w:val="en-IN"/>
        </w:rPr>
        <w:t xml:space="preserve">: </w:t>
      </w:r>
      <w:r>
        <w:rPr>
          <w:rFonts w:ascii="Arial" w:hAnsi="Arial" w:cs="Arial"/>
          <w:bCs/>
          <w:lang w:val="en-IN"/>
        </w:rPr>
        <w:t xml:space="preserve">Analysis of </w:t>
      </w:r>
      <w:r>
        <w:rPr>
          <w:rFonts w:ascii="Arial" w:hAnsi="Arial" w:cs="Arial"/>
          <w:bCs/>
          <w:highlight w:val="yellow"/>
          <w:lang w:val="en-IN"/>
        </w:rPr>
        <w:t>v</w:t>
      </w:r>
      <w:r>
        <w:rPr>
          <w:rFonts w:ascii="Arial" w:hAnsi="Arial" w:cs="Arial"/>
          <w:bCs/>
          <w:lang w:val="en-IN"/>
        </w:rPr>
        <w:t>ariance</w:t>
      </w:r>
      <w:r>
        <w:rPr>
          <w:rFonts w:ascii="Arial" w:hAnsi="Arial" w:cs="Arial"/>
          <w:lang w:val="en-IN"/>
        </w:rPr>
        <w:t xml:space="preserve"> is a statistical test used to compare the means of three or more groups to determine </w:t>
      </w:r>
      <w:r>
        <w:rPr>
          <w:rFonts w:ascii="Arial" w:hAnsi="Arial" w:cs="Arial"/>
          <w:highlight w:val="yellow"/>
          <w:lang w:val="en-IN"/>
        </w:rPr>
        <w:t>whether</w:t>
      </w:r>
      <w:r>
        <w:rPr>
          <w:rFonts w:ascii="Arial" w:hAnsi="Arial" w:cs="Arial"/>
          <w:lang w:val="en-IN"/>
        </w:rPr>
        <w:t xml:space="preserve"> at least one group is significantly different from the others.</w:t>
      </w:r>
    </w:p>
    <w:p w14:paraId="79D43929" w14:textId="77777777" w:rsidR="0013585F" w:rsidRPr="00097732" w:rsidRDefault="0013585F" w:rsidP="0013585F">
      <w:pPr>
        <w:pStyle w:val="Body"/>
        <w:rPr>
          <w:rFonts w:ascii="Arial" w:hAnsi="Arial" w:cs="Arial"/>
          <w:lang w:val="en-IN"/>
        </w:rPr>
      </w:pPr>
      <w:r>
        <w:rPr>
          <w:rFonts w:ascii="Arial" w:hAnsi="Arial" w:cs="Arial"/>
          <w:b/>
          <w:bCs/>
          <w:lang w:val="en-IN"/>
        </w:rPr>
        <w:t xml:space="preserve">CI: </w:t>
      </w:r>
      <w:r>
        <w:rPr>
          <w:rFonts w:ascii="Arial" w:hAnsi="Arial" w:cs="Arial"/>
          <w:b/>
          <w:bCs/>
          <w:highlight w:val="yellow"/>
        </w:rPr>
        <w:t>A c</w:t>
      </w:r>
      <w:r>
        <w:rPr>
          <w:rFonts w:ascii="Arial" w:hAnsi="Arial" w:cs="Arial"/>
          <w:b/>
          <w:bCs/>
        </w:rPr>
        <w:t xml:space="preserve">onfidence </w:t>
      </w:r>
      <w:r>
        <w:rPr>
          <w:rFonts w:ascii="Arial" w:hAnsi="Arial" w:cs="Arial"/>
          <w:b/>
          <w:bCs/>
          <w:highlight w:val="yellow"/>
        </w:rPr>
        <w:t>i</w:t>
      </w:r>
      <w:r>
        <w:rPr>
          <w:rFonts w:ascii="Arial" w:hAnsi="Arial" w:cs="Arial"/>
          <w:b/>
          <w:bCs/>
        </w:rPr>
        <w:t xml:space="preserve">nterval </w:t>
      </w:r>
      <w:r>
        <w:rPr>
          <w:rFonts w:ascii="Arial" w:hAnsi="Arial" w:cs="Arial"/>
        </w:rPr>
        <w:t>is a statistical range computed from sample data that is likely to contain the true population parameter (e.g., mean or effect size) at a set probability level (typically 95%).</w:t>
      </w:r>
    </w:p>
    <w:p w14:paraId="5DA1CC15" w14:textId="77777777" w:rsidR="0013585F" w:rsidRPr="00097732" w:rsidRDefault="0013585F" w:rsidP="0013585F">
      <w:pPr>
        <w:pStyle w:val="Body"/>
        <w:rPr>
          <w:rFonts w:ascii="Arial" w:hAnsi="Arial" w:cs="Arial"/>
          <w:lang w:val="en-IN"/>
        </w:rPr>
      </w:pPr>
      <w:r>
        <w:rPr>
          <w:rFonts w:ascii="Arial" w:hAnsi="Arial" w:cs="Arial"/>
          <w:b/>
          <w:bCs/>
          <w:lang w:val="en-IN"/>
        </w:rPr>
        <w:t>DF / df:</w:t>
      </w:r>
      <w:r>
        <w:rPr>
          <w:rFonts w:ascii="Arial" w:hAnsi="Arial" w:cs="Arial"/>
          <w:lang w:val="en-IN"/>
        </w:rPr>
        <w:t xml:space="preserve"> Degrees of </w:t>
      </w:r>
      <w:r>
        <w:rPr>
          <w:rFonts w:ascii="Arial" w:hAnsi="Arial" w:cs="Arial"/>
          <w:highlight w:val="yellow"/>
          <w:lang w:val="en-IN"/>
        </w:rPr>
        <w:t>f</w:t>
      </w:r>
      <w:r>
        <w:rPr>
          <w:rFonts w:ascii="Arial" w:hAnsi="Arial" w:cs="Arial"/>
          <w:lang w:val="en-IN"/>
        </w:rPr>
        <w:t xml:space="preserve">reedom </w:t>
      </w:r>
      <w:r>
        <w:rPr>
          <w:rFonts w:ascii="Arial" w:hAnsi="Arial" w:cs="Arial"/>
          <w:highlight w:val="yellow"/>
          <w:lang w:val="en-IN"/>
        </w:rPr>
        <w:t>represent t</w:t>
      </w:r>
      <w:r>
        <w:rPr>
          <w:rFonts w:ascii="Arial" w:hAnsi="Arial" w:cs="Arial"/>
          <w:lang w:val="en-IN"/>
        </w:rPr>
        <w:t>he number of independent values or quantities that can vary in a statistical calculation.</w:t>
      </w:r>
    </w:p>
    <w:p w14:paraId="231F3AF1" w14:textId="77777777" w:rsidR="0013585F" w:rsidRPr="00097732" w:rsidRDefault="0013585F" w:rsidP="0013585F">
      <w:pPr>
        <w:pStyle w:val="Body"/>
        <w:rPr>
          <w:rFonts w:ascii="Arial" w:hAnsi="Arial" w:cs="Arial"/>
          <w:lang w:val="en-IN"/>
        </w:rPr>
      </w:pPr>
      <w:r w:rsidRPr="003267C5">
        <w:rPr>
          <w:rFonts w:ascii="Arial" w:hAnsi="Arial" w:cs="Arial"/>
          <w:b/>
          <w:bCs/>
          <w:i/>
          <w:iCs/>
          <w:lang w:val="en-IN"/>
        </w:rPr>
        <w:t>Drosophila melanogaster</w:t>
      </w:r>
      <w:r w:rsidRPr="00097732">
        <w:rPr>
          <w:rFonts w:ascii="Arial" w:hAnsi="Arial" w:cs="Arial"/>
          <w:lang w:val="en-IN"/>
        </w:rPr>
        <w:t>: The common fruit fly; a prominent invertebrate model organism in genetics, neurobiology, and oxidative stress studies.</w:t>
      </w:r>
    </w:p>
    <w:p w14:paraId="0024E5F4" w14:textId="77777777" w:rsidR="0013585F" w:rsidRDefault="0013585F" w:rsidP="0013585F">
      <w:pPr>
        <w:pStyle w:val="Body"/>
        <w:rPr>
          <w:rFonts w:ascii="Arial" w:hAnsi="Arial" w:cs="Arial"/>
          <w:lang w:val="en-IN"/>
        </w:rPr>
      </w:pPr>
      <w:r w:rsidRPr="003267C5">
        <w:rPr>
          <w:rFonts w:ascii="Arial" w:hAnsi="Arial" w:cs="Arial"/>
          <w:b/>
          <w:bCs/>
          <w:lang w:val="en-IN"/>
        </w:rPr>
        <w:lastRenderedPageBreak/>
        <w:t>Dunnett’s Test</w:t>
      </w:r>
      <w:r w:rsidRPr="00097732">
        <w:rPr>
          <w:rFonts w:ascii="Arial" w:hAnsi="Arial" w:cs="Arial"/>
          <w:lang w:val="en-IN"/>
        </w:rPr>
        <w:t>: A post-hoc multiple comparison procedure used to compare each of several treatment groups against a single control baseline.</w:t>
      </w:r>
    </w:p>
    <w:p w14:paraId="2296702C" w14:textId="77777777" w:rsidR="0013585F" w:rsidRPr="00097732" w:rsidRDefault="0013585F" w:rsidP="0013585F">
      <w:pPr>
        <w:pStyle w:val="Body"/>
        <w:rPr>
          <w:rFonts w:ascii="Arial" w:hAnsi="Arial" w:cs="Arial"/>
          <w:lang w:val="en-IN"/>
        </w:rPr>
      </w:pPr>
      <w:proofErr w:type="spellStart"/>
      <w:r w:rsidRPr="003267C5">
        <w:rPr>
          <w:rFonts w:ascii="Arial" w:hAnsi="Arial" w:cs="Arial"/>
          <w:b/>
          <w:bCs/>
          <w:lang w:val="en-IN"/>
        </w:rPr>
        <w:t>Eclosion</w:t>
      </w:r>
      <w:proofErr w:type="spellEnd"/>
      <w:r w:rsidRPr="00097732">
        <w:rPr>
          <w:rFonts w:ascii="Arial" w:hAnsi="Arial" w:cs="Arial"/>
          <w:lang w:val="en-IN"/>
        </w:rPr>
        <w:t>: The process of an adult insect emerging from the pupal case.</w:t>
      </w:r>
    </w:p>
    <w:p w14:paraId="005A1A1D" w14:textId="77777777" w:rsidR="0013585F" w:rsidRPr="00097732" w:rsidRDefault="0013585F" w:rsidP="0013585F">
      <w:pPr>
        <w:pStyle w:val="Body"/>
        <w:rPr>
          <w:rFonts w:ascii="Arial" w:hAnsi="Arial" w:cs="Arial"/>
          <w:lang w:val="en-IN"/>
        </w:rPr>
      </w:pPr>
      <w:proofErr w:type="spellStart"/>
      <w:r w:rsidRPr="003267C5">
        <w:rPr>
          <w:rFonts w:ascii="Arial" w:hAnsi="Arial" w:cs="Arial"/>
          <w:b/>
          <w:bCs/>
          <w:lang w:val="en-IN"/>
        </w:rPr>
        <w:t>Eclosion</w:t>
      </w:r>
      <w:proofErr w:type="spellEnd"/>
      <w:r w:rsidRPr="00097732">
        <w:rPr>
          <w:rFonts w:ascii="Arial" w:hAnsi="Arial" w:cs="Arial"/>
          <w:lang w:val="en-IN"/>
        </w:rPr>
        <w:t xml:space="preserve"> </w:t>
      </w:r>
      <w:r w:rsidRPr="003267C5">
        <w:rPr>
          <w:rFonts w:ascii="Arial" w:hAnsi="Arial" w:cs="Arial"/>
          <w:b/>
          <w:bCs/>
          <w:lang w:val="en-IN"/>
        </w:rPr>
        <w:t>Rate</w:t>
      </w:r>
      <w:r w:rsidRPr="00097732">
        <w:rPr>
          <w:rFonts w:ascii="Arial" w:hAnsi="Arial" w:cs="Arial"/>
          <w:lang w:val="en-IN"/>
        </w:rPr>
        <w:t>: The percentage of pupae that successfully complete metamorphosis and emerge as viable adult flies.</w:t>
      </w:r>
    </w:p>
    <w:p w14:paraId="1BA86909" w14:textId="77777777" w:rsidR="0013585F" w:rsidRPr="00097732" w:rsidRDefault="0013585F" w:rsidP="0013585F">
      <w:pPr>
        <w:pStyle w:val="Body"/>
        <w:rPr>
          <w:rFonts w:ascii="Arial" w:hAnsi="Arial" w:cs="Arial"/>
          <w:lang w:val="en-IN"/>
        </w:rPr>
      </w:pPr>
      <w:r w:rsidRPr="003267C5">
        <w:rPr>
          <w:rFonts w:ascii="Arial" w:hAnsi="Arial" w:cs="Arial"/>
          <w:b/>
          <w:bCs/>
          <w:lang w:val="en-IN"/>
        </w:rPr>
        <w:t>Flavonoid</w:t>
      </w:r>
      <w:r w:rsidRPr="00097732">
        <w:rPr>
          <w:rFonts w:ascii="Arial" w:hAnsi="Arial" w:cs="Arial"/>
          <w:lang w:val="en-IN"/>
        </w:rPr>
        <w:t>: A class of plant secondary metabolites with variable polyphenolic structures, renowned for potent antioxidant, free-radical scavenging, and radioprotective properties.</w:t>
      </w:r>
    </w:p>
    <w:p w14:paraId="26D22EFA" w14:textId="77777777" w:rsidR="0013585F" w:rsidRDefault="0013585F" w:rsidP="0013585F">
      <w:pPr>
        <w:pStyle w:val="Body"/>
        <w:rPr>
          <w:rFonts w:ascii="Arial" w:hAnsi="Arial" w:cs="Arial"/>
          <w:lang w:val="en-IN"/>
        </w:rPr>
      </w:pPr>
      <w:r w:rsidRPr="00C23CE5">
        <w:rPr>
          <w:rFonts w:ascii="Arial" w:hAnsi="Arial" w:cs="Arial"/>
          <w:b/>
          <w:bCs/>
          <w:lang w:val="en-IN"/>
        </w:rPr>
        <w:t>HSD:</w:t>
      </w:r>
      <w:r w:rsidRPr="00097732">
        <w:rPr>
          <w:rFonts w:ascii="Arial" w:hAnsi="Arial" w:cs="Arial"/>
          <w:lang w:val="en-IN"/>
        </w:rPr>
        <w:t xml:space="preserve"> Honest Significant Difference (Tukey’s test)</w:t>
      </w:r>
      <w:r>
        <w:rPr>
          <w:rFonts w:ascii="Arial" w:hAnsi="Arial" w:cs="Arial"/>
          <w:lang w:val="en-IN"/>
        </w:rPr>
        <w:t xml:space="preserve"> is</w:t>
      </w:r>
      <w:r w:rsidRPr="00276999">
        <w:rPr>
          <w:rFonts w:ascii="Arial" w:hAnsi="Arial" w:cs="Arial"/>
        </w:rPr>
        <w:t xml:space="preserve"> a post-hoc test used after ANOVA to identify which specific experimental group means differ significantly from each other.</w:t>
      </w:r>
    </w:p>
    <w:p w14:paraId="6860F13A" w14:textId="77777777" w:rsidR="0013585F" w:rsidRPr="00097732" w:rsidRDefault="0013585F" w:rsidP="0013585F">
      <w:pPr>
        <w:pStyle w:val="Body"/>
        <w:rPr>
          <w:rFonts w:ascii="Arial" w:hAnsi="Arial" w:cs="Arial"/>
          <w:lang w:val="en-IN"/>
        </w:rPr>
      </w:pPr>
      <w:r w:rsidRPr="003267C5">
        <w:rPr>
          <w:rFonts w:ascii="Arial" w:hAnsi="Arial" w:cs="Arial"/>
          <w:b/>
          <w:bCs/>
          <w:lang w:val="en-IN"/>
        </w:rPr>
        <w:t>Ionizing Radiation (IR):</w:t>
      </w:r>
      <w:r w:rsidRPr="00097732">
        <w:rPr>
          <w:rFonts w:ascii="Arial" w:hAnsi="Arial" w:cs="Arial"/>
          <w:lang w:val="en-IN"/>
        </w:rPr>
        <w:t xml:space="preserve"> High-frequency electromagnetic or particulate radiation capable of detaching electrons from atoms or molecules, causing severe genomic and cellular damage.</w:t>
      </w:r>
    </w:p>
    <w:p w14:paraId="6A13380D" w14:textId="77777777" w:rsidR="0013585F" w:rsidRDefault="0013585F" w:rsidP="0013585F">
      <w:pPr>
        <w:pStyle w:val="Body"/>
        <w:rPr>
          <w:rFonts w:ascii="Arial" w:hAnsi="Arial" w:cs="Arial"/>
          <w:lang w:val="en-IN"/>
        </w:rPr>
      </w:pPr>
      <w:r>
        <w:rPr>
          <w:rFonts w:ascii="Arial" w:hAnsi="Arial" w:cs="Arial"/>
          <w:b/>
          <w:bCs/>
          <w:lang w:val="en-IN"/>
        </w:rPr>
        <w:t>Kaplan-Meier Survival Analysis</w:t>
      </w:r>
      <w:r>
        <w:rPr>
          <w:rFonts w:ascii="Arial" w:hAnsi="Arial" w:cs="Arial"/>
          <w:lang w:val="en-IN"/>
        </w:rPr>
        <w:t>: A non-parametric statistic</w:t>
      </w:r>
      <w:r>
        <w:rPr>
          <w:rFonts w:ascii="Arial" w:hAnsi="Arial" w:cs="Arial"/>
          <w:highlight w:val="yellow"/>
          <w:lang w:val="en-IN"/>
        </w:rPr>
        <w:t>al method</w:t>
      </w:r>
      <w:r>
        <w:rPr>
          <w:rFonts w:ascii="Arial" w:hAnsi="Arial" w:cs="Arial"/>
          <w:lang w:val="en-IN"/>
        </w:rPr>
        <w:t xml:space="preserve"> used to estimate the survival function or recovery kinetics from time-to-event data.</w:t>
      </w:r>
    </w:p>
    <w:p w14:paraId="7E5A3FD5" w14:textId="77777777" w:rsidR="0013585F" w:rsidRDefault="0013585F" w:rsidP="0013585F">
      <w:pPr>
        <w:pStyle w:val="Body"/>
        <w:rPr>
          <w:rFonts w:ascii="Arial" w:hAnsi="Arial" w:cs="Arial"/>
          <w:lang w:val="en-IN"/>
        </w:rPr>
      </w:pPr>
      <w:r w:rsidRPr="003267C5">
        <w:rPr>
          <w:rFonts w:ascii="Arial" w:hAnsi="Arial" w:cs="Arial"/>
          <w:b/>
          <w:bCs/>
          <w:lang w:val="en-IN"/>
        </w:rPr>
        <w:t>Log-Rank (Mantel-Cox) Test</w:t>
      </w:r>
      <w:r w:rsidRPr="00097732">
        <w:rPr>
          <w:rFonts w:ascii="Arial" w:hAnsi="Arial" w:cs="Arial"/>
          <w:lang w:val="en-IN"/>
        </w:rPr>
        <w:t>: A non-parametric hypothesis test used to compare the survival or recovery distributions of two or more independent groups.</w:t>
      </w:r>
    </w:p>
    <w:p w14:paraId="674FCAE8" w14:textId="77777777" w:rsidR="0013585F" w:rsidRPr="00097732" w:rsidRDefault="0013585F" w:rsidP="0013585F">
      <w:pPr>
        <w:pStyle w:val="Body"/>
        <w:rPr>
          <w:rFonts w:ascii="Arial" w:hAnsi="Arial" w:cs="Arial"/>
          <w:lang w:val="en-IN"/>
        </w:rPr>
      </w:pPr>
      <w:r>
        <w:rPr>
          <w:rFonts w:ascii="Arial" w:hAnsi="Arial" w:cs="Arial"/>
          <w:b/>
          <w:bCs/>
          <w:lang w:val="en-IN"/>
        </w:rPr>
        <w:t>Negative Geotaxis</w:t>
      </w:r>
      <w:r>
        <w:rPr>
          <w:rFonts w:ascii="Arial" w:hAnsi="Arial" w:cs="Arial"/>
          <w:lang w:val="en-IN"/>
        </w:rPr>
        <w:t xml:space="preserve">: An innate directional response </w:t>
      </w:r>
      <w:r>
        <w:rPr>
          <w:rFonts w:ascii="Arial" w:hAnsi="Arial" w:cs="Arial"/>
          <w:highlight w:val="yellow"/>
          <w:lang w:val="en-IN"/>
        </w:rPr>
        <w:t xml:space="preserve">in </w:t>
      </w:r>
      <w:r>
        <w:rPr>
          <w:rFonts w:ascii="Arial" w:hAnsi="Arial" w:cs="Arial"/>
          <w:lang w:val="en-IN"/>
        </w:rPr>
        <w:t>wh</w:t>
      </w:r>
      <w:r>
        <w:rPr>
          <w:rFonts w:ascii="Arial" w:hAnsi="Arial" w:cs="Arial"/>
          <w:highlight w:val="yellow"/>
          <w:lang w:val="en-IN"/>
        </w:rPr>
        <w:t>ich</w:t>
      </w:r>
      <w:r>
        <w:rPr>
          <w:rFonts w:ascii="Arial" w:hAnsi="Arial" w:cs="Arial"/>
          <w:lang w:val="en-IN"/>
        </w:rPr>
        <w:t xml:space="preserve"> organisms move upward against the vector of gravity upon mechanical disturbance.</w:t>
      </w:r>
    </w:p>
    <w:p w14:paraId="7B282249" w14:textId="77777777" w:rsidR="0013585F" w:rsidRPr="00097732" w:rsidRDefault="0013585F" w:rsidP="0013585F">
      <w:pPr>
        <w:pStyle w:val="Body"/>
        <w:rPr>
          <w:rFonts w:ascii="Arial" w:hAnsi="Arial" w:cs="Arial"/>
          <w:lang w:val="en-IN"/>
        </w:rPr>
      </w:pPr>
      <w:r>
        <w:rPr>
          <w:rFonts w:ascii="Arial" w:hAnsi="Arial" w:cs="Arial"/>
          <w:b/>
          <w:bCs/>
          <w:lang w:val="en-IN"/>
        </w:rPr>
        <w:t>Non-Ioni</w:t>
      </w:r>
      <w:r>
        <w:rPr>
          <w:rFonts w:ascii="Arial" w:hAnsi="Arial" w:cs="Arial"/>
          <w:b/>
          <w:bCs/>
          <w:highlight w:val="yellow"/>
          <w:lang w:val="en-IN"/>
        </w:rPr>
        <w:t>s</w:t>
      </w:r>
      <w:r>
        <w:rPr>
          <w:rFonts w:ascii="Arial" w:hAnsi="Arial" w:cs="Arial"/>
          <w:b/>
          <w:bCs/>
          <w:lang w:val="en-IN"/>
        </w:rPr>
        <w:t>ing Radiation (NIR):</w:t>
      </w:r>
      <w:r>
        <w:rPr>
          <w:rFonts w:ascii="Arial" w:hAnsi="Arial" w:cs="Arial"/>
          <w:lang w:val="en-IN"/>
        </w:rPr>
        <w:t xml:space="preserve"> Lower-frequency electromagnetic radiation (such as UV, visible light, and infrared) that lacks sufficient energy to ioni</w:t>
      </w:r>
      <w:r>
        <w:rPr>
          <w:rFonts w:ascii="Arial" w:hAnsi="Arial" w:cs="Arial"/>
          <w:highlight w:val="yellow"/>
          <w:lang w:val="en-IN"/>
        </w:rPr>
        <w:t>s</w:t>
      </w:r>
      <w:r>
        <w:rPr>
          <w:rFonts w:ascii="Arial" w:hAnsi="Arial" w:cs="Arial"/>
          <w:lang w:val="en-IN"/>
        </w:rPr>
        <w:t>e atoms but can still induce photochemical and thermal damage.</w:t>
      </w:r>
    </w:p>
    <w:p w14:paraId="4DB83BF6" w14:textId="77777777" w:rsidR="0013585F" w:rsidRPr="00097732" w:rsidRDefault="0013585F" w:rsidP="0013585F">
      <w:pPr>
        <w:pStyle w:val="Body"/>
        <w:rPr>
          <w:rFonts w:ascii="Arial" w:hAnsi="Arial" w:cs="Arial"/>
          <w:lang w:val="en-IN"/>
        </w:rPr>
      </w:pPr>
      <w:r>
        <w:rPr>
          <w:rFonts w:ascii="Arial" w:hAnsi="Arial" w:cs="Arial"/>
          <w:b/>
          <w:bCs/>
          <w:i/>
          <w:iCs/>
          <w:lang w:val="en-IN"/>
        </w:rPr>
        <w:t>p-value</w:t>
      </w:r>
      <w:r>
        <w:rPr>
          <w:rFonts w:ascii="Arial" w:hAnsi="Arial" w:cs="Arial"/>
          <w:lang w:val="en-IN"/>
        </w:rPr>
        <w:t>: The probability of obtaining test results at least as extreme as the observed results, assuming th</w:t>
      </w:r>
      <w:r>
        <w:rPr>
          <w:rFonts w:ascii="Arial" w:hAnsi="Arial" w:cs="Arial"/>
          <w:highlight w:val="yellow"/>
          <w:lang w:val="en-IN"/>
        </w:rPr>
        <w:t>at th</w:t>
      </w:r>
      <w:r>
        <w:rPr>
          <w:rFonts w:ascii="Arial" w:hAnsi="Arial" w:cs="Arial"/>
          <w:lang w:val="en-IN"/>
        </w:rPr>
        <w:t>e null hypothesis is correct (statistical significance).</w:t>
      </w:r>
    </w:p>
    <w:p w14:paraId="2FE12682" w14:textId="77777777" w:rsidR="0013585F" w:rsidRPr="00097732" w:rsidRDefault="0013585F" w:rsidP="0013585F">
      <w:pPr>
        <w:pStyle w:val="Body"/>
        <w:rPr>
          <w:rFonts w:ascii="Arial" w:hAnsi="Arial" w:cs="Arial"/>
          <w:lang w:val="en-IN"/>
        </w:rPr>
      </w:pPr>
      <w:r>
        <w:rPr>
          <w:rFonts w:ascii="Arial" w:hAnsi="Arial" w:cs="Arial"/>
          <w:b/>
          <w:bCs/>
          <w:lang w:val="en-IN"/>
        </w:rPr>
        <w:t>Phototaxis</w:t>
      </w:r>
      <w:r>
        <w:rPr>
          <w:rFonts w:ascii="Arial" w:hAnsi="Arial" w:cs="Arial"/>
          <w:lang w:val="en-IN"/>
        </w:rPr>
        <w:t>: The directional movement of an organism in response to a light stimulus, categori</w:t>
      </w:r>
      <w:r>
        <w:rPr>
          <w:rFonts w:ascii="Arial" w:hAnsi="Arial" w:cs="Arial"/>
          <w:highlight w:val="yellow"/>
          <w:lang w:val="en-IN"/>
        </w:rPr>
        <w:t>s</w:t>
      </w:r>
      <w:r>
        <w:rPr>
          <w:rFonts w:ascii="Arial" w:hAnsi="Arial" w:cs="Arial"/>
          <w:lang w:val="en-IN"/>
        </w:rPr>
        <w:t>ed as positive (+ve; movement toward</w:t>
      </w:r>
      <w:r>
        <w:rPr>
          <w:rFonts w:ascii="Arial" w:hAnsi="Arial" w:cs="Arial"/>
          <w:highlight w:val="yellow"/>
          <w:lang w:val="en-IN"/>
        </w:rPr>
        <w:t>s</w:t>
      </w:r>
      <w:r>
        <w:rPr>
          <w:rFonts w:ascii="Arial" w:hAnsi="Arial" w:cs="Arial"/>
          <w:lang w:val="en-IN"/>
        </w:rPr>
        <w:t xml:space="preserve"> light) or negative (-ve; movement away from light).</w:t>
      </w:r>
    </w:p>
    <w:p w14:paraId="6B8F1068" w14:textId="77777777" w:rsidR="0013585F" w:rsidRPr="00097732" w:rsidRDefault="0013585F" w:rsidP="0013585F">
      <w:pPr>
        <w:pStyle w:val="Body"/>
        <w:rPr>
          <w:rFonts w:ascii="Arial" w:hAnsi="Arial" w:cs="Arial"/>
          <w:lang w:val="en-IN"/>
        </w:rPr>
      </w:pPr>
      <w:r w:rsidRPr="003267C5">
        <w:rPr>
          <w:rFonts w:ascii="Arial" w:hAnsi="Arial" w:cs="Arial"/>
          <w:b/>
          <w:bCs/>
          <w:lang w:val="en-IN"/>
        </w:rPr>
        <w:t>Quercetin</w:t>
      </w:r>
      <w:r w:rsidRPr="00097732">
        <w:rPr>
          <w:rFonts w:ascii="Arial" w:hAnsi="Arial" w:cs="Arial"/>
          <w:lang w:val="en-IN"/>
        </w:rPr>
        <w:t>: A naturally occurring polyphenolic flavonoid (</w:t>
      </w:r>
      <m:oMath>
        <m:sSub>
          <m:sSubPr>
            <m:ctrlPr>
              <w:rPr>
                <w:rFonts w:ascii="Cambria Math" w:hAnsi="Cambria Math" w:cs="Arial"/>
                <w:lang w:val="en-IN"/>
              </w:rPr>
            </m:ctrlPr>
          </m:sSubPr>
          <m:e>
            <m:r>
              <w:rPr>
                <w:rFonts w:ascii="Cambria Math" w:hAnsi="Cambria Math" w:cs="Arial"/>
                <w:lang w:val="en-IN"/>
              </w:rPr>
              <m:t>C</m:t>
            </m:r>
          </m:e>
          <m:sub>
            <m:r>
              <w:rPr>
                <w:rFonts w:ascii="Cambria Math" w:hAnsi="Cambria Math" w:cs="Arial"/>
                <w:lang w:val="en-IN"/>
              </w:rPr>
              <m:t>15</m:t>
            </m:r>
          </m:sub>
        </m:sSub>
        <m:sSub>
          <m:sSubPr>
            <m:ctrlPr>
              <w:rPr>
                <w:rFonts w:ascii="Cambria Math" w:hAnsi="Cambria Math" w:cs="Arial"/>
                <w:lang w:val="en-IN"/>
              </w:rPr>
            </m:ctrlPr>
          </m:sSubPr>
          <m:e>
            <m:r>
              <w:rPr>
                <w:rFonts w:ascii="Cambria Math" w:hAnsi="Cambria Math" w:cs="Arial"/>
                <w:lang w:val="en-IN"/>
              </w:rPr>
              <m:t>H</m:t>
            </m:r>
          </m:e>
          <m:sub>
            <m:r>
              <w:rPr>
                <w:rFonts w:ascii="Cambria Math" w:hAnsi="Cambria Math" w:cs="Arial"/>
                <w:lang w:val="en-IN"/>
              </w:rPr>
              <m:t>10</m:t>
            </m:r>
          </m:sub>
        </m:sSub>
        <m:sSub>
          <m:sSubPr>
            <m:ctrlPr>
              <w:rPr>
                <w:rFonts w:ascii="Cambria Math" w:hAnsi="Cambria Math" w:cs="Arial"/>
                <w:lang w:val="en-IN"/>
              </w:rPr>
            </m:ctrlPr>
          </m:sSubPr>
          <m:e>
            <m:r>
              <w:rPr>
                <w:rFonts w:ascii="Cambria Math" w:hAnsi="Cambria Math" w:cs="Arial"/>
                <w:lang w:val="en-IN"/>
              </w:rPr>
              <m:t>O</m:t>
            </m:r>
          </m:e>
          <m:sub>
            <m:r>
              <w:rPr>
                <w:rFonts w:ascii="Cambria Math" w:hAnsi="Cambria Math" w:cs="Arial"/>
                <w:lang w:val="en-IN"/>
              </w:rPr>
              <m:t>7</m:t>
            </m:r>
          </m:sub>
        </m:sSub>
      </m:oMath>
      <w:r w:rsidRPr="00097732">
        <w:rPr>
          <w:rFonts w:ascii="Arial" w:hAnsi="Arial" w:cs="Arial"/>
          <w:lang w:val="en-IN"/>
        </w:rPr>
        <w:t>) abundant in fruits and vegetables, recognized for its ROS-scavenging and anti-apoptotic properties.</w:t>
      </w:r>
    </w:p>
    <w:p w14:paraId="6A75550C" w14:textId="77777777" w:rsidR="0013585F" w:rsidRPr="00097732" w:rsidRDefault="0013585F" w:rsidP="0013585F">
      <w:pPr>
        <w:pStyle w:val="Body"/>
        <w:rPr>
          <w:rFonts w:ascii="Arial" w:hAnsi="Arial" w:cs="Arial"/>
          <w:lang w:val="en-IN"/>
        </w:rPr>
      </w:pPr>
      <w:r w:rsidRPr="003267C5">
        <w:rPr>
          <w:rFonts w:ascii="Arial" w:hAnsi="Arial" w:cs="Arial"/>
          <w:b/>
          <w:bCs/>
          <w:lang w:val="en-IN"/>
        </w:rPr>
        <w:t>Reactive Oxygen Species (ROS</w:t>
      </w:r>
      <w:r w:rsidRPr="00097732">
        <w:rPr>
          <w:rFonts w:ascii="Arial" w:hAnsi="Arial" w:cs="Arial"/>
          <w:lang w:val="en-IN"/>
        </w:rPr>
        <w:t>): Highly reactive chemical species formed from diatomic oxygen, capable of causing oxidative damage to lipids, proteins, and DNA following UV radiation exposure.</w:t>
      </w:r>
    </w:p>
    <w:p w14:paraId="324CA386" w14:textId="77777777" w:rsidR="0013585F" w:rsidRPr="00097732" w:rsidRDefault="0013585F" w:rsidP="0013585F">
      <w:pPr>
        <w:pStyle w:val="Body"/>
        <w:rPr>
          <w:rFonts w:ascii="Arial" w:hAnsi="Arial" w:cs="Arial"/>
          <w:lang w:val="en-IN"/>
        </w:rPr>
      </w:pPr>
      <w:r w:rsidRPr="00276999">
        <w:rPr>
          <w:rFonts w:ascii="Arial" w:hAnsi="Arial" w:cs="Arial"/>
          <w:b/>
          <w:bCs/>
          <w:lang w:val="en-IN"/>
        </w:rPr>
        <w:t>SEM (Standard Error of the Mean):</w:t>
      </w:r>
      <w:r w:rsidRPr="00097732">
        <w:rPr>
          <w:rFonts w:ascii="Arial" w:hAnsi="Arial" w:cs="Arial"/>
          <w:lang w:val="en-IN"/>
        </w:rPr>
        <w:t xml:space="preserve"> A measure of the statistical dispersion or variability of sample means around the population mean.</w:t>
      </w:r>
    </w:p>
    <w:p w14:paraId="412A1050" w14:textId="77777777" w:rsidR="0013585F" w:rsidRPr="00097732" w:rsidRDefault="0013585F" w:rsidP="0013585F">
      <w:pPr>
        <w:pStyle w:val="Body"/>
        <w:rPr>
          <w:rFonts w:ascii="Arial" w:hAnsi="Arial" w:cs="Arial"/>
          <w:lang w:val="en-IN"/>
        </w:rPr>
      </w:pPr>
      <w:r w:rsidRPr="00276999">
        <w:rPr>
          <w:rFonts w:ascii="Arial" w:hAnsi="Arial" w:cs="Arial"/>
          <w:b/>
          <w:bCs/>
          <w:lang w:val="en-IN"/>
        </w:rPr>
        <w:t>Tukey’s HSD Test:</w:t>
      </w:r>
      <w:r w:rsidRPr="00097732">
        <w:rPr>
          <w:rFonts w:ascii="Arial" w:hAnsi="Arial" w:cs="Arial"/>
          <w:lang w:val="en-IN"/>
        </w:rPr>
        <w:t xml:space="preserve"> Tukey’s Honest Significant Difference test; a single-step post-hoc multiple comparison procedure used to find means that are significantly different from each other across all group pairs.</w:t>
      </w:r>
    </w:p>
    <w:p w14:paraId="05C0B597" w14:textId="77777777" w:rsidR="0013585F" w:rsidRPr="00097732" w:rsidRDefault="0013585F" w:rsidP="0013585F">
      <w:pPr>
        <w:pStyle w:val="Body"/>
        <w:rPr>
          <w:rFonts w:ascii="Arial" w:hAnsi="Arial" w:cs="Arial"/>
          <w:lang w:val="en-IN"/>
        </w:rPr>
      </w:pPr>
      <w:r w:rsidRPr="00276999">
        <w:rPr>
          <w:rFonts w:ascii="Arial" w:hAnsi="Arial" w:cs="Arial"/>
          <w:b/>
          <w:bCs/>
          <w:lang w:val="en-IN"/>
        </w:rPr>
        <w:lastRenderedPageBreak/>
        <w:t>UV Radiation</w:t>
      </w:r>
      <w:r w:rsidRPr="00097732">
        <w:rPr>
          <w:rFonts w:ascii="Arial" w:hAnsi="Arial" w:cs="Arial"/>
          <w:lang w:val="en-IN"/>
        </w:rPr>
        <w:t>: Ultraviolet Radiation; electromagnetic radiation in the wavelength band of 100 nm to 400 nm, subdivided into UV-A (315–400 nm), UV-B (280–315 nm), and UV-C (100–280 nm).</w:t>
      </w:r>
    </w:p>
    <w:p w14:paraId="4D03243E" w14:textId="77777777" w:rsidR="0013585F" w:rsidRPr="00062AAF" w:rsidRDefault="0013585F" w:rsidP="0013585F">
      <w:pPr>
        <w:pStyle w:val="Body"/>
        <w:rPr>
          <w:rFonts w:ascii="Arial" w:hAnsi="Arial" w:cs="Arial"/>
          <w:lang w:val="en-IN"/>
        </w:rPr>
        <w:sectPr w:rsidR="0013585F" w:rsidRPr="00062AAF" w:rsidSect="00131E35">
          <w:headerReference w:type="even" r:id="rId18"/>
          <w:headerReference w:type="default" r:id="rId19"/>
          <w:footerReference w:type="default" r:id="rId20"/>
          <w:headerReference w:type="first" r:id="rId21"/>
          <w:type w:val="continuous"/>
          <w:pgSz w:w="12240" w:h="15840"/>
          <w:pgMar w:top="1440" w:right="2016" w:bottom="2016" w:left="2016" w:header="720" w:footer="1123" w:gutter="0"/>
          <w:cols w:space="720"/>
          <w:docGrid w:linePitch="272"/>
        </w:sectPr>
      </w:pPr>
      <w:r w:rsidRPr="00276999">
        <w:rPr>
          <w:rFonts w:ascii="Arial" w:hAnsi="Arial" w:cs="Arial"/>
          <w:b/>
          <w:bCs/>
          <w:lang w:val="en-IN"/>
        </w:rPr>
        <w:t>UV-C</w:t>
      </w:r>
      <w:r w:rsidRPr="00097732">
        <w:rPr>
          <w:rFonts w:ascii="Arial" w:hAnsi="Arial" w:cs="Arial"/>
          <w:lang w:val="en-IN"/>
        </w:rPr>
        <w:t>: The highest-energy waveband of non-ionizing ultraviolet radiation (100–280 nm), known to induce severe pyrimidine dimer formation, double-strand DNA breaks, and oxidative damage.</w:t>
      </w:r>
    </w:p>
    <w:p w14:paraId="0C9235D2" w14:textId="77777777" w:rsidR="0013585F" w:rsidRPr="00FB3A86" w:rsidRDefault="0013585F" w:rsidP="0013585F">
      <w:pPr>
        <w:pStyle w:val="Appendix"/>
        <w:spacing w:after="0"/>
        <w:jc w:val="both"/>
        <w:rPr>
          <w:rFonts w:ascii="Arial" w:hAnsi="Arial" w:cs="Arial"/>
          <w:b w:val="0"/>
        </w:rPr>
      </w:pPr>
    </w:p>
    <w:p w14:paraId="60275DDA" w14:textId="77777777" w:rsidR="0013585F" w:rsidRPr="00FB3A86" w:rsidRDefault="0013585F" w:rsidP="00D822FF">
      <w:pPr>
        <w:pStyle w:val="Body"/>
        <w:rPr>
          <w:rFonts w:ascii="Arial" w:hAnsi="Arial" w:cs="Arial"/>
        </w:rPr>
      </w:pPr>
    </w:p>
    <w:p w14:paraId="6148669C" w14:textId="77777777" w:rsidR="0013585F" w:rsidRDefault="0013585F" w:rsidP="00441B6F">
      <w:pPr>
        <w:pStyle w:val="ReferHead"/>
        <w:spacing w:after="0"/>
        <w:jc w:val="both"/>
        <w:rPr>
          <w:rFonts w:ascii="Arial" w:hAnsi="Arial" w:cs="Arial"/>
          <w:b w:val="0"/>
          <w:caps w:val="0"/>
          <w:sz w:val="20"/>
          <w:u w:val="single"/>
        </w:rPr>
      </w:pPr>
    </w:p>
    <w:p w14:paraId="31955686" w14:textId="77777777" w:rsidR="00131E35" w:rsidRDefault="00131E35" w:rsidP="00441B6F">
      <w:pPr>
        <w:pStyle w:val="ReferHead"/>
        <w:spacing w:after="0"/>
        <w:jc w:val="both"/>
        <w:rPr>
          <w:rFonts w:ascii="Arial" w:hAnsi="Arial" w:cs="Arial"/>
          <w:b w:val="0"/>
          <w:caps w:val="0"/>
          <w:sz w:val="20"/>
          <w:u w:val="single"/>
        </w:rPr>
      </w:pPr>
    </w:p>
    <w:p w14:paraId="49252314" w14:textId="77777777" w:rsidR="00131E35" w:rsidRDefault="00131E35" w:rsidP="00441B6F">
      <w:pPr>
        <w:pStyle w:val="ReferHead"/>
        <w:spacing w:after="0"/>
        <w:jc w:val="both"/>
        <w:rPr>
          <w:rFonts w:ascii="Arial" w:hAnsi="Arial" w:cs="Arial"/>
          <w:b w:val="0"/>
          <w:caps w:val="0"/>
          <w:sz w:val="20"/>
          <w:u w:val="single"/>
        </w:rPr>
      </w:pPr>
    </w:p>
    <w:p w14:paraId="30BF8C49" w14:textId="77777777" w:rsidR="00131E35" w:rsidRDefault="00131E35" w:rsidP="00441B6F">
      <w:pPr>
        <w:pStyle w:val="ReferHead"/>
        <w:spacing w:after="0"/>
        <w:jc w:val="both"/>
        <w:rPr>
          <w:rFonts w:ascii="Arial" w:hAnsi="Arial" w:cs="Arial"/>
          <w:b w:val="0"/>
          <w:caps w:val="0"/>
          <w:sz w:val="20"/>
          <w:u w:val="single"/>
        </w:rPr>
      </w:pPr>
    </w:p>
    <w:p w14:paraId="3F759414" w14:textId="77777777" w:rsidR="0013585F" w:rsidRDefault="0013585F" w:rsidP="00441B6F">
      <w:pPr>
        <w:pStyle w:val="ReferHead"/>
        <w:spacing w:after="0"/>
        <w:jc w:val="both"/>
        <w:rPr>
          <w:rFonts w:ascii="Arial" w:hAnsi="Arial" w:cs="Arial"/>
          <w:b w:val="0"/>
          <w:caps w:val="0"/>
          <w:sz w:val="20"/>
          <w:u w:val="single"/>
        </w:rPr>
      </w:pPr>
    </w:p>
    <w:p w14:paraId="1CBE88A7" w14:textId="77777777" w:rsidR="0013585F" w:rsidRPr="0013585F" w:rsidRDefault="0013585F" w:rsidP="0013585F">
      <w:pPr>
        <w:rPr>
          <w:rFonts w:ascii="Arial" w:eastAsia="Calibri" w:hAnsi="Arial" w:cs="Arial"/>
          <w:b/>
        </w:rPr>
      </w:pPr>
      <w:r w:rsidRPr="0013585F">
        <w:rPr>
          <w:rFonts w:ascii="Arial" w:eastAsia="Calibri" w:hAnsi="Arial" w:cs="Arial"/>
          <w:b/>
        </w:rPr>
        <w:t>Declaration of AI Use</w:t>
      </w:r>
    </w:p>
    <w:p w14:paraId="548D29C9" w14:textId="77777777" w:rsidR="0013585F" w:rsidRPr="0013585F" w:rsidRDefault="0013585F" w:rsidP="0013585F">
      <w:pPr>
        <w:rPr>
          <w:rFonts w:ascii="Arial" w:eastAsia="Calibri" w:hAnsi="Arial" w:cs="Arial"/>
        </w:rPr>
      </w:pPr>
    </w:p>
    <w:p w14:paraId="4688E9EC" w14:textId="77777777" w:rsidR="0013585F" w:rsidRPr="0013585F" w:rsidRDefault="0013585F" w:rsidP="00B32B55">
      <w:pPr>
        <w:jc w:val="both"/>
        <w:rPr>
          <w:rFonts w:ascii="Arial" w:eastAsia="Calibri" w:hAnsi="Arial" w:cs="Arial"/>
        </w:rPr>
      </w:pPr>
      <w:r w:rsidRPr="001358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D82DDC7" w14:textId="77777777" w:rsidR="0013585F" w:rsidRPr="0013585F" w:rsidRDefault="0013585F" w:rsidP="0013585F">
      <w:pPr>
        <w:jc w:val="both"/>
        <w:rPr>
          <w:rFonts w:ascii="Times New Roman" w:eastAsia="Calibri" w:hAnsi="Times New Roman"/>
          <w:sz w:val="22"/>
          <w:szCs w:val="22"/>
        </w:rPr>
      </w:pPr>
    </w:p>
    <w:p w14:paraId="7082C301" w14:textId="77777777" w:rsidR="0013585F" w:rsidRPr="0013585F" w:rsidRDefault="0013585F" w:rsidP="0013585F">
      <w:pPr>
        <w:jc w:val="both"/>
        <w:rPr>
          <w:rFonts w:ascii="Times New Roman" w:eastAsia="Calibri" w:hAnsi="Times New Roman"/>
          <w:sz w:val="22"/>
          <w:szCs w:val="22"/>
        </w:rPr>
      </w:pPr>
    </w:p>
    <w:p w14:paraId="637FE18A" w14:textId="77777777" w:rsidR="0013585F" w:rsidRPr="00B32B55" w:rsidRDefault="00B32B55" w:rsidP="0013585F">
      <w:pPr>
        <w:spacing w:after="200" w:line="276" w:lineRule="auto"/>
        <w:rPr>
          <w:rFonts w:ascii="Arial" w:hAnsi="Arial" w:cs="Arial"/>
          <w:b/>
          <w:bCs/>
          <w:lang w:val="en-GB" w:eastAsia="en-GB"/>
        </w:rPr>
      </w:pPr>
      <w:r w:rsidRPr="00B32B55">
        <w:rPr>
          <w:rFonts w:ascii="Arial" w:hAnsi="Arial" w:cs="Arial"/>
          <w:b/>
          <w:bCs/>
          <w:lang w:val="en-GB" w:eastAsia="en-GB"/>
        </w:rPr>
        <w:t>Competing interests disclaimer</w:t>
      </w:r>
    </w:p>
    <w:p w14:paraId="3BFC65CA" w14:textId="77777777" w:rsidR="0013585F" w:rsidRPr="00B32B55" w:rsidRDefault="0013585F" w:rsidP="00B32B55">
      <w:pPr>
        <w:spacing w:after="200"/>
        <w:jc w:val="both"/>
        <w:rPr>
          <w:rFonts w:ascii="Arial" w:hAnsi="Arial" w:cs="Arial"/>
          <w:lang w:val="en-GB" w:eastAsia="en-GB"/>
        </w:rPr>
      </w:pPr>
      <w:r w:rsidRPr="00B32B55">
        <w:rPr>
          <w:rFonts w:ascii="Arial" w:hAnsi="Arial" w:cs="Arial"/>
          <w:lang w:val="en-GB" w:eastAsia="en-GB"/>
        </w:rPr>
        <w:t>Authors have declared that they have no known competing financial interests OR non-financial interests OR personal relationships that could have appeared to influence the work reported in this paper.</w:t>
      </w:r>
    </w:p>
    <w:p w14:paraId="5CD9DD7C" w14:textId="77777777" w:rsidR="0013585F" w:rsidRDefault="0013585F" w:rsidP="00441B6F">
      <w:pPr>
        <w:pStyle w:val="ReferHead"/>
        <w:spacing w:after="0"/>
        <w:jc w:val="both"/>
        <w:rPr>
          <w:rFonts w:ascii="Arial" w:hAnsi="Arial" w:cs="Arial"/>
          <w:b w:val="0"/>
          <w:caps w:val="0"/>
          <w:sz w:val="20"/>
          <w:u w:val="single"/>
        </w:rPr>
      </w:pPr>
    </w:p>
    <w:p w14:paraId="2D12B57D" w14:textId="77777777" w:rsidR="0013585F" w:rsidRPr="00F469F0" w:rsidRDefault="0013585F" w:rsidP="00441B6F">
      <w:pPr>
        <w:pStyle w:val="ReferHead"/>
        <w:spacing w:after="0"/>
        <w:jc w:val="both"/>
        <w:rPr>
          <w:rFonts w:ascii="Arial" w:hAnsi="Arial" w:cs="Arial"/>
          <w:b w:val="0"/>
          <w:caps w:val="0"/>
          <w:sz w:val="20"/>
          <w:u w:val="single"/>
        </w:rPr>
      </w:pPr>
    </w:p>
    <w:p w14:paraId="41C95546" w14:textId="77777777" w:rsidR="002B685A" w:rsidRDefault="002B685A" w:rsidP="00441B6F">
      <w:pPr>
        <w:pStyle w:val="ReferHead"/>
        <w:spacing w:after="0"/>
        <w:jc w:val="both"/>
        <w:rPr>
          <w:rFonts w:ascii="Arial" w:hAnsi="Arial" w:cs="Arial"/>
          <w:b w:val="0"/>
          <w:caps w:val="0"/>
          <w:sz w:val="20"/>
        </w:rPr>
      </w:pPr>
    </w:p>
    <w:p w14:paraId="63D9489A" w14:textId="77777777" w:rsidR="00860000" w:rsidRDefault="00860000" w:rsidP="00441B6F">
      <w:pPr>
        <w:pStyle w:val="ReferHead"/>
        <w:spacing w:after="0"/>
        <w:jc w:val="both"/>
        <w:rPr>
          <w:rFonts w:ascii="Arial" w:hAnsi="Arial" w:cs="Arial"/>
        </w:rPr>
      </w:pPr>
    </w:p>
    <w:p w14:paraId="21C3248C" w14:textId="77777777" w:rsidR="008B459E" w:rsidRDefault="00B01FCD" w:rsidP="00A56DB3">
      <w:pPr>
        <w:pStyle w:val="ReferHead"/>
        <w:spacing w:after="0"/>
        <w:jc w:val="both"/>
        <w:rPr>
          <w:rFonts w:ascii="Arial" w:hAnsi="Arial" w:cs="Arial"/>
        </w:rPr>
      </w:pPr>
      <w:r w:rsidRPr="00FB3A86">
        <w:rPr>
          <w:rFonts w:ascii="Arial" w:hAnsi="Arial" w:cs="Arial"/>
        </w:rPr>
        <w:t>References</w:t>
      </w:r>
    </w:p>
    <w:p w14:paraId="565DD837" w14:textId="77777777" w:rsidR="00A56DB3" w:rsidRPr="002C57D2" w:rsidRDefault="00A56DB3" w:rsidP="00A56DB3">
      <w:pPr>
        <w:pStyle w:val="ReferHead"/>
        <w:spacing w:after="0"/>
        <w:jc w:val="both"/>
        <w:rPr>
          <w:rFonts w:ascii="Arial" w:hAnsi="Arial" w:cs="Arial"/>
        </w:rPr>
      </w:pPr>
    </w:p>
    <w:p w14:paraId="5270D87B" w14:textId="0E387E97"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Tiwari, V., &amp; Wilson, D. M. (2019). DNA damage and associated DNA repair defects in disease and premature aging. </w:t>
      </w:r>
      <w:r w:rsidRPr="0053009C">
        <w:rPr>
          <w:rFonts w:ascii="Times New Roman" w:hAnsi="Times New Roman"/>
          <w:i/>
          <w:iCs/>
          <w:sz w:val="24"/>
          <w:szCs w:val="24"/>
        </w:rPr>
        <w:t>The American Journal of Human Genetics, 105</w:t>
      </w:r>
      <w:r w:rsidRPr="0053009C">
        <w:rPr>
          <w:rFonts w:ascii="Times New Roman" w:hAnsi="Times New Roman"/>
          <w:sz w:val="24"/>
          <w:szCs w:val="24"/>
        </w:rPr>
        <w:t xml:space="preserve">(2), 237–257. </w:t>
      </w:r>
      <w:hyperlink r:id="rId22" w:tgtFrame="_new" w:history="1">
        <w:r w:rsidRPr="0053009C">
          <w:rPr>
            <w:rFonts w:ascii="Times New Roman" w:hAnsi="Times New Roman"/>
            <w:color w:val="0000FF"/>
            <w:sz w:val="24"/>
            <w:szCs w:val="24"/>
            <w:u w:val="single"/>
          </w:rPr>
          <w:t>https://doi.org/10.1016/j.ajhg.2019.06.005</w:t>
        </w:r>
      </w:hyperlink>
      <w:r w:rsidRPr="0053009C">
        <w:rPr>
          <w:rFonts w:ascii="Times New Roman" w:hAnsi="Times New Roman"/>
          <w:sz w:val="24"/>
          <w:szCs w:val="24"/>
        </w:rPr>
        <w:t xml:space="preserve"> </w:t>
      </w:r>
    </w:p>
    <w:p w14:paraId="4E2DBA27" w14:textId="16EC65EE"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Sharma, S. K., James, J., Gupta, S. K., &amp; Hussain, S. (2023). UV-A,B,C emitting persistent luminescent materials. </w:t>
      </w:r>
      <w:r w:rsidRPr="0053009C">
        <w:rPr>
          <w:rFonts w:ascii="Times New Roman" w:hAnsi="Times New Roman"/>
          <w:i/>
          <w:iCs/>
          <w:sz w:val="24"/>
          <w:szCs w:val="24"/>
        </w:rPr>
        <w:t>Materials, 16</w:t>
      </w:r>
      <w:r w:rsidRPr="0053009C">
        <w:rPr>
          <w:rFonts w:ascii="Times New Roman" w:hAnsi="Times New Roman"/>
          <w:sz w:val="24"/>
          <w:szCs w:val="24"/>
        </w:rPr>
        <w:t xml:space="preserve">(1), 236. https://doi.org/10.3390/ma16010236 </w:t>
      </w:r>
    </w:p>
    <w:p w14:paraId="4B4B5158" w14:textId="618FA6CC"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Badea, N., Samayoa, D., </w:t>
      </w:r>
      <w:proofErr w:type="spellStart"/>
      <w:r w:rsidRPr="0053009C">
        <w:rPr>
          <w:rFonts w:ascii="Times New Roman" w:hAnsi="Times New Roman"/>
          <w:sz w:val="24"/>
          <w:szCs w:val="24"/>
        </w:rPr>
        <w:t>Moroşan</w:t>
      </w:r>
      <w:proofErr w:type="spellEnd"/>
      <w:r w:rsidRPr="0053009C">
        <w:rPr>
          <w:rFonts w:ascii="Times New Roman" w:hAnsi="Times New Roman"/>
          <w:sz w:val="24"/>
          <w:szCs w:val="24"/>
        </w:rPr>
        <w:t xml:space="preserve">, A., Ott, C., &amp; Lacatusu, I. (2025). Hybrid carbohydrate–lipid nanocarriers: In vitro efficacy gene-rated by association of UV-absorbers and raspberry polyphenols rich-fraction. </w:t>
      </w:r>
      <w:r w:rsidRPr="0053009C">
        <w:rPr>
          <w:rFonts w:ascii="Times New Roman" w:hAnsi="Times New Roman"/>
          <w:i/>
          <w:iCs/>
          <w:sz w:val="24"/>
          <w:szCs w:val="24"/>
        </w:rPr>
        <w:t>Pharmaceuticals, 18</w:t>
      </w:r>
      <w:r w:rsidRPr="0053009C">
        <w:rPr>
          <w:rFonts w:ascii="Times New Roman" w:hAnsi="Times New Roman"/>
          <w:sz w:val="24"/>
          <w:szCs w:val="24"/>
        </w:rPr>
        <w:t xml:space="preserve">(1), 16. </w:t>
      </w:r>
      <w:hyperlink r:id="rId23" w:tgtFrame="_new" w:history="1">
        <w:r w:rsidRPr="0053009C">
          <w:rPr>
            <w:rFonts w:ascii="Times New Roman" w:hAnsi="Times New Roman"/>
            <w:color w:val="0000FF"/>
            <w:sz w:val="24"/>
            <w:szCs w:val="24"/>
            <w:u w:val="single"/>
          </w:rPr>
          <w:t>https://doi.org/10.3390/ph18010016</w:t>
        </w:r>
      </w:hyperlink>
      <w:r w:rsidRPr="0053009C">
        <w:rPr>
          <w:rFonts w:ascii="Times New Roman" w:hAnsi="Times New Roman"/>
          <w:sz w:val="24"/>
          <w:szCs w:val="24"/>
        </w:rPr>
        <w:t xml:space="preserve"> </w:t>
      </w:r>
    </w:p>
    <w:p w14:paraId="237C7B61" w14:textId="7A973EF8"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t>Mmbando</w:t>
      </w:r>
      <w:proofErr w:type="spellEnd"/>
      <w:r w:rsidRPr="0053009C">
        <w:rPr>
          <w:rFonts w:ascii="Times New Roman" w:hAnsi="Times New Roman"/>
          <w:sz w:val="24"/>
          <w:szCs w:val="24"/>
        </w:rPr>
        <w:t xml:space="preserve">, G. S., &amp; </w:t>
      </w:r>
      <w:proofErr w:type="spellStart"/>
      <w:r w:rsidRPr="0053009C">
        <w:rPr>
          <w:rFonts w:ascii="Times New Roman" w:hAnsi="Times New Roman"/>
          <w:sz w:val="24"/>
          <w:szCs w:val="24"/>
        </w:rPr>
        <w:t>Ngongolo</w:t>
      </w:r>
      <w:proofErr w:type="spellEnd"/>
      <w:r w:rsidRPr="0053009C">
        <w:rPr>
          <w:rFonts w:ascii="Times New Roman" w:hAnsi="Times New Roman"/>
          <w:sz w:val="24"/>
          <w:szCs w:val="24"/>
        </w:rPr>
        <w:t xml:space="preserve">, K. (2024). Environmental &amp; health impacts of ultraviolet radiation: Current trends and mitigation strategies. </w:t>
      </w:r>
      <w:r w:rsidRPr="0053009C">
        <w:rPr>
          <w:rFonts w:ascii="Times New Roman" w:hAnsi="Times New Roman"/>
          <w:i/>
          <w:iCs/>
          <w:sz w:val="24"/>
          <w:szCs w:val="24"/>
        </w:rPr>
        <w:t>Discover Sustainability, 5</w:t>
      </w:r>
      <w:r w:rsidRPr="0053009C">
        <w:rPr>
          <w:rFonts w:ascii="Times New Roman" w:hAnsi="Times New Roman"/>
          <w:sz w:val="24"/>
          <w:szCs w:val="24"/>
        </w:rPr>
        <w:t xml:space="preserve">, 436. </w:t>
      </w:r>
      <w:hyperlink r:id="rId24" w:tgtFrame="_new" w:history="1">
        <w:r w:rsidRPr="0053009C">
          <w:rPr>
            <w:rFonts w:ascii="Times New Roman" w:hAnsi="Times New Roman"/>
            <w:color w:val="0000FF"/>
            <w:sz w:val="24"/>
            <w:szCs w:val="24"/>
            <w:u w:val="single"/>
          </w:rPr>
          <w:t>https://doi.org/10.1007/s43621-024-00698-1</w:t>
        </w:r>
      </w:hyperlink>
      <w:r w:rsidRPr="0053009C">
        <w:rPr>
          <w:rFonts w:ascii="Times New Roman" w:hAnsi="Times New Roman"/>
          <w:sz w:val="24"/>
          <w:szCs w:val="24"/>
        </w:rPr>
        <w:t xml:space="preserve"> </w:t>
      </w:r>
    </w:p>
    <w:p w14:paraId="79960CFB" w14:textId="1A322C05"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lastRenderedPageBreak/>
        <w:t>Leković</w:t>
      </w:r>
      <w:proofErr w:type="spellEnd"/>
      <w:r w:rsidRPr="0053009C">
        <w:rPr>
          <w:rFonts w:ascii="Times New Roman" w:hAnsi="Times New Roman"/>
          <w:sz w:val="24"/>
          <w:szCs w:val="24"/>
        </w:rPr>
        <w:t xml:space="preserve">, Ž. (2026). Electromagnetic fields and oxidative stress: The link to the development of cancer, neurological diseases, and behavioral disorders. </w:t>
      </w:r>
      <w:r w:rsidRPr="0053009C">
        <w:rPr>
          <w:rFonts w:ascii="Times New Roman" w:hAnsi="Times New Roman"/>
          <w:i/>
          <w:iCs/>
          <w:sz w:val="24"/>
          <w:szCs w:val="24"/>
        </w:rPr>
        <w:t>Electromagnetic Biology and Medicine, 45</w:t>
      </w:r>
      <w:r w:rsidRPr="0053009C">
        <w:rPr>
          <w:rFonts w:ascii="Times New Roman" w:hAnsi="Times New Roman"/>
          <w:sz w:val="24"/>
          <w:szCs w:val="24"/>
        </w:rPr>
        <w:t xml:space="preserve">(1), 94–118. https://doi.org/10.1080/15368378.2025.2567872 </w:t>
      </w:r>
    </w:p>
    <w:p w14:paraId="0C7CE3BC" w14:textId="4F32563A"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Kumar, S., &amp; Pandey, A. K. (2013). Chemistry and biological activities of flavonoids: An overview. </w:t>
      </w:r>
      <w:r w:rsidRPr="0053009C">
        <w:rPr>
          <w:rFonts w:ascii="Times New Roman" w:hAnsi="Times New Roman"/>
          <w:i/>
          <w:iCs/>
          <w:sz w:val="24"/>
          <w:szCs w:val="24"/>
        </w:rPr>
        <w:t>The Scientific World Journal, 2013</w:t>
      </w:r>
      <w:r w:rsidRPr="0053009C">
        <w:rPr>
          <w:rFonts w:ascii="Times New Roman" w:hAnsi="Times New Roman"/>
          <w:sz w:val="24"/>
          <w:szCs w:val="24"/>
        </w:rPr>
        <w:t xml:space="preserve">, 162750. </w:t>
      </w:r>
      <w:hyperlink r:id="rId25" w:tgtFrame="_new" w:history="1">
        <w:r w:rsidRPr="0053009C">
          <w:rPr>
            <w:rFonts w:ascii="Times New Roman" w:hAnsi="Times New Roman"/>
            <w:color w:val="0000FF"/>
            <w:sz w:val="24"/>
            <w:szCs w:val="24"/>
            <w:u w:val="single"/>
          </w:rPr>
          <w:t>https://doi.org/10.1155/2013/162750</w:t>
        </w:r>
      </w:hyperlink>
      <w:r w:rsidRPr="0053009C">
        <w:rPr>
          <w:rFonts w:ascii="Times New Roman" w:hAnsi="Times New Roman"/>
          <w:sz w:val="24"/>
          <w:szCs w:val="24"/>
        </w:rPr>
        <w:t xml:space="preserve"> </w:t>
      </w:r>
    </w:p>
    <w:p w14:paraId="2E39622A" w14:textId="54F84B11"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Villegas-Aguilar, M. C., Sánchez-Marzo, N., Fernández-Ochoa, Á., Del Río, C., Montaner, J., Micol, V., Herranz-López, M., </w:t>
      </w:r>
      <w:proofErr w:type="spellStart"/>
      <w:r w:rsidRPr="0053009C">
        <w:rPr>
          <w:rFonts w:ascii="Times New Roman" w:hAnsi="Times New Roman"/>
          <w:sz w:val="24"/>
          <w:szCs w:val="24"/>
        </w:rPr>
        <w:t>Barrajón</w:t>
      </w:r>
      <w:proofErr w:type="spellEnd"/>
      <w:r w:rsidRPr="0053009C">
        <w:rPr>
          <w:rFonts w:ascii="Times New Roman" w:hAnsi="Times New Roman"/>
          <w:sz w:val="24"/>
          <w:szCs w:val="24"/>
        </w:rPr>
        <w:t xml:space="preserve">-Catalán, E., </w:t>
      </w:r>
      <w:proofErr w:type="spellStart"/>
      <w:r w:rsidRPr="0053009C">
        <w:rPr>
          <w:rFonts w:ascii="Times New Roman" w:hAnsi="Times New Roman"/>
          <w:sz w:val="24"/>
          <w:szCs w:val="24"/>
        </w:rPr>
        <w:t>Arráez</w:t>
      </w:r>
      <w:proofErr w:type="spellEnd"/>
      <w:r w:rsidRPr="0053009C">
        <w:rPr>
          <w:rFonts w:ascii="Times New Roman" w:hAnsi="Times New Roman"/>
          <w:sz w:val="24"/>
          <w:szCs w:val="24"/>
        </w:rPr>
        <w:t>-Román, D., Cádiz-</w:t>
      </w:r>
      <w:proofErr w:type="spellStart"/>
      <w:r w:rsidRPr="0053009C">
        <w:rPr>
          <w:rFonts w:ascii="Times New Roman" w:hAnsi="Times New Roman"/>
          <w:sz w:val="24"/>
          <w:szCs w:val="24"/>
        </w:rPr>
        <w:t>Gurrea</w:t>
      </w:r>
      <w:proofErr w:type="spellEnd"/>
      <w:r w:rsidRPr="0053009C">
        <w:rPr>
          <w:rFonts w:ascii="Times New Roman" w:hAnsi="Times New Roman"/>
          <w:sz w:val="24"/>
          <w:szCs w:val="24"/>
        </w:rPr>
        <w:t xml:space="preserve">, M. L., &amp; Segura-Carretero, A. (2024). Evaluation of bioactive effects of five plant extracts with different phenolic compositions against different therapeutic targets. </w:t>
      </w:r>
      <w:r w:rsidRPr="0053009C">
        <w:rPr>
          <w:rFonts w:ascii="Times New Roman" w:hAnsi="Times New Roman"/>
          <w:i/>
          <w:iCs/>
          <w:sz w:val="24"/>
          <w:szCs w:val="24"/>
        </w:rPr>
        <w:t>Antioxidants, 13</w:t>
      </w:r>
      <w:r w:rsidRPr="0053009C">
        <w:rPr>
          <w:rFonts w:ascii="Times New Roman" w:hAnsi="Times New Roman"/>
          <w:sz w:val="24"/>
          <w:szCs w:val="24"/>
        </w:rPr>
        <w:t xml:space="preserve">(2), 217. https://doi.org/10.3390/antiox13020217 </w:t>
      </w:r>
    </w:p>
    <w:p w14:paraId="6A77A7F1" w14:textId="431AC292"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Mikhailova, D. V., Shevchenko, O. G., Golubev, D. A., Platonova, E. Y., </w:t>
      </w:r>
      <w:proofErr w:type="spellStart"/>
      <w:r w:rsidRPr="0053009C">
        <w:rPr>
          <w:rFonts w:ascii="Times New Roman" w:hAnsi="Times New Roman"/>
          <w:sz w:val="24"/>
          <w:szCs w:val="24"/>
        </w:rPr>
        <w:t>Zemskaya</w:t>
      </w:r>
      <w:proofErr w:type="spellEnd"/>
      <w:r w:rsidRPr="0053009C">
        <w:rPr>
          <w:rFonts w:ascii="Times New Roman" w:hAnsi="Times New Roman"/>
          <w:sz w:val="24"/>
          <w:szCs w:val="24"/>
        </w:rPr>
        <w:t xml:space="preserve">, N. V., Shoeva, O. Y., Gordeeva, E. I., </w:t>
      </w:r>
      <w:proofErr w:type="spellStart"/>
      <w:r w:rsidRPr="0053009C">
        <w:rPr>
          <w:rFonts w:ascii="Times New Roman" w:hAnsi="Times New Roman"/>
          <w:sz w:val="24"/>
          <w:szCs w:val="24"/>
        </w:rPr>
        <w:t>Patov</w:t>
      </w:r>
      <w:proofErr w:type="spellEnd"/>
      <w:r w:rsidRPr="0053009C">
        <w:rPr>
          <w:rFonts w:ascii="Times New Roman" w:hAnsi="Times New Roman"/>
          <w:sz w:val="24"/>
          <w:szCs w:val="24"/>
        </w:rPr>
        <w:t xml:space="preserve">, S. A., Shaposhnikov, M. V., Khlestkina, E. K., &amp; </w:t>
      </w:r>
      <w:proofErr w:type="spellStart"/>
      <w:r w:rsidRPr="0053009C">
        <w:rPr>
          <w:rFonts w:ascii="Times New Roman" w:hAnsi="Times New Roman"/>
          <w:sz w:val="24"/>
          <w:szCs w:val="24"/>
        </w:rPr>
        <w:t>Moskalev</w:t>
      </w:r>
      <w:proofErr w:type="spellEnd"/>
      <w:r w:rsidRPr="0053009C">
        <w:rPr>
          <w:rFonts w:ascii="Times New Roman" w:hAnsi="Times New Roman"/>
          <w:sz w:val="24"/>
          <w:szCs w:val="24"/>
        </w:rPr>
        <w:t xml:space="preserve">, A. (2023). Antioxidant properties and </w:t>
      </w:r>
      <w:proofErr w:type="spellStart"/>
      <w:r w:rsidRPr="0053009C">
        <w:rPr>
          <w:rFonts w:ascii="Times New Roman" w:hAnsi="Times New Roman"/>
          <w:sz w:val="24"/>
          <w:szCs w:val="24"/>
        </w:rPr>
        <w:t>geroprotective</w:t>
      </w:r>
      <w:proofErr w:type="spellEnd"/>
      <w:r w:rsidRPr="0053009C">
        <w:rPr>
          <w:rFonts w:ascii="Times New Roman" w:hAnsi="Times New Roman"/>
          <w:sz w:val="24"/>
          <w:szCs w:val="24"/>
        </w:rPr>
        <w:t xml:space="preserve"> potential of wheat bran extracts with increased content of anthocyanins. </w:t>
      </w:r>
      <w:r w:rsidRPr="0053009C">
        <w:rPr>
          <w:rFonts w:ascii="Times New Roman" w:hAnsi="Times New Roman"/>
          <w:i/>
          <w:iCs/>
          <w:sz w:val="24"/>
          <w:szCs w:val="24"/>
        </w:rPr>
        <w:t>Antioxidants, 12</w:t>
      </w:r>
      <w:r w:rsidRPr="0053009C">
        <w:rPr>
          <w:rFonts w:ascii="Times New Roman" w:hAnsi="Times New Roman"/>
          <w:sz w:val="24"/>
          <w:szCs w:val="24"/>
        </w:rPr>
        <w:t xml:space="preserve">(11), 2010. </w:t>
      </w:r>
      <w:hyperlink r:id="rId26" w:tgtFrame="_new" w:history="1">
        <w:r w:rsidRPr="0053009C">
          <w:rPr>
            <w:rFonts w:ascii="Times New Roman" w:hAnsi="Times New Roman"/>
            <w:color w:val="0000FF"/>
            <w:sz w:val="24"/>
            <w:szCs w:val="24"/>
            <w:u w:val="single"/>
          </w:rPr>
          <w:t>https://doi.org/10.3390/antiox12112010</w:t>
        </w:r>
      </w:hyperlink>
      <w:r w:rsidRPr="0053009C">
        <w:rPr>
          <w:rFonts w:ascii="Times New Roman" w:hAnsi="Times New Roman"/>
          <w:sz w:val="24"/>
          <w:szCs w:val="24"/>
        </w:rPr>
        <w:t xml:space="preserve"> </w:t>
      </w:r>
    </w:p>
    <w:p w14:paraId="0B72BBB8" w14:textId="43AE76BA"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Majumder, S., Bandyopadhyay, M., Pal, S., &amp; Mukhopadhyay, D. (2019). Ameliorating effect of quercetin against UV radiation-induced damage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European Journal of Biological Research, 9</w:t>
      </w:r>
      <w:r w:rsidRPr="0053009C">
        <w:rPr>
          <w:rFonts w:ascii="Times New Roman" w:hAnsi="Times New Roman"/>
          <w:sz w:val="24"/>
          <w:szCs w:val="24"/>
        </w:rPr>
        <w:t xml:space="preserve">(4), 276–285. https://doi.org/10.5281/zenodo.3588543 </w:t>
      </w:r>
    </w:p>
    <w:p w14:paraId="4B983C4A" w14:textId="31C35103"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t>Abolaji</w:t>
      </w:r>
      <w:proofErr w:type="spellEnd"/>
      <w:r w:rsidRPr="0053009C">
        <w:rPr>
          <w:rFonts w:ascii="Times New Roman" w:hAnsi="Times New Roman"/>
          <w:sz w:val="24"/>
          <w:szCs w:val="24"/>
        </w:rPr>
        <w:t xml:space="preserve">, A. O., Kamdem, J. P., Farombi, E. O., &amp; Rocha, J. B. T. (2013). </w:t>
      </w:r>
      <w:r w:rsidRPr="0053009C">
        <w:rPr>
          <w:rFonts w:ascii="Times New Roman" w:hAnsi="Times New Roman"/>
          <w:i/>
          <w:iCs/>
          <w:sz w:val="24"/>
          <w:szCs w:val="24"/>
        </w:rPr>
        <w:t>Drosophila melanogaster</w:t>
      </w:r>
      <w:r w:rsidRPr="0053009C">
        <w:rPr>
          <w:rFonts w:ascii="Times New Roman" w:hAnsi="Times New Roman"/>
          <w:sz w:val="24"/>
          <w:szCs w:val="24"/>
        </w:rPr>
        <w:t xml:space="preserve"> as a promising model organism in toxicological studies: A mini review. </w:t>
      </w:r>
      <w:r w:rsidRPr="0053009C">
        <w:rPr>
          <w:rFonts w:ascii="Times New Roman" w:hAnsi="Times New Roman"/>
          <w:i/>
          <w:iCs/>
          <w:sz w:val="24"/>
          <w:szCs w:val="24"/>
        </w:rPr>
        <w:t>Archives of Basic and Applied Medicine, 1</w:t>
      </w:r>
      <w:r w:rsidRPr="0053009C">
        <w:rPr>
          <w:rFonts w:ascii="Times New Roman" w:hAnsi="Times New Roman"/>
          <w:sz w:val="24"/>
          <w:szCs w:val="24"/>
        </w:rPr>
        <w:t xml:space="preserve">(1), 33–38. </w:t>
      </w:r>
    </w:p>
    <w:p w14:paraId="2A4DB06F" w14:textId="64009AD1"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Enciso, Y. J., Santa Cruz, A. L., &amp; Hackney Price, J. F. (2018). Scrutinizing the effects of UV-C radiation on developmental timing and adult morphology of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Journal of the Arizona-Nevada Academy of Science, 47</w:t>
      </w:r>
      <w:r w:rsidRPr="0053009C">
        <w:rPr>
          <w:rFonts w:ascii="Times New Roman" w:hAnsi="Times New Roman"/>
          <w:sz w:val="24"/>
          <w:szCs w:val="24"/>
        </w:rPr>
        <w:t xml:space="preserve">(2), 55–61. https://doi.org/10.2181/036.047.0206 </w:t>
      </w:r>
    </w:p>
    <w:p w14:paraId="01766C18" w14:textId="70DF719E"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Lotfy, M., Khattab, A., Shata, M., Alhasbani, A., </w:t>
      </w:r>
      <w:proofErr w:type="spellStart"/>
      <w:r w:rsidRPr="0053009C">
        <w:rPr>
          <w:rFonts w:ascii="Times New Roman" w:hAnsi="Times New Roman"/>
          <w:sz w:val="24"/>
          <w:szCs w:val="24"/>
        </w:rPr>
        <w:t>Almesmari</w:t>
      </w:r>
      <w:proofErr w:type="spellEnd"/>
      <w:r w:rsidRPr="0053009C">
        <w:rPr>
          <w:rFonts w:ascii="Times New Roman" w:hAnsi="Times New Roman"/>
          <w:sz w:val="24"/>
          <w:szCs w:val="24"/>
        </w:rPr>
        <w:t xml:space="preserve">, A., </w:t>
      </w:r>
      <w:proofErr w:type="spellStart"/>
      <w:r w:rsidRPr="0053009C">
        <w:rPr>
          <w:rFonts w:ascii="Times New Roman" w:hAnsi="Times New Roman"/>
          <w:sz w:val="24"/>
          <w:szCs w:val="24"/>
        </w:rPr>
        <w:t>Alsaeedi</w:t>
      </w:r>
      <w:proofErr w:type="spellEnd"/>
      <w:r w:rsidRPr="0053009C">
        <w:rPr>
          <w:rFonts w:ascii="Times New Roman" w:hAnsi="Times New Roman"/>
          <w:sz w:val="24"/>
          <w:szCs w:val="24"/>
        </w:rPr>
        <w:t xml:space="preserve">, S., Alyassi, S., &amp; Kundu, B. (2024). Destructive effects of UVC radiation on </w:t>
      </w:r>
      <w:r w:rsidRPr="0053009C">
        <w:rPr>
          <w:rFonts w:ascii="Times New Roman" w:hAnsi="Times New Roman"/>
          <w:i/>
          <w:iCs/>
          <w:sz w:val="24"/>
          <w:szCs w:val="24"/>
        </w:rPr>
        <w:t>Drosophila melanogaster</w:t>
      </w:r>
      <w:r w:rsidRPr="0053009C">
        <w:rPr>
          <w:rFonts w:ascii="Times New Roman" w:hAnsi="Times New Roman"/>
          <w:sz w:val="24"/>
          <w:szCs w:val="24"/>
        </w:rPr>
        <w:t xml:space="preserve">: Mortality, fertility, mutations, and molecular mechanisms. </w:t>
      </w:r>
      <w:r w:rsidRPr="0053009C">
        <w:rPr>
          <w:rFonts w:ascii="Times New Roman" w:hAnsi="Times New Roman"/>
          <w:i/>
          <w:iCs/>
          <w:sz w:val="24"/>
          <w:szCs w:val="24"/>
        </w:rPr>
        <w:t>PLOS ONE, 19</w:t>
      </w:r>
      <w:r w:rsidRPr="0053009C">
        <w:rPr>
          <w:rFonts w:ascii="Times New Roman" w:hAnsi="Times New Roman"/>
          <w:sz w:val="24"/>
          <w:szCs w:val="24"/>
        </w:rPr>
        <w:t xml:space="preserve">(5), e0303115. https://doi.org/10.1371/journal.pone.0303115 </w:t>
      </w:r>
    </w:p>
    <w:p w14:paraId="371D790F" w14:textId="5FC6249F"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Zhan, L., Qia, M., Cha, Y., &amp; Gao, X. (2026). Effect of curcumin intervention on radiation-induced injury: A GRADE-based systematic review and meta-analysis. </w:t>
      </w:r>
      <w:r w:rsidRPr="0053009C">
        <w:rPr>
          <w:rFonts w:ascii="Times New Roman" w:hAnsi="Times New Roman"/>
          <w:i/>
          <w:iCs/>
          <w:sz w:val="24"/>
          <w:szCs w:val="24"/>
        </w:rPr>
        <w:t>BMC Cancer, 26</w:t>
      </w:r>
      <w:r w:rsidRPr="0053009C">
        <w:rPr>
          <w:rFonts w:ascii="Times New Roman" w:hAnsi="Times New Roman"/>
          <w:sz w:val="24"/>
          <w:szCs w:val="24"/>
        </w:rPr>
        <w:t xml:space="preserve">, 745. https://doi.org/10.1186/s12885-026-15985-5 </w:t>
      </w:r>
    </w:p>
    <w:p w14:paraId="00BA11F7" w14:textId="13FF8895"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Boots, A. W., </w:t>
      </w:r>
      <w:proofErr w:type="spellStart"/>
      <w:r w:rsidRPr="0053009C">
        <w:rPr>
          <w:rFonts w:ascii="Times New Roman" w:hAnsi="Times New Roman"/>
          <w:sz w:val="24"/>
          <w:szCs w:val="24"/>
        </w:rPr>
        <w:t>Haenen</w:t>
      </w:r>
      <w:proofErr w:type="spellEnd"/>
      <w:r w:rsidRPr="0053009C">
        <w:rPr>
          <w:rFonts w:ascii="Times New Roman" w:hAnsi="Times New Roman"/>
          <w:sz w:val="24"/>
          <w:szCs w:val="24"/>
        </w:rPr>
        <w:t xml:space="preserve">, G. R. M. M., &amp; Bast, A. (2008). Health effects of quercetin: From antioxidant to nutraceutical. </w:t>
      </w:r>
      <w:r w:rsidRPr="0053009C">
        <w:rPr>
          <w:rFonts w:ascii="Times New Roman" w:hAnsi="Times New Roman"/>
          <w:i/>
          <w:iCs/>
          <w:sz w:val="24"/>
          <w:szCs w:val="24"/>
        </w:rPr>
        <w:t>European Journal of Pharmacology, 585</w:t>
      </w:r>
      <w:r w:rsidRPr="0053009C">
        <w:rPr>
          <w:rFonts w:ascii="Times New Roman" w:hAnsi="Times New Roman"/>
          <w:sz w:val="24"/>
          <w:szCs w:val="24"/>
        </w:rPr>
        <w:t xml:space="preserve">(2–3), 325–337. https://doi.org/10.1016/j.ejphar.2008.03.008 </w:t>
      </w:r>
    </w:p>
    <w:p w14:paraId="7D4FE3AE" w14:textId="09800FB7"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Seong, K. M., Yu, M., Lee, K. S., Park, S., Jin, Y. W., &amp; Min, K. J. (2015). Curcumin mitigates accelerated aging after irradiation in </w:t>
      </w:r>
      <w:r w:rsidRPr="0053009C">
        <w:rPr>
          <w:rFonts w:ascii="Times New Roman" w:hAnsi="Times New Roman"/>
          <w:i/>
          <w:iCs/>
          <w:sz w:val="24"/>
          <w:szCs w:val="24"/>
        </w:rPr>
        <w:t>Drosophila</w:t>
      </w:r>
      <w:r w:rsidRPr="0053009C">
        <w:rPr>
          <w:rFonts w:ascii="Times New Roman" w:hAnsi="Times New Roman"/>
          <w:sz w:val="24"/>
          <w:szCs w:val="24"/>
        </w:rPr>
        <w:t xml:space="preserve"> by reducing oxidative stress. </w:t>
      </w:r>
      <w:r w:rsidRPr="0053009C">
        <w:rPr>
          <w:rFonts w:ascii="Times New Roman" w:hAnsi="Times New Roman"/>
          <w:i/>
          <w:iCs/>
          <w:sz w:val="24"/>
          <w:szCs w:val="24"/>
        </w:rPr>
        <w:t>BioMed Research International, 2015</w:t>
      </w:r>
      <w:r w:rsidRPr="0053009C">
        <w:rPr>
          <w:rFonts w:ascii="Times New Roman" w:hAnsi="Times New Roman"/>
          <w:sz w:val="24"/>
          <w:szCs w:val="24"/>
        </w:rPr>
        <w:t xml:space="preserve">, 425380. https://doi.org/10.1155/2015/425380 </w:t>
      </w:r>
    </w:p>
    <w:p w14:paraId="7CDE77D4" w14:textId="7C717F40"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lastRenderedPageBreak/>
        <w:t>Proshkina</w:t>
      </w:r>
      <w:proofErr w:type="spellEnd"/>
      <w:r w:rsidRPr="0053009C">
        <w:rPr>
          <w:rFonts w:ascii="Times New Roman" w:hAnsi="Times New Roman"/>
          <w:sz w:val="24"/>
          <w:szCs w:val="24"/>
        </w:rPr>
        <w:t xml:space="preserve">, E., </w:t>
      </w:r>
      <w:proofErr w:type="spellStart"/>
      <w:r w:rsidRPr="0053009C">
        <w:rPr>
          <w:rFonts w:ascii="Times New Roman" w:hAnsi="Times New Roman"/>
          <w:sz w:val="24"/>
          <w:szCs w:val="24"/>
        </w:rPr>
        <w:t>Lashmanova</w:t>
      </w:r>
      <w:proofErr w:type="spellEnd"/>
      <w:r w:rsidRPr="0053009C">
        <w:rPr>
          <w:rFonts w:ascii="Times New Roman" w:hAnsi="Times New Roman"/>
          <w:sz w:val="24"/>
          <w:szCs w:val="24"/>
        </w:rPr>
        <w:t xml:space="preserve">, E., </w:t>
      </w:r>
      <w:proofErr w:type="spellStart"/>
      <w:r w:rsidRPr="0053009C">
        <w:rPr>
          <w:rFonts w:ascii="Times New Roman" w:hAnsi="Times New Roman"/>
          <w:sz w:val="24"/>
          <w:szCs w:val="24"/>
        </w:rPr>
        <w:t>Dobrovolskaya</w:t>
      </w:r>
      <w:proofErr w:type="spellEnd"/>
      <w:r w:rsidRPr="0053009C">
        <w:rPr>
          <w:rFonts w:ascii="Times New Roman" w:hAnsi="Times New Roman"/>
          <w:sz w:val="24"/>
          <w:szCs w:val="24"/>
        </w:rPr>
        <w:t xml:space="preserve">, E., </w:t>
      </w:r>
      <w:proofErr w:type="spellStart"/>
      <w:r w:rsidRPr="0053009C">
        <w:rPr>
          <w:rFonts w:ascii="Times New Roman" w:hAnsi="Times New Roman"/>
          <w:sz w:val="24"/>
          <w:szCs w:val="24"/>
        </w:rPr>
        <w:t>Zemskaya</w:t>
      </w:r>
      <w:proofErr w:type="spellEnd"/>
      <w:r w:rsidRPr="0053009C">
        <w:rPr>
          <w:rFonts w:ascii="Times New Roman" w:hAnsi="Times New Roman"/>
          <w:sz w:val="24"/>
          <w:szCs w:val="24"/>
        </w:rPr>
        <w:t xml:space="preserve">, N., Kudryavtseva, A., Shaposhnikov, M., &amp; </w:t>
      </w:r>
      <w:proofErr w:type="spellStart"/>
      <w:r w:rsidRPr="0053009C">
        <w:rPr>
          <w:rFonts w:ascii="Times New Roman" w:hAnsi="Times New Roman"/>
          <w:sz w:val="24"/>
          <w:szCs w:val="24"/>
        </w:rPr>
        <w:t>Moskalev</w:t>
      </w:r>
      <w:proofErr w:type="spellEnd"/>
      <w:r w:rsidRPr="0053009C">
        <w:rPr>
          <w:rFonts w:ascii="Times New Roman" w:hAnsi="Times New Roman"/>
          <w:sz w:val="24"/>
          <w:szCs w:val="24"/>
        </w:rPr>
        <w:t xml:space="preserve">, A. (2016). </w:t>
      </w:r>
      <w:proofErr w:type="spellStart"/>
      <w:r w:rsidRPr="0053009C">
        <w:rPr>
          <w:rFonts w:ascii="Times New Roman" w:hAnsi="Times New Roman"/>
          <w:sz w:val="24"/>
          <w:szCs w:val="24"/>
        </w:rPr>
        <w:t>Geroprotective</w:t>
      </w:r>
      <w:proofErr w:type="spellEnd"/>
      <w:r w:rsidRPr="0053009C">
        <w:rPr>
          <w:rFonts w:ascii="Times New Roman" w:hAnsi="Times New Roman"/>
          <w:sz w:val="24"/>
          <w:szCs w:val="24"/>
        </w:rPr>
        <w:t xml:space="preserve"> and radioprotective activity of quercetin, (-)-epicatechin, and ibuprofen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Frontiers in Pharmacology, 7</w:t>
      </w:r>
      <w:r w:rsidRPr="0053009C">
        <w:rPr>
          <w:rFonts w:ascii="Times New Roman" w:hAnsi="Times New Roman"/>
          <w:sz w:val="24"/>
          <w:szCs w:val="24"/>
        </w:rPr>
        <w:t xml:space="preserve">, 505. https://doi.org/10.3389/fphar.2016.00505 </w:t>
      </w:r>
    </w:p>
    <w:p w14:paraId="7DA801DD" w14:textId="1A048537"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Xu, D., Hu, M. J., Wang, Y. Q., &amp; Cui, Y. L. (2019). Antioxidant activities of quercetin and its complexes for medicinal application. </w:t>
      </w:r>
      <w:r w:rsidRPr="0053009C">
        <w:rPr>
          <w:rFonts w:ascii="Times New Roman" w:hAnsi="Times New Roman"/>
          <w:i/>
          <w:iCs/>
          <w:sz w:val="24"/>
          <w:szCs w:val="24"/>
        </w:rPr>
        <w:t>Molecules, 24</w:t>
      </w:r>
      <w:r w:rsidRPr="0053009C">
        <w:rPr>
          <w:rFonts w:ascii="Times New Roman" w:hAnsi="Times New Roman"/>
          <w:sz w:val="24"/>
          <w:szCs w:val="24"/>
        </w:rPr>
        <w:t xml:space="preserve">(6), 1123. </w:t>
      </w:r>
      <w:hyperlink r:id="rId27" w:tgtFrame="_new" w:history="1">
        <w:r w:rsidRPr="0053009C">
          <w:rPr>
            <w:rFonts w:ascii="Times New Roman" w:hAnsi="Times New Roman"/>
            <w:color w:val="0000FF"/>
            <w:sz w:val="24"/>
            <w:szCs w:val="24"/>
            <w:u w:val="single"/>
          </w:rPr>
          <w:t>https://doi.org/10.3390/molecules24061123</w:t>
        </w:r>
      </w:hyperlink>
      <w:r w:rsidRPr="0053009C">
        <w:rPr>
          <w:rFonts w:ascii="Times New Roman" w:hAnsi="Times New Roman"/>
          <w:sz w:val="24"/>
          <w:szCs w:val="24"/>
        </w:rPr>
        <w:t xml:space="preserve"> </w:t>
      </w:r>
    </w:p>
    <w:p w14:paraId="315C733F" w14:textId="2E8A642D"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Pandey, U. B., &amp; Nichols, C. D. (2011). Human disease models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and the role of the fly in therapeutic drug discovery. </w:t>
      </w:r>
      <w:r w:rsidRPr="0053009C">
        <w:rPr>
          <w:rFonts w:ascii="Times New Roman" w:hAnsi="Times New Roman"/>
          <w:i/>
          <w:iCs/>
          <w:sz w:val="24"/>
          <w:szCs w:val="24"/>
        </w:rPr>
        <w:t>Pharmacological Reviews, 63</w:t>
      </w:r>
      <w:r w:rsidRPr="0053009C">
        <w:rPr>
          <w:rFonts w:ascii="Times New Roman" w:hAnsi="Times New Roman"/>
          <w:sz w:val="24"/>
          <w:szCs w:val="24"/>
        </w:rPr>
        <w:t xml:space="preserve">(2), 411–436. https://doi.org/10.1124/pr.110.003293 </w:t>
      </w:r>
    </w:p>
    <w:p w14:paraId="42BE0A62" w14:textId="23753692"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Weber, A. L., Khan, G. F., Magwire, M. M., Tabor, C. L., Mackay, T. F. C., &amp; Anholt, R. R. H. (2012). Genome-wide association analysis of oxidative stress resistance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PLOS ONE, 7</w:t>
      </w:r>
      <w:r w:rsidRPr="0053009C">
        <w:rPr>
          <w:rFonts w:ascii="Times New Roman" w:hAnsi="Times New Roman"/>
          <w:sz w:val="24"/>
          <w:szCs w:val="24"/>
        </w:rPr>
        <w:t xml:space="preserve">(4), e34745. https://doi.org/10.1371/journal.pone.0034745 </w:t>
      </w:r>
    </w:p>
    <w:p w14:paraId="0FA12AEB" w14:textId="647E0CA6"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Sokolowski, M. B. (2001). </w:t>
      </w:r>
      <w:r w:rsidRPr="0053009C">
        <w:rPr>
          <w:rFonts w:ascii="Times New Roman" w:hAnsi="Times New Roman"/>
          <w:i/>
          <w:iCs/>
          <w:sz w:val="24"/>
          <w:szCs w:val="24"/>
        </w:rPr>
        <w:t>Drosophila</w:t>
      </w:r>
      <w:r w:rsidRPr="0053009C">
        <w:rPr>
          <w:rFonts w:ascii="Times New Roman" w:hAnsi="Times New Roman"/>
          <w:sz w:val="24"/>
          <w:szCs w:val="24"/>
        </w:rPr>
        <w:t xml:space="preserve">: Genetics meets </w:t>
      </w:r>
      <w:proofErr w:type="spellStart"/>
      <w:r w:rsidRPr="0053009C">
        <w:rPr>
          <w:rFonts w:ascii="Times New Roman" w:hAnsi="Times New Roman"/>
          <w:sz w:val="24"/>
          <w:szCs w:val="24"/>
        </w:rPr>
        <w:t>behaviour</w:t>
      </w:r>
      <w:proofErr w:type="spellEnd"/>
      <w:r w:rsidRPr="0053009C">
        <w:rPr>
          <w:rFonts w:ascii="Times New Roman" w:hAnsi="Times New Roman"/>
          <w:sz w:val="24"/>
          <w:szCs w:val="24"/>
        </w:rPr>
        <w:t xml:space="preserve">. </w:t>
      </w:r>
      <w:r w:rsidRPr="0053009C">
        <w:rPr>
          <w:rFonts w:ascii="Times New Roman" w:hAnsi="Times New Roman"/>
          <w:i/>
          <w:iCs/>
          <w:sz w:val="24"/>
          <w:szCs w:val="24"/>
        </w:rPr>
        <w:t>Nature Reviews Genetics, 2</w:t>
      </w:r>
      <w:r w:rsidRPr="0053009C">
        <w:rPr>
          <w:rFonts w:ascii="Times New Roman" w:hAnsi="Times New Roman"/>
          <w:sz w:val="24"/>
          <w:szCs w:val="24"/>
        </w:rPr>
        <w:t xml:space="preserve">, 879–890. https://doi.org/10.1038/35098592 </w:t>
      </w:r>
    </w:p>
    <w:p w14:paraId="34F840A1" w14:textId="3480787A"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t>Atoki</w:t>
      </w:r>
      <w:proofErr w:type="spellEnd"/>
      <w:r w:rsidRPr="0053009C">
        <w:rPr>
          <w:rFonts w:ascii="Times New Roman" w:hAnsi="Times New Roman"/>
          <w:sz w:val="24"/>
          <w:szCs w:val="24"/>
        </w:rPr>
        <w:t xml:space="preserve">, A. V., Aja, P. M., Shinkafi, T. S., Ondari, E. N., Adeniyi, A. I., </w:t>
      </w:r>
      <w:proofErr w:type="spellStart"/>
      <w:r w:rsidRPr="0053009C">
        <w:rPr>
          <w:rFonts w:ascii="Times New Roman" w:hAnsi="Times New Roman"/>
          <w:sz w:val="24"/>
          <w:szCs w:val="24"/>
        </w:rPr>
        <w:t>Fasogbon</w:t>
      </w:r>
      <w:proofErr w:type="spellEnd"/>
      <w:r w:rsidRPr="0053009C">
        <w:rPr>
          <w:rFonts w:ascii="Times New Roman" w:hAnsi="Times New Roman"/>
          <w:sz w:val="24"/>
          <w:szCs w:val="24"/>
        </w:rPr>
        <w:t xml:space="preserve">, I. V., Dangana, R. S., Shehu, U. U., &amp; Akin-Adewumi, A. (2025). Exploring the versatility of </w:t>
      </w:r>
      <w:r w:rsidRPr="0053009C">
        <w:rPr>
          <w:rFonts w:ascii="Times New Roman" w:hAnsi="Times New Roman"/>
          <w:i/>
          <w:iCs/>
          <w:sz w:val="24"/>
          <w:szCs w:val="24"/>
        </w:rPr>
        <w:t>Drosophila melanogaster</w:t>
      </w:r>
      <w:r w:rsidRPr="0053009C">
        <w:rPr>
          <w:rFonts w:ascii="Times New Roman" w:hAnsi="Times New Roman"/>
          <w:sz w:val="24"/>
          <w:szCs w:val="24"/>
        </w:rPr>
        <w:t xml:space="preserve"> as a model organism in biomedical research: A comprehensive review. </w:t>
      </w:r>
      <w:r w:rsidRPr="0053009C">
        <w:rPr>
          <w:rFonts w:ascii="Times New Roman" w:hAnsi="Times New Roman"/>
          <w:i/>
          <w:iCs/>
          <w:sz w:val="24"/>
          <w:szCs w:val="24"/>
        </w:rPr>
        <w:t>Fly, 19</w:t>
      </w:r>
      <w:r w:rsidRPr="0053009C">
        <w:rPr>
          <w:rFonts w:ascii="Times New Roman" w:hAnsi="Times New Roman"/>
          <w:sz w:val="24"/>
          <w:szCs w:val="24"/>
        </w:rPr>
        <w:t xml:space="preserve">(1), 2420453. </w:t>
      </w:r>
      <w:hyperlink r:id="rId28" w:tgtFrame="_new" w:history="1">
        <w:r w:rsidRPr="0053009C">
          <w:rPr>
            <w:rFonts w:ascii="Times New Roman" w:hAnsi="Times New Roman"/>
            <w:color w:val="0000FF"/>
            <w:sz w:val="24"/>
            <w:szCs w:val="24"/>
            <w:u w:val="single"/>
          </w:rPr>
          <w:t>https://doi.org/10.1080/19336934.2024.2420453</w:t>
        </w:r>
      </w:hyperlink>
      <w:r w:rsidRPr="0053009C">
        <w:rPr>
          <w:rFonts w:ascii="Times New Roman" w:hAnsi="Times New Roman"/>
          <w:sz w:val="24"/>
          <w:szCs w:val="24"/>
        </w:rPr>
        <w:t xml:space="preserve"> </w:t>
      </w:r>
    </w:p>
    <w:p w14:paraId="32D4305D" w14:textId="66813BDF"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Gargano, J. W., Martin, I., Bhandari, P., &amp; </w:t>
      </w:r>
      <w:proofErr w:type="spellStart"/>
      <w:r w:rsidRPr="0053009C">
        <w:rPr>
          <w:rFonts w:ascii="Times New Roman" w:hAnsi="Times New Roman"/>
          <w:sz w:val="24"/>
          <w:szCs w:val="24"/>
        </w:rPr>
        <w:t>Grotewiel</w:t>
      </w:r>
      <w:proofErr w:type="spellEnd"/>
      <w:r w:rsidRPr="0053009C">
        <w:rPr>
          <w:rFonts w:ascii="Times New Roman" w:hAnsi="Times New Roman"/>
          <w:sz w:val="24"/>
          <w:szCs w:val="24"/>
        </w:rPr>
        <w:t xml:space="preserve">, M. S. (2005). Rapid iterative negative geotaxis (RING): A new method for assessing age-related locomotor decline in </w:t>
      </w:r>
      <w:r w:rsidRPr="0053009C">
        <w:rPr>
          <w:rFonts w:ascii="Times New Roman" w:hAnsi="Times New Roman"/>
          <w:i/>
          <w:iCs/>
          <w:sz w:val="24"/>
          <w:szCs w:val="24"/>
        </w:rPr>
        <w:t>Drosophila</w:t>
      </w:r>
      <w:r w:rsidRPr="0053009C">
        <w:rPr>
          <w:rFonts w:ascii="Times New Roman" w:hAnsi="Times New Roman"/>
          <w:sz w:val="24"/>
          <w:szCs w:val="24"/>
        </w:rPr>
        <w:t xml:space="preserve">. </w:t>
      </w:r>
      <w:r w:rsidRPr="0053009C">
        <w:rPr>
          <w:rFonts w:ascii="Times New Roman" w:hAnsi="Times New Roman"/>
          <w:i/>
          <w:iCs/>
          <w:sz w:val="24"/>
          <w:szCs w:val="24"/>
        </w:rPr>
        <w:t>Experimental Gerontology, 40</w:t>
      </w:r>
      <w:r w:rsidRPr="0053009C">
        <w:rPr>
          <w:rFonts w:ascii="Times New Roman" w:hAnsi="Times New Roman"/>
          <w:sz w:val="24"/>
          <w:szCs w:val="24"/>
        </w:rPr>
        <w:t xml:space="preserve">(5), 386–395. https://doi.org/10.1016/j.exger.2005.02.005 </w:t>
      </w:r>
    </w:p>
    <w:p w14:paraId="11502B64" w14:textId="1F66607D"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Benzer, S. (1967). Behavioral mutants of </w:t>
      </w:r>
      <w:r w:rsidRPr="0053009C">
        <w:rPr>
          <w:rFonts w:ascii="Times New Roman" w:hAnsi="Times New Roman"/>
          <w:i/>
          <w:iCs/>
          <w:sz w:val="24"/>
          <w:szCs w:val="24"/>
        </w:rPr>
        <w:t>Drosophila</w:t>
      </w:r>
      <w:r w:rsidRPr="0053009C">
        <w:rPr>
          <w:rFonts w:ascii="Times New Roman" w:hAnsi="Times New Roman"/>
          <w:sz w:val="24"/>
          <w:szCs w:val="24"/>
        </w:rPr>
        <w:t xml:space="preserve"> isolated by countercurrent distribution. </w:t>
      </w:r>
      <w:r w:rsidRPr="0053009C">
        <w:rPr>
          <w:rFonts w:ascii="Times New Roman" w:hAnsi="Times New Roman"/>
          <w:i/>
          <w:iCs/>
          <w:sz w:val="24"/>
          <w:szCs w:val="24"/>
        </w:rPr>
        <w:t>Proceedings of the National Academy of Sciences of the United States of America, 58</w:t>
      </w:r>
      <w:r w:rsidRPr="0053009C">
        <w:rPr>
          <w:rFonts w:ascii="Times New Roman" w:hAnsi="Times New Roman"/>
          <w:sz w:val="24"/>
          <w:szCs w:val="24"/>
        </w:rPr>
        <w:t xml:space="preserve">(3), 1112–1119. https://doi.org/10.1073/pnas.58.3.1112 </w:t>
      </w:r>
    </w:p>
    <w:p w14:paraId="4B9D595E" w14:textId="16D6D15F"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Kuebler, D., &amp; Tanouye, M. A. (2000). Modifications of seizure susceptibility in </w:t>
      </w:r>
      <w:r w:rsidRPr="0053009C">
        <w:rPr>
          <w:rFonts w:ascii="Times New Roman" w:hAnsi="Times New Roman"/>
          <w:i/>
          <w:iCs/>
          <w:sz w:val="24"/>
          <w:szCs w:val="24"/>
        </w:rPr>
        <w:t>Drosophila</w:t>
      </w:r>
      <w:r w:rsidRPr="0053009C">
        <w:rPr>
          <w:rFonts w:ascii="Times New Roman" w:hAnsi="Times New Roman"/>
          <w:sz w:val="24"/>
          <w:szCs w:val="24"/>
        </w:rPr>
        <w:t xml:space="preserve">. </w:t>
      </w:r>
      <w:r w:rsidRPr="0053009C">
        <w:rPr>
          <w:rFonts w:ascii="Times New Roman" w:hAnsi="Times New Roman"/>
          <w:i/>
          <w:iCs/>
          <w:sz w:val="24"/>
          <w:szCs w:val="24"/>
        </w:rPr>
        <w:t>Journal of Neurophysiology, 83</w:t>
      </w:r>
      <w:r w:rsidRPr="0053009C">
        <w:rPr>
          <w:rFonts w:ascii="Times New Roman" w:hAnsi="Times New Roman"/>
          <w:sz w:val="24"/>
          <w:szCs w:val="24"/>
        </w:rPr>
        <w:t xml:space="preserve">(2), 998–1009. https://doi.org/10.1152/jn.2000.83.2.998 </w:t>
      </w:r>
    </w:p>
    <w:p w14:paraId="6E7A5445" w14:textId="61CA1DFB"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Poddar, T. K., Mukhopadhyay, S., &amp; Das, S. K. (2003). </w:t>
      </w:r>
      <w:r w:rsidRPr="0053009C">
        <w:rPr>
          <w:rFonts w:ascii="Times New Roman" w:hAnsi="Times New Roman"/>
          <w:i/>
          <w:iCs/>
          <w:sz w:val="24"/>
          <w:szCs w:val="24"/>
        </w:rPr>
        <w:t>An advanced laboratory manual of zoology</w:t>
      </w:r>
      <w:r w:rsidRPr="0053009C">
        <w:rPr>
          <w:rFonts w:ascii="Times New Roman" w:hAnsi="Times New Roman"/>
          <w:sz w:val="24"/>
          <w:szCs w:val="24"/>
        </w:rPr>
        <w:t xml:space="preserve">. Macmillan India Limited. </w:t>
      </w:r>
    </w:p>
    <w:p w14:paraId="65FFD533" w14:textId="3EA46C88"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Šarić, A., </w:t>
      </w:r>
      <w:proofErr w:type="spellStart"/>
      <w:r w:rsidRPr="0053009C">
        <w:rPr>
          <w:rFonts w:ascii="Times New Roman" w:hAnsi="Times New Roman"/>
          <w:sz w:val="24"/>
          <w:szCs w:val="24"/>
        </w:rPr>
        <w:t>Kalafatić</w:t>
      </w:r>
      <w:proofErr w:type="spellEnd"/>
      <w:r w:rsidRPr="0053009C">
        <w:rPr>
          <w:rFonts w:ascii="Times New Roman" w:hAnsi="Times New Roman"/>
          <w:sz w:val="24"/>
          <w:szCs w:val="24"/>
        </w:rPr>
        <w:t xml:space="preserve">, M., Rusak, G., Kovačević, G., Franjević, D., &amp; Gutzeit, H. O. (2007). Postembryonic development of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proofErr w:type="spellStart"/>
      <w:r w:rsidRPr="0053009C">
        <w:rPr>
          <w:rFonts w:ascii="Times New Roman" w:hAnsi="Times New Roman"/>
          <w:sz w:val="24"/>
          <w:szCs w:val="24"/>
        </w:rPr>
        <w:t>Meigen</w:t>
      </w:r>
      <w:proofErr w:type="spellEnd"/>
      <w:r w:rsidRPr="0053009C">
        <w:rPr>
          <w:rFonts w:ascii="Times New Roman" w:hAnsi="Times New Roman"/>
          <w:sz w:val="24"/>
          <w:szCs w:val="24"/>
        </w:rPr>
        <w:t xml:space="preserve">, 1830 under the influence of quercetin. </w:t>
      </w:r>
      <w:r w:rsidRPr="0053009C">
        <w:rPr>
          <w:rFonts w:ascii="Times New Roman" w:hAnsi="Times New Roman"/>
          <w:i/>
          <w:iCs/>
          <w:sz w:val="24"/>
          <w:szCs w:val="24"/>
        </w:rPr>
        <w:t>Entomological News, 118</w:t>
      </w:r>
      <w:r w:rsidRPr="0053009C">
        <w:rPr>
          <w:rFonts w:ascii="Times New Roman" w:hAnsi="Times New Roman"/>
          <w:sz w:val="24"/>
          <w:szCs w:val="24"/>
        </w:rPr>
        <w:t xml:space="preserve">(3), 235–240. https://doi.org/10.3157/0013-872X(2007)118%5B235:PDODMM%5D2.0.CO;2 </w:t>
      </w:r>
    </w:p>
    <w:p w14:paraId="22A2E25E" w14:textId="17A961F9"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t>Grotewiel</w:t>
      </w:r>
      <w:proofErr w:type="spellEnd"/>
      <w:r w:rsidRPr="0053009C">
        <w:rPr>
          <w:rFonts w:ascii="Times New Roman" w:hAnsi="Times New Roman"/>
          <w:sz w:val="24"/>
          <w:szCs w:val="24"/>
        </w:rPr>
        <w:t xml:space="preserve">, M. S., Martin, I., Bhandari, P., &amp; Cook-Wiens, E. (2005). Functional senescence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Ageing Research Reviews, 4</w:t>
      </w:r>
      <w:r w:rsidRPr="0053009C">
        <w:rPr>
          <w:rFonts w:ascii="Times New Roman" w:hAnsi="Times New Roman"/>
          <w:sz w:val="24"/>
          <w:szCs w:val="24"/>
        </w:rPr>
        <w:t xml:space="preserve">(3), 372–397. https://doi.org/10.1016/j.arr.2005.04.001 </w:t>
      </w:r>
    </w:p>
    <w:p w14:paraId="5DD2E5A5" w14:textId="455CD493"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lastRenderedPageBreak/>
        <w:t xml:space="preserve">Arking, R., &amp; Wells, R. A. (1990). Genetic alteration of normal aging processes is responsible for extended longevity in </w:t>
      </w:r>
      <w:r w:rsidRPr="0053009C">
        <w:rPr>
          <w:rFonts w:ascii="Times New Roman" w:hAnsi="Times New Roman"/>
          <w:i/>
          <w:iCs/>
          <w:sz w:val="24"/>
          <w:szCs w:val="24"/>
        </w:rPr>
        <w:t>Drosophila</w:t>
      </w:r>
      <w:r w:rsidRPr="0053009C">
        <w:rPr>
          <w:rFonts w:ascii="Times New Roman" w:hAnsi="Times New Roman"/>
          <w:sz w:val="24"/>
          <w:szCs w:val="24"/>
        </w:rPr>
        <w:t xml:space="preserve">. </w:t>
      </w:r>
      <w:r w:rsidRPr="0053009C">
        <w:rPr>
          <w:rFonts w:ascii="Times New Roman" w:hAnsi="Times New Roman"/>
          <w:i/>
          <w:iCs/>
          <w:sz w:val="24"/>
          <w:szCs w:val="24"/>
        </w:rPr>
        <w:t>Developmental Genetics, 11</w:t>
      </w:r>
      <w:r w:rsidRPr="0053009C">
        <w:rPr>
          <w:rFonts w:ascii="Times New Roman" w:hAnsi="Times New Roman"/>
          <w:sz w:val="24"/>
          <w:szCs w:val="24"/>
        </w:rPr>
        <w:t xml:space="preserve">(2), 141–148. https://doi.org/10.1002/dvg.1020110204 </w:t>
      </w:r>
    </w:p>
    <w:p w14:paraId="7EC0DF4D" w14:textId="0952C75F"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Rhodenizer, D., Martin, I., Bhandari, P., Pletcher, S. D., &amp; </w:t>
      </w:r>
      <w:proofErr w:type="spellStart"/>
      <w:r w:rsidRPr="0053009C">
        <w:rPr>
          <w:rFonts w:ascii="Times New Roman" w:hAnsi="Times New Roman"/>
          <w:sz w:val="24"/>
          <w:szCs w:val="24"/>
        </w:rPr>
        <w:t>Grotewiel</w:t>
      </w:r>
      <w:proofErr w:type="spellEnd"/>
      <w:r w:rsidRPr="0053009C">
        <w:rPr>
          <w:rFonts w:ascii="Times New Roman" w:hAnsi="Times New Roman"/>
          <w:sz w:val="24"/>
          <w:szCs w:val="24"/>
        </w:rPr>
        <w:t xml:space="preserve">, M. (2008). Genetic and environmental factors impact age-related impairment of negative geotaxis in </w:t>
      </w:r>
      <w:r w:rsidRPr="0053009C">
        <w:rPr>
          <w:rFonts w:ascii="Times New Roman" w:hAnsi="Times New Roman"/>
          <w:i/>
          <w:iCs/>
          <w:sz w:val="24"/>
          <w:szCs w:val="24"/>
        </w:rPr>
        <w:t>Drosophila</w:t>
      </w:r>
      <w:r w:rsidRPr="0053009C">
        <w:rPr>
          <w:rFonts w:ascii="Times New Roman" w:hAnsi="Times New Roman"/>
          <w:sz w:val="24"/>
          <w:szCs w:val="24"/>
        </w:rPr>
        <w:t xml:space="preserve"> by altering age-dependent climbing speed. </w:t>
      </w:r>
      <w:r w:rsidRPr="0053009C">
        <w:rPr>
          <w:rFonts w:ascii="Times New Roman" w:hAnsi="Times New Roman"/>
          <w:i/>
          <w:iCs/>
          <w:sz w:val="24"/>
          <w:szCs w:val="24"/>
        </w:rPr>
        <w:t>Experimental Gerontology, 43</w:t>
      </w:r>
      <w:r w:rsidRPr="0053009C">
        <w:rPr>
          <w:rFonts w:ascii="Times New Roman" w:hAnsi="Times New Roman"/>
          <w:sz w:val="24"/>
          <w:szCs w:val="24"/>
        </w:rPr>
        <w:t xml:space="preserve">(8), 739–748. https://doi.org/10.1016/j.exger.2008.04.011 </w:t>
      </w:r>
    </w:p>
    <w:p w14:paraId="4843908C" w14:textId="092518ED"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Hadler, N. M. (1964). Heritability and phototaxis in </w:t>
      </w:r>
      <w:r w:rsidRPr="0053009C">
        <w:rPr>
          <w:rFonts w:ascii="Times New Roman" w:hAnsi="Times New Roman"/>
          <w:i/>
          <w:iCs/>
          <w:sz w:val="24"/>
          <w:szCs w:val="24"/>
        </w:rPr>
        <w:t>Drosophila melanogaster</w:t>
      </w:r>
      <w:r w:rsidRPr="0053009C">
        <w:rPr>
          <w:rFonts w:ascii="Times New Roman" w:hAnsi="Times New Roman"/>
          <w:sz w:val="24"/>
          <w:szCs w:val="24"/>
        </w:rPr>
        <w:t xml:space="preserve">. </w:t>
      </w:r>
      <w:r w:rsidRPr="0053009C">
        <w:rPr>
          <w:rFonts w:ascii="Times New Roman" w:hAnsi="Times New Roman"/>
          <w:i/>
          <w:iCs/>
          <w:sz w:val="24"/>
          <w:szCs w:val="24"/>
        </w:rPr>
        <w:t>Genetics, 50</w:t>
      </w:r>
      <w:r w:rsidRPr="0053009C">
        <w:rPr>
          <w:rFonts w:ascii="Times New Roman" w:hAnsi="Times New Roman"/>
          <w:sz w:val="24"/>
          <w:szCs w:val="24"/>
        </w:rPr>
        <w:t xml:space="preserve">(6), 1269–1277. https://doi.org/10.1093/genetics/50.6.1269 </w:t>
      </w:r>
    </w:p>
    <w:p w14:paraId="630D2333" w14:textId="1D874F9A" w:rsidR="0053009C" w:rsidRPr="0053009C" w:rsidRDefault="0053009C" w:rsidP="0053009C">
      <w:pPr>
        <w:ind w:left="540" w:hanging="540"/>
        <w:jc w:val="both"/>
        <w:rPr>
          <w:rFonts w:ascii="Times New Roman" w:hAnsi="Times New Roman"/>
          <w:sz w:val="24"/>
          <w:szCs w:val="24"/>
          <w:lang w:val="nl-BE"/>
        </w:rPr>
      </w:pPr>
      <w:r w:rsidRPr="0053009C">
        <w:rPr>
          <w:rFonts w:ascii="Times New Roman" w:hAnsi="Times New Roman"/>
          <w:sz w:val="24"/>
          <w:szCs w:val="24"/>
        </w:rPr>
        <w:t xml:space="preserve">Vang, L. L., Medvedev, A. V., &amp; Adler, J. (2012). Simple ways to measure behavioral responses of </w:t>
      </w:r>
      <w:r w:rsidRPr="0053009C">
        <w:rPr>
          <w:rFonts w:ascii="Times New Roman" w:hAnsi="Times New Roman"/>
          <w:i/>
          <w:iCs/>
          <w:sz w:val="24"/>
          <w:szCs w:val="24"/>
        </w:rPr>
        <w:t>Drosophila</w:t>
      </w:r>
      <w:r w:rsidRPr="0053009C">
        <w:rPr>
          <w:rFonts w:ascii="Times New Roman" w:hAnsi="Times New Roman"/>
          <w:sz w:val="24"/>
          <w:szCs w:val="24"/>
        </w:rPr>
        <w:t xml:space="preserve"> to stimuli and use of these methods to characterize a novel mutant. </w:t>
      </w:r>
      <w:r w:rsidRPr="0053009C">
        <w:rPr>
          <w:rFonts w:ascii="Times New Roman" w:hAnsi="Times New Roman"/>
          <w:i/>
          <w:iCs/>
          <w:sz w:val="24"/>
          <w:szCs w:val="24"/>
          <w:lang w:val="nl-BE"/>
        </w:rPr>
        <w:t>PLOS ONE, 7</w:t>
      </w:r>
      <w:r w:rsidRPr="0053009C">
        <w:rPr>
          <w:rFonts w:ascii="Times New Roman" w:hAnsi="Times New Roman"/>
          <w:sz w:val="24"/>
          <w:szCs w:val="24"/>
          <w:lang w:val="nl-BE"/>
        </w:rPr>
        <w:t xml:space="preserve">(5), e37495. https://doi.org/10.1371/journal.pone.0037495 </w:t>
      </w:r>
    </w:p>
    <w:p w14:paraId="0A0C3B4A" w14:textId="7E8271AC"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lang w:val="nl-BE"/>
        </w:rPr>
        <w:t xml:space="preserve">Fischer, F. P., Karge, R. A., Koch, H., Voigt, A., Weber, Y. G., &amp; Wolking, S. (2024). </w:t>
      </w:r>
      <w:r w:rsidRPr="0053009C">
        <w:rPr>
          <w:rFonts w:ascii="Times New Roman" w:hAnsi="Times New Roman"/>
          <w:sz w:val="24"/>
          <w:szCs w:val="24"/>
        </w:rPr>
        <w:t xml:space="preserve">The fruit fly </w:t>
      </w:r>
      <w:r w:rsidRPr="0053009C">
        <w:rPr>
          <w:rFonts w:ascii="Times New Roman" w:hAnsi="Times New Roman"/>
          <w:i/>
          <w:iCs/>
          <w:sz w:val="24"/>
          <w:szCs w:val="24"/>
        </w:rPr>
        <w:t>Drosophila melanogaster</w:t>
      </w:r>
      <w:r w:rsidRPr="0053009C">
        <w:rPr>
          <w:rFonts w:ascii="Times New Roman" w:hAnsi="Times New Roman"/>
          <w:sz w:val="24"/>
          <w:szCs w:val="24"/>
        </w:rPr>
        <w:t xml:space="preserve"> as a screening model for antiseizure medications. </w:t>
      </w:r>
      <w:r w:rsidRPr="0053009C">
        <w:rPr>
          <w:rFonts w:ascii="Times New Roman" w:hAnsi="Times New Roman"/>
          <w:i/>
          <w:iCs/>
          <w:sz w:val="24"/>
          <w:szCs w:val="24"/>
        </w:rPr>
        <w:t>Frontiers in Pharmacology, 15</w:t>
      </w:r>
      <w:r w:rsidRPr="0053009C">
        <w:rPr>
          <w:rFonts w:ascii="Times New Roman" w:hAnsi="Times New Roman"/>
          <w:sz w:val="24"/>
          <w:szCs w:val="24"/>
        </w:rPr>
        <w:t xml:space="preserve">, 1489888. https://doi.org/10.3389/fphar.2024.1489888 </w:t>
      </w:r>
    </w:p>
    <w:p w14:paraId="124B3E9B" w14:textId="3917AD63"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Song, J., &amp; Tanouye, M. A. (2008). From bench to drug: Human seizure modeling using </w:t>
      </w:r>
      <w:r w:rsidRPr="0053009C">
        <w:rPr>
          <w:rFonts w:ascii="Times New Roman" w:hAnsi="Times New Roman"/>
          <w:i/>
          <w:iCs/>
          <w:sz w:val="24"/>
          <w:szCs w:val="24"/>
        </w:rPr>
        <w:t>Drosophila</w:t>
      </w:r>
      <w:r w:rsidRPr="0053009C">
        <w:rPr>
          <w:rFonts w:ascii="Times New Roman" w:hAnsi="Times New Roman"/>
          <w:sz w:val="24"/>
          <w:szCs w:val="24"/>
        </w:rPr>
        <w:t xml:space="preserve">. </w:t>
      </w:r>
      <w:r w:rsidRPr="0053009C">
        <w:rPr>
          <w:rFonts w:ascii="Times New Roman" w:hAnsi="Times New Roman"/>
          <w:i/>
          <w:iCs/>
          <w:sz w:val="24"/>
          <w:szCs w:val="24"/>
        </w:rPr>
        <w:t>Progress in Neurobiology, 84</w:t>
      </w:r>
      <w:r w:rsidRPr="0053009C">
        <w:rPr>
          <w:rFonts w:ascii="Times New Roman" w:hAnsi="Times New Roman"/>
          <w:sz w:val="24"/>
          <w:szCs w:val="24"/>
        </w:rPr>
        <w:t xml:space="preserve">(2), 182–191. https://doi.org/10.1016/j.pneurobio.2007.10.006 </w:t>
      </w:r>
    </w:p>
    <w:p w14:paraId="6BAD870A" w14:textId="21ECFE14"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Sokal, R. R., &amp; Rohlf, F. J. (2012). </w:t>
      </w:r>
      <w:r w:rsidRPr="0053009C">
        <w:rPr>
          <w:rFonts w:ascii="Times New Roman" w:hAnsi="Times New Roman"/>
          <w:i/>
          <w:iCs/>
          <w:sz w:val="24"/>
          <w:szCs w:val="24"/>
        </w:rPr>
        <w:t>Biometry: The principles and practice of statistics in biological research</w:t>
      </w:r>
      <w:r w:rsidRPr="0053009C">
        <w:rPr>
          <w:rFonts w:ascii="Times New Roman" w:hAnsi="Times New Roman"/>
          <w:sz w:val="24"/>
          <w:szCs w:val="24"/>
        </w:rPr>
        <w:t xml:space="preserve"> (4th ed.). W. H. Freeman and Company. </w:t>
      </w:r>
    </w:p>
    <w:p w14:paraId="7B227674" w14:textId="03176EBD"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Tukey, J. W. (1949). Comparing individual means in the analysis of variance. </w:t>
      </w:r>
      <w:r w:rsidRPr="0053009C">
        <w:rPr>
          <w:rFonts w:ascii="Times New Roman" w:hAnsi="Times New Roman"/>
          <w:i/>
          <w:iCs/>
          <w:sz w:val="24"/>
          <w:szCs w:val="24"/>
        </w:rPr>
        <w:t>Biometrics, 5</w:t>
      </w:r>
      <w:r w:rsidRPr="0053009C">
        <w:rPr>
          <w:rFonts w:ascii="Times New Roman" w:hAnsi="Times New Roman"/>
          <w:sz w:val="24"/>
          <w:szCs w:val="24"/>
        </w:rPr>
        <w:t xml:space="preserve">(2), 99–114. https://doi.org/10.2307/3001913 </w:t>
      </w:r>
    </w:p>
    <w:p w14:paraId="742728AA" w14:textId="1BDBFB37"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Zar, J. H. (2010). </w:t>
      </w:r>
      <w:r w:rsidRPr="0053009C">
        <w:rPr>
          <w:rFonts w:ascii="Times New Roman" w:hAnsi="Times New Roman"/>
          <w:i/>
          <w:iCs/>
          <w:sz w:val="24"/>
          <w:szCs w:val="24"/>
        </w:rPr>
        <w:t>Biostatistical analysis</w:t>
      </w:r>
      <w:r w:rsidRPr="0053009C">
        <w:rPr>
          <w:rFonts w:ascii="Times New Roman" w:hAnsi="Times New Roman"/>
          <w:sz w:val="24"/>
          <w:szCs w:val="24"/>
        </w:rPr>
        <w:t xml:space="preserve"> (5th ed.). Prentice Hall. </w:t>
      </w:r>
    </w:p>
    <w:p w14:paraId="1D4FEA96" w14:textId="6D89E68A"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Dunnett, C. W. (1955). A multiple comparison procedure for comparing several treatments with a control. </w:t>
      </w:r>
      <w:r w:rsidRPr="0053009C">
        <w:rPr>
          <w:rFonts w:ascii="Times New Roman" w:hAnsi="Times New Roman"/>
          <w:i/>
          <w:iCs/>
          <w:sz w:val="24"/>
          <w:szCs w:val="24"/>
        </w:rPr>
        <w:t>Journal of the American Statistical Association, 50</w:t>
      </w:r>
      <w:r w:rsidRPr="0053009C">
        <w:rPr>
          <w:rFonts w:ascii="Times New Roman" w:hAnsi="Times New Roman"/>
          <w:sz w:val="24"/>
          <w:szCs w:val="24"/>
        </w:rPr>
        <w:t xml:space="preserve">(272), 1096–1121. https://doi.org/10.1080/01621459.1955.10501294 </w:t>
      </w:r>
    </w:p>
    <w:p w14:paraId="1DE73477" w14:textId="6F6334F9"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Kaplan, E. L., &amp; Meier, P. (1958). Nonparametric estimation from incomplete observations. </w:t>
      </w:r>
      <w:r w:rsidRPr="0053009C">
        <w:rPr>
          <w:rFonts w:ascii="Times New Roman" w:hAnsi="Times New Roman"/>
          <w:i/>
          <w:iCs/>
          <w:sz w:val="24"/>
          <w:szCs w:val="24"/>
        </w:rPr>
        <w:t>Journal of the American Statistical Association, 53</w:t>
      </w:r>
      <w:r w:rsidRPr="0053009C">
        <w:rPr>
          <w:rFonts w:ascii="Times New Roman" w:hAnsi="Times New Roman"/>
          <w:sz w:val="24"/>
          <w:szCs w:val="24"/>
        </w:rPr>
        <w:t xml:space="preserve">(282), 457–481. </w:t>
      </w:r>
      <w:hyperlink r:id="rId29" w:tgtFrame="_new" w:history="1">
        <w:r w:rsidRPr="0053009C">
          <w:rPr>
            <w:rFonts w:ascii="Times New Roman" w:hAnsi="Times New Roman"/>
            <w:color w:val="0000FF"/>
            <w:sz w:val="24"/>
            <w:szCs w:val="24"/>
            <w:u w:val="single"/>
          </w:rPr>
          <w:t>https://doi.org/10.1080/01621459.1958.10501452</w:t>
        </w:r>
      </w:hyperlink>
      <w:r w:rsidRPr="0053009C">
        <w:rPr>
          <w:rFonts w:ascii="Times New Roman" w:hAnsi="Times New Roman"/>
          <w:sz w:val="24"/>
          <w:szCs w:val="24"/>
        </w:rPr>
        <w:t xml:space="preserve"> </w:t>
      </w:r>
    </w:p>
    <w:p w14:paraId="49D48701" w14:textId="35865848"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Mantel, N. (1966). Evaluation of survival data and two new rank order statistics arising in its consideration. </w:t>
      </w:r>
      <w:r w:rsidRPr="0053009C">
        <w:rPr>
          <w:rFonts w:ascii="Times New Roman" w:hAnsi="Times New Roman"/>
          <w:i/>
          <w:iCs/>
          <w:sz w:val="24"/>
          <w:szCs w:val="24"/>
        </w:rPr>
        <w:t>Cancer Chemotherapy Reports, 50</w:t>
      </w:r>
      <w:r w:rsidRPr="0053009C">
        <w:rPr>
          <w:rFonts w:ascii="Times New Roman" w:hAnsi="Times New Roman"/>
          <w:sz w:val="24"/>
          <w:szCs w:val="24"/>
        </w:rPr>
        <w:t xml:space="preserve">(3), 163–170. </w:t>
      </w:r>
    </w:p>
    <w:p w14:paraId="794C2007" w14:textId="176D56D4"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Lu, Y., Wang, K., &amp; Hu, L. (2025). Advancements in delivery systems for dietary polyphenols in enhancing radioprotection effects: Challenges and opportunities. </w:t>
      </w:r>
      <w:proofErr w:type="spellStart"/>
      <w:r w:rsidRPr="0053009C">
        <w:rPr>
          <w:rFonts w:ascii="Times New Roman" w:hAnsi="Times New Roman"/>
          <w:i/>
          <w:iCs/>
          <w:sz w:val="24"/>
          <w:szCs w:val="24"/>
        </w:rPr>
        <w:t>npj</w:t>
      </w:r>
      <w:proofErr w:type="spellEnd"/>
      <w:r w:rsidRPr="0053009C">
        <w:rPr>
          <w:rFonts w:ascii="Times New Roman" w:hAnsi="Times New Roman"/>
          <w:i/>
          <w:iCs/>
          <w:sz w:val="24"/>
          <w:szCs w:val="24"/>
        </w:rPr>
        <w:t xml:space="preserve"> Science of Food, 9</w:t>
      </w:r>
      <w:r w:rsidRPr="0053009C">
        <w:rPr>
          <w:rFonts w:ascii="Times New Roman" w:hAnsi="Times New Roman"/>
          <w:sz w:val="24"/>
          <w:szCs w:val="24"/>
        </w:rPr>
        <w:t xml:space="preserve">(1), 51. https://doi.org/10.1038/s41538-025-00419-6 </w:t>
      </w:r>
    </w:p>
    <w:p w14:paraId="7875B79B" w14:textId="5695AC1B"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lang w:val="nl-BE"/>
        </w:rPr>
        <w:t xml:space="preserve">Hunter, S. K., Pereira, H. M., &amp; Keenan, K. G. (2016). </w:t>
      </w:r>
      <w:r w:rsidRPr="0053009C">
        <w:rPr>
          <w:rFonts w:ascii="Times New Roman" w:hAnsi="Times New Roman"/>
          <w:sz w:val="24"/>
          <w:szCs w:val="24"/>
        </w:rPr>
        <w:t xml:space="preserve">The aging neuromuscular system and motor performance. </w:t>
      </w:r>
      <w:r w:rsidRPr="0053009C">
        <w:rPr>
          <w:rFonts w:ascii="Times New Roman" w:hAnsi="Times New Roman"/>
          <w:i/>
          <w:iCs/>
          <w:sz w:val="24"/>
          <w:szCs w:val="24"/>
        </w:rPr>
        <w:t>Journal of Applied Physiology, 121</w:t>
      </w:r>
      <w:r w:rsidRPr="0053009C">
        <w:rPr>
          <w:rFonts w:ascii="Times New Roman" w:hAnsi="Times New Roman"/>
          <w:sz w:val="24"/>
          <w:szCs w:val="24"/>
        </w:rPr>
        <w:t xml:space="preserve">(4), 982–995. https://doi.org/10.1152/japplphysiol.00475.2016 </w:t>
      </w:r>
    </w:p>
    <w:p w14:paraId="5711BA4E" w14:textId="451C80D5" w:rsidR="0053009C" w:rsidRPr="0053009C" w:rsidRDefault="0053009C" w:rsidP="0053009C">
      <w:pPr>
        <w:ind w:left="540" w:hanging="540"/>
        <w:jc w:val="both"/>
        <w:rPr>
          <w:rFonts w:ascii="Times New Roman" w:hAnsi="Times New Roman"/>
          <w:sz w:val="24"/>
          <w:szCs w:val="24"/>
        </w:rPr>
      </w:pPr>
      <w:proofErr w:type="spellStart"/>
      <w:r w:rsidRPr="0053009C">
        <w:rPr>
          <w:rFonts w:ascii="Times New Roman" w:hAnsi="Times New Roman"/>
          <w:sz w:val="24"/>
          <w:szCs w:val="24"/>
        </w:rPr>
        <w:t>Balentova</w:t>
      </w:r>
      <w:proofErr w:type="spellEnd"/>
      <w:r w:rsidRPr="0053009C">
        <w:rPr>
          <w:rFonts w:ascii="Times New Roman" w:hAnsi="Times New Roman"/>
          <w:sz w:val="24"/>
          <w:szCs w:val="24"/>
        </w:rPr>
        <w:t xml:space="preserve">, S., &amp; Adamkov, M. (2015). Molecular, cellular and functional effects of radiation-induced brain injury: A review. </w:t>
      </w:r>
      <w:r w:rsidRPr="0053009C">
        <w:rPr>
          <w:rFonts w:ascii="Times New Roman" w:hAnsi="Times New Roman"/>
          <w:i/>
          <w:iCs/>
          <w:sz w:val="24"/>
          <w:szCs w:val="24"/>
        </w:rPr>
        <w:t>International Journal of Molecular Sciences, 16</w:t>
      </w:r>
      <w:r w:rsidRPr="0053009C">
        <w:rPr>
          <w:rFonts w:ascii="Times New Roman" w:hAnsi="Times New Roman"/>
          <w:sz w:val="24"/>
          <w:szCs w:val="24"/>
        </w:rPr>
        <w:t xml:space="preserve">(11), 27796–27815. https://doi.org/10.3390/ijms161126068 </w:t>
      </w:r>
    </w:p>
    <w:p w14:paraId="5E252C0F" w14:textId="2033837A"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Praharaj, S., Chakraborty, E., &amp; Mahalingam, G. (2026). Ultraviolet radiation and neurodegeneration: Molecular mechanisms underlying dual neuroprotective and </w:t>
      </w:r>
      <w:r w:rsidRPr="0053009C">
        <w:rPr>
          <w:rFonts w:ascii="Times New Roman" w:hAnsi="Times New Roman"/>
          <w:sz w:val="24"/>
          <w:szCs w:val="24"/>
        </w:rPr>
        <w:lastRenderedPageBreak/>
        <w:t xml:space="preserve">neurotoxic effects. </w:t>
      </w:r>
      <w:r w:rsidRPr="0053009C">
        <w:rPr>
          <w:rFonts w:ascii="Times New Roman" w:hAnsi="Times New Roman"/>
          <w:i/>
          <w:iCs/>
          <w:sz w:val="24"/>
          <w:szCs w:val="24"/>
        </w:rPr>
        <w:t>Frontiers in Cellular Neuroscience, 20</w:t>
      </w:r>
      <w:r w:rsidRPr="0053009C">
        <w:rPr>
          <w:rFonts w:ascii="Times New Roman" w:hAnsi="Times New Roman"/>
          <w:sz w:val="24"/>
          <w:szCs w:val="24"/>
        </w:rPr>
        <w:t xml:space="preserve">, 1909393. https://doi.org/10.3389/fncel.2026.1909393 </w:t>
      </w:r>
    </w:p>
    <w:p w14:paraId="5318209A" w14:textId="2D05F7CF"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Kozak, H. H., </w:t>
      </w:r>
      <w:proofErr w:type="spellStart"/>
      <w:r w:rsidRPr="0053009C">
        <w:rPr>
          <w:rFonts w:ascii="Times New Roman" w:hAnsi="Times New Roman"/>
          <w:sz w:val="24"/>
          <w:szCs w:val="24"/>
        </w:rPr>
        <w:t>Kılınç</w:t>
      </w:r>
      <w:proofErr w:type="spellEnd"/>
      <w:r w:rsidRPr="0053009C">
        <w:rPr>
          <w:rFonts w:ascii="Times New Roman" w:hAnsi="Times New Roman"/>
          <w:sz w:val="24"/>
          <w:szCs w:val="24"/>
        </w:rPr>
        <w:t xml:space="preserve">, İ., &amp; </w:t>
      </w:r>
      <w:proofErr w:type="spellStart"/>
      <w:r w:rsidRPr="0053009C">
        <w:rPr>
          <w:rFonts w:ascii="Times New Roman" w:hAnsi="Times New Roman"/>
          <w:sz w:val="24"/>
          <w:szCs w:val="24"/>
        </w:rPr>
        <w:t>Özkürkçüler</w:t>
      </w:r>
      <w:proofErr w:type="spellEnd"/>
      <w:r w:rsidRPr="0053009C">
        <w:rPr>
          <w:rFonts w:ascii="Times New Roman" w:hAnsi="Times New Roman"/>
          <w:sz w:val="24"/>
          <w:szCs w:val="24"/>
        </w:rPr>
        <w:t xml:space="preserve">, A. (2020). Biochemical evaluation of the effects of quercetin on experimental acute methanol intoxication in rats. </w:t>
      </w:r>
      <w:r w:rsidRPr="0053009C">
        <w:rPr>
          <w:rFonts w:ascii="Times New Roman" w:hAnsi="Times New Roman"/>
          <w:i/>
          <w:iCs/>
          <w:sz w:val="24"/>
          <w:szCs w:val="24"/>
        </w:rPr>
        <w:t>Journal of Pharmaceutical Research International, 32</w:t>
      </w:r>
      <w:r w:rsidRPr="0053009C">
        <w:rPr>
          <w:rFonts w:ascii="Times New Roman" w:hAnsi="Times New Roman"/>
          <w:sz w:val="24"/>
          <w:szCs w:val="24"/>
        </w:rPr>
        <w:t xml:space="preserve">(20), 195–201. https://doi.org/10.9734/jpri/2020/v32i2030743 </w:t>
      </w:r>
    </w:p>
    <w:p w14:paraId="5FA79606" w14:textId="5C8BCC65" w:rsidR="0053009C" w:rsidRPr="0053009C" w:rsidRDefault="0053009C" w:rsidP="0053009C">
      <w:pPr>
        <w:ind w:left="540" w:hanging="540"/>
        <w:jc w:val="both"/>
        <w:rPr>
          <w:rFonts w:ascii="Times New Roman" w:hAnsi="Times New Roman"/>
          <w:sz w:val="24"/>
          <w:szCs w:val="24"/>
        </w:rPr>
      </w:pPr>
      <w:r w:rsidRPr="0053009C">
        <w:rPr>
          <w:rFonts w:ascii="Times New Roman" w:hAnsi="Times New Roman"/>
          <w:sz w:val="24"/>
          <w:szCs w:val="24"/>
        </w:rPr>
        <w:t xml:space="preserve">Islam, M. M., Sultana, N., Liu, C., Mao, A., </w:t>
      </w:r>
      <w:proofErr w:type="spellStart"/>
      <w:r w:rsidRPr="0053009C">
        <w:rPr>
          <w:rFonts w:ascii="Times New Roman" w:hAnsi="Times New Roman"/>
          <w:sz w:val="24"/>
          <w:szCs w:val="24"/>
        </w:rPr>
        <w:t>Katsube</w:t>
      </w:r>
      <w:proofErr w:type="spellEnd"/>
      <w:r w:rsidRPr="0053009C">
        <w:rPr>
          <w:rFonts w:ascii="Times New Roman" w:hAnsi="Times New Roman"/>
          <w:sz w:val="24"/>
          <w:szCs w:val="24"/>
        </w:rPr>
        <w:t xml:space="preserve">, T., &amp; Wang, B. (2024). Impact of dietary ingredients on radioprotection and </w:t>
      </w:r>
      <w:proofErr w:type="spellStart"/>
      <w:r w:rsidRPr="0053009C">
        <w:rPr>
          <w:rFonts w:ascii="Times New Roman" w:hAnsi="Times New Roman"/>
          <w:sz w:val="24"/>
          <w:szCs w:val="24"/>
        </w:rPr>
        <w:t>radiosensitization</w:t>
      </w:r>
      <w:proofErr w:type="spellEnd"/>
      <w:r w:rsidRPr="0053009C">
        <w:rPr>
          <w:rFonts w:ascii="Times New Roman" w:hAnsi="Times New Roman"/>
          <w:sz w:val="24"/>
          <w:szCs w:val="24"/>
        </w:rPr>
        <w:t xml:space="preserve">: A comprehensive review. </w:t>
      </w:r>
      <w:r w:rsidRPr="0053009C">
        <w:rPr>
          <w:rFonts w:ascii="Times New Roman" w:hAnsi="Times New Roman"/>
          <w:i/>
          <w:iCs/>
          <w:sz w:val="24"/>
          <w:szCs w:val="24"/>
        </w:rPr>
        <w:t>Annals of Medicine, 56</w:t>
      </w:r>
      <w:r w:rsidRPr="0053009C">
        <w:rPr>
          <w:rFonts w:ascii="Times New Roman" w:hAnsi="Times New Roman"/>
          <w:sz w:val="24"/>
          <w:szCs w:val="24"/>
        </w:rPr>
        <w:t xml:space="preserve">(1), 2396558. https://doi.org/10.1080/07853890.2024.2396558 </w:t>
      </w:r>
    </w:p>
    <w:p w14:paraId="0AE0B6C6" w14:textId="55005C85" w:rsidR="00BA4E65" w:rsidRPr="0053009C" w:rsidRDefault="0053009C" w:rsidP="0053009C">
      <w:pPr>
        <w:spacing w:after="160" w:line="259" w:lineRule="auto"/>
        <w:ind w:left="540" w:hanging="540"/>
        <w:jc w:val="both"/>
        <w:rPr>
          <w:rFonts w:ascii="Arial" w:hAnsi="Arial" w:cs="Arial"/>
        </w:rPr>
      </w:pPr>
      <w:r w:rsidRPr="0053009C">
        <w:rPr>
          <w:rFonts w:ascii="Times New Roman" w:hAnsi="Times New Roman"/>
          <w:sz w:val="24"/>
          <w:szCs w:val="24"/>
        </w:rPr>
        <w:t xml:space="preserve">Abdou, F. Y., Gharib, O. A., &amp; Fahmy, H. A. (2026). Hepatosplenic protective role of quercetin in gamma-irradiated rats: Modulation of oxidative stress, inflammatory and TGF-β signaling pathways. </w:t>
      </w:r>
      <w:r w:rsidRPr="0053009C">
        <w:rPr>
          <w:rFonts w:ascii="Times New Roman" w:hAnsi="Times New Roman"/>
          <w:i/>
          <w:iCs/>
          <w:sz w:val="24"/>
          <w:szCs w:val="24"/>
        </w:rPr>
        <w:t>BMC Complementary Medicine and Therapies, 26</w:t>
      </w:r>
      <w:r w:rsidRPr="0053009C">
        <w:rPr>
          <w:rFonts w:ascii="Times New Roman" w:hAnsi="Times New Roman"/>
          <w:sz w:val="24"/>
          <w:szCs w:val="24"/>
        </w:rPr>
        <w:t>, 132. https://doi.org/10.1186/s12906-026-05338-x</w:t>
      </w:r>
    </w:p>
    <w:sectPr w:rsidR="00BA4E65" w:rsidRPr="0053009C" w:rsidSect="00131E35">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E0ED" w14:textId="77777777" w:rsidR="008A4B25" w:rsidRDefault="008A4B25" w:rsidP="00C37E61">
      <w:r>
        <w:separator/>
      </w:r>
    </w:p>
  </w:endnote>
  <w:endnote w:type="continuationSeparator" w:id="0">
    <w:p w14:paraId="5946D472" w14:textId="77777777" w:rsidR="008A4B25" w:rsidRDefault="008A4B2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DD15" w14:textId="77777777" w:rsidR="00131E35" w:rsidRDefault="00131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674D" w14:textId="77777777" w:rsidR="00131E35" w:rsidRDefault="00131E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9BEA" w14:textId="77777777" w:rsidR="00754C9A" w:rsidRPr="00131E35" w:rsidRDefault="00754C9A" w:rsidP="00131E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ABDF" w14:textId="77777777" w:rsidR="0013585F" w:rsidRPr="00C37E61" w:rsidRDefault="0013585F"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0270" w14:textId="77777777" w:rsidR="008A4B25" w:rsidRDefault="008A4B25" w:rsidP="00C37E61">
      <w:r>
        <w:separator/>
      </w:r>
    </w:p>
  </w:footnote>
  <w:footnote w:type="continuationSeparator" w:id="0">
    <w:p w14:paraId="57B5CC93" w14:textId="77777777" w:rsidR="008A4B25" w:rsidRDefault="008A4B2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A8B8" w14:textId="77777777" w:rsidR="00131E35" w:rsidRDefault="00000000">
    <w:pPr>
      <w:pStyle w:val="Header"/>
    </w:pPr>
    <w:r>
      <w:rPr>
        <w:noProof/>
      </w:rPr>
      <w:pict w14:anchorId="21162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1985" w14:textId="77777777" w:rsidR="00131E35" w:rsidRDefault="00000000">
    <w:pPr>
      <w:pStyle w:val="Header"/>
    </w:pPr>
    <w:r>
      <w:rPr>
        <w:noProof/>
      </w:rPr>
      <w:pict w14:anchorId="211010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FB96" w14:textId="77777777" w:rsidR="00296529" w:rsidRPr="00296529" w:rsidRDefault="00000000" w:rsidP="00296529">
    <w:pPr>
      <w:ind w:left="2160"/>
      <w:jc w:val="center"/>
      <w:rPr>
        <w:rFonts w:ascii="Times New Roman" w:eastAsia="Calibri" w:hAnsi="Times New Roman"/>
        <w:i/>
        <w:sz w:val="18"/>
        <w:szCs w:val="22"/>
      </w:rPr>
    </w:pPr>
    <w:r>
      <w:rPr>
        <w:noProof/>
      </w:rPr>
      <w:pict w14:anchorId="7FCA55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C68704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DA9066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8675B6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029A0C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8090A5E"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DDF9476"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0C6C" w14:textId="77777777" w:rsidR="00131E35" w:rsidRDefault="00000000">
    <w:pPr>
      <w:pStyle w:val="Header"/>
    </w:pPr>
    <w:r>
      <w:rPr>
        <w:noProof/>
      </w:rPr>
      <w:pict w14:anchorId="0712E2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ADC4925">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9F0D" w14:textId="77777777" w:rsidR="00131E35" w:rsidRDefault="00000000">
    <w:pPr>
      <w:pStyle w:val="Header"/>
    </w:pPr>
    <w:r>
      <w:rPr>
        <w:noProof/>
      </w:rPr>
      <w:pict w14:anchorId="2ED165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AE8B82B">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CBD1" w14:textId="77777777" w:rsidR="00131E35" w:rsidRPr="00296529" w:rsidRDefault="00000000" w:rsidP="00296529">
    <w:pPr>
      <w:ind w:left="2160"/>
      <w:jc w:val="center"/>
      <w:rPr>
        <w:rFonts w:ascii="Times New Roman" w:eastAsia="Calibri" w:hAnsi="Times New Roman"/>
        <w:i/>
        <w:sz w:val="18"/>
        <w:szCs w:val="22"/>
      </w:rPr>
    </w:pPr>
    <w:r>
      <w:rPr>
        <w:noProof/>
      </w:rPr>
      <w:pict w14:anchorId="6F73D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DD5AFA1">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7FAB664" w14:textId="77777777" w:rsidR="00131E35" w:rsidRPr="00296529" w:rsidRDefault="00131E3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833ED46" w14:textId="77777777" w:rsidR="00131E35" w:rsidRPr="00296529" w:rsidRDefault="00131E3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B227332" w14:textId="77777777" w:rsidR="00131E35" w:rsidRPr="00296529" w:rsidRDefault="00131E3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A9F3B2" w14:textId="77777777" w:rsidR="00131E35" w:rsidRDefault="00131E3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9F6C5C9" w14:textId="77777777" w:rsidR="00131E35" w:rsidRDefault="00131E3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B0E8CDB" w14:textId="77777777" w:rsidR="00131E35" w:rsidRDefault="00131E3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057AE"/>
    <w:multiLevelType w:val="multilevel"/>
    <w:tmpl w:val="FFBA2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02061BE"/>
    <w:multiLevelType w:val="multilevel"/>
    <w:tmpl w:val="2384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F9F15AD"/>
    <w:multiLevelType w:val="hybridMultilevel"/>
    <w:tmpl w:val="0E0A1770"/>
    <w:lvl w:ilvl="0" w:tplc="84C60614">
      <w:start w:val="1"/>
      <w:numFmt w:val="decimal"/>
      <w:lvlText w:val="%1."/>
      <w:lvlJc w:val="left"/>
      <w:pPr>
        <w:ind w:left="1440" w:hanging="360"/>
      </w:pPr>
      <w:rPr>
        <w:color w:val="auto"/>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135AC1"/>
    <w:multiLevelType w:val="hybridMultilevel"/>
    <w:tmpl w:val="81C03FDC"/>
    <w:lvl w:ilvl="0" w:tplc="44CE0836">
      <w:start w:val="1"/>
      <w:numFmt w:val="lowerRoman"/>
      <w:lvlText w:val="%1."/>
      <w:lvlJc w:val="right"/>
      <w:pPr>
        <w:ind w:left="1004" w:hanging="360"/>
      </w:pPr>
      <w:rPr>
        <w:b/>
        <w:bCs/>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9" w15:restartNumberingAfterBreak="0">
    <w:nsid w:val="3DDF65F8"/>
    <w:multiLevelType w:val="hybridMultilevel"/>
    <w:tmpl w:val="554C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1" w15:restartNumberingAfterBreak="0">
    <w:nsid w:val="50C43E26"/>
    <w:multiLevelType w:val="multilevel"/>
    <w:tmpl w:val="1094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B336F"/>
    <w:multiLevelType w:val="hybridMultilevel"/>
    <w:tmpl w:val="72AED5D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E37297"/>
    <w:multiLevelType w:val="hybridMultilevel"/>
    <w:tmpl w:val="226E4D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690C2F"/>
    <w:multiLevelType w:val="hybridMultilevel"/>
    <w:tmpl w:val="53C63226"/>
    <w:lvl w:ilvl="0" w:tplc="FFFFFFFF">
      <w:start w:val="1"/>
      <w:numFmt w:val="lowerRoman"/>
      <w:lvlText w:val="%1."/>
      <w:lvlJc w:val="right"/>
      <w:pPr>
        <w:ind w:left="644"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10F28AF"/>
    <w:multiLevelType w:val="multilevel"/>
    <w:tmpl w:val="F26E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3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7571C5"/>
    <w:multiLevelType w:val="multilevel"/>
    <w:tmpl w:val="BD363E9E"/>
    <w:lvl w:ilvl="0">
      <w:start w:val="3"/>
      <w:numFmt w:val="decimal"/>
      <w:lvlText w:val="%1"/>
      <w:lvlJc w:val="left"/>
      <w:pPr>
        <w:ind w:left="480" w:hanging="480"/>
      </w:pPr>
      <w:rPr>
        <w:rFonts w:hint="default"/>
        <w:b/>
        <w:sz w:val="22"/>
        <w:u w:val="single"/>
      </w:rPr>
    </w:lvl>
    <w:lvl w:ilvl="1">
      <w:start w:val="1"/>
      <w:numFmt w:val="decimal"/>
      <w:lvlText w:val="%1.%2"/>
      <w:lvlJc w:val="left"/>
      <w:pPr>
        <w:ind w:left="480" w:hanging="480"/>
      </w:pPr>
      <w:rPr>
        <w:rFonts w:hint="default"/>
        <w:b/>
        <w:sz w:val="22"/>
        <w:u w:val="single"/>
      </w:rPr>
    </w:lvl>
    <w:lvl w:ilvl="2">
      <w:start w:val="2"/>
      <w:numFmt w:val="decimal"/>
      <w:lvlText w:val="%1.%2.%3"/>
      <w:lvlJc w:val="left"/>
      <w:pPr>
        <w:ind w:left="720" w:hanging="720"/>
      </w:pPr>
      <w:rPr>
        <w:rFonts w:hint="default"/>
        <w:b/>
        <w:sz w:val="22"/>
        <w:u w:val="single"/>
      </w:rPr>
    </w:lvl>
    <w:lvl w:ilvl="3">
      <w:start w:val="1"/>
      <w:numFmt w:val="decimal"/>
      <w:lvlText w:val="%1.%2.%3.%4"/>
      <w:lvlJc w:val="left"/>
      <w:pPr>
        <w:ind w:left="720" w:hanging="720"/>
      </w:pPr>
      <w:rPr>
        <w:rFonts w:hint="default"/>
        <w:b/>
        <w:sz w:val="22"/>
        <w:u w:val="single"/>
      </w:rPr>
    </w:lvl>
    <w:lvl w:ilvl="4">
      <w:start w:val="1"/>
      <w:numFmt w:val="decimal"/>
      <w:lvlText w:val="%1.%2.%3.%4.%5"/>
      <w:lvlJc w:val="left"/>
      <w:pPr>
        <w:ind w:left="1080" w:hanging="1080"/>
      </w:pPr>
      <w:rPr>
        <w:rFonts w:hint="default"/>
        <w:b/>
        <w:sz w:val="22"/>
        <w:u w:val="single"/>
      </w:rPr>
    </w:lvl>
    <w:lvl w:ilvl="5">
      <w:start w:val="1"/>
      <w:numFmt w:val="decimal"/>
      <w:lvlText w:val="%1.%2.%3.%4.%5.%6"/>
      <w:lvlJc w:val="left"/>
      <w:pPr>
        <w:ind w:left="1080" w:hanging="1080"/>
      </w:pPr>
      <w:rPr>
        <w:rFonts w:hint="default"/>
        <w:b/>
        <w:sz w:val="22"/>
        <w:u w:val="single"/>
      </w:rPr>
    </w:lvl>
    <w:lvl w:ilvl="6">
      <w:start w:val="1"/>
      <w:numFmt w:val="decimal"/>
      <w:lvlText w:val="%1.%2.%3.%4.%5.%6.%7"/>
      <w:lvlJc w:val="left"/>
      <w:pPr>
        <w:ind w:left="1440" w:hanging="1440"/>
      </w:pPr>
      <w:rPr>
        <w:rFonts w:hint="default"/>
        <w:b/>
        <w:sz w:val="22"/>
        <w:u w:val="single"/>
      </w:rPr>
    </w:lvl>
    <w:lvl w:ilvl="7">
      <w:start w:val="1"/>
      <w:numFmt w:val="decimal"/>
      <w:lvlText w:val="%1.%2.%3.%4.%5.%6.%7.%8"/>
      <w:lvlJc w:val="left"/>
      <w:pPr>
        <w:ind w:left="1440" w:hanging="1440"/>
      </w:pPr>
      <w:rPr>
        <w:rFonts w:hint="default"/>
        <w:b/>
        <w:sz w:val="22"/>
        <w:u w:val="single"/>
      </w:rPr>
    </w:lvl>
    <w:lvl w:ilvl="8">
      <w:start w:val="1"/>
      <w:numFmt w:val="decimal"/>
      <w:lvlText w:val="%1.%2.%3.%4.%5.%6.%7.%8.%9"/>
      <w:lvlJc w:val="left"/>
      <w:pPr>
        <w:ind w:left="1800" w:hanging="1800"/>
      </w:pPr>
      <w:rPr>
        <w:rFonts w:hint="default"/>
        <w:b/>
        <w:sz w:val="22"/>
        <w:u w:val="single"/>
      </w:rPr>
    </w:lvl>
  </w:abstractNum>
  <w:abstractNum w:abstractNumId="3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553551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45372711">
    <w:abstractNumId w:val="20"/>
  </w:num>
  <w:num w:numId="3" w16cid:durableId="158349482">
    <w:abstractNumId w:val="33"/>
  </w:num>
  <w:num w:numId="4" w16cid:durableId="127710459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110660245">
    <w:abstractNumId w:val="9"/>
  </w:num>
  <w:num w:numId="6" w16cid:durableId="676814221">
    <w:abstractNumId w:val="7"/>
  </w:num>
  <w:num w:numId="7" w16cid:durableId="1588802331">
    <w:abstractNumId w:val="2"/>
  </w:num>
  <w:num w:numId="8" w16cid:durableId="499809215">
    <w:abstractNumId w:val="14"/>
  </w:num>
  <w:num w:numId="9" w16cid:durableId="313877255">
    <w:abstractNumId w:val="35"/>
  </w:num>
  <w:num w:numId="10" w16cid:durableId="650060532">
    <w:abstractNumId w:val="3"/>
  </w:num>
  <w:num w:numId="11" w16cid:durableId="604465277">
    <w:abstractNumId w:val="27"/>
  </w:num>
  <w:num w:numId="12" w16cid:durableId="83572735">
    <w:abstractNumId w:val="4"/>
  </w:num>
  <w:num w:numId="13" w16cid:durableId="1802846097">
    <w:abstractNumId w:val="26"/>
  </w:num>
  <w:num w:numId="14" w16cid:durableId="950435648">
    <w:abstractNumId w:val="10"/>
  </w:num>
  <w:num w:numId="15" w16cid:durableId="442506416">
    <w:abstractNumId w:val="31"/>
  </w:num>
  <w:num w:numId="16" w16cid:durableId="1638148447">
    <w:abstractNumId w:val="6"/>
  </w:num>
  <w:num w:numId="17" w16cid:durableId="1245145153">
    <w:abstractNumId w:val="32"/>
  </w:num>
  <w:num w:numId="18" w16cid:durableId="1713455851">
    <w:abstractNumId w:val="17"/>
  </w:num>
  <w:num w:numId="19" w16cid:durableId="188296365">
    <w:abstractNumId w:val="39"/>
  </w:num>
  <w:num w:numId="20" w16cid:durableId="1641879650">
    <w:abstractNumId w:val="13"/>
  </w:num>
  <w:num w:numId="21" w16cid:durableId="88238117">
    <w:abstractNumId w:val="11"/>
  </w:num>
  <w:num w:numId="22" w16cid:durableId="321667887">
    <w:abstractNumId w:val="15"/>
  </w:num>
  <w:num w:numId="23" w16cid:durableId="1449203128">
    <w:abstractNumId w:val="29"/>
  </w:num>
  <w:num w:numId="24" w16cid:durableId="1150290762">
    <w:abstractNumId w:val="36"/>
  </w:num>
  <w:num w:numId="25" w16cid:durableId="824858077">
    <w:abstractNumId w:val="5"/>
  </w:num>
  <w:num w:numId="26" w16cid:durableId="557789262">
    <w:abstractNumId w:val="23"/>
  </w:num>
  <w:num w:numId="27" w16cid:durableId="957178056">
    <w:abstractNumId w:val="30"/>
  </w:num>
  <w:num w:numId="28" w16cid:durableId="1787965457">
    <w:abstractNumId w:val="37"/>
  </w:num>
  <w:num w:numId="29" w16cid:durableId="2099016818">
    <w:abstractNumId w:val="34"/>
  </w:num>
  <w:num w:numId="30" w16cid:durableId="1185285386">
    <w:abstractNumId w:val="12"/>
  </w:num>
  <w:num w:numId="31" w16cid:durableId="2144689309">
    <w:abstractNumId w:val="22"/>
  </w:num>
  <w:num w:numId="32" w16cid:durableId="1764565498">
    <w:abstractNumId w:val="8"/>
  </w:num>
  <w:num w:numId="33" w16cid:durableId="1070619319">
    <w:abstractNumId w:val="38"/>
  </w:num>
  <w:num w:numId="34" w16cid:durableId="407699809">
    <w:abstractNumId w:val="21"/>
  </w:num>
  <w:num w:numId="35" w16cid:durableId="459764397">
    <w:abstractNumId w:val="18"/>
  </w:num>
  <w:num w:numId="36" w16cid:durableId="445777017">
    <w:abstractNumId w:val="25"/>
  </w:num>
  <w:num w:numId="37" w16cid:durableId="1176456837">
    <w:abstractNumId w:val="1"/>
  </w:num>
  <w:num w:numId="38" w16cid:durableId="415785928">
    <w:abstractNumId w:val="16"/>
  </w:num>
  <w:num w:numId="39" w16cid:durableId="57215951">
    <w:abstractNumId w:val="28"/>
  </w:num>
  <w:num w:numId="40" w16cid:durableId="1912041420">
    <w:abstractNumId w:val="19"/>
  </w:num>
  <w:num w:numId="41" w16cid:durableId="227306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376E"/>
    <w:rsid w:val="00003ECB"/>
    <w:rsid w:val="00004119"/>
    <w:rsid w:val="00006814"/>
    <w:rsid w:val="00010002"/>
    <w:rsid w:val="0001120D"/>
    <w:rsid w:val="00013A41"/>
    <w:rsid w:val="00013F6F"/>
    <w:rsid w:val="00017D93"/>
    <w:rsid w:val="00020D70"/>
    <w:rsid w:val="0002276B"/>
    <w:rsid w:val="000279E2"/>
    <w:rsid w:val="00030174"/>
    <w:rsid w:val="00035059"/>
    <w:rsid w:val="000352EC"/>
    <w:rsid w:val="00040806"/>
    <w:rsid w:val="00043ECF"/>
    <w:rsid w:val="000441C6"/>
    <w:rsid w:val="0004579C"/>
    <w:rsid w:val="000476CD"/>
    <w:rsid w:val="0005260F"/>
    <w:rsid w:val="00053F6F"/>
    <w:rsid w:val="000545A7"/>
    <w:rsid w:val="00056F68"/>
    <w:rsid w:val="00057890"/>
    <w:rsid w:val="00061A17"/>
    <w:rsid w:val="00062AAF"/>
    <w:rsid w:val="000668B1"/>
    <w:rsid w:val="00072701"/>
    <w:rsid w:val="000734DB"/>
    <w:rsid w:val="00075699"/>
    <w:rsid w:val="0008178D"/>
    <w:rsid w:val="00083097"/>
    <w:rsid w:val="00084812"/>
    <w:rsid w:val="000926C2"/>
    <w:rsid w:val="0009281D"/>
    <w:rsid w:val="00097732"/>
    <w:rsid w:val="000A2B5E"/>
    <w:rsid w:val="000A4603"/>
    <w:rsid w:val="000A47FA"/>
    <w:rsid w:val="000A546C"/>
    <w:rsid w:val="000A5900"/>
    <w:rsid w:val="000A65D3"/>
    <w:rsid w:val="000A7655"/>
    <w:rsid w:val="000B1E33"/>
    <w:rsid w:val="000B1FDB"/>
    <w:rsid w:val="000C200E"/>
    <w:rsid w:val="000C2474"/>
    <w:rsid w:val="000C5FB7"/>
    <w:rsid w:val="000D689F"/>
    <w:rsid w:val="000D7627"/>
    <w:rsid w:val="000D7F78"/>
    <w:rsid w:val="000E1B20"/>
    <w:rsid w:val="000E35ED"/>
    <w:rsid w:val="000E7B7B"/>
    <w:rsid w:val="000E7D62"/>
    <w:rsid w:val="000F2302"/>
    <w:rsid w:val="000F30E4"/>
    <w:rsid w:val="000F4DCA"/>
    <w:rsid w:val="000F73AA"/>
    <w:rsid w:val="00103357"/>
    <w:rsid w:val="00105170"/>
    <w:rsid w:val="00106B0C"/>
    <w:rsid w:val="00120569"/>
    <w:rsid w:val="00123C9F"/>
    <w:rsid w:val="00126190"/>
    <w:rsid w:val="00126AF7"/>
    <w:rsid w:val="00126C74"/>
    <w:rsid w:val="00130542"/>
    <w:rsid w:val="00130F17"/>
    <w:rsid w:val="00131E35"/>
    <w:rsid w:val="001320BF"/>
    <w:rsid w:val="0013585F"/>
    <w:rsid w:val="001370EF"/>
    <w:rsid w:val="00145C78"/>
    <w:rsid w:val="00153002"/>
    <w:rsid w:val="00153895"/>
    <w:rsid w:val="00157CB0"/>
    <w:rsid w:val="00160774"/>
    <w:rsid w:val="00163BC4"/>
    <w:rsid w:val="001701FD"/>
    <w:rsid w:val="00170E45"/>
    <w:rsid w:val="00172B2C"/>
    <w:rsid w:val="0017475B"/>
    <w:rsid w:val="001751CC"/>
    <w:rsid w:val="00190FB6"/>
    <w:rsid w:val="00191062"/>
    <w:rsid w:val="00192B72"/>
    <w:rsid w:val="001949FC"/>
    <w:rsid w:val="00194DCD"/>
    <w:rsid w:val="00196A14"/>
    <w:rsid w:val="0019764E"/>
    <w:rsid w:val="001A1362"/>
    <w:rsid w:val="001A1DB7"/>
    <w:rsid w:val="001A29D8"/>
    <w:rsid w:val="001A35B1"/>
    <w:rsid w:val="001A3917"/>
    <w:rsid w:val="001A3DB6"/>
    <w:rsid w:val="001A5CAA"/>
    <w:rsid w:val="001B0427"/>
    <w:rsid w:val="001B1953"/>
    <w:rsid w:val="001B3EC7"/>
    <w:rsid w:val="001B7806"/>
    <w:rsid w:val="001C1381"/>
    <w:rsid w:val="001C45D7"/>
    <w:rsid w:val="001D2DAD"/>
    <w:rsid w:val="001D3A51"/>
    <w:rsid w:val="001D4B6B"/>
    <w:rsid w:val="001D5FBA"/>
    <w:rsid w:val="001E0D3A"/>
    <w:rsid w:val="001E10D2"/>
    <w:rsid w:val="001E1379"/>
    <w:rsid w:val="001E25B4"/>
    <w:rsid w:val="001E3FD0"/>
    <w:rsid w:val="001E405B"/>
    <w:rsid w:val="001E44FE"/>
    <w:rsid w:val="001E525B"/>
    <w:rsid w:val="001F279F"/>
    <w:rsid w:val="001F63D3"/>
    <w:rsid w:val="00200595"/>
    <w:rsid w:val="0020155D"/>
    <w:rsid w:val="00204835"/>
    <w:rsid w:val="00207B23"/>
    <w:rsid w:val="00212145"/>
    <w:rsid w:val="00213104"/>
    <w:rsid w:val="00213AA2"/>
    <w:rsid w:val="0021517F"/>
    <w:rsid w:val="00215A1C"/>
    <w:rsid w:val="00215DD6"/>
    <w:rsid w:val="00223076"/>
    <w:rsid w:val="00225638"/>
    <w:rsid w:val="0022663B"/>
    <w:rsid w:val="00230FB3"/>
    <w:rsid w:val="00231920"/>
    <w:rsid w:val="0023195C"/>
    <w:rsid w:val="00232587"/>
    <w:rsid w:val="0024282C"/>
    <w:rsid w:val="00242BFF"/>
    <w:rsid w:val="00244517"/>
    <w:rsid w:val="002460DC"/>
    <w:rsid w:val="002507CE"/>
    <w:rsid w:val="00250985"/>
    <w:rsid w:val="0025380B"/>
    <w:rsid w:val="00254BCF"/>
    <w:rsid w:val="002556F6"/>
    <w:rsid w:val="00255B93"/>
    <w:rsid w:val="00261198"/>
    <w:rsid w:val="00266A4C"/>
    <w:rsid w:val="0026776A"/>
    <w:rsid w:val="00271C4D"/>
    <w:rsid w:val="002751B6"/>
    <w:rsid w:val="00276999"/>
    <w:rsid w:val="00280993"/>
    <w:rsid w:val="002829D7"/>
    <w:rsid w:val="00283105"/>
    <w:rsid w:val="00284C4C"/>
    <w:rsid w:val="00284DEE"/>
    <w:rsid w:val="00285594"/>
    <w:rsid w:val="00287E68"/>
    <w:rsid w:val="00296529"/>
    <w:rsid w:val="002A180F"/>
    <w:rsid w:val="002A1995"/>
    <w:rsid w:val="002A49E6"/>
    <w:rsid w:val="002B1896"/>
    <w:rsid w:val="002B2195"/>
    <w:rsid w:val="002B27FB"/>
    <w:rsid w:val="002B3345"/>
    <w:rsid w:val="002B35BC"/>
    <w:rsid w:val="002B495A"/>
    <w:rsid w:val="002B4A70"/>
    <w:rsid w:val="002B6592"/>
    <w:rsid w:val="002B685A"/>
    <w:rsid w:val="002C1AB3"/>
    <w:rsid w:val="002C2764"/>
    <w:rsid w:val="002C2DA0"/>
    <w:rsid w:val="002C3388"/>
    <w:rsid w:val="002C41CA"/>
    <w:rsid w:val="002C4633"/>
    <w:rsid w:val="002C5486"/>
    <w:rsid w:val="002C57D2"/>
    <w:rsid w:val="002D1EB0"/>
    <w:rsid w:val="002E0D56"/>
    <w:rsid w:val="002E1C2E"/>
    <w:rsid w:val="002E265C"/>
    <w:rsid w:val="002E3612"/>
    <w:rsid w:val="002E6E42"/>
    <w:rsid w:val="002F0A6A"/>
    <w:rsid w:val="002F5CFD"/>
    <w:rsid w:val="002F61E7"/>
    <w:rsid w:val="002F6A1B"/>
    <w:rsid w:val="0030777D"/>
    <w:rsid w:val="003113FE"/>
    <w:rsid w:val="00315186"/>
    <w:rsid w:val="0031547C"/>
    <w:rsid w:val="003267C5"/>
    <w:rsid w:val="0032778B"/>
    <w:rsid w:val="00327FCC"/>
    <w:rsid w:val="00331201"/>
    <w:rsid w:val="0033343E"/>
    <w:rsid w:val="00335787"/>
    <w:rsid w:val="00337EDD"/>
    <w:rsid w:val="0034108F"/>
    <w:rsid w:val="00342A01"/>
    <w:rsid w:val="003441FE"/>
    <w:rsid w:val="00344BA3"/>
    <w:rsid w:val="003450CF"/>
    <w:rsid w:val="0034621F"/>
    <w:rsid w:val="00346BB7"/>
    <w:rsid w:val="00347CCE"/>
    <w:rsid w:val="003512C2"/>
    <w:rsid w:val="00352C13"/>
    <w:rsid w:val="00356F2D"/>
    <w:rsid w:val="00360982"/>
    <w:rsid w:val="00362CCE"/>
    <w:rsid w:val="00367250"/>
    <w:rsid w:val="00370C43"/>
    <w:rsid w:val="00371FB6"/>
    <w:rsid w:val="003721FA"/>
    <w:rsid w:val="003746A5"/>
    <w:rsid w:val="00374AE4"/>
    <w:rsid w:val="003763C1"/>
    <w:rsid w:val="00376801"/>
    <w:rsid w:val="00376BBE"/>
    <w:rsid w:val="00385D24"/>
    <w:rsid w:val="00386B1A"/>
    <w:rsid w:val="003902A2"/>
    <w:rsid w:val="00391941"/>
    <w:rsid w:val="0039224F"/>
    <w:rsid w:val="00393CBC"/>
    <w:rsid w:val="0039610D"/>
    <w:rsid w:val="003A43A4"/>
    <w:rsid w:val="003A49A3"/>
    <w:rsid w:val="003A5918"/>
    <w:rsid w:val="003A7E18"/>
    <w:rsid w:val="003B01C2"/>
    <w:rsid w:val="003B1D69"/>
    <w:rsid w:val="003B1D92"/>
    <w:rsid w:val="003B4DCF"/>
    <w:rsid w:val="003B534E"/>
    <w:rsid w:val="003B64BC"/>
    <w:rsid w:val="003B6DC5"/>
    <w:rsid w:val="003C24F2"/>
    <w:rsid w:val="003C4A66"/>
    <w:rsid w:val="003C4C86"/>
    <w:rsid w:val="003C5CE9"/>
    <w:rsid w:val="003C6258"/>
    <w:rsid w:val="003C64B9"/>
    <w:rsid w:val="003C7BA9"/>
    <w:rsid w:val="003C7F82"/>
    <w:rsid w:val="003D1BBE"/>
    <w:rsid w:val="003D5424"/>
    <w:rsid w:val="003D6CAC"/>
    <w:rsid w:val="003E2904"/>
    <w:rsid w:val="003E5940"/>
    <w:rsid w:val="003E7691"/>
    <w:rsid w:val="003E7792"/>
    <w:rsid w:val="003F1502"/>
    <w:rsid w:val="00401927"/>
    <w:rsid w:val="00401DEF"/>
    <w:rsid w:val="00404AE0"/>
    <w:rsid w:val="0041027F"/>
    <w:rsid w:val="00412475"/>
    <w:rsid w:val="00412905"/>
    <w:rsid w:val="00414A74"/>
    <w:rsid w:val="00416E72"/>
    <w:rsid w:val="00417676"/>
    <w:rsid w:val="004221CB"/>
    <w:rsid w:val="00422E78"/>
    <w:rsid w:val="00423789"/>
    <w:rsid w:val="00425401"/>
    <w:rsid w:val="00433594"/>
    <w:rsid w:val="00434B7B"/>
    <w:rsid w:val="00437429"/>
    <w:rsid w:val="00437D85"/>
    <w:rsid w:val="00440F43"/>
    <w:rsid w:val="00441B6F"/>
    <w:rsid w:val="004427D5"/>
    <w:rsid w:val="004461C2"/>
    <w:rsid w:val="00446221"/>
    <w:rsid w:val="004501C6"/>
    <w:rsid w:val="00450E62"/>
    <w:rsid w:val="004539DB"/>
    <w:rsid w:val="00466B79"/>
    <w:rsid w:val="00471A80"/>
    <w:rsid w:val="004725BE"/>
    <w:rsid w:val="00472783"/>
    <w:rsid w:val="004735AB"/>
    <w:rsid w:val="004753B9"/>
    <w:rsid w:val="0048429A"/>
    <w:rsid w:val="00485C03"/>
    <w:rsid w:val="0049132E"/>
    <w:rsid w:val="004A32A2"/>
    <w:rsid w:val="004A7EE0"/>
    <w:rsid w:val="004B663F"/>
    <w:rsid w:val="004C3971"/>
    <w:rsid w:val="004C69ED"/>
    <w:rsid w:val="004C6AFC"/>
    <w:rsid w:val="004C6BCB"/>
    <w:rsid w:val="004D02B4"/>
    <w:rsid w:val="004D2064"/>
    <w:rsid w:val="004D305E"/>
    <w:rsid w:val="004D4277"/>
    <w:rsid w:val="004E4DD3"/>
    <w:rsid w:val="004E72E6"/>
    <w:rsid w:val="0050082B"/>
    <w:rsid w:val="00500DC0"/>
    <w:rsid w:val="00501B16"/>
    <w:rsid w:val="00502516"/>
    <w:rsid w:val="00502BD3"/>
    <w:rsid w:val="00502D16"/>
    <w:rsid w:val="00505F06"/>
    <w:rsid w:val="00506828"/>
    <w:rsid w:val="00510A29"/>
    <w:rsid w:val="005147E7"/>
    <w:rsid w:val="00524029"/>
    <w:rsid w:val="0053009C"/>
    <w:rsid w:val="0053056E"/>
    <w:rsid w:val="00532CDC"/>
    <w:rsid w:val="00534E66"/>
    <w:rsid w:val="00534E7F"/>
    <w:rsid w:val="00543577"/>
    <w:rsid w:val="005532EC"/>
    <w:rsid w:val="00553EC7"/>
    <w:rsid w:val="00554435"/>
    <w:rsid w:val="00554BC5"/>
    <w:rsid w:val="00554FDA"/>
    <w:rsid w:val="005550A6"/>
    <w:rsid w:val="00555A60"/>
    <w:rsid w:val="00566901"/>
    <w:rsid w:val="00570832"/>
    <w:rsid w:val="00572338"/>
    <w:rsid w:val="005808FE"/>
    <w:rsid w:val="005835AD"/>
    <w:rsid w:val="00584EB6"/>
    <w:rsid w:val="005859DD"/>
    <w:rsid w:val="005926EF"/>
    <w:rsid w:val="00594385"/>
    <w:rsid w:val="00595833"/>
    <w:rsid w:val="00595CC0"/>
    <w:rsid w:val="00596186"/>
    <w:rsid w:val="005A44FF"/>
    <w:rsid w:val="005A5E34"/>
    <w:rsid w:val="005A6542"/>
    <w:rsid w:val="005A7FB8"/>
    <w:rsid w:val="005B2121"/>
    <w:rsid w:val="005B22D8"/>
    <w:rsid w:val="005B7664"/>
    <w:rsid w:val="005B7EBD"/>
    <w:rsid w:val="005C34EC"/>
    <w:rsid w:val="005C784C"/>
    <w:rsid w:val="005D08B6"/>
    <w:rsid w:val="005D17F6"/>
    <w:rsid w:val="005D507F"/>
    <w:rsid w:val="005E5539"/>
    <w:rsid w:val="005E5E4A"/>
    <w:rsid w:val="005E64E8"/>
    <w:rsid w:val="005E720A"/>
    <w:rsid w:val="005E7301"/>
    <w:rsid w:val="005F3C8F"/>
    <w:rsid w:val="005F3DFA"/>
    <w:rsid w:val="005F47C3"/>
    <w:rsid w:val="005F525B"/>
    <w:rsid w:val="0060126D"/>
    <w:rsid w:val="00602BF5"/>
    <w:rsid w:val="00602C70"/>
    <w:rsid w:val="006127B4"/>
    <w:rsid w:val="006179CA"/>
    <w:rsid w:val="00617FDD"/>
    <w:rsid w:val="006258FA"/>
    <w:rsid w:val="0062725C"/>
    <w:rsid w:val="00631A6E"/>
    <w:rsid w:val="00633614"/>
    <w:rsid w:val="00633AD0"/>
    <w:rsid w:val="00633F68"/>
    <w:rsid w:val="00634A16"/>
    <w:rsid w:val="006369D5"/>
    <w:rsid w:val="00636EB2"/>
    <w:rsid w:val="006375B8"/>
    <w:rsid w:val="00643C85"/>
    <w:rsid w:val="00645A79"/>
    <w:rsid w:val="00646C3C"/>
    <w:rsid w:val="00651908"/>
    <w:rsid w:val="00653755"/>
    <w:rsid w:val="00655249"/>
    <w:rsid w:val="00657D7A"/>
    <w:rsid w:val="0066510A"/>
    <w:rsid w:val="00666D2E"/>
    <w:rsid w:val="006671CA"/>
    <w:rsid w:val="0067253C"/>
    <w:rsid w:val="00673F9F"/>
    <w:rsid w:val="006808ED"/>
    <w:rsid w:val="00680A0D"/>
    <w:rsid w:val="00684463"/>
    <w:rsid w:val="00686953"/>
    <w:rsid w:val="00687DEA"/>
    <w:rsid w:val="00687E67"/>
    <w:rsid w:val="0069298A"/>
    <w:rsid w:val="006967F7"/>
    <w:rsid w:val="006A04C7"/>
    <w:rsid w:val="006A250C"/>
    <w:rsid w:val="006B0D42"/>
    <w:rsid w:val="006B21BE"/>
    <w:rsid w:val="006B21D3"/>
    <w:rsid w:val="006B57D0"/>
    <w:rsid w:val="006C159C"/>
    <w:rsid w:val="006C1C9B"/>
    <w:rsid w:val="006C2BB9"/>
    <w:rsid w:val="006C361E"/>
    <w:rsid w:val="006D30FF"/>
    <w:rsid w:val="006D6940"/>
    <w:rsid w:val="006D7133"/>
    <w:rsid w:val="006E0498"/>
    <w:rsid w:val="006E093E"/>
    <w:rsid w:val="006E1C33"/>
    <w:rsid w:val="006E2EE1"/>
    <w:rsid w:val="006E5A6A"/>
    <w:rsid w:val="006F11EC"/>
    <w:rsid w:val="006F1A87"/>
    <w:rsid w:val="006F5A0C"/>
    <w:rsid w:val="0070082C"/>
    <w:rsid w:val="007069CA"/>
    <w:rsid w:val="00710428"/>
    <w:rsid w:val="007104EA"/>
    <w:rsid w:val="0071199E"/>
    <w:rsid w:val="00711DB4"/>
    <w:rsid w:val="0071537D"/>
    <w:rsid w:val="00721112"/>
    <w:rsid w:val="00723C79"/>
    <w:rsid w:val="00724CA3"/>
    <w:rsid w:val="00731A02"/>
    <w:rsid w:val="00733201"/>
    <w:rsid w:val="007357F7"/>
    <w:rsid w:val="00735FA3"/>
    <w:rsid w:val="007369E6"/>
    <w:rsid w:val="007374C6"/>
    <w:rsid w:val="00737BE3"/>
    <w:rsid w:val="00744906"/>
    <w:rsid w:val="00746E59"/>
    <w:rsid w:val="007543FA"/>
    <w:rsid w:val="00754488"/>
    <w:rsid w:val="00754C9A"/>
    <w:rsid w:val="0075599A"/>
    <w:rsid w:val="00755D72"/>
    <w:rsid w:val="00755F56"/>
    <w:rsid w:val="00756B87"/>
    <w:rsid w:val="00761D52"/>
    <w:rsid w:val="00762EF6"/>
    <w:rsid w:val="00766B60"/>
    <w:rsid w:val="00766E55"/>
    <w:rsid w:val="0077272A"/>
    <w:rsid w:val="00774A27"/>
    <w:rsid w:val="00774EA3"/>
    <w:rsid w:val="00777104"/>
    <w:rsid w:val="0077749E"/>
    <w:rsid w:val="00782B5D"/>
    <w:rsid w:val="007830CE"/>
    <w:rsid w:val="007841BF"/>
    <w:rsid w:val="00785972"/>
    <w:rsid w:val="007903CE"/>
    <w:rsid w:val="00790ADA"/>
    <w:rsid w:val="00790B50"/>
    <w:rsid w:val="007919AE"/>
    <w:rsid w:val="00795587"/>
    <w:rsid w:val="00795687"/>
    <w:rsid w:val="007978A6"/>
    <w:rsid w:val="007A24CC"/>
    <w:rsid w:val="007A3A15"/>
    <w:rsid w:val="007B1460"/>
    <w:rsid w:val="007B1998"/>
    <w:rsid w:val="007B34BB"/>
    <w:rsid w:val="007B464F"/>
    <w:rsid w:val="007B5EBE"/>
    <w:rsid w:val="007B6CE9"/>
    <w:rsid w:val="007B7C10"/>
    <w:rsid w:val="007D2288"/>
    <w:rsid w:val="007D228A"/>
    <w:rsid w:val="007E088F"/>
    <w:rsid w:val="007E431A"/>
    <w:rsid w:val="007E4D95"/>
    <w:rsid w:val="007E5256"/>
    <w:rsid w:val="007F11C5"/>
    <w:rsid w:val="007F5E70"/>
    <w:rsid w:val="007F7B32"/>
    <w:rsid w:val="0080019C"/>
    <w:rsid w:val="008009B7"/>
    <w:rsid w:val="008022F0"/>
    <w:rsid w:val="00804BC2"/>
    <w:rsid w:val="00806C8F"/>
    <w:rsid w:val="00807B5A"/>
    <w:rsid w:val="00807F7F"/>
    <w:rsid w:val="0081431A"/>
    <w:rsid w:val="00814FA4"/>
    <w:rsid w:val="008159C5"/>
    <w:rsid w:val="00826957"/>
    <w:rsid w:val="00831504"/>
    <w:rsid w:val="0083154C"/>
    <w:rsid w:val="00831E3E"/>
    <w:rsid w:val="0083216F"/>
    <w:rsid w:val="00845A34"/>
    <w:rsid w:val="00854D5D"/>
    <w:rsid w:val="0085564D"/>
    <w:rsid w:val="00860000"/>
    <w:rsid w:val="008618E4"/>
    <w:rsid w:val="00863BD3"/>
    <w:rsid w:val="008641ED"/>
    <w:rsid w:val="0086435B"/>
    <w:rsid w:val="008648A9"/>
    <w:rsid w:val="00865130"/>
    <w:rsid w:val="00866D66"/>
    <w:rsid w:val="008671C6"/>
    <w:rsid w:val="008728C1"/>
    <w:rsid w:val="008749D2"/>
    <w:rsid w:val="00875803"/>
    <w:rsid w:val="00880162"/>
    <w:rsid w:val="008808F3"/>
    <w:rsid w:val="00881523"/>
    <w:rsid w:val="00883968"/>
    <w:rsid w:val="00884203"/>
    <w:rsid w:val="0088520D"/>
    <w:rsid w:val="00892A3C"/>
    <w:rsid w:val="008930B3"/>
    <w:rsid w:val="00895E22"/>
    <w:rsid w:val="008A0095"/>
    <w:rsid w:val="008A204A"/>
    <w:rsid w:val="008A4B25"/>
    <w:rsid w:val="008A5A3E"/>
    <w:rsid w:val="008A7052"/>
    <w:rsid w:val="008B459E"/>
    <w:rsid w:val="008B474F"/>
    <w:rsid w:val="008B7810"/>
    <w:rsid w:val="008B7F65"/>
    <w:rsid w:val="008C0F2A"/>
    <w:rsid w:val="008C3CD4"/>
    <w:rsid w:val="008C430C"/>
    <w:rsid w:val="008D6800"/>
    <w:rsid w:val="008E13AE"/>
    <w:rsid w:val="008E1506"/>
    <w:rsid w:val="008E1887"/>
    <w:rsid w:val="008E1C0C"/>
    <w:rsid w:val="008E31AD"/>
    <w:rsid w:val="008E710C"/>
    <w:rsid w:val="008F3115"/>
    <w:rsid w:val="008F3476"/>
    <w:rsid w:val="008F416D"/>
    <w:rsid w:val="008F4937"/>
    <w:rsid w:val="008F69D6"/>
    <w:rsid w:val="00900D9C"/>
    <w:rsid w:val="00901635"/>
    <w:rsid w:val="00902823"/>
    <w:rsid w:val="0090288F"/>
    <w:rsid w:val="00903B82"/>
    <w:rsid w:val="00907631"/>
    <w:rsid w:val="0091274E"/>
    <w:rsid w:val="00915CA6"/>
    <w:rsid w:val="009165FC"/>
    <w:rsid w:val="00917B9D"/>
    <w:rsid w:val="009224CE"/>
    <w:rsid w:val="00925D00"/>
    <w:rsid w:val="00927834"/>
    <w:rsid w:val="00933F04"/>
    <w:rsid w:val="00934CC0"/>
    <w:rsid w:val="00935FF5"/>
    <w:rsid w:val="00936BC6"/>
    <w:rsid w:val="009459A6"/>
    <w:rsid w:val="009500A6"/>
    <w:rsid w:val="0095151F"/>
    <w:rsid w:val="00956A6E"/>
    <w:rsid w:val="00957C18"/>
    <w:rsid w:val="0096221F"/>
    <w:rsid w:val="00962B81"/>
    <w:rsid w:val="00964578"/>
    <w:rsid w:val="009659BA"/>
    <w:rsid w:val="00975CCF"/>
    <w:rsid w:val="00983040"/>
    <w:rsid w:val="009847CE"/>
    <w:rsid w:val="009856C8"/>
    <w:rsid w:val="009867E8"/>
    <w:rsid w:val="009910D3"/>
    <w:rsid w:val="00991658"/>
    <w:rsid w:val="00995768"/>
    <w:rsid w:val="00996878"/>
    <w:rsid w:val="009A34AF"/>
    <w:rsid w:val="009A36D9"/>
    <w:rsid w:val="009A3FA5"/>
    <w:rsid w:val="009B20F6"/>
    <w:rsid w:val="009B27A0"/>
    <w:rsid w:val="009B3FB9"/>
    <w:rsid w:val="009B6061"/>
    <w:rsid w:val="009B7154"/>
    <w:rsid w:val="009B7B89"/>
    <w:rsid w:val="009B7E48"/>
    <w:rsid w:val="009C0A84"/>
    <w:rsid w:val="009C2465"/>
    <w:rsid w:val="009C2514"/>
    <w:rsid w:val="009C74C9"/>
    <w:rsid w:val="009D30E8"/>
    <w:rsid w:val="009D35A0"/>
    <w:rsid w:val="009D651A"/>
    <w:rsid w:val="009D6C74"/>
    <w:rsid w:val="009D6EA4"/>
    <w:rsid w:val="009D7EB7"/>
    <w:rsid w:val="009E048A"/>
    <w:rsid w:val="009E08E9"/>
    <w:rsid w:val="009E2EC7"/>
    <w:rsid w:val="009E3DB9"/>
    <w:rsid w:val="009E4C99"/>
    <w:rsid w:val="009E6E35"/>
    <w:rsid w:val="009E716C"/>
    <w:rsid w:val="009E7E21"/>
    <w:rsid w:val="009F0EDA"/>
    <w:rsid w:val="009F7A74"/>
    <w:rsid w:val="00A01A70"/>
    <w:rsid w:val="00A03B96"/>
    <w:rsid w:val="00A05B19"/>
    <w:rsid w:val="00A06B12"/>
    <w:rsid w:val="00A1134E"/>
    <w:rsid w:val="00A118A1"/>
    <w:rsid w:val="00A15CF3"/>
    <w:rsid w:val="00A178BF"/>
    <w:rsid w:val="00A2108E"/>
    <w:rsid w:val="00A23CA8"/>
    <w:rsid w:val="00A24E7E"/>
    <w:rsid w:val="00A25347"/>
    <w:rsid w:val="00A258C3"/>
    <w:rsid w:val="00A33C76"/>
    <w:rsid w:val="00A347C0"/>
    <w:rsid w:val="00A40359"/>
    <w:rsid w:val="00A417AE"/>
    <w:rsid w:val="00A42251"/>
    <w:rsid w:val="00A446A6"/>
    <w:rsid w:val="00A449CA"/>
    <w:rsid w:val="00A503BF"/>
    <w:rsid w:val="00A51431"/>
    <w:rsid w:val="00A5336D"/>
    <w:rsid w:val="00A539AD"/>
    <w:rsid w:val="00A56155"/>
    <w:rsid w:val="00A56DB3"/>
    <w:rsid w:val="00A56F0B"/>
    <w:rsid w:val="00A62F97"/>
    <w:rsid w:val="00A634F0"/>
    <w:rsid w:val="00A70C49"/>
    <w:rsid w:val="00A72269"/>
    <w:rsid w:val="00A778E3"/>
    <w:rsid w:val="00A77AF2"/>
    <w:rsid w:val="00A82984"/>
    <w:rsid w:val="00A8321F"/>
    <w:rsid w:val="00A842BC"/>
    <w:rsid w:val="00A86C1D"/>
    <w:rsid w:val="00A87D81"/>
    <w:rsid w:val="00A90365"/>
    <w:rsid w:val="00A934D2"/>
    <w:rsid w:val="00A94063"/>
    <w:rsid w:val="00A95252"/>
    <w:rsid w:val="00AA1594"/>
    <w:rsid w:val="00AA6219"/>
    <w:rsid w:val="00AA6C95"/>
    <w:rsid w:val="00AA74E0"/>
    <w:rsid w:val="00AB0EE5"/>
    <w:rsid w:val="00AB57F4"/>
    <w:rsid w:val="00AB703F"/>
    <w:rsid w:val="00AB7266"/>
    <w:rsid w:val="00AB79C5"/>
    <w:rsid w:val="00AC00AC"/>
    <w:rsid w:val="00AC12BE"/>
    <w:rsid w:val="00AC59C9"/>
    <w:rsid w:val="00AC6BB8"/>
    <w:rsid w:val="00AD224D"/>
    <w:rsid w:val="00AD3E6D"/>
    <w:rsid w:val="00AD7EE8"/>
    <w:rsid w:val="00AE008F"/>
    <w:rsid w:val="00AE4685"/>
    <w:rsid w:val="00AE62B9"/>
    <w:rsid w:val="00B01FCD"/>
    <w:rsid w:val="00B03951"/>
    <w:rsid w:val="00B075B4"/>
    <w:rsid w:val="00B076FF"/>
    <w:rsid w:val="00B10D40"/>
    <w:rsid w:val="00B10E78"/>
    <w:rsid w:val="00B123EF"/>
    <w:rsid w:val="00B14109"/>
    <w:rsid w:val="00B1776C"/>
    <w:rsid w:val="00B17892"/>
    <w:rsid w:val="00B20C20"/>
    <w:rsid w:val="00B24170"/>
    <w:rsid w:val="00B32B55"/>
    <w:rsid w:val="00B33E51"/>
    <w:rsid w:val="00B3445D"/>
    <w:rsid w:val="00B34F4C"/>
    <w:rsid w:val="00B3589A"/>
    <w:rsid w:val="00B37074"/>
    <w:rsid w:val="00B45E9D"/>
    <w:rsid w:val="00B4650E"/>
    <w:rsid w:val="00B504AB"/>
    <w:rsid w:val="00B52583"/>
    <w:rsid w:val="00B52896"/>
    <w:rsid w:val="00B614C2"/>
    <w:rsid w:val="00B64176"/>
    <w:rsid w:val="00B65285"/>
    <w:rsid w:val="00B67CC7"/>
    <w:rsid w:val="00B77595"/>
    <w:rsid w:val="00B77F37"/>
    <w:rsid w:val="00B81D12"/>
    <w:rsid w:val="00B92023"/>
    <w:rsid w:val="00B95236"/>
    <w:rsid w:val="00B96BD9"/>
    <w:rsid w:val="00B96F19"/>
    <w:rsid w:val="00BA0C37"/>
    <w:rsid w:val="00BA1B01"/>
    <w:rsid w:val="00BA2641"/>
    <w:rsid w:val="00BA2CF2"/>
    <w:rsid w:val="00BA4E65"/>
    <w:rsid w:val="00BA6061"/>
    <w:rsid w:val="00BB37AA"/>
    <w:rsid w:val="00BB48F4"/>
    <w:rsid w:val="00BB4EF9"/>
    <w:rsid w:val="00BC0071"/>
    <w:rsid w:val="00BC2B81"/>
    <w:rsid w:val="00BC2CB4"/>
    <w:rsid w:val="00BC53A0"/>
    <w:rsid w:val="00BC5B41"/>
    <w:rsid w:val="00BC6160"/>
    <w:rsid w:val="00BD5998"/>
    <w:rsid w:val="00BD5D13"/>
    <w:rsid w:val="00BE126B"/>
    <w:rsid w:val="00BE4AA0"/>
    <w:rsid w:val="00BE62AD"/>
    <w:rsid w:val="00BF121F"/>
    <w:rsid w:val="00BF1678"/>
    <w:rsid w:val="00BF1F80"/>
    <w:rsid w:val="00BF4B68"/>
    <w:rsid w:val="00BF587C"/>
    <w:rsid w:val="00BF7AAB"/>
    <w:rsid w:val="00C0110C"/>
    <w:rsid w:val="00C03ECD"/>
    <w:rsid w:val="00C05FD6"/>
    <w:rsid w:val="00C11A5E"/>
    <w:rsid w:val="00C12834"/>
    <w:rsid w:val="00C136EC"/>
    <w:rsid w:val="00C14B4A"/>
    <w:rsid w:val="00C166EF"/>
    <w:rsid w:val="00C17EB0"/>
    <w:rsid w:val="00C2356D"/>
    <w:rsid w:val="00C23CE5"/>
    <w:rsid w:val="00C25BA3"/>
    <w:rsid w:val="00C27F5F"/>
    <w:rsid w:val="00C303BE"/>
    <w:rsid w:val="00C30A0F"/>
    <w:rsid w:val="00C321B4"/>
    <w:rsid w:val="00C35664"/>
    <w:rsid w:val="00C36D3B"/>
    <w:rsid w:val="00C373CB"/>
    <w:rsid w:val="00C37BC4"/>
    <w:rsid w:val="00C37E61"/>
    <w:rsid w:val="00C42DED"/>
    <w:rsid w:val="00C46DF3"/>
    <w:rsid w:val="00C47692"/>
    <w:rsid w:val="00C4773E"/>
    <w:rsid w:val="00C50B93"/>
    <w:rsid w:val="00C52DD9"/>
    <w:rsid w:val="00C6494E"/>
    <w:rsid w:val="00C66B21"/>
    <w:rsid w:val="00C67C70"/>
    <w:rsid w:val="00C70041"/>
    <w:rsid w:val="00C707C1"/>
    <w:rsid w:val="00C70F1B"/>
    <w:rsid w:val="00C71A47"/>
    <w:rsid w:val="00C7311F"/>
    <w:rsid w:val="00C732D9"/>
    <w:rsid w:val="00C73436"/>
    <w:rsid w:val="00C7464C"/>
    <w:rsid w:val="00C751DA"/>
    <w:rsid w:val="00C770C8"/>
    <w:rsid w:val="00C77AF4"/>
    <w:rsid w:val="00C77B0C"/>
    <w:rsid w:val="00C77E9C"/>
    <w:rsid w:val="00C82A3A"/>
    <w:rsid w:val="00C82B0C"/>
    <w:rsid w:val="00C85588"/>
    <w:rsid w:val="00C90A9A"/>
    <w:rsid w:val="00C90DCD"/>
    <w:rsid w:val="00C950F0"/>
    <w:rsid w:val="00C97FAB"/>
    <w:rsid w:val="00CA52AF"/>
    <w:rsid w:val="00CA799C"/>
    <w:rsid w:val="00CB73EA"/>
    <w:rsid w:val="00CC568A"/>
    <w:rsid w:val="00CD1AC8"/>
    <w:rsid w:val="00CD1CCD"/>
    <w:rsid w:val="00CD339E"/>
    <w:rsid w:val="00CD3614"/>
    <w:rsid w:val="00CD3ECC"/>
    <w:rsid w:val="00CD6755"/>
    <w:rsid w:val="00CD6856"/>
    <w:rsid w:val="00CD6D40"/>
    <w:rsid w:val="00CE0089"/>
    <w:rsid w:val="00CE0597"/>
    <w:rsid w:val="00CE694C"/>
    <w:rsid w:val="00CE793C"/>
    <w:rsid w:val="00CF193C"/>
    <w:rsid w:val="00CF35FA"/>
    <w:rsid w:val="00D0113A"/>
    <w:rsid w:val="00D0362C"/>
    <w:rsid w:val="00D073D3"/>
    <w:rsid w:val="00D138C4"/>
    <w:rsid w:val="00D147A7"/>
    <w:rsid w:val="00D173F1"/>
    <w:rsid w:val="00D221EF"/>
    <w:rsid w:val="00D334C2"/>
    <w:rsid w:val="00D33DF1"/>
    <w:rsid w:val="00D35F75"/>
    <w:rsid w:val="00D37948"/>
    <w:rsid w:val="00D41C26"/>
    <w:rsid w:val="00D432F6"/>
    <w:rsid w:val="00D441E0"/>
    <w:rsid w:val="00D476B8"/>
    <w:rsid w:val="00D528D8"/>
    <w:rsid w:val="00D52B58"/>
    <w:rsid w:val="00D549A3"/>
    <w:rsid w:val="00D55A13"/>
    <w:rsid w:val="00D61440"/>
    <w:rsid w:val="00D614EB"/>
    <w:rsid w:val="00D6670C"/>
    <w:rsid w:val="00D71699"/>
    <w:rsid w:val="00D74CB0"/>
    <w:rsid w:val="00D822FF"/>
    <w:rsid w:val="00D8295D"/>
    <w:rsid w:val="00D85591"/>
    <w:rsid w:val="00D8577A"/>
    <w:rsid w:val="00D85AF9"/>
    <w:rsid w:val="00D86B87"/>
    <w:rsid w:val="00D87B61"/>
    <w:rsid w:val="00D916A8"/>
    <w:rsid w:val="00D91ED4"/>
    <w:rsid w:val="00D93952"/>
    <w:rsid w:val="00D94337"/>
    <w:rsid w:val="00D96531"/>
    <w:rsid w:val="00D9659B"/>
    <w:rsid w:val="00D96D60"/>
    <w:rsid w:val="00D97203"/>
    <w:rsid w:val="00DA54FC"/>
    <w:rsid w:val="00DA7DCA"/>
    <w:rsid w:val="00DA7E58"/>
    <w:rsid w:val="00DA7F3A"/>
    <w:rsid w:val="00DB2262"/>
    <w:rsid w:val="00DB233C"/>
    <w:rsid w:val="00DB27A1"/>
    <w:rsid w:val="00DB6B0F"/>
    <w:rsid w:val="00DB7AB2"/>
    <w:rsid w:val="00DC2A65"/>
    <w:rsid w:val="00DC3713"/>
    <w:rsid w:val="00DC438A"/>
    <w:rsid w:val="00DC4A73"/>
    <w:rsid w:val="00DC501E"/>
    <w:rsid w:val="00DC59F6"/>
    <w:rsid w:val="00DC68EB"/>
    <w:rsid w:val="00DC77F2"/>
    <w:rsid w:val="00DD2102"/>
    <w:rsid w:val="00DD2D58"/>
    <w:rsid w:val="00DE15F0"/>
    <w:rsid w:val="00DE384C"/>
    <w:rsid w:val="00DE518A"/>
    <w:rsid w:val="00DE5663"/>
    <w:rsid w:val="00DE5FC4"/>
    <w:rsid w:val="00DE78AA"/>
    <w:rsid w:val="00DE791F"/>
    <w:rsid w:val="00DF0425"/>
    <w:rsid w:val="00DF4F81"/>
    <w:rsid w:val="00DF5FB8"/>
    <w:rsid w:val="00E00728"/>
    <w:rsid w:val="00E01C65"/>
    <w:rsid w:val="00E053D0"/>
    <w:rsid w:val="00E05993"/>
    <w:rsid w:val="00E05C6C"/>
    <w:rsid w:val="00E063CD"/>
    <w:rsid w:val="00E15994"/>
    <w:rsid w:val="00E2628A"/>
    <w:rsid w:val="00E269EE"/>
    <w:rsid w:val="00E30296"/>
    <w:rsid w:val="00E3114E"/>
    <w:rsid w:val="00E313BF"/>
    <w:rsid w:val="00E31A70"/>
    <w:rsid w:val="00E32DB6"/>
    <w:rsid w:val="00E331F5"/>
    <w:rsid w:val="00E336F2"/>
    <w:rsid w:val="00E35B02"/>
    <w:rsid w:val="00E3648A"/>
    <w:rsid w:val="00E37399"/>
    <w:rsid w:val="00E45F2D"/>
    <w:rsid w:val="00E47893"/>
    <w:rsid w:val="00E56F3E"/>
    <w:rsid w:val="00E61295"/>
    <w:rsid w:val="00E61961"/>
    <w:rsid w:val="00E61CA9"/>
    <w:rsid w:val="00E64C23"/>
    <w:rsid w:val="00E64CBF"/>
    <w:rsid w:val="00E66496"/>
    <w:rsid w:val="00E66B35"/>
    <w:rsid w:val="00E66E10"/>
    <w:rsid w:val="00E7062F"/>
    <w:rsid w:val="00E71D1F"/>
    <w:rsid w:val="00E739E8"/>
    <w:rsid w:val="00E769B3"/>
    <w:rsid w:val="00E769F6"/>
    <w:rsid w:val="00E77BD8"/>
    <w:rsid w:val="00E8023A"/>
    <w:rsid w:val="00E8407C"/>
    <w:rsid w:val="00E84F3C"/>
    <w:rsid w:val="00E85499"/>
    <w:rsid w:val="00E90F3C"/>
    <w:rsid w:val="00E942AF"/>
    <w:rsid w:val="00E94A22"/>
    <w:rsid w:val="00E95814"/>
    <w:rsid w:val="00E967D3"/>
    <w:rsid w:val="00E97884"/>
    <w:rsid w:val="00EA012C"/>
    <w:rsid w:val="00EA1504"/>
    <w:rsid w:val="00EA2124"/>
    <w:rsid w:val="00EA37D8"/>
    <w:rsid w:val="00EA4FBE"/>
    <w:rsid w:val="00EA5BA4"/>
    <w:rsid w:val="00EA6CAD"/>
    <w:rsid w:val="00EB16DC"/>
    <w:rsid w:val="00EB321F"/>
    <w:rsid w:val="00EB7133"/>
    <w:rsid w:val="00EC0CCD"/>
    <w:rsid w:val="00EC57B2"/>
    <w:rsid w:val="00EC6A55"/>
    <w:rsid w:val="00ED0288"/>
    <w:rsid w:val="00ED07E1"/>
    <w:rsid w:val="00EE2411"/>
    <w:rsid w:val="00EE383F"/>
    <w:rsid w:val="00EE51E0"/>
    <w:rsid w:val="00EE52CB"/>
    <w:rsid w:val="00EE58A4"/>
    <w:rsid w:val="00EE64DE"/>
    <w:rsid w:val="00EF220C"/>
    <w:rsid w:val="00EF3814"/>
    <w:rsid w:val="00EF508A"/>
    <w:rsid w:val="00EF581D"/>
    <w:rsid w:val="00EF7FD8"/>
    <w:rsid w:val="00F05871"/>
    <w:rsid w:val="00F06F59"/>
    <w:rsid w:val="00F07AD8"/>
    <w:rsid w:val="00F1018E"/>
    <w:rsid w:val="00F1115C"/>
    <w:rsid w:val="00F12F3C"/>
    <w:rsid w:val="00F1413C"/>
    <w:rsid w:val="00F17988"/>
    <w:rsid w:val="00F17ECC"/>
    <w:rsid w:val="00F221B8"/>
    <w:rsid w:val="00F24446"/>
    <w:rsid w:val="00F24CD9"/>
    <w:rsid w:val="00F26FC3"/>
    <w:rsid w:val="00F32DBC"/>
    <w:rsid w:val="00F343DF"/>
    <w:rsid w:val="00F357F7"/>
    <w:rsid w:val="00F360A6"/>
    <w:rsid w:val="00F36967"/>
    <w:rsid w:val="00F36AD4"/>
    <w:rsid w:val="00F41CF6"/>
    <w:rsid w:val="00F435A5"/>
    <w:rsid w:val="00F469F0"/>
    <w:rsid w:val="00F47A5C"/>
    <w:rsid w:val="00F50DCC"/>
    <w:rsid w:val="00F50FC6"/>
    <w:rsid w:val="00F52CE6"/>
    <w:rsid w:val="00F53273"/>
    <w:rsid w:val="00F53A3D"/>
    <w:rsid w:val="00F57E50"/>
    <w:rsid w:val="00F615C2"/>
    <w:rsid w:val="00F62A4F"/>
    <w:rsid w:val="00F67293"/>
    <w:rsid w:val="00F73E61"/>
    <w:rsid w:val="00F755E4"/>
    <w:rsid w:val="00F77D02"/>
    <w:rsid w:val="00F8193E"/>
    <w:rsid w:val="00F8279F"/>
    <w:rsid w:val="00F936BB"/>
    <w:rsid w:val="00F966C9"/>
    <w:rsid w:val="00F973EC"/>
    <w:rsid w:val="00FA29EA"/>
    <w:rsid w:val="00FB3A86"/>
    <w:rsid w:val="00FB3F0D"/>
    <w:rsid w:val="00FB42AD"/>
    <w:rsid w:val="00FB7D18"/>
    <w:rsid w:val="00FC019D"/>
    <w:rsid w:val="00FC1F6A"/>
    <w:rsid w:val="00FC30D5"/>
    <w:rsid w:val="00FC4B83"/>
    <w:rsid w:val="00FD01AA"/>
    <w:rsid w:val="00FD36C8"/>
    <w:rsid w:val="00FD5708"/>
    <w:rsid w:val="00FD6939"/>
    <w:rsid w:val="00FE2767"/>
    <w:rsid w:val="00FE3C0B"/>
    <w:rsid w:val="00FF0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CE25B"/>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8930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BodyText">
    <w:name w:val="Body Text"/>
    <w:basedOn w:val="Normal"/>
    <w:link w:val="BodyTextChar"/>
    <w:semiHidden/>
    <w:unhideWhenUsed/>
    <w:rsid w:val="00831504"/>
    <w:pPr>
      <w:spacing w:after="120"/>
    </w:pPr>
  </w:style>
  <w:style w:type="character" w:customStyle="1" w:styleId="BodyTextChar">
    <w:name w:val="Body Text Char"/>
    <w:basedOn w:val="DefaultParagraphFont"/>
    <w:link w:val="BodyText"/>
    <w:semiHidden/>
    <w:rsid w:val="00831504"/>
    <w:rPr>
      <w:rFonts w:ascii="Helvetica" w:hAnsi="Helvetica"/>
    </w:rPr>
  </w:style>
  <w:style w:type="character" w:customStyle="1" w:styleId="Heading3Char">
    <w:name w:val="Heading 3 Char"/>
    <w:basedOn w:val="DefaultParagraphFont"/>
    <w:link w:val="Heading3"/>
    <w:uiPriority w:val="9"/>
    <w:semiHidden/>
    <w:rsid w:val="008930B3"/>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7A3A15"/>
    <w:pPr>
      <w:widowControl w:val="0"/>
      <w:autoSpaceDE w:val="0"/>
      <w:autoSpaceDN w:val="0"/>
      <w:spacing w:after="200"/>
    </w:pPr>
    <w:rPr>
      <w:rFonts w:ascii="Times New Roman" w:hAnsi="Times New Roman"/>
      <w:i/>
      <w:iCs/>
      <w:color w:val="1F497D" w:themeColor="text2"/>
      <w:sz w:val="18"/>
      <w:szCs w:val="18"/>
    </w:rPr>
  </w:style>
  <w:style w:type="paragraph" w:styleId="ListParagraph">
    <w:name w:val="List Paragraph"/>
    <w:basedOn w:val="Normal"/>
    <w:uiPriority w:val="34"/>
    <w:qFormat/>
    <w:rsid w:val="00C321B4"/>
    <w:pPr>
      <w:ind w:left="720"/>
      <w:contextualSpacing/>
    </w:pPr>
  </w:style>
  <w:style w:type="character" w:styleId="PlaceholderText">
    <w:name w:val="Placeholder Text"/>
    <w:basedOn w:val="DefaultParagraphFont"/>
    <w:uiPriority w:val="99"/>
    <w:semiHidden/>
    <w:rsid w:val="0034621F"/>
    <w:rPr>
      <w:color w:val="666666"/>
    </w:rPr>
  </w:style>
  <w:style w:type="table" w:styleId="PlainTable5">
    <w:name w:val="Plain Table 5"/>
    <w:basedOn w:val="TableNormal"/>
    <w:uiPriority w:val="45"/>
    <w:rsid w:val="002751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261198"/>
    <w:rPr>
      <w:rFonts w:ascii="Times New Roman" w:hAnsi="Times New Roman"/>
      <w:sz w:val="24"/>
      <w:szCs w:val="24"/>
    </w:rPr>
  </w:style>
  <w:style w:type="table" w:styleId="PlainTable2">
    <w:name w:val="Plain Table 2"/>
    <w:basedOn w:val="TableNormal"/>
    <w:uiPriority w:val="42"/>
    <w:rsid w:val="0086435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C159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rsid w:val="0013585F"/>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66324358">
      <w:marLeft w:val="0"/>
      <w:marRight w:val="0"/>
      <w:marTop w:val="0"/>
      <w:marBottom w:val="0"/>
      <w:divBdr>
        <w:top w:val="none" w:sz="0" w:space="0" w:color="auto"/>
        <w:left w:val="none" w:sz="0" w:space="0" w:color="auto"/>
        <w:bottom w:val="none" w:sz="0" w:space="0" w:color="auto"/>
        <w:right w:val="none" w:sz="0" w:space="0" w:color="auto"/>
      </w:divBdr>
      <w:divsChild>
        <w:div w:id="1527676645">
          <w:marLeft w:val="0"/>
          <w:marRight w:val="0"/>
          <w:marTop w:val="0"/>
          <w:marBottom w:val="0"/>
          <w:divBdr>
            <w:top w:val="none" w:sz="0" w:space="0" w:color="auto"/>
            <w:left w:val="none" w:sz="0" w:space="0" w:color="auto"/>
            <w:bottom w:val="none" w:sz="0" w:space="0" w:color="auto"/>
            <w:right w:val="none" w:sz="0" w:space="0" w:color="auto"/>
          </w:divBdr>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doi.org/10.3390/antiox12112010"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hyperlink" Target="https://doi.org/10.1155/2013/162750?utm_source=chatgpt.com"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4.xml"/><Relationship Id="rId29" Type="http://schemas.openxmlformats.org/officeDocument/2006/relationships/hyperlink" Target="https://doi.org/10.1080/01621459.1958.105014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07/s43621-024-00698-1?utm_source=chatgpt.com"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3390/ph18010016" TargetMode="External"/><Relationship Id="rId28" Type="http://schemas.openxmlformats.org/officeDocument/2006/relationships/hyperlink" Target="https://doi.org/10.1080/19336934.2024.2420453"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16/j.ajhg.2019.06.005" TargetMode="External"/><Relationship Id="rId27" Type="http://schemas.openxmlformats.org/officeDocument/2006/relationships/hyperlink" Target="https://doi.org/10.3390/molecules24061123"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usmi\OneDrive\Documents\VU%20PhD%20Research%20Progress%20report%202023%20(Ist)\VU%20RAC%20Research%20progress%20report%202023%20(IST)\Climbing%20assay%20raw%20data%20%202023.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usmi\OneDrive\Documents\VU%20PhD%20research%20progress%20report%202024%20(IInd-3rd)\VU%20Ph.D.%20research%20progress%20Report%20Oct-2024\Copy%20of%20Raw%20data%20of%20Progress%20report%20of%20research%20VU_2024_30.9.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usmi\OneDrive\Documents\VU%20UJZ%20Manuscript\UJZ%20Manuscript\excel%20graphs\vortex%20seizure%20recovery%20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Sheet3!$C$4</c:f>
              <c:strCache>
                <c:ptCount val="1"/>
                <c:pt idx="0">
                  <c:v>Control (C)</c:v>
                </c:pt>
              </c:strCache>
            </c:strRef>
          </c:tx>
          <c:spPr>
            <a:solidFill>
              <a:schemeClr val="dk1">
                <a:tint val="88500"/>
              </a:schemeClr>
            </a:solidFill>
            <a:ln w="12700">
              <a:solidFill>
                <a:schemeClr val="tx1">
                  <a:lumMod val="75000"/>
                  <a:lumOff val="25000"/>
                </a:schemeClr>
              </a:solidFill>
            </a:ln>
            <a:effectLst/>
          </c:spPr>
          <c:invertIfNegative val="0"/>
          <c:errBars>
            <c:errBarType val="both"/>
            <c:errValType val="cust"/>
            <c:noEndCap val="0"/>
            <c:plus>
              <c:numRef>
                <c:f>Sheet3!$I$5:$I$10</c:f>
                <c:numCache>
                  <c:formatCode>General</c:formatCode>
                  <c:ptCount val="6"/>
                  <c:pt idx="0">
                    <c:v>0.47</c:v>
                  </c:pt>
                  <c:pt idx="1">
                    <c:v>1.1499999999999999</c:v>
                  </c:pt>
                  <c:pt idx="2">
                    <c:v>0.88</c:v>
                  </c:pt>
                  <c:pt idx="3">
                    <c:v>0.88</c:v>
                  </c:pt>
                  <c:pt idx="4">
                    <c:v>0.57999999999999996</c:v>
                  </c:pt>
                  <c:pt idx="5">
                    <c:v>0.88</c:v>
                  </c:pt>
                </c:numCache>
              </c:numRef>
            </c:plus>
            <c:minus>
              <c:numRef>
                <c:f>Sheet3!$I$5:$I$10</c:f>
                <c:numCache>
                  <c:formatCode>General</c:formatCode>
                  <c:ptCount val="6"/>
                  <c:pt idx="0">
                    <c:v>0.47</c:v>
                  </c:pt>
                  <c:pt idx="1">
                    <c:v>1.1499999999999999</c:v>
                  </c:pt>
                  <c:pt idx="2">
                    <c:v>0.88</c:v>
                  </c:pt>
                  <c:pt idx="3">
                    <c:v>0.88</c:v>
                  </c:pt>
                  <c:pt idx="4">
                    <c:v>0.57999999999999996</c:v>
                  </c:pt>
                  <c:pt idx="5">
                    <c:v>0.88</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Sheet3!$C$5:$C$10</c:f>
              <c:numCache>
                <c:formatCode>General</c:formatCode>
                <c:ptCount val="6"/>
                <c:pt idx="0">
                  <c:v>49</c:v>
                </c:pt>
                <c:pt idx="1">
                  <c:v>44</c:v>
                </c:pt>
                <c:pt idx="2">
                  <c:v>36.33</c:v>
                </c:pt>
                <c:pt idx="3">
                  <c:v>33.33</c:v>
                </c:pt>
                <c:pt idx="4">
                  <c:v>30</c:v>
                </c:pt>
                <c:pt idx="5">
                  <c:v>24.67</c:v>
                </c:pt>
              </c:numCache>
            </c:numRef>
          </c:val>
          <c:extLst>
            <c:ext xmlns:c16="http://schemas.microsoft.com/office/drawing/2014/chart" uri="{C3380CC4-5D6E-409C-BE32-E72D297353CC}">
              <c16:uniqueId val="{00000000-CE0C-4091-A27D-2A87680F8F68}"/>
            </c:ext>
          </c:extLst>
        </c:ser>
        <c:ser>
          <c:idx val="1"/>
          <c:order val="1"/>
          <c:tx>
            <c:strRef>
              <c:f>Sheet3!$D$4</c:f>
              <c:strCache>
                <c:ptCount val="1"/>
                <c:pt idx="0">
                  <c:v>Pre-Q</c:v>
                </c:pt>
              </c:strCache>
            </c:strRef>
          </c:tx>
          <c:spPr>
            <a:solidFill>
              <a:schemeClr val="dk1">
                <a:tint val="55000"/>
              </a:schemeClr>
            </a:solidFill>
            <a:ln w="12700">
              <a:solidFill>
                <a:schemeClr val="tx1">
                  <a:lumMod val="75000"/>
                  <a:lumOff val="25000"/>
                </a:schemeClr>
              </a:solidFill>
            </a:ln>
            <a:effectLst/>
          </c:spPr>
          <c:invertIfNegative val="0"/>
          <c:errBars>
            <c:errBarType val="both"/>
            <c:errValType val="cust"/>
            <c:noEndCap val="0"/>
            <c:plus>
              <c:numRef>
                <c:f>Sheet3!$J$5:$J$10</c:f>
                <c:numCache>
                  <c:formatCode>General</c:formatCode>
                  <c:ptCount val="6"/>
                  <c:pt idx="0">
                    <c:v>0.72</c:v>
                  </c:pt>
                  <c:pt idx="1">
                    <c:v>0.33</c:v>
                  </c:pt>
                  <c:pt idx="2">
                    <c:v>0.88</c:v>
                  </c:pt>
                  <c:pt idx="3">
                    <c:v>0.88</c:v>
                  </c:pt>
                  <c:pt idx="4">
                    <c:v>1.45</c:v>
                  </c:pt>
                  <c:pt idx="5">
                    <c:v>0.57999999999999996</c:v>
                  </c:pt>
                </c:numCache>
              </c:numRef>
            </c:plus>
            <c:minus>
              <c:numRef>
                <c:f>Sheet3!$J$5:$J$10</c:f>
                <c:numCache>
                  <c:formatCode>General</c:formatCode>
                  <c:ptCount val="6"/>
                  <c:pt idx="0">
                    <c:v>0.72</c:v>
                  </c:pt>
                  <c:pt idx="1">
                    <c:v>0.33</c:v>
                  </c:pt>
                  <c:pt idx="2">
                    <c:v>0.88</c:v>
                  </c:pt>
                  <c:pt idx="3">
                    <c:v>0.88</c:v>
                  </c:pt>
                  <c:pt idx="4">
                    <c:v>1.45</c:v>
                  </c:pt>
                  <c:pt idx="5">
                    <c:v>0.57999999999999996</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Sheet3!$D$5:$D$10</c:f>
              <c:numCache>
                <c:formatCode>General</c:formatCode>
                <c:ptCount val="6"/>
                <c:pt idx="0">
                  <c:v>47.33</c:v>
                </c:pt>
                <c:pt idx="1">
                  <c:v>44.67</c:v>
                </c:pt>
                <c:pt idx="2">
                  <c:v>33.67</c:v>
                </c:pt>
                <c:pt idx="3">
                  <c:v>31.33</c:v>
                </c:pt>
                <c:pt idx="4">
                  <c:v>25.67</c:v>
                </c:pt>
                <c:pt idx="5">
                  <c:v>22</c:v>
                </c:pt>
              </c:numCache>
            </c:numRef>
          </c:val>
          <c:extLst>
            <c:ext xmlns:c16="http://schemas.microsoft.com/office/drawing/2014/chart" uri="{C3380CC4-5D6E-409C-BE32-E72D297353CC}">
              <c16:uniqueId val="{00000001-CE0C-4091-A27D-2A87680F8F68}"/>
            </c:ext>
          </c:extLst>
        </c:ser>
        <c:ser>
          <c:idx val="2"/>
          <c:order val="2"/>
          <c:tx>
            <c:strRef>
              <c:f>Sheet3!$E$4</c:f>
              <c:strCache>
                <c:ptCount val="1"/>
                <c:pt idx="0">
                  <c:v>UV</c:v>
                </c:pt>
              </c:strCache>
            </c:strRef>
          </c:tx>
          <c:spPr>
            <a:solidFill>
              <a:schemeClr val="bg1">
                <a:lumMod val="85000"/>
              </a:schemeClr>
            </a:solidFill>
            <a:ln w="12700">
              <a:solidFill>
                <a:schemeClr val="tx1">
                  <a:lumMod val="75000"/>
                  <a:lumOff val="25000"/>
                </a:schemeClr>
              </a:solidFill>
            </a:ln>
            <a:effectLst/>
          </c:spPr>
          <c:invertIfNegative val="0"/>
          <c:errBars>
            <c:errBarType val="both"/>
            <c:errValType val="cust"/>
            <c:noEndCap val="0"/>
            <c:plus>
              <c:numRef>
                <c:f>Sheet3!$K$5:$K$10</c:f>
                <c:numCache>
                  <c:formatCode>General</c:formatCode>
                  <c:ptCount val="6"/>
                  <c:pt idx="0">
                    <c:v>1.66</c:v>
                  </c:pt>
                  <c:pt idx="1">
                    <c:v>1.76</c:v>
                  </c:pt>
                  <c:pt idx="2">
                    <c:v>1.45</c:v>
                  </c:pt>
                  <c:pt idx="3">
                    <c:v>0.88</c:v>
                  </c:pt>
                  <c:pt idx="4">
                    <c:v>0.88</c:v>
                  </c:pt>
                  <c:pt idx="5">
                    <c:v>1.1499999999999999</c:v>
                  </c:pt>
                </c:numCache>
              </c:numRef>
            </c:plus>
            <c:minus>
              <c:numRef>
                <c:f>Sheet3!$K$5:$K$10</c:f>
                <c:numCache>
                  <c:formatCode>General</c:formatCode>
                  <c:ptCount val="6"/>
                  <c:pt idx="0">
                    <c:v>1.66</c:v>
                  </c:pt>
                  <c:pt idx="1">
                    <c:v>1.76</c:v>
                  </c:pt>
                  <c:pt idx="2">
                    <c:v>1.45</c:v>
                  </c:pt>
                  <c:pt idx="3">
                    <c:v>0.88</c:v>
                  </c:pt>
                  <c:pt idx="4">
                    <c:v>0.88</c:v>
                  </c:pt>
                  <c:pt idx="5">
                    <c:v>1.1499999999999999</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Sheet3!$E$5:$E$10</c:f>
              <c:numCache>
                <c:formatCode>General</c:formatCode>
                <c:ptCount val="6"/>
                <c:pt idx="0">
                  <c:v>26.33</c:v>
                </c:pt>
                <c:pt idx="1">
                  <c:v>23.67</c:v>
                </c:pt>
                <c:pt idx="2">
                  <c:v>21.33</c:v>
                </c:pt>
                <c:pt idx="3">
                  <c:v>13.67</c:v>
                </c:pt>
                <c:pt idx="4">
                  <c:v>6.33</c:v>
                </c:pt>
                <c:pt idx="5">
                  <c:v>2</c:v>
                </c:pt>
              </c:numCache>
            </c:numRef>
          </c:val>
          <c:extLst>
            <c:ext xmlns:c16="http://schemas.microsoft.com/office/drawing/2014/chart" uri="{C3380CC4-5D6E-409C-BE32-E72D297353CC}">
              <c16:uniqueId val="{00000002-CE0C-4091-A27D-2A87680F8F68}"/>
            </c:ext>
          </c:extLst>
        </c:ser>
        <c:ser>
          <c:idx val="3"/>
          <c:order val="3"/>
          <c:tx>
            <c:strRef>
              <c:f>Sheet3!$F$4</c:f>
              <c:strCache>
                <c:ptCount val="1"/>
                <c:pt idx="0">
                  <c:v>Q+UV</c:v>
                </c:pt>
              </c:strCache>
            </c:strRef>
          </c:tx>
          <c:spPr>
            <a:solidFill>
              <a:schemeClr val="dk1">
                <a:tint val="98500"/>
              </a:schemeClr>
            </a:solidFill>
            <a:ln>
              <a:solidFill>
                <a:schemeClr val="tx1">
                  <a:lumMod val="75000"/>
                  <a:lumOff val="25000"/>
                </a:schemeClr>
              </a:solidFill>
            </a:ln>
            <a:effectLst/>
          </c:spPr>
          <c:invertIfNegative val="0"/>
          <c:errBars>
            <c:errBarType val="both"/>
            <c:errValType val="cust"/>
            <c:noEndCap val="0"/>
            <c:plus>
              <c:numRef>
                <c:f>Sheet3!$L$5:$L$10</c:f>
                <c:numCache>
                  <c:formatCode>General</c:formatCode>
                  <c:ptCount val="6"/>
                  <c:pt idx="0">
                    <c:v>0.94</c:v>
                  </c:pt>
                  <c:pt idx="1">
                    <c:v>1.1499999999999999</c:v>
                  </c:pt>
                  <c:pt idx="2">
                    <c:v>0.33</c:v>
                  </c:pt>
                  <c:pt idx="3">
                    <c:v>0.88</c:v>
                  </c:pt>
                  <c:pt idx="4">
                    <c:v>1.53</c:v>
                  </c:pt>
                  <c:pt idx="5">
                    <c:v>1.45</c:v>
                  </c:pt>
                </c:numCache>
              </c:numRef>
            </c:plus>
            <c:minus>
              <c:numRef>
                <c:f>Sheet3!$L$5:$L$10</c:f>
                <c:numCache>
                  <c:formatCode>General</c:formatCode>
                  <c:ptCount val="6"/>
                  <c:pt idx="0">
                    <c:v>0.94</c:v>
                  </c:pt>
                  <c:pt idx="1">
                    <c:v>1.1499999999999999</c:v>
                  </c:pt>
                  <c:pt idx="2">
                    <c:v>0.33</c:v>
                  </c:pt>
                  <c:pt idx="3">
                    <c:v>0.88</c:v>
                  </c:pt>
                  <c:pt idx="4">
                    <c:v>1.53</c:v>
                  </c:pt>
                  <c:pt idx="5">
                    <c:v>1.45</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Sheet3!$F$5:$F$10</c:f>
              <c:numCache>
                <c:formatCode>General</c:formatCode>
                <c:ptCount val="6"/>
                <c:pt idx="0">
                  <c:v>39</c:v>
                </c:pt>
                <c:pt idx="1">
                  <c:v>38</c:v>
                </c:pt>
                <c:pt idx="2">
                  <c:v>31.67</c:v>
                </c:pt>
                <c:pt idx="3">
                  <c:v>28.33</c:v>
                </c:pt>
                <c:pt idx="4">
                  <c:v>23</c:v>
                </c:pt>
                <c:pt idx="5">
                  <c:v>17.670000000000002</c:v>
                </c:pt>
              </c:numCache>
            </c:numRef>
          </c:val>
          <c:extLst>
            <c:ext xmlns:c16="http://schemas.microsoft.com/office/drawing/2014/chart" uri="{C3380CC4-5D6E-409C-BE32-E72D297353CC}">
              <c16:uniqueId val="{00000003-CE0C-4091-A27D-2A87680F8F68}"/>
            </c:ext>
          </c:extLst>
        </c:ser>
        <c:dLbls>
          <c:showLegendKey val="0"/>
          <c:showVal val="0"/>
          <c:showCatName val="0"/>
          <c:showSerName val="0"/>
          <c:showPercent val="0"/>
          <c:showBubbleSize val="0"/>
        </c:dLbls>
        <c:gapWidth val="80"/>
        <c:axId val="1715581407"/>
        <c:axId val="1522844431"/>
      </c:barChart>
      <c:catAx>
        <c:axId val="1715581407"/>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b="1"/>
                  <a:t> Time points (days Post-treatment)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IN"/>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2844431"/>
        <c:crosses val="autoZero"/>
        <c:auto val="1"/>
        <c:lblAlgn val="ctr"/>
        <c:lblOffset val="100"/>
        <c:noMultiLvlLbl val="0"/>
      </c:catAx>
      <c:valAx>
        <c:axId val="1522844431"/>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b="1"/>
                  <a:t>Climbing ability/ Target count (Mean±SE)</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15581407"/>
        <c:crosses val="autoZero"/>
        <c:crossBetween val="between"/>
      </c:valAx>
      <c:spPr>
        <a:noFill/>
        <a:ln>
          <a:solidFill>
            <a:schemeClr val="tx1"/>
          </a:solid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highlight>
                  <a:srgbClr val="FFFF00"/>
                </a:highlight>
                <a:latin typeface="Arial" panose="020B0604020202020204" pitchFamily="34" charset="0"/>
                <a:ea typeface="+mn-ea"/>
                <a:cs typeface="Arial" panose="020B0604020202020204" pitchFamily="34"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v>+ve phototaxis</c:v>
          </c:tx>
          <c:spPr>
            <a:pattFill prst="narVert">
              <a:fgClr>
                <a:schemeClr val="bg1">
                  <a:lumMod val="75000"/>
                </a:schemeClr>
              </a:fgClr>
              <a:bgClr>
                <a:schemeClr val="bg1">
                  <a:lumMod val="95000"/>
                </a:schemeClr>
              </a:bgClr>
            </a:pattFill>
            <a:ln>
              <a:noFill/>
            </a:ln>
            <a:effectLst>
              <a:innerShdw blurRad="114300">
                <a:schemeClr val="dk1">
                  <a:tint val="88500"/>
                </a:schemeClr>
              </a:innerShdw>
            </a:effectLst>
          </c:spPr>
          <c:invertIfNegative val="0"/>
          <c:errBars>
            <c:errBarType val="both"/>
            <c:errValType val="cust"/>
            <c:noEndCap val="0"/>
            <c:plus>
              <c:numRef>
                <c:f>'T maze'!$J$14:$J$25</c:f>
                <c:numCache>
                  <c:formatCode>General</c:formatCode>
                  <c:ptCount val="12"/>
                  <c:pt idx="0">
                    <c:v>0.33333333333333331</c:v>
                  </c:pt>
                  <c:pt idx="3">
                    <c:v>0.57735026918962584</c:v>
                  </c:pt>
                  <c:pt idx="6">
                    <c:v>0.33333333333333337</c:v>
                  </c:pt>
                  <c:pt idx="9">
                    <c:v>0.66666666666666552</c:v>
                  </c:pt>
                </c:numCache>
              </c:numRef>
            </c:plus>
            <c:minus>
              <c:numRef>
                <c:f>'T maze'!$J$14:$J$25</c:f>
                <c:numCache>
                  <c:formatCode>General</c:formatCode>
                  <c:ptCount val="12"/>
                  <c:pt idx="0">
                    <c:v>0.33333333333333331</c:v>
                  </c:pt>
                  <c:pt idx="3">
                    <c:v>0.57735026918962584</c:v>
                  </c:pt>
                  <c:pt idx="6">
                    <c:v>0.33333333333333337</c:v>
                  </c:pt>
                  <c:pt idx="9">
                    <c:v>0.66666666666666552</c:v>
                  </c:pt>
                </c:numCache>
              </c:numRef>
            </c:minus>
            <c:spPr>
              <a:noFill/>
              <a:ln w="9525" cap="flat" cmpd="sng" algn="ctr">
                <a:solidFill>
                  <a:schemeClr val="dk1">
                    <a:shade val="95000"/>
                    <a:satMod val="105000"/>
                  </a:schemeClr>
                </a:solidFill>
                <a:prstDash val="solid"/>
                <a:round/>
              </a:ln>
              <a:effectLst/>
            </c:spPr>
          </c:errBars>
          <c:cat>
            <c:strRef>
              <c:f>'T maze'!$G$28:$G$31</c:f>
              <c:strCache>
                <c:ptCount val="4"/>
                <c:pt idx="0">
                  <c:v>C</c:v>
                </c:pt>
                <c:pt idx="1">
                  <c:v>Pre-Q</c:v>
                </c:pt>
                <c:pt idx="2">
                  <c:v>UV</c:v>
                </c:pt>
                <c:pt idx="3">
                  <c:v>Q+UV</c:v>
                </c:pt>
              </c:strCache>
            </c:strRef>
          </c:cat>
          <c:val>
            <c:numRef>
              <c:f>'T maze'!$H$28:$H$31</c:f>
              <c:numCache>
                <c:formatCode>General</c:formatCode>
                <c:ptCount val="4"/>
                <c:pt idx="0">
                  <c:v>9.67</c:v>
                </c:pt>
                <c:pt idx="1">
                  <c:v>9</c:v>
                </c:pt>
                <c:pt idx="2">
                  <c:v>5.67</c:v>
                </c:pt>
                <c:pt idx="3">
                  <c:v>6.67</c:v>
                </c:pt>
              </c:numCache>
            </c:numRef>
          </c:val>
          <c:extLst>
            <c:ext xmlns:c16="http://schemas.microsoft.com/office/drawing/2014/chart" uri="{C3380CC4-5D6E-409C-BE32-E72D297353CC}">
              <c16:uniqueId val="{00000000-BC89-4717-9F61-274EBE4C110C}"/>
            </c:ext>
          </c:extLst>
        </c:ser>
        <c:ser>
          <c:idx val="1"/>
          <c:order val="1"/>
          <c:tx>
            <c:v>-ve Phototaxis</c:v>
          </c:tx>
          <c:spPr>
            <a:pattFill prst="narHorz">
              <a:fgClr>
                <a:schemeClr val="tx1">
                  <a:lumMod val="65000"/>
                  <a:lumOff val="35000"/>
                </a:schemeClr>
              </a:fgClr>
              <a:bgClr>
                <a:schemeClr val="bg1">
                  <a:lumMod val="65000"/>
                </a:schemeClr>
              </a:bgClr>
            </a:pattFill>
            <a:ln>
              <a:noFill/>
            </a:ln>
            <a:effectLst>
              <a:innerShdw blurRad="114300">
                <a:schemeClr val="dk1">
                  <a:tint val="55000"/>
                </a:schemeClr>
              </a:innerShdw>
            </a:effectLst>
          </c:spPr>
          <c:invertIfNegative val="0"/>
          <c:errBars>
            <c:errBarType val="both"/>
            <c:errValType val="cust"/>
            <c:noEndCap val="0"/>
            <c:plus>
              <c:numRef>
                <c:f>'T maze'!$N$14:$N$25</c:f>
                <c:numCache>
                  <c:formatCode>General</c:formatCode>
                  <c:ptCount val="12"/>
                  <c:pt idx="0">
                    <c:v>0.33333333333333337</c:v>
                  </c:pt>
                  <c:pt idx="3">
                    <c:v>0.57735026918962584</c:v>
                  </c:pt>
                  <c:pt idx="6">
                    <c:v>0.33333333333333276</c:v>
                  </c:pt>
                  <c:pt idx="9">
                    <c:v>0.66666666666666641</c:v>
                  </c:pt>
                </c:numCache>
              </c:numRef>
            </c:plus>
            <c:minus>
              <c:numRef>
                <c:f>'T maze'!$N$14:$N$25</c:f>
                <c:numCache>
                  <c:formatCode>General</c:formatCode>
                  <c:ptCount val="12"/>
                  <c:pt idx="0">
                    <c:v>0.33333333333333337</c:v>
                  </c:pt>
                  <c:pt idx="3">
                    <c:v>0.57735026918962584</c:v>
                  </c:pt>
                  <c:pt idx="6">
                    <c:v>0.33333333333333276</c:v>
                  </c:pt>
                  <c:pt idx="9">
                    <c:v>0.66666666666666641</c:v>
                  </c:pt>
                </c:numCache>
              </c:numRef>
            </c:minus>
            <c:spPr>
              <a:noFill/>
              <a:ln w="9525" cap="flat" cmpd="sng" algn="ctr">
                <a:solidFill>
                  <a:schemeClr val="dk1">
                    <a:shade val="95000"/>
                    <a:satMod val="105000"/>
                  </a:schemeClr>
                </a:solidFill>
                <a:prstDash val="solid"/>
                <a:round/>
              </a:ln>
              <a:effectLst/>
            </c:spPr>
          </c:errBars>
          <c:cat>
            <c:strRef>
              <c:f>'T maze'!$G$28:$G$31</c:f>
              <c:strCache>
                <c:ptCount val="4"/>
                <c:pt idx="0">
                  <c:v>C</c:v>
                </c:pt>
                <c:pt idx="1">
                  <c:v>Pre-Q</c:v>
                </c:pt>
                <c:pt idx="2">
                  <c:v>UV</c:v>
                </c:pt>
                <c:pt idx="3">
                  <c:v>Q+UV</c:v>
                </c:pt>
              </c:strCache>
            </c:strRef>
          </c:cat>
          <c:val>
            <c:numRef>
              <c:f>'T maze'!$I$28:$I$31</c:f>
              <c:numCache>
                <c:formatCode>General</c:formatCode>
                <c:ptCount val="4"/>
                <c:pt idx="0">
                  <c:v>0.33</c:v>
                </c:pt>
                <c:pt idx="1">
                  <c:v>1</c:v>
                </c:pt>
                <c:pt idx="2">
                  <c:v>4.33</c:v>
                </c:pt>
                <c:pt idx="3">
                  <c:v>3.33</c:v>
                </c:pt>
              </c:numCache>
            </c:numRef>
          </c:val>
          <c:extLst>
            <c:ext xmlns:c16="http://schemas.microsoft.com/office/drawing/2014/chart" uri="{C3380CC4-5D6E-409C-BE32-E72D297353CC}">
              <c16:uniqueId val="{00000001-BC89-4717-9F61-274EBE4C110C}"/>
            </c:ext>
          </c:extLst>
        </c:ser>
        <c:dLbls>
          <c:showLegendKey val="0"/>
          <c:showVal val="0"/>
          <c:showCatName val="0"/>
          <c:showSerName val="0"/>
          <c:showPercent val="0"/>
          <c:showBubbleSize val="0"/>
        </c:dLbls>
        <c:gapWidth val="164"/>
        <c:overlap val="-22"/>
        <c:axId val="1843177935"/>
        <c:axId val="1843185135"/>
      </c:barChart>
      <c:catAx>
        <c:axId val="184317793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a:t>Sample groups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cap="flat" cmpd="sng" algn="ctr">
            <a:solidFill>
              <a:schemeClr val="tx1">
                <a:lumMod val="65000"/>
                <a:lumOff val="3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43185135"/>
        <c:crosses val="autoZero"/>
        <c:auto val="1"/>
        <c:lblAlgn val="ctr"/>
        <c:lblOffset val="100"/>
        <c:noMultiLvlLbl val="0"/>
      </c:catAx>
      <c:valAx>
        <c:axId val="1843185135"/>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a:t>No. of flies showing Photaxis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43177935"/>
        <c:crosses val="autoZero"/>
        <c:crossBetween val="between"/>
      </c:valAx>
      <c:spPr>
        <a:noFill/>
        <a:ln>
          <a:solidFill>
            <a:schemeClr val="tx1">
              <a:lumMod val="65000"/>
              <a:lumOff val="35000"/>
            </a:schemeClr>
          </a:solid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65000"/>
          <a:lumOff val="35000"/>
        </a:schemeClr>
      </a:solidFill>
      <a:round/>
    </a:ln>
    <a:effectLst/>
  </c:spPr>
  <c:txPr>
    <a:bodyPr/>
    <a:lstStyle/>
    <a:p>
      <a:pPr>
        <a:defRPr b="1">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'Raw data'!$C$1</c:f>
              <c:strCache>
                <c:ptCount val="1"/>
                <c:pt idx="0">
                  <c:v>C</c:v>
                </c:pt>
              </c:strCache>
            </c:strRef>
          </c:tx>
          <c:spPr>
            <a:ln w="19050" cap="rnd">
              <a:solidFill>
                <a:srgbClr val="7030A0"/>
              </a:solidFill>
              <a:round/>
            </a:ln>
            <a:effectLst/>
          </c:spPr>
          <c:marker>
            <c:symbol val="circle"/>
            <c:size val="5"/>
            <c:spPr>
              <a:solidFill>
                <a:srgbClr val="7030A0"/>
              </a:solidFill>
              <a:ln w="9525">
                <a:solidFill>
                  <a:srgbClr val="7030A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data'!$C$2:$C$22</c:f>
              <c:numCache>
                <c:formatCode>General</c:formatCode>
                <c:ptCount val="21"/>
                <c:pt idx="0">
                  <c:v>1</c:v>
                </c:pt>
                <c:pt idx="1">
                  <c:v>1</c:v>
                </c:pt>
                <c:pt idx="2">
                  <c:v>0.67</c:v>
                </c:pt>
                <c:pt idx="3">
                  <c:v>0.67</c:v>
                </c:pt>
                <c:pt idx="4">
                  <c:v>0.33</c:v>
                </c:pt>
                <c:pt idx="5">
                  <c:v>0.33</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0-E73B-460A-9369-BB5B77616F42}"/>
            </c:ext>
          </c:extLst>
        </c:ser>
        <c:ser>
          <c:idx val="1"/>
          <c:order val="1"/>
          <c:tx>
            <c:strRef>
              <c:f>'Raw data'!$D$1</c:f>
              <c:strCache>
                <c:ptCount val="1"/>
                <c:pt idx="0">
                  <c:v>Pre-Q</c:v>
                </c:pt>
              </c:strCache>
            </c:strRef>
          </c:tx>
          <c:spPr>
            <a:ln w="19050" cap="rnd">
              <a:solidFill>
                <a:srgbClr val="00B050"/>
              </a:solidFill>
              <a:round/>
            </a:ln>
            <a:effectLst/>
          </c:spPr>
          <c:marker>
            <c:symbol val="circle"/>
            <c:size val="5"/>
            <c:spPr>
              <a:solidFill>
                <a:srgbClr val="00B050"/>
              </a:solidFill>
              <a:ln w="9525">
                <a:solidFill>
                  <a:srgbClr val="00B05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data'!$D$2:$D$22</c:f>
              <c:numCache>
                <c:formatCode>General</c:formatCode>
                <c:ptCount val="21"/>
                <c:pt idx="0">
                  <c:v>1</c:v>
                </c:pt>
                <c:pt idx="1">
                  <c:v>1</c:v>
                </c:pt>
                <c:pt idx="2">
                  <c:v>1</c:v>
                </c:pt>
                <c:pt idx="3">
                  <c:v>1</c:v>
                </c:pt>
                <c:pt idx="4">
                  <c:v>0.67</c:v>
                </c:pt>
                <c:pt idx="5">
                  <c:v>0.67</c:v>
                </c:pt>
                <c:pt idx="6">
                  <c:v>0.33</c:v>
                </c:pt>
                <c:pt idx="7">
                  <c:v>0.33</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1-E73B-460A-9369-BB5B77616F42}"/>
            </c:ext>
          </c:extLst>
        </c:ser>
        <c:ser>
          <c:idx val="2"/>
          <c:order val="2"/>
          <c:tx>
            <c:strRef>
              <c:f>'Raw data'!$E$1</c:f>
              <c:strCache>
                <c:ptCount val="1"/>
                <c:pt idx="0">
                  <c:v>UV</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data'!$E$2:$E$22</c:f>
              <c:numCache>
                <c:formatCode>General</c:formatCode>
                <c:ptCount val="21"/>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0.67</c:v>
                </c:pt>
                <c:pt idx="17">
                  <c:v>0.67</c:v>
                </c:pt>
                <c:pt idx="18">
                  <c:v>0.33</c:v>
                </c:pt>
                <c:pt idx="19">
                  <c:v>0.33</c:v>
                </c:pt>
                <c:pt idx="20">
                  <c:v>0</c:v>
                </c:pt>
              </c:numCache>
            </c:numRef>
          </c:yVal>
          <c:smooth val="0"/>
          <c:extLst>
            <c:ext xmlns:c16="http://schemas.microsoft.com/office/drawing/2014/chart" uri="{C3380CC4-5D6E-409C-BE32-E72D297353CC}">
              <c16:uniqueId val="{00000002-E73B-460A-9369-BB5B77616F42}"/>
            </c:ext>
          </c:extLst>
        </c:ser>
        <c:ser>
          <c:idx val="3"/>
          <c:order val="3"/>
          <c:tx>
            <c:strRef>
              <c:f>'Raw data'!$F$1</c:f>
              <c:strCache>
                <c:ptCount val="1"/>
                <c:pt idx="0">
                  <c:v>Q+UV</c:v>
                </c:pt>
              </c:strCache>
            </c:strRef>
          </c:tx>
          <c:spPr>
            <a:ln w="19050" cap="rnd">
              <a:solidFill>
                <a:srgbClr val="FFC000"/>
              </a:solidFill>
              <a:round/>
            </a:ln>
            <a:effectLst/>
          </c:spPr>
          <c:marker>
            <c:symbol val="circle"/>
            <c:size val="5"/>
            <c:spPr>
              <a:solidFill>
                <a:srgbClr val="FFC000"/>
              </a:solidFill>
              <a:ln w="9525">
                <a:solidFill>
                  <a:srgbClr val="FFC000"/>
                </a:solidFill>
              </a:ln>
              <a:effectLst/>
            </c:spPr>
          </c:marker>
          <c:dPt>
            <c:idx val="0"/>
            <c:marker>
              <c:symbol val="circle"/>
              <c:size val="5"/>
              <c:spPr>
                <a:solidFill>
                  <a:srgbClr val="7030A0"/>
                </a:solidFill>
                <a:ln w="9525">
                  <a:solidFill>
                    <a:sysClr val="windowText" lastClr="000000"/>
                  </a:solidFill>
                </a:ln>
                <a:effectLst/>
              </c:spPr>
            </c:marker>
            <c:bubble3D val="0"/>
            <c:spPr>
              <a:ln w="19050" cap="rnd">
                <a:solidFill>
                  <a:sysClr val="windowText" lastClr="000000"/>
                </a:solidFill>
                <a:round/>
              </a:ln>
              <a:effectLst/>
            </c:spPr>
            <c:extLst>
              <c:ext xmlns:c16="http://schemas.microsoft.com/office/drawing/2014/chart" uri="{C3380CC4-5D6E-409C-BE32-E72D297353CC}">
                <c16:uniqueId val="{00000004-E73B-460A-9369-BB5B77616F42}"/>
              </c:ext>
            </c:extLst>
          </c:dPt>
          <c:dPt>
            <c:idx val="1"/>
            <c:marker>
              <c:symbol val="circle"/>
              <c:size val="5"/>
              <c:spPr>
                <a:solidFill>
                  <a:srgbClr val="FFC000"/>
                </a:solidFill>
                <a:ln w="3175">
                  <a:solidFill>
                    <a:sysClr val="windowText" lastClr="000000"/>
                  </a:solidFill>
                </a:ln>
                <a:effectLst/>
              </c:spPr>
            </c:marker>
            <c:bubble3D val="0"/>
            <c:spPr>
              <a:ln w="3175" cap="rnd">
                <a:solidFill>
                  <a:sysClr val="windowText" lastClr="000000"/>
                </a:solidFill>
                <a:round/>
              </a:ln>
              <a:effectLst/>
            </c:spPr>
            <c:extLst>
              <c:ext xmlns:c16="http://schemas.microsoft.com/office/drawing/2014/chart" uri="{C3380CC4-5D6E-409C-BE32-E72D297353CC}">
                <c16:uniqueId val="{00000006-E73B-460A-9369-BB5B77616F42}"/>
              </c:ext>
            </c:extLst>
          </c:dPt>
          <c:dPt>
            <c:idx val="2"/>
            <c:marker>
              <c:symbol val="circle"/>
              <c:size val="5"/>
              <c:spPr>
                <a:solidFill>
                  <a:srgbClr val="7030A0"/>
                </a:solidFill>
                <a:ln w="9525">
                  <a:solidFill>
                    <a:srgbClr val="7030A0"/>
                  </a:solidFill>
                </a:ln>
                <a:effectLst/>
              </c:spPr>
            </c:marker>
            <c:bubble3D val="0"/>
            <c:spPr>
              <a:ln w="19050" cap="rnd">
                <a:solidFill>
                  <a:srgbClr val="7030A0"/>
                </a:solidFill>
                <a:round/>
              </a:ln>
              <a:effectLst/>
            </c:spPr>
            <c:extLst>
              <c:ext xmlns:c16="http://schemas.microsoft.com/office/drawing/2014/chart" uri="{C3380CC4-5D6E-409C-BE32-E72D297353CC}">
                <c16:uniqueId val="{00000008-E73B-460A-9369-BB5B77616F42}"/>
              </c:ext>
            </c:extLst>
          </c:dPt>
          <c:dPt>
            <c:idx val="3"/>
            <c:marker>
              <c:symbol val="circle"/>
              <c:size val="5"/>
              <c:spPr>
                <a:solidFill>
                  <a:srgbClr val="00B050"/>
                </a:solidFill>
                <a:ln w="9525">
                  <a:solidFill>
                    <a:srgbClr val="00B050"/>
                  </a:solidFill>
                </a:ln>
                <a:effectLst/>
              </c:spPr>
            </c:marker>
            <c:bubble3D val="0"/>
            <c:spPr>
              <a:ln w="19050" cap="rnd">
                <a:solidFill>
                  <a:srgbClr val="00B050"/>
                </a:solidFill>
                <a:round/>
              </a:ln>
              <a:effectLst/>
            </c:spPr>
            <c:extLst>
              <c:ext xmlns:c16="http://schemas.microsoft.com/office/drawing/2014/chart" uri="{C3380CC4-5D6E-409C-BE32-E72D297353CC}">
                <c16:uniqueId val="{0000000A-E73B-460A-9369-BB5B77616F42}"/>
              </c:ext>
            </c:extLst>
          </c:dPt>
          <c:dPt>
            <c:idx val="4"/>
            <c:marker>
              <c:symbol val="circle"/>
              <c:size val="5"/>
              <c:spPr>
                <a:solidFill>
                  <a:srgbClr val="00B050"/>
                </a:solidFill>
                <a:ln w="9525">
                  <a:solidFill>
                    <a:srgbClr val="00B050"/>
                  </a:solidFill>
                </a:ln>
                <a:effectLst/>
              </c:spPr>
            </c:marker>
            <c:bubble3D val="0"/>
            <c:spPr>
              <a:ln w="19050" cap="rnd">
                <a:solidFill>
                  <a:srgbClr val="00B050"/>
                </a:solidFill>
                <a:round/>
              </a:ln>
              <a:effectLst/>
            </c:spPr>
            <c:extLst>
              <c:ext xmlns:c16="http://schemas.microsoft.com/office/drawing/2014/chart" uri="{C3380CC4-5D6E-409C-BE32-E72D297353CC}">
                <c16:uniqueId val="{00000016-E73B-460A-9369-BB5B77616F42}"/>
              </c:ext>
            </c:extLst>
          </c:dPt>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data'!$F$2:$F$22</c:f>
              <c:numCache>
                <c:formatCode>General</c:formatCode>
                <c:ptCount val="21"/>
                <c:pt idx="0">
                  <c:v>1</c:v>
                </c:pt>
                <c:pt idx="1">
                  <c:v>1</c:v>
                </c:pt>
                <c:pt idx="2">
                  <c:v>1</c:v>
                </c:pt>
                <c:pt idx="3">
                  <c:v>1</c:v>
                </c:pt>
                <c:pt idx="4">
                  <c:v>1</c:v>
                </c:pt>
                <c:pt idx="5">
                  <c:v>1</c:v>
                </c:pt>
                <c:pt idx="6">
                  <c:v>1</c:v>
                </c:pt>
                <c:pt idx="7">
                  <c:v>1</c:v>
                </c:pt>
                <c:pt idx="8">
                  <c:v>1</c:v>
                </c:pt>
                <c:pt idx="9">
                  <c:v>1</c:v>
                </c:pt>
                <c:pt idx="10">
                  <c:v>0.67</c:v>
                </c:pt>
                <c:pt idx="11">
                  <c:v>0.67</c:v>
                </c:pt>
                <c:pt idx="12">
                  <c:v>0.33</c:v>
                </c:pt>
                <c:pt idx="13">
                  <c:v>0.33</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B-E73B-460A-9369-BB5B77616F42}"/>
            </c:ext>
          </c:extLst>
        </c:ser>
        <c:dLbls>
          <c:showLegendKey val="0"/>
          <c:showVal val="0"/>
          <c:showCatName val="0"/>
          <c:showSerName val="0"/>
          <c:showPercent val="0"/>
          <c:showBubbleSize val="0"/>
        </c:dLbls>
        <c:axId val="1988092992"/>
        <c:axId val="2047773872"/>
      </c:scatterChart>
      <c:valAx>
        <c:axId val="19880929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IN" b="1">
                    <a:solidFill>
                      <a:schemeClr val="tx1"/>
                    </a:solidFill>
                  </a:rPr>
                  <a:t>Time (seconds)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7773872"/>
        <c:crosses val="autoZero"/>
        <c:crossBetween val="midCat"/>
        <c:majorUnit val="5"/>
      </c:valAx>
      <c:valAx>
        <c:axId val="2047773872"/>
        <c:scaling>
          <c:orientation val="minMax"/>
          <c:max val="1"/>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IN" b="1">
                    <a:solidFill>
                      <a:schemeClr val="tx1"/>
                    </a:solidFill>
                  </a:rPr>
                  <a:t>Relative fraction of unrecovered subjects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88092992"/>
        <c:crosses val="autoZero"/>
        <c:crossBetween val="midCat"/>
        <c:majorUnit val="0.1"/>
      </c:valAx>
      <c:spPr>
        <a:noFill/>
        <a:ln>
          <a:solidFill>
            <a:schemeClr val="bg1">
              <a:lumMod val="50000"/>
            </a:schemeClr>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75000"/>
          <a:lumOff val="2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0.37645</cdr:x>
      <cdr:y>0.21162</cdr:y>
    </cdr:from>
    <cdr:to>
      <cdr:x>0.44173</cdr:x>
      <cdr:y>0.26705</cdr:y>
    </cdr:to>
    <cdr:sp macro="" textlink="">
      <cdr:nvSpPr>
        <cdr:cNvPr id="8" name="TextBox 1">
          <a:extLst xmlns:a="http://schemas.openxmlformats.org/drawingml/2006/main">
            <a:ext uri="{FF2B5EF4-FFF2-40B4-BE49-F238E27FC236}">
              <a16:creationId xmlns:a16="http://schemas.microsoft.com/office/drawing/2014/main" id="{72F2A667-D784-F690-F2E6-358FCC84F5F1}"/>
            </a:ext>
          </a:extLst>
        </cdr:cNvPr>
        <cdr:cNvSpPr txBox="1"/>
      </cdr:nvSpPr>
      <cdr:spPr>
        <a:xfrm xmlns:a="http://schemas.openxmlformats.org/drawingml/2006/main">
          <a:off x="1721140" y="647443"/>
          <a:ext cx="298460" cy="169585"/>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relSizeAnchor>
  <cdr:relSizeAnchor xmlns:cdr="http://schemas.openxmlformats.org/drawingml/2006/chartDrawing">
    <cdr:from>
      <cdr:x>0.20785</cdr:x>
      <cdr:y>0.19303</cdr:y>
    </cdr:from>
    <cdr:to>
      <cdr:x>0.98269</cdr:x>
      <cdr:y>0.60459</cdr:y>
    </cdr:to>
    <cdr:grpSp>
      <cdr:nvGrpSpPr>
        <cdr:cNvPr id="13" name="Group 12">
          <a:extLst xmlns:a="http://schemas.openxmlformats.org/drawingml/2006/main">
            <a:ext uri="{FF2B5EF4-FFF2-40B4-BE49-F238E27FC236}">
              <a16:creationId xmlns:a16="http://schemas.microsoft.com/office/drawing/2014/main" id="{68794EAA-232E-C19D-090F-1D487839D659}"/>
            </a:ext>
          </a:extLst>
        </cdr:cNvPr>
        <cdr:cNvGrpSpPr/>
      </cdr:nvGrpSpPr>
      <cdr:grpSpPr>
        <a:xfrm xmlns:a="http://schemas.openxmlformats.org/drawingml/2006/main">
          <a:off x="950302" y="590550"/>
          <a:ext cx="3542568" cy="1259156"/>
          <a:chOff x="950302" y="565150"/>
          <a:chExt cx="3542568" cy="1259156"/>
        </a:xfrm>
      </cdr:grpSpPr>
      <cdr:sp macro="" textlink="">
        <cdr:nvSpPr>
          <cdr:cNvPr id="2" name="TextBox 1">
            <a:extLst xmlns:a="http://schemas.openxmlformats.org/drawingml/2006/main">
              <a:ext uri="{FF2B5EF4-FFF2-40B4-BE49-F238E27FC236}">
                <a16:creationId xmlns:a16="http://schemas.microsoft.com/office/drawing/2014/main" id="{BB310555-8CA1-B247-4F46-6BBEC4559759}"/>
              </a:ext>
            </a:extLst>
          </cdr:cNvPr>
          <cdr:cNvSpPr txBox="1"/>
        </cdr:nvSpPr>
        <cdr:spPr>
          <a:xfrm xmlns:a="http://schemas.openxmlformats.org/drawingml/2006/main">
            <a:off x="950302" y="960706"/>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3" name="TextBox 1">
            <a:extLst xmlns:a="http://schemas.openxmlformats.org/drawingml/2006/main">
              <a:ext uri="{FF2B5EF4-FFF2-40B4-BE49-F238E27FC236}">
                <a16:creationId xmlns:a16="http://schemas.microsoft.com/office/drawing/2014/main" id="{2BA5CE1D-159B-A0B6-A283-01564B46207C}"/>
              </a:ext>
            </a:extLst>
          </cdr:cNvPr>
          <cdr:cNvSpPr txBox="1"/>
        </cdr:nvSpPr>
        <cdr:spPr>
          <a:xfrm xmlns:a="http://schemas.openxmlformats.org/drawingml/2006/main">
            <a:off x="1567376" y="1029872"/>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4" name="TextBox 1">
            <a:extLst xmlns:a="http://schemas.openxmlformats.org/drawingml/2006/main">
              <a:ext uri="{FF2B5EF4-FFF2-40B4-BE49-F238E27FC236}">
                <a16:creationId xmlns:a16="http://schemas.microsoft.com/office/drawing/2014/main" id="{C5C0A436-3E84-B736-3B1A-EC80D71F407F}"/>
              </a:ext>
            </a:extLst>
          </cdr:cNvPr>
          <cdr:cNvSpPr txBox="1"/>
        </cdr:nvSpPr>
        <cdr:spPr>
          <a:xfrm xmlns:a="http://schemas.openxmlformats.org/drawingml/2006/main">
            <a:off x="2193974" y="115960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5" name="TextBox 1">
            <a:extLst xmlns:a="http://schemas.openxmlformats.org/drawingml/2006/main">
              <a:ext uri="{FF2B5EF4-FFF2-40B4-BE49-F238E27FC236}">
                <a16:creationId xmlns:a16="http://schemas.microsoft.com/office/drawing/2014/main" id="{DFE99234-3780-EA30-CFC9-CDEA50A72118}"/>
              </a:ext>
            </a:extLst>
          </cdr:cNvPr>
          <cdr:cNvSpPr txBox="1"/>
        </cdr:nvSpPr>
        <cdr:spPr>
          <a:xfrm xmlns:a="http://schemas.openxmlformats.org/drawingml/2006/main">
            <a:off x="2806505" y="1326270"/>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6" name="TextBox 1">
            <a:extLst xmlns:a="http://schemas.openxmlformats.org/drawingml/2006/main">
              <a:ext uri="{FF2B5EF4-FFF2-40B4-BE49-F238E27FC236}">
                <a16:creationId xmlns:a16="http://schemas.microsoft.com/office/drawing/2014/main" id="{0CE44765-3F38-01C4-45A3-33AE4D6C1F5F}"/>
              </a:ext>
            </a:extLst>
          </cdr:cNvPr>
          <cdr:cNvSpPr txBox="1"/>
        </cdr:nvSpPr>
        <cdr:spPr>
          <a:xfrm xmlns:a="http://schemas.openxmlformats.org/drawingml/2006/main">
            <a:off x="4045633" y="1671906"/>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7" name="TextBox 1">
            <a:extLst xmlns:a="http://schemas.openxmlformats.org/drawingml/2006/main">
              <a:ext uri="{FF2B5EF4-FFF2-40B4-BE49-F238E27FC236}">
                <a16:creationId xmlns:a16="http://schemas.microsoft.com/office/drawing/2014/main" id="{30F1E56E-955E-A0F4-AA1A-D2488733658D}"/>
              </a:ext>
            </a:extLst>
          </cdr:cNvPr>
          <cdr:cNvSpPr txBox="1"/>
        </cdr:nvSpPr>
        <cdr:spPr>
          <a:xfrm xmlns:a="http://schemas.openxmlformats.org/drawingml/2006/main">
            <a:off x="2967306" y="94458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9" name="TextBox 1">
            <a:extLst xmlns:a="http://schemas.openxmlformats.org/drawingml/2006/main">
              <a:ext uri="{FF2B5EF4-FFF2-40B4-BE49-F238E27FC236}">
                <a16:creationId xmlns:a16="http://schemas.microsoft.com/office/drawing/2014/main" id="{96FDCCDC-383A-46CD-4501-D11E90523231}"/>
              </a:ext>
            </a:extLst>
          </cdr:cNvPr>
          <cdr:cNvSpPr txBox="1"/>
        </cdr:nvSpPr>
        <cdr:spPr>
          <a:xfrm xmlns:a="http://schemas.openxmlformats.org/drawingml/2006/main">
            <a:off x="2332990" y="85861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0" name="TextBox 1">
            <a:extLst xmlns:a="http://schemas.openxmlformats.org/drawingml/2006/main">
              <a:ext uri="{FF2B5EF4-FFF2-40B4-BE49-F238E27FC236}">
                <a16:creationId xmlns:a16="http://schemas.microsoft.com/office/drawing/2014/main" id="{46C1CDAB-CEAF-6A83-8283-1ED3C878805A}"/>
              </a:ext>
            </a:extLst>
          </cdr:cNvPr>
          <cdr:cNvSpPr txBox="1"/>
        </cdr:nvSpPr>
        <cdr:spPr>
          <a:xfrm xmlns:a="http://schemas.openxmlformats.org/drawingml/2006/main">
            <a:off x="3573487" y="1101285"/>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1" name="TextBox 1">
            <a:extLst xmlns:a="http://schemas.openxmlformats.org/drawingml/2006/main">
              <a:ext uri="{FF2B5EF4-FFF2-40B4-BE49-F238E27FC236}">
                <a16:creationId xmlns:a16="http://schemas.microsoft.com/office/drawing/2014/main" id="{627EFA65-0BD5-907C-44CC-3853DD9265AC}"/>
              </a:ext>
            </a:extLst>
          </cdr:cNvPr>
          <cdr:cNvSpPr txBox="1"/>
        </cdr:nvSpPr>
        <cdr:spPr>
          <a:xfrm xmlns:a="http://schemas.openxmlformats.org/drawingml/2006/main">
            <a:off x="4194420" y="1296572"/>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2" name="TextBox 1">
            <a:extLst xmlns:a="http://schemas.openxmlformats.org/drawingml/2006/main">
              <a:ext uri="{FF2B5EF4-FFF2-40B4-BE49-F238E27FC236}">
                <a16:creationId xmlns:a16="http://schemas.microsoft.com/office/drawing/2014/main" id="{A4EA9DCE-53E4-C631-37E3-C262E04834D6}"/>
              </a:ext>
            </a:extLst>
          </cdr:cNvPr>
          <cdr:cNvSpPr txBox="1"/>
        </cdr:nvSpPr>
        <cdr:spPr>
          <a:xfrm xmlns:a="http://schemas.openxmlformats.org/drawingml/2006/main">
            <a:off x="1107928" y="565150"/>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grpSp>
  </cdr:relSizeAnchor>
  <cdr:relSizeAnchor xmlns:cdr="http://schemas.openxmlformats.org/drawingml/2006/chartDrawing">
    <cdr:from>
      <cdr:x>0.74951</cdr:x>
      <cdr:y>0.53581</cdr:y>
    </cdr:from>
    <cdr:to>
      <cdr:x>0.81479</cdr:x>
      <cdr:y>0.59123</cdr:y>
    </cdr:to>
    <cdr:sp macro="" textlink="">
      <cdr:nvSpPr>
        <cdr:cNvPr id="14" name="TextBox 1">
          <a:extLst xmlns:a="http://schemas.openxmlformats.org/drawingml/2006/main">
            <a:ext uri="{FF2B5EF4-FFF2-40B4-BE49-F238E27FC236}">
              <a16:creationId xmlns:a16="http://schemas.microsoft.com/office/drawing/2014/main" id="{732529F7-F49F-3D56-656F-13566C5C1F54}"/>
            </a:ext>
          </a:extLst>
        </cdr:cNvPr>
        <cdr:cNvSpPr txBox="1"/>
      </cdr:nvSpPr>
      <cdr:spPr>
        <a:xfrm xmlns:a="http://schemas.openxmlformats.org/drawingml/2006/main">
          <a:off x="3426763" y="1639276"/>
          <a:ext cx="298460" cy="169553"/>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99</TotalTime>
  <Pages>18</Pages>
  <Words>6467</Words>
  <Characters>36862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43243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30</cp:revision>
  <cp:lastPrinted>1999-07-06T11:00:00Z</cp:lastPrinted>
  <dcterms:created xsi:type="dcterms:W3CDTF">2026-09-14T16:37:00Z</dcterms:created>
  <dcterms:modified xsi:type="dcterms:W3CDTF">2026-09-21T06:15:00Z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4798c568-1160-48f5-9510-5bda57585b6c</vt:lpwstr>
  </property>
</Properties>
</file>