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156BC" w14:textId="77777777" w:rsidR="000A24D6" w:rsidRPr="007B12EB" w:rsidRDefault="000A24D6" w:rsidP="000A24D6">
      <w:pPr>
        <w:rPr>
          <w:rFonts w:ascii="Arial" w:hAnsi="Arial" w:cs="Arial"/>
          <w:b/>
          <w:bCs/>
          <w:sz w:val="36"/>
          <w:szCs w:val="36"/>
          <w:u w:val="single"/>
        </w:rPr>
      </w:pPr>
      <w:r w:rsidRPr="007B12EB">
        <w:rPr>
          <w:rFonts w:ascii="Arial" w:hAnsi="Arial" w:cs="Arial"/>
          <w:b/>
          <w:bCs/>
          <w:sz w:val="36"/>
          <w:szCs w:val="36"/>
          <w:u w:val="single"/>
        </w:rPr>
        <w:t>Original Research Article</w:t>
      </w:r>
    </w:p>
    <w:p w14:paraId="2CA969FA" w14:textId="77777777" w:rsidR="00C0101B" w:rsidRPr="007B12EB" w:rsidRDefault="00D80B54" w:rsidP="00536CA9">
      <w:pPr>
        <w:jc w:val="right"/>
      </w:pPr>
      <w:r w:rsidRPr="007B12EB">
        <w:rPr>
          <w:rFonts w:ascii="Arial" w:hAnsi="Arial" w:cs="Arial"/>
          <w:b/>
          <w:bCs/>
          <w:sz w:val="36"/>
          <w:szCs w:val="36"/>
        </w:rPr>
        <w:t xml:space="preserve">Effect </w:t>
      </w:r>
      <w:r w:rsidR="00AA6428" w:rsidRPr="007B12EB">
        <w:rPr>
          <w:rFonts w:ascii="Arial" w:hAnsi="Arial" w:cs="Arial"/>
          <w:b/>
          <w:bCs/>
          <w:sz w:val="36"/>
          <w:szCs w:val="36"/>
        </w:rPr>
        <w:t xml:space="preserve">of Paracetamol on Spermatozoa Characteristics </w:t>
      </w:r>
      <w:r w:rsidR="00AE2E2A" w:rsidRPr="007B12EB">
        <w:rPr>
          <w:rFonts w:ascii="Arial" w:hAnsi="Arial" w:cs="Arial"/>
          <w:b/>
          <w:bCs/>
          <w:sz w:val="36"/>
          <w:szCs w:val="36"/>
        </w:rPr>
        <w:t>a</w:t>
      </w:r>
      <w:r w:rsidR="00AA6428" w:rsidRPr="007B12EB">
        <w:rPr>
          <w:rFonts w:ascii="Arial" w:hAnsi="Arial" w:cs="Arial"/>
          <w:b/>
          <w:bCs/>
          <w:sz w:val="36"/>
          <w:szCs w:val="36"/>
        </w:rPr>
        <w:t xml:space="preserve">nd Testis Histology </w:t>
      </w:r>
      <w:r w:rsidR="00552DED" w:rsidRPr="007B12EB">
        <w:rPr>
          <w:rFonts w:ascii="Arial" w:hAnsi="Arial" w:cs="Arial"/>
          <w:b/>
          <w:bCs/>
          <w:sz w:val="36"/>
          <w:szCs w:val="36"/>
        </w:rPr>
        <w:t>a</w:t>
      </w:r>
      <w:r w:rsidR="00AA6428" w:rsidRPr="007B12EB">
        <w:rPr>
          <w:rFonts w:ascii="Arial" w:hAnsi="Arial" w:cs="Arial"/>
          <w:b/>
          <w:bCs/>
          <w:sz w:val="36"/>
          <w:szCs w:val="36"/>
        </w:rPr>
        <w:t xml:space="preserve">long with </w:t>
      </w:r>
      <w:r w:rsidR="00B57074" w:rsidRPr="007B12EB">
        <w:rPr>
          <w:rFonts w:ascii="Arial" w:hAnsi="Arial" w:cs="Arial"/>
          <w:b/>
          <w:bCs/>
          <w:sz w:val="36"/>
          <w:szCs w:val="36"/>
        </w:rPr>
        <w:t>the</w:t>
      </w:r>
      <w:r w:rsidR="00AA6428" w:rsidRPr="007B12EB">
        <w:rPr>
          <w:rFonts w:ascii="Arial" w:hAnsi="Arial" w:cs="Arial"/>
          <w:b/>
          <w:bCs/>
          <w:sz w:val="36"/>
          <w:szCs w:val="36"/>
        </w:rPr>
        <w:t xml:space="preserve"> Protective Role of</w:t>
      </w:r>
      <w:r w:rsidR="009A1109" w:rsidRPr="007B12EB">
        <w:rPr>
          <w:rFonts w:ascii="Arial" w:hAnsi="Arial" w:cs="Arial"/>
          <w:b/>
          <w:bCs/>
          <w:sz w:val="36"/>
          <w:szCs w:val="36"/>
        </w:rPr>
        <w:t xml:space="preserve"> </w:t>
      </w:r>
      <w:r w:rsidR="009A1109" w:rsidRPr="007B12EB">
        <w:rPr>
          <w:rFonts w:ascii="Arial" w:hAnsi="Arial" w:cs="Arial"/>
          <w:b/>
          <w:bCs/>
          <w:i/>
          <w:iCs/>
          <w:sz w:val="36"/>
          <w:szCs w:val="36"/>
        </w:rPr>
        <w:t xml:space="preserve">Trigonella </w:t>
      </w:r>
      <w:proofErr w:type="spellStart"/>
      <w:r w:rsidR="009A1109" w:rsidRPr="007B12EB">
        <w:rPr>
          <w:rFonts w:ascii="Arial" w:hAnsi="Arial" w:cs="Arial"/>
          <w:b/>
          <w:bCs/>
          <w:i/>
          <w:iCs/>
          <w:sz w:val="36"/>
          <w:szCs w:val="36"/>
        </w:rPr>
        <w:t>foenum</w:t>
      </w:r>
      <w:proofErr w:type="spellEnd"/>
      <w:r w:rsidR="009A1109" w:rsidRPr="007B12EB">
        <w:rPr>
          <w:rFonts w:ascii="Arial" w:hAnsi="Arial" w:cs="Arial"/>
          <w:b/>
          <w:bCs/>
          <w:i/>
          <w:iCs/>
          <w:sz w:val="36"/>
          <w:szCs w:val="36"/>
        </w:rPr>
        <w:t>-graecum</w:t>
      </w:r>
      <w:r w:rsidR="00AA6428" w:rsidRPr="007B12EB">
        <w:rPr>
          <w:rFonts w:ascii="Arial" w:hAnsi="Arial" w:cs="Arial"/>
          <w:b/>
          <w:bCs/>
          <w:sz w:val="36"/>
          <w:szCs w:val="36"/>
        </w:rPr>
        <w:t xml:space="preserve"> </w:t>
      </w:r>
      <w:r w:rsidR="00A91BCF" w:rsidRPr="007B12EB">
        <w:rPr>
          <w:rFonts w:ascii="Arial" w:hAnsi="Arial" w:cs="Arial"/>
          <w:b/>
          <w:bCs/>
          <w:sz w:val="36"/>
          <w:szCs w:val="36"/>
        </w:rPr>
        <w:t xml:space="preserve">in </w:t>
      </w:r>
      <w:r w:rsidR="00A91BCF" w:rsidRPr="007B12EB">
        <w:rPr>
          <w:rFonts w:ascii="Arial" w:hAnsi="Arial" w:cs="Arial"/>
          <w:b/>
          <w:bCs/>
          <w:i/>
          <w:iCs/>
          <w:sz w:val="36"/>
          <w:szCs w:val="36"/>
        </w:rPr>
        <w:t>Mus musculus</w:t>
      </w:r>
    </w:p>
    <w:p w14:paraId="7A536313" w14:textId="77777777" w:rsidR="00285BC8" w:rsidRPr="007B12EB" w:rsidRDefault="00285BC8" w:rsidP="00536CA9">
      <w:pPr>
        <w:jc w:val="right"/>
        <w:rPr>
          <w:rFonts w:ascii="Arial" w:hAnsi="Arial" w:cs="Arial"/>
          <w:bCs/>
          <w:i/>
          <w:iCs/>
          <w:lang w:val="en-IN"/>
        </w:rPr>
      </w:pPr>
    </w:p>
    <w:p w14:paraId="6C0CC623" w14:textId="77777777" w:rsidR="00D80B54" w:rsidRPr="007B12EB" w:rsidRDefault="00D80B54" w:rsidP="00D80B54">
      <w:pPr>
        <w:jc w:val="center"/>
        <w:rPr>
          <w:rFonts w:ascii="Arial" w:hAnsi="Arial" w:cs="Arial"/>
          <w:b/>
          <w:bCs/>
          <w:sz w:val="20"/>
          <w:szCs w:val="20"/>
        </w:rPr>
      </w:pPr>
    </w:p>
    <w:p w14:paraId="411A1ED5" w14:textId="77777777" w:rsidR="00D80B54" w:rsidRPr="007B12EB" w:rsidRDefault="00D80B54" w:rsidP="00D80B54">
      <w:pPr>
        <w:jc w:val="both"/>
        <w:rPr>
          <w:rFonts w:ascii="Arial" w:hAnsi="Arial" w:cs="Arial"/>
          <w:b/>
          <w:bCs/>
          <w:caps/>
          <w:sz w:val="22"/>
          <w:szCs w:val="22"/>
        </w:rPr>
      </w:pPr>
      <w:r w:rsidRPr="007B12EB">
        <w:rPr>
          <w:rFonts w:ascii="Arial" w:hAnsi="Arial" w:cs="Arial"/>
          <w:b/>
          <w:bCs/>
          <w:caps/>
          <w:sz w:val="22"/>
          <w:szCs w:val="22"/>
        </w:rPr>
        <w:t>Abstract</w:t>
      </w:r>
    </w:p>
    <w:p w14:paraId="0B571D97" w14:textId="77777777" w:rsidR="003F6A42" w:rsidRDefault="003F6A42" w:rsidP="00D80B54">
      <w:pPr>
        <w:jc w:val="both"/>
      </w:pPr>
      <w:r>
        <w:t xml:space="preserve">Prolonged paracetamol (PC) exposure may adversely affect male reproductive function. This study evaluated the effects of PC on spermatozoa characteristics and testicular histology in </w:t>
      </w:r>
      <w:r>
        <w:rPr>
          <w:rStyle w:val="Emphasis"/>
        </w:rPr>
        <w:t>Mus musculus</w:t>
      </w:r>
      <w:r>
        <w:t xml:space="preserve"> and assessed the protective role of aqueous fenugreek (</w:t>
      </w:r>
      <w:r>
        <w:rPr>
          <w:rStyle w:val="Emphasis"/>
        </w:rPr>
        <w:t xml:space="preserve">Trigonella </w:t>
      </w:r>
      <w:proofErr w:type="spellStart"/>
      <w:r>
        <w:rPr>
          <w:rStyle w:val="Emphasis"/>
        </w:rPr>
        <w:t>foenum</w:t>
      </w:r>
      <w:proofErr w:type="spellEnd"/>
      <w:r>
        <w:rPr>
          <w:rStyle w:val="Emphasis"/>
        </w:rPr>
        <w:t>-graecum</w:t>
      </w:r>
      <w:r>
        <w:t xml:space="preserve">) seed extract. Adult Swiss albino mice were assigned to a control group, a PC-treated group receiving 112.3 mg/kg PC once daily for 28 days, and a PC + fenugreek group receiving 112.3 mg/kg PC with 100 mg/kg fenugreek extract for 28 days. PC treatment produced only slight changes in testis weight and the </w:t>
      </w:r>
      <w:proofErr w:type="spellStart"/>
      <w:r>
        <w:t>testiculosomatic</w:t>
      </w:r>
      <w:proofErr w:type="spellEnd"/>
      <w:r>
        <w:t xml:space="preserve"> index but markedly affected sperm parameters. Sperm count declined from 118.4 ± 6.1 × 10⁴/ml in controls to 83 ± 1.9 × 10⁴/ml in the PC group, while sperm abnormalities increased from 10.66 ± 0.93% to 43.2 ± 1.7%. Histological examination of PC-treated testes showed irregular and shrunken seminiferous tubules, </w:t>
      </w:r>
      <w:proofErr w:type="spellStart"/>
      <w:r>
        <w:t>disorganisation</w:t>
      </w:r>
      <w:proofErr w:type="spellEnd"/>
      <w:r>
        <w:t xml:space="preserve"> of the germinal epithelium, reduced luminal sperm content, and degenerative changes. Co-administration of fenugreek increased sperm count to 105 ± 4.6 × 10⁴/ml and reduced sperm abnormalities to 21.8 ± 1.52%. Histological observations also showed partial restoration of seminiferous tubule architecture and spermatogenic activity. The findings indicate that PC impaired the evaluated reproductive parameters in male mice, whereas fenugreek supplementation was associated with partial recovery.</w:t>
      </w:r>
    </w:p>
    <w:p w14:paraId="652D6CCF" w14:textId="682C6CCF" w:rsidR="00D80B54" w:rsidRDefault="00D80B54" w:rsidP="00D80B54">
      <w:pPr>
        <w:jc w:val="both"/>
        <w:rPr>
          <w:rFonts w:ascii="Arial" w:hAnsi="Arial" w:cs="Arial"/>
          <w:i/>
          <w:iCs/>
          <w:sz w:val="20"/>
          <w:szCs w:val="20"/>
        </w:rPr>
      </w:pPr>
      <w:r w:rsidRPr="007B12EB">
        <w:rPr>
          <w:rFonts w:ascii="Arial" w:hAnsi="Arial" w:cs="Arial"/>
          <w:b/>
          <w:bCs/>
          <w:sz w:val="20"/>
          <w:szCs w:val="20"/>
        </w:rPr>
        <w:t>Keywords:</w:t>
      </w:r>
      <w:r w:rsidRPr="007B12EB">
        <w:rPr>
          <w:rFonts w:ascii="Arial" w:hAnsi="Arial" w:cs="Arial"/>
          <w:sz w:val="20"/>
          <w:szCs w:val="20"/>
        </w:rPr>
        <w:t xml:space="preserve"> </w:t>
      </w:r>
      <w:r w:rsidRPr="007B12EB">
        <w:rPr>
          <w:rFonts w:ascii="Arial" w:hAnsi="Arial" w:cs="Arial"/>
          <w:i/>
          <w:iCs/>
          <w:sz w:val="20"/>
          <w:szCs w:val="20"/>
        </w:rPr>
        <w:t>Paracetamol, Fenugreek, Mus musculus, Sperm abnormalities, Testicular histology, Reproductive toxicity.</w:t>
      </w:r>
    </w:p>
    <w:p w14:paraId="2212EE69" w14:textId="77777777" w:rsidR="00306EC2" w:rsidRPr="007B12EB" w:rsidRDefault="00306EC2" w:rsidP="00D80B54">
      <w:pPr>
        <w:jc w:val="both"/>
        <w:rPr>
          <w:rFonts w:ascii="Arial" w:hAnsi="Arial" w:cs="Arial"/>
          <w:sz w:val="20"/>
          <w:szCs w:val="20"/>
        </w:rPr>
      </w:pPr>
    </w:p>
    <w:p w14:paraId="1AB437F7" w14:textId="77777777" w:rsidR="00220A10" w:rsidRPr="007B12EB" w:rsidRDefault="00220A10" w:rsidP="00220A10">
      <w:pPr>
        <w:rPr>
          <w:rFonts w:ascii="Arial" w:hAnsi="Arial" w:cs="Arial"/>
          <w:b/>
          <w:bCs/>
          <w:sz w:val="22"/>
          <w:szCs w:val="22"/>
        </w:rPr>
      </w:pPr>
      <w:r w:rsidRPr="007B12EB">
        <w:rPr>
          <w:rFonts w:ascii="Arial" w:hAnsi="Arial" w:cs="Arial"/>
          <w:b/>
          <w:bCs/>
          <w:sz w:val="22"/>
          <w:szCs w:val="22"/>
        </w:rPr>
        <w:t>INTRODUCTION</w:t>
      </w:r>
    </w:p>
    <w:p w14:paraId="0ED3AE63" w14:textId="77777777" w:rsidR="00220A10" w:rsidRPr="007B12EB" w:rsidRDefault="008F3084" w:rsidP="00220A10">
      <w:pPr>
        <w:spacing w:line="276" w:lineRule="auto"/>
        <w:jc w:val="both"/>
        <w:rPr>
          <w:rFonts w:ascii="Arial" w:hAnsi="Arial" w:cs="Arial"/>
          <w:b/>
          <w:bCs/>
          <w:sz w:val="20"/>
          <w:szCs w:val="20"/>
        </w:rPr>
      </w:pPr>
      <w:r>
        <w:tab/>
        <w:t>Paracetamol (N-acetyl-p-aminophenol) is an acylated aromatic amide and a widely used analgesic and antipyretic. Excessive intake of paracetamol (PC) causes hepatotoxicity (Abreu &amp; Moraes-Santos, 2011; Al-Khan, 2010; Marzouk et al., 2011; McGill et al., 2012) and renal toxicity in humans and experimental models (Guo &amp; Nzerue, 2002; Ucheya &amp; Igweh, 2006). It has also been reported to exhibit genotoxic effects and interfere with DNA synthesis (Rannug et al., 1995).</w:t>
      </w:r>
    </w:p>
    <w:p w14:paraId="69D5D385" w14:textId="77777777" w:rsidR="00220A10" w:rsidRPr="007B12EB" w:rsidRDefault="00220A10" w:rsidP="00220A10">
      <w:pPr>
        <w:spacing w:line="276" w:lineRule="auto"/>
        <w:jc w:val="both"/>
        <w:rPr>
          <w:rFonts w:ascii="Arial" w:hAnsi="Arial" w:cs="Arial"/>
          <w:i/>
          <w:iCs/>
          <w:sz w:val="20"/>
          <w:szCs w:val="20"/>
        </w:rPr>
      </w:pPr>
      <w:r w:rsidRPr="007B12EB">
        <w:lastRenderedPageBreak/>
        <w:t xml:space="preserve">Early PC exposure has also been reported to cause a decrease in testosterone levels, with subsequent alterations in its gene expression (Blecharz-Klin et al., 2022). Repetitive use of PC causes distortion of the histological architecture of the seminiferous tubules, a substantial drop in blood testosterone, and deterioration in seminal quality (Banihani, 2018; Hassan, 2013). PC has also been linked to the synthesis of reactive oxygen species (ROS) (Trettin et al., 2014) and elevation of oxidative stress (Bkhairia et al., 2018). Oxidative stress resulting from the unbalanced production of ROS (Almansa-Ordóñez et al., 2020) impairs male and female reproductive functions (Agarwal et al., 2012). Oxidative stress is a primary pathogenic process that causes DNA damage in the germline and male infertility (Alahmar, 2019) by decreasing sperm concentration, motility, and sperm quality (Hussain et al., 2023). The restitutive properties of several herbs and spices, viz. </w:t>
      </w:r>
      <w:r w:rsidRPr="007B12EB">
        <w:rPr>
          <w:i/>
        </w:rPr>
        <w:t>Withania somnifera</w:t>
      </w:r>
      <w:r w:rsidRPr="007B12EB">
        <w:t xml:space="preserve">, </w:t>
      </w:r>
      <w:r w:rsidRPr="007B12EB">
        <w:rPr>
          <w:i/>
        </w:rPr>
        <w:t>Curcuma longa</w:t>
      </w:r>
      <w:r w:rsidRPr="007B12EB">
        <w:t xml:space="preserve">, and </w:t>
      </w:r>
      <w:r w:rsidRPr="007B12EB">
        <w:rPr>
          <w:i/>
        </w:rPr>
        <w:t>Allium sativum</w:t>
      </w:r>
      <w:r w:rsidRPr="007B12EB">
        <w:t xml:space="preserve">, have been reported by several workers against the effects of diclofenac, cypermethrin, chlorpyrifos, and dimethoate in </w:t>
      </w:r>
      <w:r w:rsidRPr="007B12EB">
        <w:rPr>
          <w:i/>
        </w:rPr>
        <w:t>Mus musculus</w:t>
      </w:r>
      <w:r w:rsidRPr="007B12EB">
        <w:t xml:space="preserve"> (Divyanshu et al., 2022; Divyanshu et al., 2025; Iqbal et al., 2024; Nawaz et al., 2024). Recent longitudinal evidence has also examined prenatal paracetamol exposure in relation to male fecundity biomarkers, reporting no clear overall association while noting uncertainty for prolonged exposure (Laursen et al., 2024).</w:t>
      </w:r>
    </w:p>
    <w:p w14:paraId="4B208110" w14:textId="77777777" w:rsidR="00220A10" w:rsidRPr="007B12EB" w:rsidRDefault="00220A10" w:rsidP="00220A10">
      <w:pPr>
        <w:spacing w:line="276" w:lineRule="auto"/>
        <w:jc w:val="both"/>
        <w:rPr>
          <w:rFonts w:ascii="Arial" w:hAnsi="Arial" w:cs="Arial"/>
          <w:sz w:val="20"/>
          <w:szCs w:val="20"/>
          <w:vertAlign w:val="superscript"/>
        </w:rPr>
      </w:pPr>
      <w:r>
        <w:tab/>
        <w:t>Fenugreek (</w:t>
      </w:r>
      <w:r>
        <w:rPr>
          <w:i/>
        </w:rPr>
        <w:t>Trigonella foenum-graecum</w:t>
      </w:r>
      <w:r>
        <w:t xml:space="preserve">) seeds are rich in diverse phytoconstituents, including carbohydrates (galactomannan), proteins (albumins), alkaloids (trigonelline and choline), flavonoid glycosides (vicenin-1), furostanol glycosides (trigoneoside Ib), free amino acids (notably 4-hydroxyisoleucine, arginine, lysine, and histidine), saponins (diosgenin and yuccagenin), vitamins, and mucilage (Visuvanathan et al., 2022). Fenugreek has a long history of traditional use as a medicinal herb for diabetes, and its antidiabetic potential has been demonstrated experimentally (Baset et al., 2020). Broader pharmacological properties, including hypoglycaemic, hypolipidaemic, antifertility, antinociceptive, and wound-healing activities, have also been reported (Visuvanathan et al., 2022). Fenugreek seed polyphenols have additionally shown hepatoprotective effects in rats (Kaviarasan et al., 2007). Protective effects of fenugreek against testicular damage have been reported in cisplatin- and Adriamycin-induced models (Hamza et al., 2016; Sakr et al., 2012), and against bisphenol-A-induced testicular damage in mice (Kaur &amp; Sadwal, 2020). Conversely, dose-dependent adverse effects on sperm count and motility in male mice have been reported at higher fenugreek doses (Al-Yahya, 2013). Recent phytochemical profiling of fenugreek genotypes also identified flavonoids, alkaloids, saponins, and sterols among the evaluated constituents (Pooja et al., 2024). An ethanolic fenugreek seed extract has also been reported to exert antispermatogenic effects in male albino rats, indicating that reproductive outcomes should be interpreted in relation to the preparation and experimental conditions used (Singh &amp; Verma, 2019). Fenugreek extract has additionally been evaluated in a randomised controlled human study for effects on plasma and salivary testosterone (Lee-Ødegård et al., 2024). More recently, boiled aqueous fenugreek seed extract has been </w:t>
      </w:r>
      <w:r>
        <w:lastRenderedPageBreak/>
        <w:t>evaluated in adult male mice using sperm parameters and testicular histology as reproductive endpoints (Sasi et al., 2025).</w:t>
      </w:r>
    </w:p>
    <w:p w14:paraId="3904244C" w14:textId="77777777" w:rsidR="002654F7" w:rsidRPr="007B12EB" w:rsidRDefault="0025036D">
      <w:pPr>
        <w:spacing w:line="276" w:lineRule="auto"/>
        <w:jc w:val="both"/>
        <w:rPr>
          <w:rFonts w:ascii="Arial" w:hAnsi="Arial" w:cs="Arial"/>
          <w:sz w:val="20"/>
          <w:szCs w:val="20"/>
        </w:rPr>
      </w:pPr>
      <w:r w:rsidRPr="007B12EB">
        <w:rPr>
          <w:b/>
        </w:rPr>
        <w:t>However, evidence remains limited regarding the concurrent assessment of sperm characteristics and testicular histology during fenugreek supplementation in paracetamol-exposed male mice. Direct evaluation of these reproductive endpoints in the same experimental model is therefore warranted.</w:t>
      </w:r>
    </w:p>
    <w:p w14:paraId="6EF13725" w14:textId="77777777" w:rsidR="0045106E" w:rsidRPr="007B12EB" w:rsidRDefault="0045106E" w:rsidP="00220A10">
      <w:pPr>
        <w:spacing w:line="276" w:lineRule="auto"/>
        <w:jc w:val="both"/>
        <w:rPr>
          <w:rFonts w:ascii="Arial" w:hAnsi="Arial" w:cs="Arial"/>
          <w:sz w:val="20"/>
          <w:szCs w:val="20"/>
        </w:rPr>
      </w:pPr>
      <w:r w:rsidRPr="007B12EB">
        <w:t>In the present investigation, the effects of PC on spermatozoa characteristics and testicular histology, as well as the protective role of fenugreek seed extract in PC-exposed mice, were investigated.</w:t>
      </w:r>
    </w:p>
    <w:p w14:paraId="36DD87D8" w14:textId="77777777" w:rsidR="00220A10" w:rsidRPr="007B12EB" w:rsidRDefault="00220A10" w:rsidP="0045106E">
      <w:pPr>
        <w:spacing w:line="276" w:lineRule="auto"/>
        <w:jc w:val="both"/>
        <w:rPr>
          <w:rFonts w:ascii="Arial" w:hAnsi="Arial" w:cs="Arial"/>
          <w:b/>
          <w:sz w:val="22"/>
          <w:szCs w:val="22"/>
          <w:lang w:val="en-IN"/>
        </w:rPr>
      </w:pPr>
      <w:r w:rsidRPr="007B12EB">
        <w:rPr>
          <w:rFonts w:ascii="Arial" w:hAnsi="Arial" w:cs="Arial"/>
          <w:b/>
          <w:sz w:val="22"/>
          <w:szCs w:val="22"/>
          <w:lang w:val="en-IN"/>
        </w:rPr>
        <w:t xml:space="preserve">2. MATERIALS AND METHODS </w:t>
      </w:r>
    </w:p>
    <w:p w14:paraId="6BB1379E" w14:textId="33167E1D" w:rsidR="00220A10" w:rsidRPr="007B12EB" w:rsidRDefault="00220A10" w:rsidP="00220A10">
      <w:pPr>
        <w:tabs>
          <w:tab w:val="left" w:pos="3700"/>
        </w:tabs>
        <w:spacing w:line="276" w:lineRule="auto"/>
        <w:jc w:val="both"/>
        <w:rPr>
          <w:rFonts w:ascii="Arial" w:hAnsi="Arial" w:cs="Arial"/>
          <w:b/>
          <w:sz w:val="20"/>
          <w:szCs w:val="20"/>
          <w:lang w:val="en-IN"/>
        </w:rPr>
      </w:pPr>
      <w:r w:rsidRPr="007B12EB">
        <w:rPr>
          <w:b/>
        </w:rPr>
        <w:t>2.1 Chemicals:</w:t>
      </w:r>
      <w:r w:rsidRPr="007B12EB">
        <w:t xml:space="preserve"> Paracetamol was purchased from a local pharmacy in Bhagalpur, Bihar, India, while the other chemicals were purchased from Merck, Himedia, and Loba Private Limited.</w:t>
      </w:r>
    </w:p>
    <w:p w14:paraId="08AF938D" w14:textId="77777777" w:rsidR="00220A10" w:rsidRPr="007B12EB" w:rsidRDefault="00220A10" w:rsidP="00220A10">
      <w:pPr>
        <w:tabs>
          <w:tab w:val="left" w:pos="3700"/>
        </w:tabs>
        <w:spacing w:line="276" w:lineRule="auto"/>
        <w:jc w:val="both"/>
        <w:rPr>
          <w:rFonts w:ascii="Arial" w:hAnsi="Arial" w:cs="Arial"/>
          <w:b/>
          <w:bCs/>
          <w:sz w:val="20"/>
          <w:szCs w:val="20"/>
          <w:lang w:val="en-IN"/>
        </w:rPr>
      </w:pPr>
      <w:r w:rsidRPr="007B12EB">
        <w:rPr>
          <w:b/>
        </w:rPr>
        <w:t>2.2 Fenugreek aqueous extract:</w:t>
      </w:r>
      <w:r w:rsidRPr="007B12EB">
        <w:t xml:space="preserve"> Fifty grams of fenugreek seeds were purchased from a local market, soaked in 100 ml of distilled water, and boiled for five minutes. The mixture was then filtered twice to obtain the aqueous extract, which was stored at 4°C until use (Badry et al., 2021).</w:t>
      </w:r>
    </w:p>
    <w:p w14:paraId="52BC321B" w14:textId="77777777" w:rsidR="00220A10" w:rsidRPr="007B12EB" w:rsidRDefault="00220A10" w:rsidP="00220A10">
      <w:pPr>
        <w:tabs>
          <w:tab w:val="left" w:pos="3700"/>
        </w:tabs>
        <w:spacing w:line="276" w:lineRule="auto"/>
        <w:jc w:val="both"/>
        <w:rPr>
          <w:rFonts w:ascii="Arial" w:hAnsi="Arial" w:cs="Arial"/>
          <w:b/>
          <w:bCs/>
          <w:sz w:val="20"/>
          <w:szCs w:val="20"/>
          <w:lang w:val="en-IN"/>
        </w:rPr>
      </w:pPr>
      <w:r w:rsidRPr="007B12EB">
        <w:rPr>
          <w:b/>
        </w:rPr>
        <w:t>2.3 Model animal and treatment protocol:</w:t>
      </w:r>
      <w:r w:rsidRPr="007B12EB">
        <w:t xml:space="preserve"> Adult Swiss albino mice (</w:t>
      </w:r>
      <w:r w:rsidRPr="007B12EB">
        <w:rPr>
          <w:i/>
        </w:rPr>
        <w:t>Mus musculus</w:t>
      </w:r>
      <w:r w:rsidRPr="007B12EB">
        <w:t>) weighing between 25 and 30 grams were selected for the experiment. The mice were kept in the animal house at the University Department of Zoology, T.M. Bhagalpur University, Bihar. They were housed in colony rooms maintained at 22 ± 2 °C and subjected to a 12-hour light/dark cycle throughout the experimental period. Food and water were provided ad libitum using a mixed feed prepared in the laboratory. The experimental protocol was conducted in accordance with the guidelines of the Institutional Animal Ethics Committee and CPCSEA, India. Mice were divided into different groups: Group I received only distilled water (control group); mice in Group II were given PC (112.3 mg/kg) once daily for 28 days; and mice in Group III were given fenugreek extract (100 mg/kg) along with PC (112.3 mg/kg) for 28 days.</w:t>
      </w:r>
    </w:p>
    <w:p w14:paraId="18DB2441" w14:textId="77777777" w:rsidR="00220A10" w:rsidRPr="007B12EB" w:rsidRDefault="00220A10" w:rsidP="00220A10">
      <w:pPr>
        <w:spacing w:line="276" w:lineRule="auto"/>
        <w:jc w:val="both"/>
        <w:rPr>
          <w:rFonts w:ascii="Arial" w:hAnsi="Arial" w:cs="Arial"/>
          <w:sz w:val="20"/>
          <w:szCs w:val="20"/>
        </w:rPr>
      </w:pPr>
      <w:r w:rsidRPr="007B12EB">
        <w:rPr>
          <w:b/>
        </w:rPr>
        <w:t>2.4 Estimation of testiculosomatic index (TSI):</w:t>
      </w:r>
      <w:r w:rsidRPr="007B12EB">
        <w:t xml:space="preserve"> TSI was calculated from the weight of each testis recorded immediately after collection using the formula (Ademola et al., 2020).</w:t>
      </w:r>
    </w:p>
    <w:p w14:paraId="2A0AA16A" w14:textId="77777777" w:rsidR="00220A10" w:rsidRPr="007B12EB" w:rsidRDefault="00220A10" w:rsidP="00220A10">
      <w:pPr>
        <w:spacing w:line="276" w:lineRule="auto"/>
        <w:jc w:val="both"/>
        <w:rPr>
          <w:rFonts w:ascii="Arial" w:hAnsi="Arial" w:cs="Arial"/>
          <w:sz w:val="20"/>
          <w:szCs w:val="20"/>
        </w:rPr>
      </w:pPr>
      <w:r w:rsidRPr="007B12EB">
        <w:rPr>
          <w:rFonts w:ascii="Arial" w:hAnsi="Arial" w:cs="Arial"/>
          <w:sz w:val="20"/>
          <w:szCs w:val="20"/>
        </w:rPr>
        <w:t xml:space="preserve">                                      </w:t>
      </w:r>
      <w:r w:rsidR="007D60F4" w:rsidRPr="007B12EB">
        <w:rPr>
          <w:rFonts w:ascii="Arial" w:hAnsi="Arial" w:cs="Arial"/>
          <w:sz w:val="20"/>
          <w:szCs w:val="20"/>
        </w:rPr>
        <w:tab/>
      </w:r>
      <w:r w:rsidR="007D60F4" w:rsidRPr="007B12EB">
        <w:rPr>
          <w:rFonts w:ascii="Arial" w:hAnsi="Arial" w:cs="Arial"/>
          <w:sz w:val="20"/>
          <w:szCs w:val="20"/>
        </w:rPr>
        <w:tab/>
      </w:r>
      <w:r w:rsidRPr="007B12EB">
        <w:rPr>
          <w:rFonts w:ascii="Arial" w:hAnsi="Arial" w:cs="Arial"/>
          <w:sz w:val="20"/>
          <w:szCs w:val="20"/>
        </w:rPr>
        <w:t xml:space="preserve"> TSI = </w:t>
      </w:r>
      <m:oMath>
        <m:f>
          <m:fPr>
            <m:ctrlPr>
              <w:rPr>
                <w:rFonts w:ascii="Cambria Math" w:hAnsi="Cambria Math" w:cs="Arial"/>
                <w:i/>
                <w:sz w:val="20"/>
                <w:szCs w:val="20"/>
              </w:rPr>
            </m:ctrlPr>
          </m:fPr>
          <m:num>
            <m:r>
              <w:rPr>
                <w:rFonts w:ascii="Cambria Math" w:hAnsi="Cambria Math" w:cs="Arial"/>
                <w:sz w:val="20"/>
                <w:szCs w:val="20"/>
              </w:rPr>
              <m:t>Weight of the testes​</m:t>
            </m:r>
          </m:num>
          <m:den>
            <m:r>
              <m:rPr>
                <m:sty m:val="p"/>
              </m:rPr>
              <w:rPr>
                <w:rFonts w:ascii="Cambria Math" w:hAnsi="Cambria Math" w:cs="Arial"/>
                <w:sz w:val="20"/>
                <w:szCs w:val="20"/>
              </w:rPr>
              <m:t>final body weight of the mice</m:t>
            </m:r>
          </m:den>
        </m:f>
        <m:r>
          <m:rPr>
            <m:sty m:val="p"/>
          </m:rPr>
          <w:rPr>
            <w:rFonts w:ascii="Cambria Math" w:hAnsi="Cambria Math" w:cs="Arial"/>
            <w:sz w:val="20"/>
            <w:szCs w:val="20"/>
          </w:rPr>
          <m:t xml:space="preserve"> x 100 </m:t>
        </m:r>
      </m:oMath>
    </w:p>
    <w:p w14:paraId="74DF2424" w14:textId="77777777" w:rsidR="00220A10" w:rsidRPr="007B12EB" w:rsidRDefault="00220A10" w:rsidP="00220A10">
      <w:pPr>
        <w:jc w:val="both"/>
        <w:rPr>
          <w:rFonts w:ascii="Arial" w:hAnsi="Arial" w:cs="Arial"/>
          <w:sz w:val="20"/>
          <w:szCs w:val="20"/>
        </w:rPr>
      </w:pPr>
      <w:r w:rsidRPr="007B12EB">
        <w:rPr>
          <w:b/>
        </w:rPr>
        <w:t>2.5 Sperm Count</w:t>
      </w:r>
      <w:r w:rsidRPr="007B12EB">
        <w:t xml:space="preserve">: The epididymal fluid was diluted with normal saline by adding 0.9 ml to 0.1 ml of the crushed epididymis. The improved Neubauer’s counting chamber was then covered with a coverslip until a rainbow image was visible at the edges. The chamber was then filled with sperm fluid and placed under a binocular light microscope using an adjustable light source. The ruled area was then focused, and the number of spermatozoa was counted in five 16-celled squares. </w:t>
      </w:r>
      <w:r w:rsidRPr="007B12EB">
        <w:lastRenderedPageBreak/>
        <w:t>The sperm concentration was then calculated, multiplied by 10</w:t>
      </w:r>
      <w:r w:rsidRPr="007B12EB">
        <w:rPr>
          <w:vertAlign w:val="superscript"/>
        </w:rPr>
        <w:t>4</w:t>
      </w:r>
      <w:r w:rsidRPr="007B12EB">
        <w:t>, and expressed as (X) × 10</w:t>
      </w:r>
      <w:r w:rsidRPr="007B12EB">
        <w:rPr>
          <w:vertAlign w:val="superscript"/>
        </w:rPr>
        <w:t>4</w:t>
      </w:r>
      <w:r w:rsidRPr="007B12EB">
        <w:t>/ml, where X is the number of sperm in a 16-celled square (Akang et al., 2010).</w:t>
      </w:r>
    </w:p>
    <w:p w14:paraId="2F7A619B" w14:textId="77777777" w:rsidR="00220A10" w:rsidRPr="007B12EB" w:rsidRDefault="00220A10" w:rsidP="00220A10">
      <w:pPr>
        <w:spacing w:line="276" w:lineRule="auto"/>
        <w:jc w:val="both"/>
        <w:rPr>
          <w:rFonts w:ascii="Arial" w:hAnsi="Arial" w:cs="Arial"/>
          <w:sz w:val="20"/>
          <w:szCs w:val="20"/>
        </w:rPr>
      </w:pPr>
      <w:r w:rsidRPr="007B12EB">
        <w:rPr>
          <w:rFonts w:ascii="Arial" w:eastAsiaTheme="minorEastAsia" w:hAnsi="Arial" w:cs="Arial"/>
          <w:b/>
          <w:bCs/>
          <w:sz w:val="20"/>
          <w:szCs w:val="20"/>
        </w:rPr>
        <w:t xml:space="preserve">                                      </w:t>
      </w:r>
      <w:r w:rsidRPr="007B12EB">
        <w:rPr>
          <w:rFonts w:ascii="Arial" w:eastAsiaTheme="minorEastAsia" w:hAnsi="Arial" w:cs="Arial"/>
          <w:sz w:val="20"/>
          <w:szCs w:val="20"/>
        </w:rPr>
        <w:t>Sperm Count = Total no of sperm counted x 10</w:t>
      </w:r>
      <w:r w:rsidRPr="007B12EB">
        <w:rPr>
          <w:rFonts w:ascii="Arial" w:eastAsiaTheme="minorEastAsia" w:hAnsi="Arial" w:cs="Arial"/>
          <w:sz w:val="20"/>
          <w:szCs w:val="20"/>
          <w:vertAlign w:val="superscript"/>
        </w:rPr>
        <w:t>4</w:t>
      </w:r>
    </w:p>
    <w:p w14:paraId="04FF39C6" w14:textId="77777777" w:rsidR="00220A10" w:rsidRPr="007B12EB" w:rsidRDefault="00220A10" w:rsidP="00220A10">
      <w:pPr>
        <w:spacing w:line="276" w:lineRule="auto"/>
        <w:jc w:val="both"/>
        <w:rPr>
          <w:rFonts w:ascii="Arial" w:hAnsi="Arial" w:cs="Arial"/>
          <w:sz w:val="20"/>
          <w:szCs w:val="20"/>
        </w:rPr>
      </w:pPr>
      <w:r w:rsidRPr="007B12EB">
        <w:rPr>
          <w:b/>
        </w:rPr>
        <w:t>2.6 Sperm abnormalities:</w:t>
      </w:r>
      <w:r w:rsidRPr="007B12EB">
        <w:t xml:space="preserve"> Following the method of Wyrobek et al. (1983), the sperm film from the epididymis was prepared with slight modification. The epididymis was placed in a small Petri dish containing 90% normal saline. The spermatozoa were then extracted, smeared, and stained using 1% Eosin for 10 min. Sperm were counted, and the data were analysed using a completely randomised design (CRD). The spermatozoa were then examined under a microscope to determine the abnormalities.</w:t>
      </w:r>
    </w:p>
    <w:p w14:paraId="4E5818D3" w14:textId="77777777" w:rsidR="00220A10" w:rsidRPr="007B12EB" w:rsidRDefault="00220A10" w:rsidP="00220A10">
      <w:pPr>
        <w:spacing w:line="276" w:lineRule="auto"/>
        <w:jc w:val="both"/>
        <w:rPr>
          <w:rFonts w:ascii="Arial" w:eastAsiaTheme="minorEastAsia" w:hAnsi="Arial" w:cs="Arial"/>
          <w:sz w:val="20"/>
          <w:szCs w:val="20"/>
        </w:rPr>
      </w:pPr>
      <w:r w:rsidRPr="007B12EB">
        <w:rPr>
          <w:rFonts w:ascii="Arial" w:hAnsi="Arial" w:cs="Arial"/>
          <w:sz w:val="20"/>
          <w:szCs w:val="20"/>
        </w:rPr>
        <w:t xml:space="preserve">                 Total Sperm Abnormality (%) = </w:t>
      </w:r>
      <m:oMath>
        <m:r>
          <w:rPr>
            <w:rFonts w:ascii="Cambria Math" w:hAnsi="Cambria Math" w:cs="Arial"/>
            <w:sz w:val="20"/>
            <w:szCs w:val="20"/>
          </w:rPr>
          <m:t xml:space="preserve">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 xml:space="preserve">   Abnormal Sperm counted      </m:t>
            </m:r>
          </m:num>
          <m:den>
            <m:r>
              <m:rPr>
                <m:sty m:val="p"/>
              </m:rPr>
              <w:rPr>
                <w:rFonts w:ascii="Cambria Math" w:eastAsiaTheme="minorEastAsia" w:hAnsi="Cambria Math" w:cs="Arial"/>
                <w:sz w:val="20"/>
                <w:szCs w:val="20"/>
              </w:rPr>
              <m:t>Total no of Sperm counted</m:t>
            </m:r>
          </m:den>
        </m:f>
      </m:oMath>
      <w:r w:rsidRPr="007B12EB">
        <w:rPr>
          <w:rFonts w:ascii="Arial" w:eastAsiaTheme="minorEastAsia" w:hAnsi="Arial" w:cs="Arial"/>
          <w:iCs/>
          <w:sz w:val="20"/>
          <w:szCs w:val="20"/>
        </w:rPr>
        <w:t xml:space="preserve"> x</w:t>
      </w:r>
      <w:r w:rsidRPr="007B12EB">
        <w:rPr>
          <w:rFonts w:ascii="Arial" w:eastAsiaTheme="minorEastAsia" w:hAnsi="Arial" w:cs="Arial"/>
          <w:sz w:val="20"/>
          <w:szCs w:val="20"/>
        </w:rPr>
        <w:t xml:space="preserve"> 100</w:t>
      </w:r>
    </w:p>
    <w:p w14:paraId="24BD43D3" w14:textId="77777777" w:rsidR="00220A10" w:rsidRPr="007B12EB" w:rsidRDefault="00220A10" w:rsidP="00220A10">
      <w:pPr>
        <w:spacing w:line="276" w:lineRule="auto"/>
        <w:jc w:val="both"/>
        <w:rPr>
          <w:rFonts w:ascii="Arial" w:hAnsi="Arial" w:cs="Arial"/>
          <w:sz w:val="20"/>
          <w:szCs w:val="20"/>
        </w:rPr>
      </w:pPr>
      <w:r w:rsidRPr="007B12EB">
        <w:rPr>
          <w:b/>
        </w:rPr>
        <w:t>2.7 Histological Examination:</w:t>
      </w:r>
      <w:r w:rsidRPr="007B12EB">
        <w:t xml:space="preserve"> For histological examination, the testes were fixed in 10% buffered formalin solution. The tissues were processed (dehydration, cleaning, and infiltration). They were then embedded in paraffin wax and sectioned with a microtome to produce 5-μm paraffin wax tissue sections. Thereafter, the sections were stained with Haematoxylin and Eosin and mounted with DPX for further study.</w:t>
      </w:r>
    </w:p>
    <w:p w14:paraId="0BDFC215" w14:textId="77777777" w:rsidR="00220A10" w:rsidRPr="007B12EB" w:rsidRDefault="00220A10" w:rsidP="00220A10">
      <w:pPr>
        <w:spacing w:line="276" w:lineRule="auto"/>
        <w:jc w:val="both"/>
        <w:rPr>
          <w:rFonts w:ascii="Arial" w:hAnsi="Arial" w:cs="Arial"/>
          <w:b/>
          <w:bCs/>
          <w:sz w:val="22"/>
          <w:szCs w:val="22"/>
        </w:rPr>
      </w:pPr>
      <w:r w:rsidRPr="007B12EB">
        <w:rPr>
          <w:rFonts w:ascii="Arial" w:hAnsi="Arial" w:cs="Arial"/>
          <w:b/>
          <w:bCs/>
          <w:sz w:val="22"/>
          <w:szCs w:val="22"/>
        </w:rPr>
        <w:t xml:space="preserve">3. RESULTS AND DISCUSSION </w:t>
      </w:r>
    </w:p>
    <w:p w14:paraId="22255D99" w14:textId="77777777" w:rsidR="00220A10" w:rsidRPr="007B12EB" w:rsidRDefault="00220A10" w:rsidP="00220A10">
      <w:pPr>
        <w:spacing w:line="276" w:lineRule="auto"/>
        <w:jc w:val="both"/>
        <w:rPr>
          <w:rFonts w:ascii="Arial" w:hAnsi="Arial" w:cs="Arial"/>
          <w:b/>
          <w:bCs/>
          <w:sz w:val="22"/>
          <w:szCs w:val="22"/>
          <w:lang w:val="en-IN"/>
        </w:rPr>
      </w:pPr>
      <w:r w:rsidRPr="007B12EB">
        <w:rPr>
          <w:rFonts w:ascii="Arial" w:hAnsi="Arial" w:cs="Arial"/>
          <w:b/>
          <w:bCs/>
          <w:sz w:val="22"/>
          <w:szCs w:val="22"/>
          <w:lang w:val="en-IN"/>
        </w:rPr>
        <w:t>3.</w:t>
      </w:r>
      <w:r w:rsidR="00BA5336" w:rsidRPr="007B12EB">
        <w:rPr>
          <w:rFonts w:ascii="Arial" w:hAnsi="Arial" w:cs="Arial"/>
          <w:b/>
          <w:bCs/>
          <w:sz w:val="22"/>
          <w:szCs w:val="22"/>
          <w:lang w:val="en-IN"/>
        </w:rPr>
        <w:t xml:space="preserve">1 </w:t>
      </w:r>
      <w:r w:rsidRPr="007B12EB">
        <w:rPr>
          <w:rFonts w:ascii="Arial" w:hAnsi="Arial" w:cs="Arial"/>
          <w:b/>
          <w:bCs/>
          <w:sz w:val="22"/>
          <w:szCs w:val="22"/>
          <w:lang w:val="en-IN"/>
        </w:rPr>
        <w:t xml:space="preserve">Testis weight: </w:t>
      </w:r>
    </w:p>
    <w:p w14:paraId="0E847261" w14:textId="77777777" w:rsidR="00BD6B7A" w:rsidRPr="007B12EB" w:rsidRDefault="00220A10" w:rsidP="00220A10">
      <w:pPr>
        <w:spacing w:line="276" w:lineRule="auto"/>
        <w:jc w:val="both"/>
        <w:rPr>
          <w:rFonts w:ascii="Arial" w:hAnsi="Arial" w:cs="Arial"/>
          <w:sz w:val="20"/>
          <w:szCs w:val="20"/>
        </w:rPr>
      </w:pPr>
      <w:r>
        <w:tab/>
        <w:t>Testis weight is an important morphological parameter reflecting the status of spermatogenic activity and structural integrity of testicular tissue. The testis weight (0.102 ± 0.004 g) of PC-induced male mice was reduced by 3.77% compared with the control group (Table 1), a difference that was statistically insignificant. In contrast, long-term administration of high-dose paracetamol impaired male reproductive competence in rats, including adverse sperm outcomes (Ratnasooriya &amp; Jayakody, 2000). In the fenugreek-treated recovery group, the testis weight was 0.105 ± 0.002 g, representing only a 0.94% decrease compared with the control group (0.106 ± 0.004 g); however, it represented a 2.94% increase compared with the PC-treated group (Figure 1), which was also statistically insignificant. This percentage recovery suggests that fenugreek helps to preserve testicular mass and counteracts PC-induced damage. Fenugreek is rich in antioxidant compounds that reduce oxidative stress and support tissue repair in reproductive organs. Hamad et al. (2023) reported an ameliorative effect of fenugreek seeds and germinated fenugreek seeds against gentamicin-associated pancreatic and testicular toxicity in male mice.</w:t>
      </w:r>
    </w:p>
    <w:p w14:paraId="0A24A4C5" w14:textId="77777777" w:rsidR="00220A10" w:rsidRPr="007B12EB" w:rsidRDefault="00220A10" w:rsidP="00220A10">
      <w:pPr>
        <w:spacing w:line="276" w:lineRule="auto"/>
        <w:jc w:val="both"/>
        <w:rPr>
          <w:rFonts w:ascii="Arial" w:hAnsi="Arial" w:cs="Arial"/>
          <w:sz w:val="22"/>
          <w:szCs w:val="22"/>
        </w:rPr>
      </w:pPr>
      <w:r w:rsidRPr="007B12EB">
        <w:rPr>
          <w:rFonts w:ascii="Arial" w:hAnsi="Arial" w:cs="Arial"/>
          <w:b/>
          <w:bCs/>
          <w:sz w:val="22"/>
          <w:szCs w:val="22"/>
        </w:rPr>
        <w:t>3.</w:t>
      </w:r>
      <w:r w:rsidR="0035366D" w:rsidRPr="007B12EB">
        <w:rPr>
          <w:rFonts w:ascii="Arial" w:hAnsi="Arial" w:cs="Arial"/>
          <w:b/>
          <w:bCs/>
          <w:sz w:val="22"/>
          <w:szCs w:val="22"/>
        </w:rPr>
        <w:t xml:space="preserve">2 </w:t>
      </w:r>
      <w:proofErr w:type="spellStart"/>
      <w:r w:rsidRPr="007B12EB">
        <w:rPr>
          <w:rFonts w:ascii="Arial" w:hAnsi="Arial" w:cs="Arial"/>
          <w:b/>
          <w:bCs/>
          <w:sz w:val="22"/>
          <w:szCs w:val="22"/>
        </w:rPr>
        <w:t>Testiculosomatic</w:t>
      </w:r>
      <w:proofErr w:type="spellEnd"/>
      <w:r w:rsidRPr="007B12EB">
        <w:rPr>
          <w:rFonts w:ascii="Arial" w:hAnsi="Arial" w:cs="Arial"/>
          <w:b/>
          <w:bCs/>
          <w:sz w:val="22"/>
          <w:szCs w:val="22"/>
        </w:rPr>
        <w:t xml:space="preserve"> Index (TSI):</w:t>
      </w:r>
      <w:r w:rsidRPr="007B12EB">
        <w:rPr>
          <w:rFonts w:ascii="Arial" w:hAnsi="Arial" w:cs="Arial"/>
          <w:sz w:val="22"/>
          <w:szCs w:val="22"/>
        </w:rPr>
        <w:t xml:space="preserve"> </w:t>
      </w:r>
    </w:p>
    <w:p w14:paraId="3AD1CF84" w14:textId="77777777" w:rsidR="00220A10" w:rsidRPr="007B12EB" w:rsidRDefault="00220A10" w:rsidP="00220A10">
      <w:pPr>
        <w:spacing w:line="276" w:lineRule="auto"/>
        <w:jc w:val="both"/>
        <w:rPr>
          <w:rFonts w:ascii="Arial" w:hAnsi="Arial" w:cs="Arial"/>
          <w:sz w:val="20"/>
          <w:szCs w:val="20"/>
        </w:rPr>
      </w:pPr>
      <w:r>
        <w:tab/>
        <w:t xml:space="preserve">TSI is a widely used parameter for evaluating the relative weight of the testes in relation to body weight and serves as an indicator of reproductive organ development and functional status. The TSI values showed minor variations among the experimental groups (Table 1), </w:t>
      </w:r>
      <w:r>
        <w:lastRenderedPageBreak/>
        <w:t>representing an approximate 9.6% increase (Figure 1) compared with the control group. Testicular weight and related indices are commonly considered alongside histological and semen endpoints when evaluating spermatogenesis and male reproductive toxicity (Amann, 1981; Creasy, 2001). In the present study, PC treatment produced a mild increase in TSI; however, this change was statistically insignificant. This indicates that the treatment did not markedly alter testicular weight relative to body weight. In the PC + fenugreek-treated group, the TSI value further increased to 0.370 ± 0.009, showing a 10.78% increase compared with the control group, which was also statistically insignificant, indicating that neither PC administration nor fenugreek supplementation produced a marked alteration in testicular weight relative to body weight. The biological plausibility of antioxidant-related protection is consistent with evidence that oxidative stress can impair male reproductive function (Agarwal et al., 2014).</w:t>
      </w:r>
    </w:p>
    <w:p w14:paraId="1E12CC67" w14:textId="77777777" w:rsidR="00000E83" w:rsidRPr="007B12EB" w:rsidRDefault="00000E83" w:rsidP="00220A10">
      <w:pPr>
        <w:spacing w:line="276" w:lineRule="auto"/>
        <w:jc w:val="both"/>
        <w:rPr>
          <w:rFonts w:ascii="Arial" w:hAnsi="Arial" w:cs="Arial"/>
          <w:sz w:val="20"/>
          <w:szCs w:val="20"/>
        </w:rPr>
      </w:pPr>
    </w:p>
    <w:p w14:paraId="52384FE7" w14:textId="77777777" w:rsidR="00000E83" w:rsidRPr="007B12EB" w:rsidRDefault="00000E83" w:rsidP="00220A10">
      <w:pPr>
        <w:spacing w:line="276" w:lineRule="auto"/>
        <w:jc w:val="both"/>
        <w:rPr>
          <w:rFonts w:ascii="Arial" w:hAnsi="Arial" w:cs="Arial"/>
          <w:sz w:val="20"/>
          <w:szCs w:val="20"/>
        </w:rPr>
      </w:pPr>
    </w:p>
    <w:p w14:paraId="555E2B81" w14:textId="77777777" w:rsidR="00220A10" w:rsidRPr="007B12EB" w:rsidRDefault="00220A10" w:rsidP="00220A10">
      <w:pPr>
        <w:spacing w:line="276" w:lineRule="auto"/>
        <w:jc w:val="both"/>
        <w:rPr>
          <w:rFonts w:ascii="Arial" w:hAnsi="Arial" w:cs="Arial"/>
          <w:b/>
          <w:bCs/>
          <w:sz w:val="22"/>
          <w:szCs w:val="22"/>
        </w:rPr>
      </w:pPr>
      <w:r w:rsidRPr="007B12EB">
        <w:rPr>
          <w:rFonts w:ascii="Arial" w:hAnsi="Arial" w:cs="Arial"/>
          <w:b/>
          <w:bCs/>
          <w:sz w:val="22"/>
          <w:szCs w:val="22"/>
        </w:rPr>
        <w:t>3.</w:t>
      </w:r>
      <w:r w:rsidR="002904ED" w:rsidRPr="007B12EB">
        <w:rPr>
          <w:rFonts w:ascii="Arial" w:hAnsi="Arial" w:cs="Arial"/>
          <w:b/>
          <w:bCs/>
          <w:sz w:val="22"/>
          <w:szCs w:val="22"/>
        </w:rPr>
        <w:t xml:space="preserve">3 </w:t>
      </w:r>
      <w:r w:rsidRPr="007B12EB">
        <w:rPr>
          <w:rFonts w:ascii="Arial" w:hAnsi="Arial" w:cs="Arial"/>
          <w:b/>
          <w:bCs/>
          <w:sz w:val="22"/>
          <w:szCs w:val="22"/>
        </w:rPr>
        <w:t>Sperm count:</w:t>
      </w:r>
    </w:p>
    <w:p w14:paraId="18B7E4DC" w14:textId="77777777" w:rsidR="00FD4597" w:rsidRPr="007B12EB" w:rsidRDefault="002904ED" w:rsidP="00220A10">
      <w:pPr>
        <w:spacing w:line="276" w:lineRule="auto"/>
        <w:jc w:val="both"/>
        <w:rPr>
          <w:rFonts w:ascii="Arial" w:hAnsi="Arial" w:cs="Arial"/>
          <w:sz w:val="20"/>
          <w:szCs w:val="20"/>
        </w:rPr>
      </w:pPr>
      <w:r w:rsidRPr="007B12EB">
        <w:tab/>
        <w:t>Sperm count is a sensitive indicator of male reproductive function and spermatogenic efficiency. A pronounced reduction in sperm count was observed in PC-administered mice (83 ± 1.9 × 10</w:t>
      </w:r>
      <w:r w:rsidRPr="007B12EB">
        <w:rPr>
          <w:vertAlign w:val="superscript"/>
        </w:rPr>
        <w:t>4</w:t>
      </w:r>
      <w:r w:rsidRPr="007B12EB">
        <w:t>/ml) compared with the control (118.4 ± 6.1 × 10</w:t>
      </w:r>
      <w:r w:rsidRPr="007B12EB">
        <w:rPr>
          <w:vertAlign w:val="superscript"/>
        </w:rPr>
        <w:t>4</w:t>
      </w:r>
      <w:r w:rsidRPr="007B12EB">
        <w:t>/ml) (Table 1), representing about a 30% reduction (Figure 1). This reduction was statistically significant (F = 12.215; P = .05). These findings are consistent with earlier reports showing that PC induces male reproductive toxicity through oxidative stress, germ cell apoptosis, and disruption of steroidogenesis (Oyedeji et al., 2013; Tran-Guzman &amp; Culty, 2022).</w:t>
      </w:r>
    </w:p>
    <w:p w14:paraId="61D37C19" w14:textId="77777777" w:rsidR="0025799C" w:rsidRPr="007B12EB" w:rsidRDefault="00000E83" w:rsidP="00220A10">
      <w:pPr>
        <w:spacing w:line="276" w:lineRule="auto"/>
        <w:jc w:val="both"/>
        <w:rPr>
          <w:rFonts w:ascii="Arial" w:hAnsi="Arial" w:cs="Arial"/>
          <w:sz w:val="20"/>
          <w:szCs w:val="20"/>
        </w:rPr>
      </w:pPr>
      <w:r w:rsidRPr="007B12EB">
        <w:tab/>
        <w:t>However, in PC + fenugreek-treated mice, the reduction in sperm count was smaller than that in PC-treated mice (83 ± 1.9 × 10</w:t>
      </w:r>
      <w:r w:rsidRPr="007B12EB">
        <w:rPr>
          <w:vertAlign w:val="superscript"/>
        </w:rPr>
        <w:t>4</w:t>
      </w:r>
      <w:r w:rsidRPr="007B12EB">
        <w:t>/ml), showing a 26.5% increase (Figure 1). This was statistically significant (F = 12.215, P = .05). The improvement in sperm count observed in the PC + fenugreek-treated mice suggests that fenugreek may exert a protective effect against PC-induced impairment of spermatogenesis. This effect may be attributed to the presence of biologically active constituents, including steroidal saponins, flavonoids, polyphenolic compounds, and other antioxidant constituents. A similar protective effect was reported by Tanushree et al. (2024), who demonstrated the mitigating role of fenugreek aqueous extract against permethrin-induced gonadotoxicity. These findings are also consistent with those of Maheshwari et al. (2017), who reported an improvement in sperm count in 85.4% of male volunteers after supplementation with a Protodioscin-enriched fenugreek seed extract, along with an increase in free testosterone levels.</w:t>
      </w:r>
    </w:p>
    <w:p w14:paraId="094CC36C" w14:textId="77777777" w:rsidR="00220A10" w:rsidRPr="007B12EB" w:rsidRDefault="00220A10" w:rsidP="0025799C">
      <w:pPr>
        <w:spacing w:line="276" w:lineRule="auto"/>
        <w:jc w:val="both"/>
        <w:rPr>
          <w:rFonts w:ascii="Arial" w:hAnsi="Arial" w:cs="Arial"/>
          <w:b/>
          <w:bCs/>
          <w:sz w:val="22"/>
          <w:szCs w:val="22"/>
        </w:rPr>
      </w:pPr>
      <w:r w:rsidRPr="007B12EB">
        <w:rPr>
          <w:rFonts w:ascii="Arial" w:hAnsi="Arial" w:cs="Arial"/>
          <w:b/>
          <w:bCs/>
          <w:sz w:val="22"/>
          <w:szCs w:val="22"/>
        </w:rPr>
        <w:t>3.</w:t>
      </w:r>
      <w:r w:rsidR="002904ED" w:rsidRPr="007B12EB">
        <w:rPr>
          <w:rFonts w:ascii="Arial" w:hAnsi="Arial" w:cs="Arial"/>
          <w:b/>
          <w:bCs/>
          <w:sz w:val="22"/>
          <w:szCs w:val="22"/>
        </w:rPr>
        <w:t>4</w:t>
      </w:r>
      <w:r w:rsidRPr="007B12EB">
        <w:rPr>
          <w:rFonts w:ascii="Arial" w:hAnsi="Arial" w:cs="Arial"/>
          <w:b/>
          <w:bCs/>
          <w:sz w:val="22"/>
          <w:szCs w:val="22"/>
        </w:rPr>
        <w:t xml:space="preserve"> Sperm abnormalities:</w:t>
      </w:r>
      <w:r w:rsidR="005270F1" w:rsidRPr="007B12EB">
        <w:rPr>
          <w:rFonts w:ascii="Arial" w:hAnsi="Arial" w:cs="Arial"/>
          <w:b/>
          <w:bCs/>
          <w:sz w:val="22"/>
          <w:szCs w:val="22"/>
        </w:rPr>
        <w:t xml:space="preserve"> </w:t>
      </w:r>
    </w:p>
    <w:p w14:paraId="60F1AEC5" w14:textId="77777777" w:rsidR="0025799C" w:rsidRPr="007B12EB" w:rsidRDefault="002904ED" w:rsidP="0025799C">
      <w:pPr>
        <w:spacing w:line="276" w:lineRule="auto"/>
        <w:jc w:val="both"/>
        <w:rPr>
          <w:rFonts w:ascii="Arial" w:hAnsi="Arial" w:cs="Arial"/>
          <w:b/>
          <w:bCs/>
          <w:sz w:val="20"/>
          <w:szCs w:val="20"/>
        </w:rPr>
      </w:pPr>
      <w:r w:rsidRPr="007B12EB">
        <w:lastRenderedPageBreak/>
        <w:tab/>
        <w:t>A high proportion of morphologically normal spermatozoa, characterised by intact head, midpiece, and tail structures, was observed in the control group (Table 1, Plate 1. A). In contrast, the toxicant-treated group (Group II) exhibited a marked increase in abnormal sperm forms (43.2 ± 1.7%), including head defects (detached heads - Plate 1. B), midpiece abnormalities (Plate 1. C, D), and tail defects (coiled, folded - Plate 1. E, F, G). This study suggests that the drug may permeate the blood-testis barrier, altering the microenvironment of the seminiferous tubules, as it has been reported that chemical agents reduce sperm motility (Oyedeji et al., 2013). A notable improvement in sperm morphology, with a significant reduction in abnormal sperm forms (21.8 ± 1.52%) and a corresponding increase in normal spermatozoa, was observed in Group III compared with Group II. These values indicate a partial restoration of spermatogenic function. It has been demonstrated that administration of fenugreek seed extract to diabetic rats significantly decreased sperm shape abnormalities (Hamden et al., 2010). Singhmura et al. (2024) also reported that fenugreek supplementation reduced sperm abnormalities and improved sperm morphology in monosodium glutamate-induced mice.</w:t>
      </w:r>
    </w:p>
    <w:p w14:paraId="32CA9FAC" w14:textId="77777777" w:rsidR="00220A10" w:rsidRPr="007B12EB" w:rsidRDefault="00220A10" w:rsidP="00220A10">
      <w:pPr>
        <w:spacing w:line="276" w:lineRule="auto"/>
        <w:jc w:val="both"/>
        <w:rPr>
          <w:rFonts w:ascii="Arial" w:hAnsi="Arial" w:cs="Arial"/>
          <w:b/>
          <w:bCs/>
          <w:sz w:val="22"/>
          <w:szCs w:val="22"/>
        </w:rPr>
      </w:pPr>
      <w:r w:rsidRPr="007B12EB">
        <w:rPr>
          <w:rFonts w:ascii="Arial" w:hAnsi="Arial" w:cs="Arial"/>
          <w:b/>
          <w:bCs/>
          <w:sz w:val="22"/>
          <w:szCs w:val="22"/>
        </w:rPr>
        <w:t>3.</w:t>
      </w:r>
      <w:r w:rsidR="002904ED" w:rsidRPr="007B12EB">
        <w:rPr>
          <w:rFonts w:ascii="Arial" w:hAnsi="Arial" w:cs="Arial"/>
          <w:b/>
          <w:bCs/>
          <w:sz w:val="22"/>
          <w:szCs w:val="22"/>
        </w:rPr>
        <w:t xml:space="preserve">5 </w:t>
      </w:r>
      <w:r w:rsidRPr="007B12EB">
        <w:rPr>
          <w:rFonts w:ascii="Arial" w:hAnsi="Arial" w:cs="Arial"/>
          <w:b/>
          <w:bCs/>
          <w:sz w:val="22"/>
          <w:szCs w:val="22"/>
        </w:rPr>
        <w:t xml:space="preserve">Testis Histology: </w:t>
      </w:r>
    </w:p>
    <w:p w14:paraId="225C56BD" w14:textId="77777777" w:rsidR="00852423" w:rsidRPr="007B12EB" w:rsidRDefault="00023236" w:rsidP="00220A10">
      <w:pPr>
        <w:spacing w:line="276" w:lineRule="auto"/>
        <w:jc w:val="both"/>
        <w:rPr>
          <w:rFonts w:ascii="Arial" w:hAnsi="Arial" w:cs="Arial"/>
          <w:sz w:val="20"/>
          <w:szCs w:val="20"/>
        </w:rPr>
      </w:pPr>
      <w:r w:rsidRPr="007B12EB">
        <w:tab/>
        <w:t>During the histological study of the testes from control mice, round-to-oval seminiferous tubules with well-defined basement membranes and an intact germinal epithelium were observed. Spermatogonia, primary and secondary spermatocytes, spermatids, and mature spermatozoa were clearly visible and orderly arranged, representing all stages of spermatogenesis. The tubular lumen was densely packed with spermatozoa, indicating active spermiogenesis. Interstitial spaces showed normal Leydig cells with no signs of degeneration, oedema, or inflammatory infiltration (Plate 2 A).</w:t>
      </w:r>
    </w:p>
    <w:p w14:paraId="4B784E8D" w14:textId="77777777" w:rsidR="00220A10" w:rsidRPr="007B12EB" w:rsidRDefault="00360299" w:rsidP="00220A10">
      <w:pPr>
        <w:spacing w:line="276" w:lineRule="auto"/>
        <w:jc w:val="both"/>
        <w:rPr>
          <w:rFonts w:ascii="Arial" w:hAnsi="Arial" w:cs="Arial"/>
          <w:sz w:val="20"/>
          <w:szCs w:val="20"/>
        </w:rPr>
      </w:pPr>
      <w:r>
        <w:t>However, histological alterations were observed in the PC-treated group; i.e., seminiferous tubules appeared irregular, shrunken, and distorted, with thinning and disorganisation of the germinal epithelium. Degeneration and exfoliation of germ cells into the lumen were prominent, resulting in reduced or empty luminal sperm content. Vacuolisation within the seminiferous epithelium, pyknotic nuclei, and disrupted basement membranes were frequently observed. The interstitial tissue showed a reduced number of Leydig cells, suggesting impaired steroidogenic activity (Plate 2 B). Many studies have established that PC acts as an endocrine disruptor that produces significant changes in testicular morphology. Histological disruption, including disorganised seminiferous tubules after 15 days of oral paracetamol at 650 mg/kg, was reported in adult male rats (Khayyat, 2021). Another study showed that a single dose of PC (5 g/kg) administered to male mice resulted in abnormal morphological and degenerative changes in some seminiferous tubules, fragmentation of Sertoli cells, abnormal chromosomes in the nucleus, and changes in sperm structure (Qader &amp; Othman, 2014).</w:t>
      </w:r>
    </w:p>
    <w:p w14:paraId="616A5269" w14:textId="77777777" w:rsidR="004C5D0F" w:rsidRPr="007B12EB" w:rsidRDefault="00220A10" w:rsidP="00220A10">
      <w:pPr>
        <w:spacing w:line="276" w:lineRule="auto"/>
        <w:jc w:val="both"/>
        <w:rPr>
          <w:rFonts w:ascii="Arial" w:hAnsi="Arial" w:cs="Arial"/>
          <w:noProof/>
          <w:sz w:val="20"/>
          <w:szCs w:val="20"/>
        </w:rPr>
      </w:pPr>
      <w:r w:rsidRPr="007B12EB">
        <w:lastRenderedPageBreak/>
        <w:t>Group III mice showed a marked improvement in the histological architecture of the testis compared with the PC-treated group (Plate 2 C). Seminiferous tubules appeared to have a more regular shape with partial restoration of germinal epithelium thickness. Spermatogenic cells at different stages were clearly visible, and luminal sperm content was increased. Degenerative features such as vacuolisation and germ cell loss were also markedly reduced. Interstitial Leydig cells appeared near-normal, indicating recovery of endocrine function, although complete normalisation to control levels was not fully achieved. These results are in accordance with Sakr et al. (2012), who reported that the fenugreek seed extract improved the histoarchitecture of the testes.</w:t>
      </w:r>
    </w:p>
    <w:p w14:paraId="46E86228" w14:textId="77777777" w:rsidR="00220A10" w:rsidRPr="007B12EB" w:rsidRDefault="00220A10" w:rsidP="00220A10">
      <w:pPr>
        <w:spacing w:line="276" w:lineRule="auto"/>
        <w:jc w:val="both"/>
        <w:rPr>
          <w:rFonts w:ascii="Arial" w:hAnsi="Arial" w:cs="Arial"/>
          <w:b/>
          <w:bCs/>
          <w:sz w:val="20"/>
          <w:szCs w:val="20"/>
        </w:rPr>
      </w:pPr>
      <w:r w:rsidRPr="007B12EB">
        <w:rPr>
          <w:rFonts w:ascii="Arial" w:hAnsi="Arial" w:cs="Arial"/>
          <w:b/>
          <w:bCs/>
          <w:sz w:val="20"/>
          <w:szCs w:val="20"/>
        </w:rPr>
        <w:t xml:space="preserve">Table-1: </w:t>
      </w:r>
      <w:r w:rsidR="00C33D78" w:rsidRPr="007B12EB">
        <w:rPr>
          <w:rFonts w:ascii="Arial" w:hAnsi="Arial" w:cs="Arial"/>
          <w:b/>
          <w:bCs/>
          <w:sz w:val="20"/>
          <w:szCs w:val="20"/>
        </w:rPr>
        <w:t xml:space="preserve"> Effect of </w:t>
      </w:r>
      <w:r w:rsidRPr="007B12EB">
        <w:rPr>
          <w:rFonts w:ascii="Arial" w:hAnsi="Arial" w:cs="Arial"/>
          <w:b/>
          <w:bCs/>
          <w:sz w:val="20"/>
          <w:szCs w:val="20"/>
        </w:rPr>
        <w:t>PC</w:t>
      </w:r>
      <w:r w:rsidR="00C33D78" w:rsidRPr="007B12EB">
        <w:rPr>
          <w:rFonts w:ascii="Arial" w:hAnsi="Arial" w:cs="Arial"/>
          <w:b/>
          <w:bCs/>
          <w:sz w:val="20"/>
          <w:szCs w:val="20"/>
        </w:rPr>
        <w:t xml:space="preserve"> and PC + Fenugreek on</w:t>
      </w:r>
      <w:r w:rsidRPr="007B12EB">
        <w:rPr>
          <w:rFonts w:ascii="Arial" w:hAnsi="Arial" w:cs="Arial"/>
          <w:b/>
          <w:bCs/>
          <w:sz w:val="20"/>
          <w:szCs w:val="20"/>
        </w:rPr>
        <w:t xml:space="preserve"> </w:t>
      </w:r>
      <w:r w:rsidR="00C33D78" w:rsidRPr="007B12EB">
        <w:rPr>
          <w:rFonts w:ascii="Arial" w:hAnsi="Arial" w:cs="Arial"/>
          <w:b/>
          <w:bCs/>
          <w:sz w:val="20"/>
          <w:szCs w:val="20"/>
        </w:rPr>
        <w:t>r</w:t>
      </w:r>
      <w:r w:rsidRPr="007B12EB">
        <w:rPr>
          <w:rFonts w:ascii="Arial" w:hAnsi="Arial" w:cs="Arial"/>
          <w:b/>
          <w:bCs/>
          <w:sz w:val="20"/>
          <w:szCs w:val="20"/>
        </w:rPr>
        <w:t>eproductive</w:t>
      </w:r>
      <w:r w:rsidR="00C33D78" w:rsidRPr="007B12EB">
        <w:rPr>
          <w:rFonts w:ascii="Arial" w:hAnsi="Arial" w:cs="Arial"/>
          <w:b/>
          <w:bCs/>
          <w:sz w:val="20"/>
          <w:szCs w:val="20"/>
        </w:rPr>
        <w:t xml:space="preserve"> parameters </w:t>
      </w:r>
      <w:r w:rsidRPr="007B12EB">
        <w:rPr>
          <w:rFonts w:ascii="Arial" w:hAnsi="Arial" w:cs="Arial"/>
          <w:b/>
          <w:bCs/>
          <w:sz w:val="20"/>
          <w:szCs w:val="20"/>
        </w:rPr>
        <w:t xml:space="preserve">of </w:t>
      </w:r>
      <w:r w:rsidR="00C33D78" w:rsidRPr="007B12EB">
        <w:rPr>
          <w:rFonts w:ascii="Arial" w:hAnsi="Arial" w:cs="Arial"/>
          <w:b/>
          <w:bCs/>
          <w:sz w:val="20"/>
          <w:szCs w:val="20"/>
        </w:rPr>
        <w:t>mice</w:t>
      </w:r>
    </w:p>
    <w:tbl>
      <w:tblPr>
        <w:tblStyle w:val="TableGrid"/>
        <w:tblW w:w="0" w:type="auto"/>
        <w:tblLook w:val="04A0" w:firstRow="1" w:lastRow="0" w:firstColumn="1" w:lastColumn="0" w:noHBand="0" w:noVBand="1"/>
      </w:tblPr>
      <w:tblGrid>
        <w:gridCol w:w="2245"/>
        <w:gridCol w:w="1748"/>
        <w:gridCol w:w="1836"/>
        <w:gridCol w:w="1828"/>
        <w:gridCol w:w="1693"/>
      </w:tblGrid>
      <w:tr w:rsidR="00220A10" w:rsidRPr="007B12EB" w14:paraId="05C6EC57" w14:textId="77777777" w:rsidTr="000E2687">
        <w:tc>
          <w:tcPr>
            <w:tcW w:w="2245" w:type="dxa"/>
          </w:tcPr>
          <w:p w14:paraId="5C0A7478" w14:textId="77777777" w:rsidR="00220A10" w:rsidRPr="007B12EB" w:rsidRDefault="00220A10" w:rsidP="0088597F">
            <w:pPr>
              <w:spacing w:line="276" w:lineRule="auto"/>
              <w:jc w:val="both"/>
              <w:rPr>
                <w:rFonts w:ascii="Arial" w:hAnsi="Arial" w:cs="Arial"/>
                <w:b/>
                <w:bCs/>
                <w:sz w:val="20"/>
                <w:szCs w:val="20"/>
              </w:rPr>
            </w:pPr>
          </w:p>
        </w:tc>
        <w:tc>
          <w:tcPr>
            <w:tcW w:w="1748" w:type="dxa"/>
          </w:tcPr>
          <w:p w14:paraId="1822F491"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Group I</w:t>
            </w:r>
          </w:p>
        </w:tc>
        <w:tc>
          <w:tcPr>
            <w:tcW w:w="1836" w:type="dxa"/>
          </w:tcPr>
          <w:p w14:paraId="100D1168"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Group II</w:t>
            </w:r>
          </w:p>
        </w:tc>
        <w:tc>
          <w:tcPr>
            <w:tcW w:w="1828" w:type="dxa"/>
          </w:tcPr>
          <w:p w14:paraId="60617522"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Group III</w:t>
            </w:r>
          </w:p>
        </w:tc>
        <w:tc>
          <w:tcPr>
            <w:tcW w:w="1693" w:type="dxa"/>
          </w:tcPr>
          <w:p w14:paraId="15D77597"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 xml:space="preserve">     F value</w:t>
            </w:r>
          </w:p>
        </w:tc>
      </w:tr>
      <w:tr w:rsidR="00220A10" w:rsidRPr="007B12EB" w14:paraId="6DCD4BFD" w14:textId="77777777" w:rsidTr="000E2687">
        <w:tc>
          <w:tcPr>
            <w:tcW w:w="2245" w:type="dxa"/>
          </w:tcPr>
          <w:p w14:paraId="3B6567D9"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 xml:space="preserve">Testis </w:t>
            </w:r>
            <w:proofErr w:type="spellStart"/>
            <w:r w:rsidRPr="007B12EB">
              <w:rPr>
                <w:rFonts w:ascii="Arial" w:hAnsi="Arial" w:cs="Arial"/>
                <w:b/>
                <w:bCs/>
                <w:sz w:val="20"/>
                <w:szCs w:val="20"/>
              </w:rPr>
              <w:t>wt</w:t>
            </w:r>
            <w:proofErr w:type="spellEnd"/>
            <w:r w:rsidRPr="007B12EB">
              <w:rPr>
                <w:rFonts w:ascii="Arial" w:hAnsi="Arial" w:cs="Arial"/>
                <w:b/>
                <w:bCs/>
                <w:sz w:val="20"/>
                <w:szCs w:val="20"/>
              </w:rPr>
              <w:t xml:space="preserve"> (g)</w:t>
            </w:r>
          </w:p>
        </w:tc>
        <w:tc>
          <w:tcPr>
            <w:tcW w:w="1748" w:type="dxa"/>
          </w:tcPr>
          <w:tbl>
            <w:tblPr>
              <w:tblW w:w="960" w:type="dxa"/>
              <w:tblLook w:val="04A0" w:firstRow="1" w:lastRow="0" w:firstColumn="1" w:lastColumn="0" w:noHBand="0" w:noVBand="1"/>
            </w:tblPr>
            <w:tblGrid>
              <w:gridCol w:w="1327"/>
            </w:tblGrid>
            <w:tr w:rsidR="00220A10" w:rsidRPr="007B12EB" w14:paraId="0F4CFC83" w14:textId="77777777" w:rsidTr="0088597F">
              <w:trPr>
                <w:trHeight w:val="290"/>
              </w:trPr>
              <w:tc>
                <w:tcPr>
                  <w:tcW w:w="960" w:type="dxa"/>
                  <w:tcBorders>
                    <w:top w:val="nil"/>
                    <w:left w:val="nil"/>
                    <w:bottom w:val="nil"/>
                    <w:right w:val="nil"/>
                  </w:tcBorders>
                  <w:noWrap/>
                  <w:vAlign w:val="bottom"/>
                  <w:hideMark/>
                </w:tcPr>
                <w:p w14:paraId="3C4DCA0C"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0.106</w:t>
                  </w:r>
                  <w:r w:rsidRPr="007B12EB">
                    <w:rPr>
                      <w:rFonts w:ascii="Arial" w:hAnsi="Arial" w:cs="Arial"/>
                      <w:sz w:val="20"/>
                      <w:szCs w:val="20"/>
                      <w:lang w:val="en-IN"/>
                    </w:rPr>
                    <w:t xml:space="preserve">±0.004 </w:t>
                  </w:r>
                </w:p>
              </w:tc>
            </w:tr>
            <w:tr w:rsidR="00220A10" w:rsidRPr="007B12EB" w14:paraId="22821CFA" w14:textId="77777777" w:rsidTr="0088597F">
              <w:trPr>
                <w:trHeight w:val="290"/>
              </w:trPr>
              <w:tc>
                <w:tcPr>
                  <w:tcW w:w="960" w:type="dxa"/>
                  <w:tcBorders>
                    <w:top w:val="nil"/>
                    <w:left w:val="nil"/>
                    <w:bottom w:val="nil"/>
                    <w:right w:val="nil"/>
                  </w:tcBorders>
                  <w:noWrap/>
                  <w:vAlign w:val="bottom"/>
                  <w:hideMark/>
                </w:tcPr>
                <w:p w14:paraId="177FF260"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749E5CF6" w14:textId="77777777" w:rsidR="00220A10" w:rsidRPr="007B12EB" w:rsidRDefault="00220A10" w:rsidP="0088597F">
            <w:pPr>
              <w:spacing w:line="276" w:lineRule="auto"/>
              <w:jc w:val="both"/>
              <w:rPr>
                <w:rFonts w:ascii="Arial" w:hAnsi="Arial" w:cs="Arial"/>
                <w:b/>
                <w:bCs/>
                <w:sz w:val="20"/>
                <w:szCs w:val="20"/>
              </w:rPr>
            </w:pPr>
          </w:p>
        </w:tc>
        <w:tc>
          <w:tcPr>
            <w:tcW w:w="1836" w:type="dxa"/>
          </w:tcPr>
          <w:tbl>
            <w:tblPr>
              <w:tblW w:w="960" w:type="dxa"/>
              <w:tblLook w:val="04A0" w:firstRow="1" w:lastRow="0" w:firstColumn="1" w:lastColumn="0" w:noHBand="0" w:noVBand="1"/>
            </w:tblPr>
            <w:tblGrid>
              <w:gridCol w:w="1327"/>
            </w:tblGrid>
            <w:tr w:rsidR="00220A10" w:rsidRPr="007B12EB" w14:paraId="010B3AE5" w14:textId="77777777" w:rsidTr="0088597F">
              <w:trPr>
                <w:trHeight w:val="290"/>
              </w:trPr>
              <w:tc>
                <w:tcPr>
                  <w:tcW w:w="960" w:type="dxa"/>
                  <w:tcBorders>
                    <w:top w:val="nil"/>
                    <w:left w:val="nil"/>
                    <w:bottom w:val="nil"/>
                    <w:right w:val="nil"/>
                  </w:tcBorders>
                  <w:noWrap/>
                  <w:vAlign w:val="bottom"/>
                  <w:hideMark/>
                </w:tcPr>
                <w:p w14:paraId="7A6147C5"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0.102</w:t>
                  </w:r>
                  <w:r w:rsidRPr="007B12EB">
                    <w:rPr>
                      <w:rFonts w:ascii="Arial" w:hAnsi="Arial" w:cs="Arial"/>
                      <w:sz w:val="20"/>
                      <w:szCs w:val="20"/>
                      <w:lang w:val="en-IN"/>
                    </w:rPr>
                    <w:t xml:space="preserve">±0.004 </w:t>
                  </w:r>
                </w:p>
              </w:tc>
            </w:tr>
            <w:tr w:rsidR="00220A10" w:rsidRPr="007B12EB" w14:paraId="56058059" w14:textId="77777777" w:rsidTr="0088597F">
              <w:trPr>
                <w:trHeight w:val="290"/>
              </w:trPr>
              <w:tc>
                <w:tcPr>
                  <w:tcW w:w="960" w:type="dxa"/>
                  <w:tcBorders>
                    <w:top w:val="nil"/>
                    <w:left w:val="nil"/>
                    <w:bottom w:val="nil"/>
                    <w:right w:val="nil"/>
                  </w:tcBorders>
                  <w:noWrap/>
                  <w:vAlign w:val="bottom"/>
                  <w:hideMark/>
                </w:tcPr>
                <w:p w14:paraId="26DF0D14"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2C19B1A2" w14:textId="77777777" w:rsidR="00220A10" w:rsidRPr="007B12EB" w:rsidRDefault="00220A10" w:rsidP="0088597F">
            <w:pPr>
              <w:spacing w:line="276" w:lineRule="auto"/>
              <w:jc w:val="both"/>
              <w:rPr>
                <w:rFonts w:ascii="Arial" w:hAnsi="Arial" w:cs="Arial"/>
                <w:b/>
                <w:bCs/>
                <w:sz w:val="20"/>
                <w:szCs w:val="20"/>
              </w:rPr>
            </w:pPr>
          </w:p>
        </w:tc>
        <w:tc>
          <w:tcPr>
            <w:tcW w:w="1828" w:type="dxa"/>
          </w:tcPr>
          <w:tbl>
            <w:tblPr>
              <w:tblW w:w="1053" w:type="dxa"/>
              <w:tblLook w:val="04A0" w:firstRow="1" w:lastRow="0" w:firstColumn="1" w:lastColumn="0" w:noHBand="0" w:noVBand="1"/>
            </w:tblPr>
            <w:tblGrid>
              <w:gridCol w:w="1327"/>
            </w:tblGrid>
            <w:tr w:rsidR="00220A10" w:rsidRPr="007B12EB" w14:paraId="2042DC3A" w14:textId="77777777" w:rsidTr="0088597F">
              <w:trPr>
                <w:trHeight w:val="290"/>
              </w:trPr>
              <w:tc>
                <w:tcPr>
                  <w:tcW w:w="1053" w:type="dxa"/>
                  <w:tcBorders>
                    <w:top w:val="nil"/>
                    <w:left w:val="nil"/>
                    <w:bottom w:val="nil"/>
                    <w:right w:val="nil"/>
                  </w:tcBorders>
                  <w:noWrap/>
                  <w:vAlign w:val="bottom"/>
                  <w:hideMark/>
                </w:tcPr>
                <w:p w14:paraId="70C0672B"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0.105</w:t>
                  </w:r>
                  <w:r w:rsidRPr="007B12EB">
                    <w:rPr>
                      <w:rFonts w:ascii="Arial" w:hAnsi="Arial" w:cs="Arial"/>
                      <w:sz w:val="20"/>
                      <w:szCs w:val="20"/>
                      <w:lang w:val="en-IN"/>
                    </w:rPr>
                    <w:t>±0.002</w:t>
                  </w:r>
                </w:p>
              </w:tc>
            </w:tr>
          </w:tbl>
          <w:p w14:paraId="40075D6F" w14:textId="77777777" w:rsidR="00220A10" w:rsidRPr="007B12EB" w:rsidRDefault="00220A10" w:rsidP="0088597F">
            <w:pPr>
              <w:spacing w:line="276" w:lineRule="auto"/>
              <w:jc w:val="both"/>
              <w:rPr>
                <w:rFonts w:ascii="Arial" w:hAnsi="Arial" w:cs="Arial"/>
                <w:b/>
                <w:bCs/>
                <w:sz w:val="20"/>
                <w:szCs w:val="20"/>
              </w:rPr>
            </w:pPr>
          </w:p>
        </w:tc>
        <w:tc>
          <w:tcPr>
            <w:tcW w:w="1693" w:type="dxa"/>
          </w:tcPr>
          <w:p w14:paraId="75984649"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 xml:space="preserve">      0.428</w:t>
            </w:r>
          </w:p>
        </w:tc>
      </w:tr>
      <w:tr w:rsidR="00220A10" w:rsidRPr="007B12EB" w14:paraId="0DF6A7B9" w14:textId="77777777" w:rsidTr="000E2687">
        <w:tc>
          <w:tcPr>
            <w:tcW w:w="2245" w:type="dxa"/>
          </w:tcPr>
          <w:p w14:paraId="77E91148" w14:textId="77777777" w:rsidR="00220A10" w:rsidRPr="007B12EB" w:rsidRDefault="00220A10" w:rsidP="0088597F">
            <w:pPr>
              <w:spacing w:line="276" w:lineRule="auto"/>
              <w:jc w:val="both"/>
              <w:rPr>
                <w:rFonts w:ascii="Arial" w:hAnsi="Arial" w:cs="Arial"/>
                <w:b/>
                <w:bCs/>
                <w:sz w:val="20"/>
                <w:szCs w:val="20"/>
              </w:rPr>
            </w:pPr>
            <w:proofErr w:type="spellStart"/>
            <w:r w:rsidRPr="007B12EB">
              <w:rPr>
                <w:rFonts w:ascii="Arial" w:hAnsi="Arial" w:cs="Arial"/>
                <w:b/>
                <w:bCs/>
                <w:sz w:val="20"/>
                <w:szCs w:val="20"/>
              </w:rPr>
              <w:t>Testiculosomatic</w:t>
            </w:r>
            <w:proofErr w:type="spellEnd"/>
            <w:r w:rsidRPr="007B12EB">
              <w:rPr>
                <w:rFonts w:ascii="Arial" w:hAnsi="Arial" w:cs="Arial"/>
                <w:b/>
                <w:bCs/>
                <w:sz w:val="20"/>
                <w:szCs w:val="20"/>
              </w:rPr>
              <w:t xml:space="preserve"> Index </w:t>
            </w:r>
          </w:p>
        </w:tc>
        <w:tc>
          <w:tcPr>
            <w:tcW w:w="1748" w:type="dxa"/>
          </w:tcPr>
          <w:tbl>
            <w:tblPr>
              <w:tblW w:w="960" w:type="dxa"/>
              <w:tblLook w:val="04A0" w:firstRow="1" w:lastRow="0" w:firstColumn="1" w:lastColumn="0" w:noHBand="0" w:noVBand="1"/>
            </w:tblPr>
            <w:tblGrid>
              <w:gridCol w:w="1327"/>
            </w:tblGrid>
            <w:tr w:rsidR="00220A10" w:rsidRPr="007B12EB" w14:paraId="616E945B" w14:textId="77777777" w:rsidTr="0088597F">
              <w:trPr>
                <w:trHeight w:val="290"/>
              </w:trPr>
              <w:tc>
                <w:tcPr>
                  <w:tcW w:w="960" w:type="dxa"/>
                  <w:tcBorders>
                    <w:top w:val="nil"/>
                    <w:left w:val="nil"/>
                    <w:bottom w:val="nil"/>
                    <w:right w:val="nil"/>
                  </w:tcBorders>
                  <w:noWrap/>
                  <w:vAlign w:val="bottom"/>
                  <w:hideMark/>
                </w:tcPr>
                <w:p w14:paraId="4348F868"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0.334</w:t>
                  </w:r>
                  <w:r w:rsidRPr="007B12EB">
                    <w:rPr>
                      <w:rFonts w:ascii="Arial" w:hAnsi="Arial" w:cs="Arial"/>
                      <w:sz w:val="20"/>
                      <w:szCs w:val="20"/>
                      <w:lang w:val="en-IN"/>
                    </w:rPr>
                    <w:t xml:space="preserve">±0.017 </w:t>
                  </w:r>
                </w:p>
              </w:tc>
            </w:tr>
            <w:tr w:rsidR="00220A10" w:rsidRPr="007B12EB" w14:paraId="7520BD20" w14:textId="77777777" w:rsidTr="0088597F">
              <w:trPr>
                <w:trHeight w:val="290"/>
              </w:trPr>
              <w:tc>
                <w:tcPr>
                  <w:tcW w:w="960" w:type="dxa"/>
                  <w:tcBorders>
                    <w:top w:val="nil"/>
                    <w:left w:val="nil"/>
                    <w:bottom w:val="nil"/>
                    <w:right w:val="nil"/>
                  </w:tcBorders>
                  <w:noWrap/>
                  <w:vAlign w:val="bottom"/>
                  <w:hideMark/>
                </w:tcPr>
                <w:p w14:paraId="6A3E5A72"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04045C2E" w14:textId="77777777" w:rsidR="00220A10" w:rsidRPr="007B12EB" w:rsidRDefault="00220A10" w:rsidP="0088597F">
            <w:pPr>
              <w:spacing w:line="276" w:lineRule="auto"/>
              <w:jc w:val="both"/>
              <w:rPr>
                <w:rFonts w:ascii="Arial" w:hAnsi="Arial" w:cs="Arial"/>
                <w:b/>
                <w:bCs/>
                <w:sz w:val="20"/>
                <w:szCs w:val="20"/>
              </w:rPr>
            </w:pPr>
          </w:p>
        </w:tc>
        <w:tc>
          <w:tcPr>
            <w:tcW w:w="1836" w:type="dxa"/>
          </w:tcPr>
          <w:tbl>
            <w:tblPr>
              <w:tblW w:w="960" w:type="dxa"/>
              <w:tblLook w:val="04A0" w:firstRow="1" w:lastRow="0" w:firstColumn="1" w:lastColumn="0" w:noHBand="0" w:noVBand="1"/>
            </w:tblPr>
            <w:tblGrid>
              <w:gridCol w:w="1312"/>
            </w:tblGrid>
            <w:tr w:rsidR="00220A10" w:rsidRPr="007B12EB" w14:paraId="5D48750A" w14:textId="77777777" w:rsidTr="0088597F">
              <w:trPr>
                <w:trHeight w:val="290"/>
              </w:trPr>
              <w:tc>
                <w:tcPr>
                  <w:tcW w:w="960" w:type="dxa"/>
                  <w:tcBorders>
                    <w:top w:val="nil"/>
                    <w:left w:val="nil"/>
                    <w:bottom w:val="nil"/>
                    <w:right w:val="nil"/>
                  </w:tcBorders>
                  <w:noWrap/>
                  <w:vAlign w:val="bottom"/>
                  <w:hideMark/>
                </w:tcPr>
                <w:p w14:paraId="36510563"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0.366</w:t>
                  </w:r>
                  <w:r w:rsidRPr="007B12EB">
                    <w:rPr>
                      <w:rFonts w:ascii="Arial" w:hAnsi="Arial" w:cs="Arial"/>
                      <w:sz w:val="20"/>
                      <w:szCs w:val="20"/>
                      <w:lang w:val="en-IN"/>
                    </w:rPr>
                    <w:t xml:space="preserve">±0.011 </w:t>
                  </w:r>
                </w:p>
              </w:tc>
            </w:tr>
            <w:tr w:rsidR="00220A10" w:rsidRPr="007B12EB" w14:paraId="195CD3C9" w14:textId="77777777" w:rsidTr="0088597F">
              <w:trPr>
                <w:trHeight w:val="290"/>
              </w:trPr>
              <w:tc>
                <w:tcPr>
                  <w:tcW w:w="960" w:type="dxa"/>
                  <w:tcBorders>
                    <w:top w:val="nil"/>
                    <w:left w:val="nil"/>
                    <w:bottom w:val="nil"/>
                    <w:right w:val="nil"/>
                  </w:tcBorders>
                  <w:noWrap/>
                  <w:vAlign w:val="bottom"/>
                  <w:hideMark/>
                </w:tcPr>
                <w:p w14:paraId="3FBEE4D0"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19357FCB" w14:textId="77777777" w:rsidR="00220A10" w:rsidRPr="007B12EB" w:rsidRDefault="00220A10" w:rsidP="0088597F">
            <w:pPr>
              <w:spacing w:line="276" w:lineRule="auto"/>
              <w:jc w:val="both"/>
              <w:rPr>
                <w:rFonts w:ascii="Arial" w:hAnsi="Arial" w:cs="Arial"/>
                <w:b/>
                <w:bCs/>
                <w:sz w:val="20"/>
                <w:szCs w:val="20"/>
              </w:rPr>
            </w:pPr>
          </w:p>
        </w:tc>
        <w:tc>
          <w:tcPr>
            <w:tcW w:w="1828" w:type="dxa"/>
          </w:tcPr>
          <w:tbl>
            <w:tblPr>
              <w:tblW w:w="1273" w:type="dxa"/>
              <w:tblLook w:val="04A0" w:firstRow="1" w:lastRow="0" w:firstColumn="1" w:lastColumn="0" w:noHBand="0" w:noVBand="1"/>
            </w:tblPr>
            <w:tblGrid>
              <w:gridCol w:w="1273"/>
            </w:tblGrid>
            <w:tr w:rsidR="00220A10" w:rsidRPr="007B12EB" w14:paraId="6B5F7367" w14:textId="77777777" w:rsidTr="0088597F">
              <w:trPr>
                <w:trHeight w:val="290"/>
              </w:trPr>
              <w:tc>
                <w:tcPr>
                  <w:tcW w:w="1273" w:type="dxa"/>
                  <w:tcBorders>
                    <w:top w:val="nil"/>
                    <w:left w:val="nil"/>
                    <w:bottom w:val="nil"/>
                    <w:right w:val="nil"/>
                  </w:tcBorders>
                  <w:noWrap/>
                  <w:vAlign w:val="bottom"/>
                  <w:hideMark/>
                </w:tcPr>
                <w:p w14:paraId="347443F2"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0.37</w:t>
                  </w:r>
                  <w:r w:rsidRPr="007B12EB">
                    <w:rPr>
                      <w:rFonts w:ascii="Arial" w:hAnsi="Arial" w:cs="Arial"/>
                      <w:sz w:val="20"/>
                      <w:szCs w:val="20"/>
                      <w:lang w:val="en-IN"/>
                    </w:rPr>
                    <w:t xml:space="preserve">±0.009 </w:t>
                  </w:r>
                </w:p>
              </w:tc>
            </w:tr>
          </w:tbl>
          <w:p w14:paraId="47DB241D" w14:textId="77777777" w:rsidR="00220A10" w:rsidRPr="007B12EB" w:rsidRDefault="00220A10" w:rsidP="0088597F">
            <w:pPr>
              <w:spacing w:line="276" w:lineRule="auto"/>
              <w:jc w:val="both"/>
              <w:rPr>
                <w:rFonts w:ascii="Arial" w:hAnsi="Arial" w:cs="Arial"/>
                <w:b/>
                <w:bCs/>
                <w:sz w:val="20"/>
                <w:szCs w:val="20"/>
              </w:rPr>
            </w:pPr>
          </w:p>
        </w:tc>
        <w:tc>
          <w:tcPr>
            <w:tcW w:w="1693" w:type="dxa"/>
          </w:tcPr>
          <w:p w14:paraId="3D054361"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 xml:space="preserve">      1.79</w:t>
            </w:r>
          </w:p>
        </w:tc>
      </w:tr>
      <w:tr w:rsidR="00220A10" w:rsidRPr="007B12EB" w14:paraId="59D6EB0B" w14:textId="77777777" w:rsidTr="000E2687">
        <w:tc>
          <w:tcPr>
            <w:tcW w:w="2245" w:type="dxa"/>
          </w:tcPr>
          <w:p w14:paraId="4A8D229F" w14:textId="77777777" w:rsidR="00220A10" w:rsidRPr="007B12EB" w:rsidRDefault="00220A10" w:rsidP="000E2687">
            <w:pPr>
              <w:spacing w:line="276" w:lineRule="auto"/>
              <w:rPr>
                <w:rFonts w:ascii="Arial" w:hAnsi="Arial" w:cs="Arial"/>
                <w:b/>
                <w:bCs/>
                <w:sz w:val="20"/>
                <w:szCs w:val="20"/>
              </w:rPr>
            </w:pPr>
            <w:r w:rsidRPr="007B12EB">
              <w:rPr>
                <w:rFonts w:ascii="Arial" w:hAnsi="Arial" w:cs="Arial"/>
                <w:b/>
                <w:bCs/>
                <w:sz w:val="20"/>
                <w:szCs w:val="20"/>
              </w:rPr>
              <w:t>Sperm count</w:t>
            </w:r>
            <w:r w:rsidR="000E2687" w:rsidRPr="007B12EB">
              <w:rPr>
                <w:rFonts w:ascii="Arial" w:hAnsi="Arial" w:cs="Arial"/>
                <w:b/>
                <w:bCs/>
                <w:sz w:val="20"/>
                <w:szCs w:val="20"/>
              </w:rPr>
              <w:t xml:space="preserve"> </w:t>
            </w:r>
            <w:r w:rsidRPr="007B12EB">
              <w:rPr>
                <w:rFonts w:ascii="Arial" w:hAnsi="Arial" w:cs="Arial"/>
                <w:b/>
                <w:bCs/>
                <w:sz w:val="20"/>
                <w:szCs w:val="20"/>
              </w:rPr>
              <w:t>(10</w:t>
            </w:r>
            <w:r w:rsidRPr="007B12EB">
              <w:rPr>
                <w:rFonts w:ascii="Arial" w:hAnsi="Arial" w:cs="Arial"/>
                <w:b/>
                <w:bCs/>
                <w:sz w:val="20"/>
                <w:szCs w:val="20"/>
                <w:vertAlign w:val="superscript"/>
              </w:rPr>
              <w:t>4</w:t>
            </w:r>
            <w:r w:rsidRPr="007B12EB">
              <w:rPr>
                <w:rFonts w:ascii="Arial" w:hAnsi="Arial" w:cs="Arial"/>
                <w:b/>
                <w:bCs/>
                <w:sz w:val="20"/>
                <w:szCs w:val="20"/>
              </w:rPr>
              <w:t>/ml)</w:t>
            </w:r>
          </w:p>
        </w:tc>
        <w:tc>
          <w:tcPr>
            <w:tcW w:w="1748" w:type="dxa"/>
          </w:tcPr>
          <w:tbl>
            <w:tblPr>
              <w:tblW w:w="960" w:type="dxa"/>
              <w:tblLook w:val="04A0" w:firstRow="1" w:lastRow="0" w:firstColumn="1" w:lastColumn="0" w:noHBand="0" w:noVBand="1"/>
            </w:tblPr>
            <w:tblGrid>
              <w:gridCol w:w="1105"/>
            </w:tblGrid>
            <w:tr w:rsidR="00220A10" w:rsidRPr="007B12EB" w14:paraId="03D1BC51" w14:textId="77777777" w:rsidTr="0088597F">
              <w:trPr>
                <w:trHeight w:val="290"/>
              </w:trPr>
              <w:tc>
                <w:tcPr>
                  <w:tcW w:w="960" w:type="dxa"/>
                  <w:tcBorders>
                    <w:top w:val="nil"/>
                    <w:left w:val="nil"/>
                    <w:bottom w:val="nil"/>
                    <w:right w:val="nil"/>
                  </w:tcBorders>
                  <w:noWrap/>
                  <w:vAlign w:val="bottom"/>
                  <w:hideMark/>
                </w:tcPr>
                <w:p w14:paraId="2376135E"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118.4</w:t>
                  </w:r>
                  <w:r w:rsidRPr="007B12EB">
                    <w:rPr>
                      <w:rFonts w:ascii="Arial" w:hAnsi="Arial" w:cs="Arial"/>
                      <w:sz w:val="20"/>
                      <w:szCs w:val="20"/>
                      <w:lang w:val="en-IN"/>
                    </w:rPr>
                    <w:t>±6.1</w:t>
                  </w:r>
                </w:p>
              </w:tc>
            </w:tr>
            <w:tr w:rsidR="00220A10" w:rsidRPr="007B12EB" w14:paraId="3F26E171" w14:textId="77777777" w:rsidTr="0088597F">
              <w:trPr>
                <w:trHeight w:val="290"/>
              </w:trPr>
              <w:tc>
                <w:tcPr>
                  <w:tcW w:w="960" w:type="dxa"/>
                  <w:tcBorders>
                    <w:top w:val="nil"/>
                    <w:left w:val="nil"/>
                    <w:bottom w:val="nil"/>
                    <w:right w:val="nil"/>
                  </w:tcBorders>
                  <w:noWrap/>
                  <w:vAlign w:val="bottom"/>
                  <w:hideMark/>
                </w:tcPr>
                <w:p w14:paraId="203227A0"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51A38E5B" w14:textId="77777777" w:rsidR="00220A10" w:rsidRPr="007B12EB" w:rsidRDefault="00220A10" w:rsidP="0088597F">
            <w:pPr>
              <w:spacing w:line="276" w:lineRule="auto"/>
              <w:jc w:val="both"/>
              <w:rPr>
                <w:rFonts w:ascii="Arial" w:hAnsi="Arial" w:cs="Arial"/>
                <w:b/>
                <w:bCs/>
                <w:sz w:val="20"/>
                <w:szCs w:val="20"/>
              </w:rPr>
            </w:pPr>
          </w:p>
        </w:tc>
        <w:tc>
          <w:tcPr>
            <w:tcW w:w="1836" w:type="dxa"/>
          </w:tcPr>
          <w:tbl>
            <w:tblPr>
              <w:tblW w:w="960" w:type="dxa"/>
              <w:tblLook w:val="04A0" w:firstRow="1" w:lastRow="0" w:firstColumn="1" w:lastColumn="0" w:noHBand="0" w:noVBand="1"/>
            </w:tblPr>
            <w:tblGrid>
              <w:gridCol w:w="960"/>
            </w:tblGrid>
            <w:tr w:rsidR="00220A10" w:rsidRPr="007B12EB" w14:paraId="2F42BE89" w14:textId="77777777" w:rsidTr="0088597F">
              <w:trPr>
                <w:trHeight w:val="290"/>
              </w:trPr>
              <w:tc>
                <w:tcPr>
                  <w:tcW w:w="960" w:type="dxa"/>
                  <w:tcBorders>
                    <w:top w:val="nil"/>
                    <w:left w:val="nil"/>
                    <w:bottom w:val="nil"/>
                    <w:right w:val="nil"/>
                  </w:tcBorders>
                  <w:noWrap/>
                  <w:vAlign w:val="bottom"/>
                  <w:hideMark/>
                </w:tcPr>
                <w:p w14:paraId="0A991EE4"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83</w:t>
                  </w:r>
                  <w:r w:rsidRPr="007B12EB">
                    <w:rPr>
                      <w:rFonts w:ascii="Arial" w:hAnsi="Arial" w:cs="Arial"/>
                      <w:sz w:val="20"/>
                      <w:szCs w:val="20"/>
                      <w:lang w:val="en-IN"/>
                    </w:rPr>
                    <w:t xml:space="preserve">±1.9* </w:t>
                  </w:r>
                </w:p>
              </w:tc>
            </w:tr>
            <w:tr w:rsidR="00220A10" w:rsidRPr="007B12EB" w14:paraId="0D326A8A" w14:textId="77777777" w:rsidTr="0088597F">
              <w:trPr>
                <w:trHeight w:val="290"/>
              </w:trPr>
              <w:tc>
                <w:tcPr>
                  <w:tcW w:w="960" w:type="dxa"/>
                  <w:tcBorders>
                    <w:top w:val="nil"/>
                    <w:left w:val="nil"/>
                    <w:bottom w:val="nil"/>
                    <w:right w:val="nil"/>
                  </w:tcBorders>
                  <w:noWrap/>
                  <w:vAlign w:val="bottom"/>
                  <w:hideMark/>
                </w:tcPr>
                <w:p w14:paraId="2E945FF8"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622DE182" w14:textId="77777777" w:rsidR="00220A10" w:rsidRPr="007B12EB" w:rsidRDefault="00220A10" w:rsidP="0088597F">
            <w:pPr>
              <w:spacing w:line="276" w:lineRule="auto"/>
              <w:jc w:val="both"/>
              <w:rPr>
                <w:rFonts w:ascii="Arial" w:hAnsi="Arial" w:cs="Arial"/>
                <w:b/>
                <w:bCs/>
                <w:sz w:val="20"/>
                <w:szCs w:val="20"/>
              </w:rPr>
            </w:pPr>
          </w:p>
        </w:tc>
        <w:tc>
          <w:tcPr>
            <w:tcW w:w="1828" w:type="dxa"/>
          </w:tcPr>
          <w:tbl>
            <w:tblPr>
              <w:tblW w:w="1053" w:type="dxa"/>
              <w:tblLook w:val="04A0" w:firstRow="1" w:lastRow="0" w:firstColumn="1" w:lastColumn="0" w:noHBand="0" w:noVBand="1"/>
            </w:tblPr>
            <w:tblGrid>
              <w:gridCol w:w="1053"/>
            </w:tblGrid>
            <w:tr w:rsidR="00220A10" w:rsidRPr="007B12EB" w14:paraId="1A96D96C" w14:textId="77777777" w:rsidTr="0088597F">
              <w:trPr>
                <w:trHeight w:val="290"/>
              </w:trPr>
              <w:tc>
                <w:tcPr>
                  <w:tcW w:w="1053" w:type="dxa"/>
                  <w:tcBorders>
                    <w:top w:val="nil"/>
                    <w:left w:val="nil"/>
                    <w:bottom w:val="nil"/>
                    <w:right w:val="nil"/>
                  </w:tcBorders>
                  <w:noWrap/>
                  <w:vAlign w:val="bottom"/>
                  <w:hideMark/>
                </w:tcPr>
                <w:p w14:paraId="15312CF8" w14:textId="77777777" w:rsidR="00220A10" w:rsidRPr="007B12EB" w:rsidRDefault="00220A10" w:rsidP="0088597F">
                  <w:pPr>
                    <w:spacing w:after="0"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105</w:t>
                  </w:r>
                  <w:r w:rsidRPr="007B12EB">
                    <w:rPr>
                      <w:rFonts w:ascii="Arial" w:hAnsi="Arial" w:cs="Arial"/>
                      <w:sz w:val="20"/>
                      <w:szCs w:val="20"/>
                      <w:lang w:val="en-IN"/>
                    </w:rPr>
                    <w:t xml:space="preserve">±4.6* </w:t>
                  </w:r>
                </w:p>
              </w:tc>
            </w:tr>
          </w:tbl>
          <w:p w14:paraId="281FC7F9" w14:textId="77777777" w:rsidR="00220A10" w:rsidRPr="007B12EB" w:rsidRDefault="00220A10" w:rsidP="0088597F">
            <w:pPr>
              <w:spacing w:line="276" w:lineRule="auto"/>
              <w:jc w:val="both"/>
              <w:rPr>
                <w:rFonts w:ascii="Arial" w:hAnsi="Arial" w:cs="Arial"/>
                <w:b/>
                <w:bCs/>
                <w:sz w:val="20"/>
                <w:szCs w:val="20"/>
              </w:rPr>
            </w:pPr>
          </w:p>
        </w:tc>
        <w:tc>
          <w:tcPr>
            <w:tcW w:w="1693" w:type="dxa"/>
          </w:tcPr>
          <w:p w14:paraId="664756B9"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 xml:space="preserve">      12.215</w:t>
            </w:r>
          </w:p>
        </w:tc>
      </w:tr>
      <w:tr w:rsidR="00220A10" w:rsidRPr="007B12EB" w14:paraId="33516BB5" w14:textId="77777777" w:rsidTr="000E2687">
        <w:trPr>
          <w:trHeight w:val="521"/>
        </w:trPr>
        <w:tc>
          <w:tcPr>
            <w:tcW w:w="2245" w:type="dxa"/>
          </w:tcPr>
          <w:p w14:paraId="2503FE28"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Frequency of sperm abnormality</w:t>
            </w:r>
            <w:r w:rsidR="000E2687" w:rsidRPr="007B12EB">
              <w:rPr>
                <w:rFonts w:ascii="Arial" w:hAnsi="Arial" w:cs="Arial"/>
                <w:b/>
                <w:bCs/>
                <w:sz w:val="20"/>
                <w:szCs w:val="20"/>
              </w:rPr>
              <w:t xml:space="preserve"> </w:t>
            </w:r>
            <w:r w:rsidRPr="007B12EB">
              <w:rPr>
                <w:rFonts w:ascii="Arial" w:hAnsi="Arial" w:cs="Arial"/>
                <w:b/>
                <w:bCs/>
                <w:sz w:val="20"/>
                <w:szCs w:val="20"/>
              </w:rPr>
              <w:t>(%)</w:t>
            </w:r>
          </w:p>
          <w:p w14:paraId="253A135C" w14:textId="77777777" w:rsidR="00220A10" w:rsidRPr="007B12EB" w:rsidRDefault="00220A10" w:rsidP="0088597F">
            <w:pPr>
              <w:spacing w:line="276" w:lineRule="auto"/>
              <w:jc w:val="both"/>
              <w:rPr>
                <w:rFonts w:ascii="Arial" w:hAnsi="Arial" w:cs="Arial"/>
                <w:b/>
                <w:bCs/>
                <w:sz w:val="20"/>
                <w:szCs w:val="20"/>
              </w:rPr>
            </w:pPr>
          </w:p>
        </w:tc>
        <w:tc>
          <w:tcPr>
            <w:tcW w:w="1748" w:type="dxa"/>
          </w:tcPr>
          <w:p w14:paraId="40056732" w14:textId="77777777" w:rsidR="00220A10" w:rsidRPr="007B12EB" w:rsidRDefault="00220A10" w:rsidP="0088597F">
            <w:pPr>
              <w:spacing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 xml:space="preserve">  10.66±0.93</w:t>
            </w:r>
          </w:p>
        </w:tc>
        <w:tc>
          <w:tcPr>
            <w:tcW w:w="1836" w:type="dxa"/>
          </w:tcPr>
          <w:p w14:paraId="2A54BA8A" w14:textId="77777777" w:rsidR="00220A10" w:rsidRPr="007B12EB" w:rsidRDefault="00220A10" w:rsidP="0088597F">
            <w:pPr>
              <w:spacing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 xml:space="preserve">  43.2±1.7*</w:t>
            </w:r>
          </w:p>
        </w:tc>
        <w:tc>
          <w:tcPr>
            <w:tcW w:w="1828" w:type="dxa"/>
          </w:tcPr>
          <w:p w14:paraId="0F84FDA7" w14:textId="77777777" w:rsidR="00220A10" w:rsidRPr="007B12EB" w:rsidRDefault="00220A10" w:rsidP="0088597F">
            <w:pPr>
              <w:spacing w:line="276" w:lineRule="auto"/>
              <w:jc w:val="both"/>
              <w:rPr>
                <w:rFonts w:ascii="Arial" w:eastAsia="Times New Roman" w:hAnsi="Arial" w:cs="Arial"/>
                <w:color w:val="000000"/>
                <w:kern w:val="0"/>
                <w:sz w:val="20"/>
                <w:szCs w:val="20"/>
                <w14:ligatures w14:val="none"/>
              </w:rPr>
            </w:pPr>
            <w:r w:rsidRPr="007B12EB">
              <w:rPr>
                <w:rFonts w:ascii="Arial" w:eastAsia="Times New Roman" w:hAnsi="Arial" w:cs="Arial"/>
                <w:color w:val="000000"/>
                <w:kern w:val="0"/>
                <w:sz w:val="20"/>
                <w:szCs w:val="20"/>
                <w14:ligatures w14:val="none"/>
              </w:rPr>
              <w:t xml:space="preserve">  21.8±1.52*</w:t>
            </w:r>
          </w:p>
        </w:tc>
        <w:tc>
          <w:tcPr>
            <w:tcW w:w="1693" w:type="dxa"/>
          </w:tcPr>
          <w:p w14:paraId="7C03A803" w14:textId="77777777" w:rsidR="00220A10" w:rsidRPr="007B12EB" w:rsidRDefault="00220A10" w:rsidP="0088597F">
            <w:pPr>
              <w:spacing w:line="276" w:lineRule="auto"/>
              <w:jc w:val="both"/>
              <w:rPr>
                <w:rFonts w:ascii="Arial" w:hAnsi="Arial" w:cs="Arial"/>
                <w:b/>
                <w:bCs/>
                <w:sz w:val="20"/>
                <w:szCs w:val="20"/>
              </w:rPr>
            </w:pPr>
            <w:r w:rsidRPr="007B12EB">
              <w:rPr>
                <w:rFonts w:ascii="Arial" w:hAnsi="Arial" w:cs="Arial"/>
                <w:b/>
                <w:bCs/>
                <w:sz w:val="20"/>
                <w:szCs w:val="20"/>
              </w:rPr>
              <w:t xml:space="preserve">      131.3</w:t>
            </w:r>
          </w:p>
        </w:tc>
      </w:tr>
    </w:tbl>
    <w:p w14:paraId="559DD8E4" w14:textId="77777777" w:rsidR="0071208A" w:rsidRPr="007B12EB" w:rsidRDefault="0071208A" w:rsidP="0071208A">
      <w:pPr>
        <w:pStyle w:val="ListParagraph"/>
        <w:spacing w:line="276" w:lineRule="auto"/>
        <w:ind w:left="840" w:hanging="840"/>
        <w:jc w:val="both"/>
        <w:rPr>
          <w:rFonts w:ascii="Arial" w:hAnsi="Arial" w:cs="Arial"/>
          <w:noProof/>
          <w:sz w:val="16"/>
          <w:szCs w:val="16"/>
        </w:rPr>
      </w:pPr>
      <w:r w:rsidRPr="007B12EB">
        <w:rPr>
          <w:rFonts w:ascii="Arial" w:hAnsi="Arial" w:cs="Arial"/>
          <w:noProof/>
          <w:sz w:val="16"/>
          <w:szCs w:val="16"/>
        </w:rPr>
        <w:t xml:space="preserve">*Significant at </w:t>
      </w:r>
      <w:r w:rsidRPr="007B12EB">
        <w:rPr>
          <w:rFonts w:ascii="Arial" w:hAnsi="Arial" w:cs="Arial"/>
          <w:i/>
          <w:iCs/>
          <w:noProof/>
          <w:sz w:val="16"/>
          <w:szCs w:val="16"/>
        </w:rPr>
        <w:t>P</w:t>
      </w:r>
      <w:r w:rsidR="0020416B" w:rsidRPr="007B12EB">
        <w:rPr>
          <w:rFonts w:ascii="Arial" w:hAnsi="Arial" w:cs="Arial"/>
          <w:i/>
          <w:iCs/>
          <w:noProof/>
          <w:sz w:val="16"/>
          <w:szCs w:val="16"/>
        </w:rPr>
        <w:t>= .</w:t>
      </w:r>
      <w:r w:rsidRPr="007B12EB">
        <w:rPr>
          <w:rFonts w:ascii="Arial" w:hAnsi="Arial" w:cs="Arial"/>
          <w:i/>
          <w:iCs/>
          <w:noProof/>
          <w:sz w:val="16"/>
          <w:szCs w:val="16"/>
        </w:rPr>
        <w:t>05</w:t>
      </w:r>
      <w:r w:rsidRPr="007B12EB">
        <w:rPr>
          <w:rFonts w:ascii="Arial" w:hAnsi="Arial" w:cs="Arial"/>
          <w:noProof/>
          <w:sz w:val="16"/>
          <w:szCs w:val="16"/>
        </w:rPr>
        <w:t xml:space="preserve"> by ANOVA</w:t>
      </w:r>
      <w:r w:rsidR="007D7D83" w:rsidRPr="007B12EB">
        <w:rPr>
          <w:rFonts w:ascii="Arial" w:hAnsi="Arial" w:cs="Arial"/>
          <w:noProof/>
          <w:sz w:val="16"/>
          <w:szCs w:val="16"/>
        </w:rPr>
        <w:t xml:space="preserve">  Sample size (n) = 10</w:t>
      </w:r>
    </w:p>
    <w:p w14:paraId="23969060" w14:textId="77777777" w:rsidR="004C5D0F" w:rsidRPr="007B12EB" w:rsidRDefault="004C5D0F" w:rsidP="0071208A">
      <w:pPr>
        <w:pStyle w:val="ListParagraph"/>
        <w:spacing w:line="276" w:lineRule="auto"/>
        <w:ind w:left="840" w:hanging="840"/>
        <w:jc w:val="both"/>
        <w:rPr>
          <w:rFonts w:ascii="Arial" w:hAnsi="Arial" w:cs="Arial"/>
          <w:noProof/>
          <w:sz w:val="16"/>
          <w:szCs w:val="16"/>
        </w:rPr>
      </w:pPr>
    </w:p>
    <w:p w14:paraId="622D7BC7" w14:textId="77777777" w:rsidR="004C5D0F" w:rsidRPr="007B12EB" w:rsidRDefault="004C5D0F" w:rsidP="0071208A">
      <w:pPr>
        <w:pStyle w:val="ListParagraph"/>
        <w:spacing w:line="276" w:lineRule="auto"/>
        <w:ind w:left="840" w:hanging="840"/>
        <w:jc w:val="both"/>
        <w:rPr>
          <w:rFonts w:ascii="Arial" w:hAnsi="Arial" w:cs="Arial"/>
          <w:noProof/>
          <w:sz w:val="16"/>
          <w:szCs w:val="16"/>
        </w:rPr>
      </w:pPr>
    </w:p>
    <w:p w14:paraId="05F27762" w14:textId="77777777" w:rsidR="00220A10" w:rsidRPr="007B12EB" w:rsidRDefault="00560922" w:rsidP="00220A10">
      <w:pPr>
        <w:spacing w:line="276" w:lineRule="auto"/>
        <w:jc w:val="both"/>
        <w:rPr>
          <w:rFonts w:ascii="Arial" w:hAnsi="Arial" w:cs="Arial"/>
          <w:b/>
          <w:bCs/>
          <w:noProof/>
          <w:sz w:val="20"/>
          <w:szCs w:val="20"/>
        </w:rPr>
      </w:pPr>
      <w:r w:rsidRPr="007B12EB">
        <w:rPr>
          <w:rFonts w:ascii="Arial" w:hAnsi="Arial" w:cs="Arial"/>
          <w:noProof/>
          <w:sz w:val="20"/>
          <w:szCs w:val="20"/>
        </w:rPr>
        <w:tab/>
      </w:r>
      <w:r w:rsidRPr="007B12EB">
        <w:rPr>
          <w:rFonts w:ascii="Arial" w:hAnsi="Arial" w:cs="Arial"/>
          <w:noProof/>
          <w:sz w:val="20"/>
          <w:szCs w:val="20"/>
        </w:rPr>
        <w:tab/>
      </w:r>
      <w:r w:rsidR="00220A10" w:rsidRPr="007B12EB">
        <w:rPr>
          <w:rFonts w:ascii="Arial" w:hAnsi="Arial" w:cs="Arial"/>
          <w:noProof/>
          <w:sz w:val="20"/>
          <w:szCs w:val="20"/>
        </w:rPr>
        <w:t xml:space="preserve">   </w:t>
      </w:r>
      <w:r w:rsidR="00220A10" w:rsidRPr="007B12EB">
        <w:rPr>
          <w:rFonts w:ascii="Arial" w:hAnsi="Arial" w:cs="Arial"/>
          <w:noProof/>
          <w:sz w:val="20"/>
          <w:szCs w:val="20"/>
        </w:rPr>
        <w:drawing>
          <wp:inline distT="0" distB="0" distL="0" distR="0" wp14:anchorId="49B4F184" wp14:editId="6C964B24">
            <wp:extent cx="3724275" cy="2203450"/>
            <wp:effectExtent l="0" t="0" r="9525" b="6350"/>
            <wp:docPr id="1602427204" name="Chart 1">
              <a:extLst xmlns:a="http://schemas.openxmlformats.org/drawingml/2006/main">
                <a:ext uri="{FF2B5EF4-FFF2-40B4-BE49-F238E27FC236}">
                  <a16:creationId xmlns:a16="http://schemas.microsoft.com/office/drawing/2014/main" id="{6D1B9D60-9171-C73D-8625-371157AC57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220A10" w:rsidRPr="007B12EB">
        <w:rPr>
          <w:rFonts w:ascii="Arial" w:hAnsi="Arial" w:cs="Arial"/>
          <w:noProof/>
          <w:sz w:val="20"/>
          <w:szCs w:val="20"/>
        </w:rPr>
        <w:t xml:space="preserve">  </w:t>
      </w:r>
      <w:r w:rsidR="00220A10" w:rsidRPr="007B12EB">
        <w:rPr>
          <w:rFonts w:ascii="Arial" w:hAnsi="Arial" w:cs="Arial"/>
          <w:b/>
          <w:bCs/>
          <w:noProof/>
          <w:sz w:val="20"/>
          <w:szCs w:val="20"/>
        </w:rPr>
        <w:t xml:space="preserve">  </w:t>
      </w:r>
    </w:p>
    <w:p w14:paraId="41DAA845" w14:textId="77777777" w:rsidR="00D47431" w:rsidRPr="007B12EB" w:rsidRDefault="00D47431" w:rsidP="004C5D0F">
      <w:pPr>
        <w:spacing w:line="276" w:lineRule="auto"/>
        <w:jc w:val="center"/>
        <w:rPr>
          <w:rFonts w:ascii="Arial" w:hAnsi="Arial" w:cs="Arial"/>
          <w:b/>
          <w:bCs/>
          <w:noProof/>
          <w:sz w:val="20"/>
          <w:szCs w:val="20"/>
        </w:rPr>
      </w:pPr>
    </w:p>
    <w:p w14:paraId="7C762559" w14:textId="77777777" w:rsidR="00220A10" w:rsidRPr="007B12EB" w:rsidRDefault="00220A10" w:rsidP="004C5D0F">
      <w:pPr>
        <w:spacing w:line="276" w:lineRule="auto"/>
        <w:jc w:val="center"/>
        <w:rPr>
          <w:rFonts w:ascii="Arial" w:hAnsi="Arial" w:cs="Arial"/>
          <w:b/>
          <w:bCs/>
          <w:i/>
          <w:iCs/>
          <w:noProof/>
          <w:sz w:val="20"/>
          <w:szCs w:val="20"/>
        </w:rPr>
      </w:pPr>
      <w:r w:rsidRPr="007B12EB">
        <w:rPr>
          <w:rFonts w:ascii="Arial" w:hAnsi="Arial" w:cs="Arial"/>
          <w:b/>
          <w:bCs/>
          <w:noProof/>
          <w:sz w:val="20"/>
          <w:szCs w:val="20"/>
        </w:rPr>
        <w:t>Figure 1. Effect of P</w:t>
      </w:r>
      <w:r w:rsidR="00602C36" w:rsidRPr="007B12EB">
        <w:rPr>
          <w:rFonts w:ascii="Arial" w:hAnsi="Arial" w:cs="Arial"/>
          <w:b/>
          <w:bCs/>
          <w:noProof/>
          <w:sz w:val="20"/>
          <w:szCs w:val="20"/>
        </w:rPr>
        <w:t xml:space="preserve">C </w:t>
      </w:r>
      <w:r w:rsidRPr="007B12EB">
        <w:rPr>
          <w:rFonts w:ascii="Arial" w:hAnsi="Arial" w:cs="Arial"/>
          <w:b/>
          <w:bCs/>
          <w:noProof/>
          <w:sz w:val="20"/>
          <w:szCs w:val="20"/>
        </w:rPr>
        <w:t>and</w:t>
      </w:r>
      <w:r w:rsidR="00602C36" w:rsidRPr="007B12EB">
        <w:rPr>
          <w:rFonts w:ascii="Arial" w:hAnsi="Arial" w:cs="Arial"/>
          <w:b/>
          <w:bCs/>
          <w:noProof/>
          <w:sz w:val="20"/>
          <w:szCs w:val="20"/>
        </w:rPr>
        <w:t xml:space="preserve"> PC + </w:t>
      </w:r>
      <w:r w:rsidR="00B77DA7" w:rsidRPr="007B12EB">
        <w:rPr>
          <w:rFonts w:ascii="Arial" w:hAnsi="Arial" w:cs="Arial"/>
          <w:b/>
          <w:bCs/>
          <w:noProof/>
          <w:sz w:val="20"/>
          <w:szCs w:val="20"/>
        </w:rPr>
        <w:t xml:space="preserve">fenugreek </w:t>
      </w:r>
      <w:r w:rsidRPr="007B12EB">
        <w:rPr>
          <w:rFonts w:ascii="Arial" w:hAnsi="Arial" w:cs="Arial"/>
          <w:b/>
          <w:bCs/>
          <w:noProof/>
          <w:sz w:val="20"/>
          <w:szCs w:val="20"/>
        </w:rPr>
        <w:t xml:space="preserve">on reproductive health in </w:t>
      </w:r>
      <w:r w:rsidR="00836FDF" w:rsidRPr="007B12EB">
        <w:rPr>
          <w:rFonts w:ascii="Arial" w:hAnsi="Arial" w:cs="Arial"/>
          <w:b/>
          <w:bCs/>
          <w:i/>
          <w:iCs/>
          <w:noProof/>
          <w:sz w:val="20"/>
          <w:szCs w:val="20"/>
        </w:rPr>
        <w:t>M.</w:t>
      </w:r>
      <w:r w:rsidRPr="007B12EB">
        <w:rPr>
          <w:rFonts w:ascii="Arial" w:hAnsi="Arial" w:cs="Arial"/>
          <w:b/>
          <w:bCs/>
          <w:i/>
          <w:iCs/>
          <w:noProof/>
          <w:sz w:val="20"/>
          <w:szCs w:val="20"/>
        </w:rPr>
        <w:t xml:space="preserve"> musculus</w:t>
      </w:r>
    </w:p>
    <w:p w14:paraId="5B83AFB5" w14:textId="77777777" w:rsidR="00220A10" w:rsidRPr="007B12EB" w:rsidRDefault="00EB5684" w:rsidP="00220A10">
      <w:pPr>
        <w:spacing w:line="276" w:lineRule="auto"/>
        <w:jc w:val="both"/>
        <w:rPr>
          <w:rFonts w:ascii="Arial" w:hAnsi="Arial" w:cs="Arial"/>
          <w:vanish/>
          <w:sz w:val="16"/>
          <w:szCs w:val="16"/>
        </w:rPr>
      </w:pPr>
      <w:r w:rsidRPr="007B12EB">
        <w:rPr>
          <w:rFonts w:ascii="Arial" w:hAnsi="Arial" w:cs="Arial"/>
          <w:sz w:val="20"/>
          <w:szCs w:val="20"/>
        </w:rPr>
        <w:tab/>
      </w:r>
      <w:r w:rsidRPr="007B12EB">
        <w:rPr>
          <w:rFonts w:ascii="Arial" w:hAnsi="Arial" w:cs="Arial"/>
          <w:sz w:val="20"/>
          <w:szCs w:val="20"/>
        </w:rPr>
        <w:tab/>
      </w:r>
      <w:r w:rsidR="00AC12CA" w:rsidRPr="007B12EB">
        <w:rPr>
          <w:rFonts w:ascii="Arial" w:hAnsi="Arial" w:cs="Arial"/>
          <w:sz w:val="20"/>
          <w:szCs w:val="20"/>
        </w:rPr>
        <w:t>(</w:t>
      </w:r>
      <w:r w:rsidRPr="007B12EB">
        <w:rPr>
          <w:rFonts w:ascii="Arial" w:hAnsi="Arial" w:cs="Arial"/>
          <w:sz w:val="16"/>
          <w:szCs w:val="16"/>
        </w:rPr>
        <w:t xml:space="preserve">BW = Body </w:t>
      </w:r>
      <w:proofErr w:type="gramStart"/>
      <w:r w:rsidRPr="007B12EB">
        <w:rPr>
          <w:rFonts w:ascii="Arial" w:hAnsi="Arial" w:cs="Arial"/>
          <w:sz w:val="16"/>
          <w:szCs w:val="16"/>
        </w:rPr>
        <w:t xml:space="preserve">weight;   </w:t>
      </w:r>
      <w:proofErr w:type="gramEnd"/>
      <w:r w:rsidRPr="007B12EB">
        <w:rPr>
          <w:rFonts w:ascii="Arial" w:hAnsi="Arial" w:cs="Arial"/>
          <w:sz w:val="16"/>
          <w:szCs w:val="16"/>
        </w:rPr>
        <w:t xml:space="preserve">TW = Testis </w:t>
      </w:r>
      <w:proofErr w:type="gramStart"/>
      <w:r w:rsidRPr="007B12EB">
        <w:rPr>
          <w:rFonts w:ascii="Arial" w:hAnsi="Arial" w:cs="Arial"/>
          <w:sz w:val="16"/>
          <w:szCs w:val="16"/>
        </w:rPr>
        <w:t xml:space="preserve">weight;   </w:t>
      </w:r>
      <w:proofErr w:type="gramEnd"/>
      <w:r w:rsidRPr="007B12EB">
        <w:rPr>
          <w:rFonts w:ascii="Arial" w:hAnsi="Arial" w:cs="Arial"/>
          <w:sz w:val="16"/>
          <w:szCs w:val="16"/>
        </w:rPr>
        <w:t xml:space="preserve">SC = Sperm </w:t>
      </w:r>
      <w:proofErr w:type="gramStart"/>
      <w:r w:rsidRPr="007B12EB">
        <w:rPr>
          <w:rFonts w:ascii="Arial" w:hAnsi="Arial" w:cs="Arial"/>
          <w:sz w:val="16"/>
          <w:szCs w:val="16"/>
        </w:rPr>
        <w:t xml:space="preserve">count;   </w:t>
      </w:r>
      <w:proofErr w:type="gramEnd"/>
      <w:r w:rsidRPr="007B12EB">
        <w:rPr>
          <w:rFonts w:ascii="Arial" w:hAnsi="Arial" w:cs="Arial"/>
          <w:sz w:val="16"/>
          <w:szCs w:val="16"/>
        </w:rPr>
        <w:t xml:space="preserve">  TSI = </w:t>
      </w:r>
      <w:proofErr w:type="spellStart"/>
      <w:r w:rsidRPr="007B12EB">
        <w:rPr>
          <w:rFonts w:ascii="Arial" w:hAnsi="Arial" w:cs="Arial"/>
          <w:sz w:val="16"/>
          <w:szCs w:val="16"/>
        </w:rPr>
        <w:t>Testiculosomatic</w:t>
      </w:r>
      <w:proofErr w:type="spellEnd"/>
      <w:r w:rsidRPr="007B12EB">
        <w:rPr>
          <w:rFonts w:ascii="Arial" w:hAnsi="Arial" w:cs="Arial"/>
          <w:sz w:val="16"/>
          <w:szCs w:val="16"/>
        </w:rPr>
        <w:t xml:space="preserve"> index</w:t>
      </w:r>
      <w:r w:rsidR="00AC12CA" w:rsidRPr="007B12EB">
        <w:rPr>
          <w:rFonts w:ascii="Arial" w:hAnsi="Arial" w:cs="Arial"/>
          <w:sz w:val="16"/>
          <w:szCs w:val="16"/>
        </w:rPr>
        <w:t>)</w:t>
      </w:r>
    </w:p>
    <w:p w14:paraId="65F88DA4" w14:textId="77777777" w:rsidR="00220A10" w:rsidRPr="007B12EB" w:rsidRDefault="00220A10" w:rsidP="00220A10">
      <w:pPr>
        <w:spacing w:line="276" w:lineRule="auto"/>
        <w:jc w:val="both"/>
        <w:rPr>
          <w:rFonts w:ascii="Arial" w:hAnsi="Arial" w:cs="Arial"/>
          <w:sz w:val="16"/>
          <w:szCs w:val="16"/>
        </w:rPr>
      </w:pPr>
    </w:p>
    <w:p w14:paraId="0B5EB315" w14:textId="77777777" w:rsidR="00220A10" w:rsidRPr="007B12EB" w:rsidRDefault="00220A10" w:rsidP="00220A10">
      <w:pPr>
        <w:spacing w:line="276" w:lineRule="auto"/>
        <w:jc w:val="both"/>
        <w:rPr>
          <w:rFonts w:ascii="Arial" w:hAnsi="Arial" w:cs="Arial"/>
          <w:b/>
          <w:bCs/>
          <w:noProof/>
          <w:sz w:val="20"/>
          <w:szCs w:val="20"/>
        </w:rPr>
      </w:pPr>
      <w:r w:rsidRPr="007B12EB">
        <w:rPr>
          <w:rFonts w:ascii="Arial" w:hAnsi="Arial" w:cs="Arial"/>
          <w:b/>
          <w:bCs/>
          <w:noProof/>
          <w:sz w:val="20"/>
          <w:szCs w:val="20"/>
        </w:rPr>
        <w:lastRenderedPageBreak/>
        <w:t xml:space="preserve">                </w:t>
      </w:r>
      <w:r w:rsidRPr="007B12EB">
        <w:rPr>
          <w:rFonts w:ascii="Arial" w:hAnsi="Arial" w:cs="Arial"/>
          <w:b/>
          <w:bCs/>
          <w:noProof/>
          <w:sz w:val="20"/>
          <w:szCs w:val="20"/>
        </w:rPr>
        <w:drawing>
          <wp:inline distT="0" distB="0" distL="0" distR="0" wp14:anchorId="1434590A" wp14:editId="0DAB82AD">
            <wp:extent cx="1216152" cy="2048256"/>
            <wp:effectExtent l="0" t="0" r="3175" b="9525"/>
            <wp:docPr id="97713183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6192112" name="Picture 986192112"/>
                    <pic:cNvPicPr preferRelativeResize="0"/>
                  </pic:nvPicPr>
                  <pic:blipFill>
                    <a:blip r:embed="rId8">
                      <a:extLst>
                        <a:ext uri="{28A0092B-C50C-407E-A947-70E740481C1C}">
                          <a14:useLocalDpi xmlns:a14="http://schemas.microsoft.com/office/drawing/2010/main" val="0"/>
                        </a:ext>
                      </a:extLst>
                    </a:blip>
                    <a:stretch>
                      <a:fillRect/>
                    </a:stretch>
                  </pic:blipFill>
                  <pic:spPr>
                    <a:xfrm rot="10800000">
                      <a:off x="0" y="0"/>
                      <a:ext cx="1216152" cy="2048256"/>
                    </a:xfrm>
                    <a:prstGeom prst="rect">
                      <a:avLst/>
                    </a:prstGeom>
                  </pic:spPr>
                </pic:pic>
              </a:graphicData>
            </a:graphic>
          </wp:inline>
        </w:drawing>
      </w:r>
      <w:r w:rsidR="00F92565" w:rsidRPr="007B12EB">
        <w:rPr>
          <w:rFonts w:ascii="Arial" w:hAnsi="Arial" w:cs="Arial"/>
          <w:noProof/>
          <w:sz w:val="20"/>
          <w:szCs w:val="20"/>
        </w:rPr>
        <w:t xml:space="preserve"> </w:t>
      </w:r>
      <w:r w:rsidRPr="007B12EB">
        <w:rPr>
          <w:rFonts w:ascii="Arial" w:hAnsi="Arial" w:cs="Arial"/>
          <w:noProof/>
          <w:sz w:val="20"/>
          <w:szCs w:val="20"/>
        </w:rPr>
        <w:drawing>
          <wp:inline distT="0" distB="0" distL="0" distR="0" wp14:anchorId="7507A6ED" wp14:editId="419BCEB4">
            <wp:extent cx="1116733" cy="2040794"/>
            <wp:effectExtent l="0" t="0" r="7620" b="0"/>
            <wp:docPr id="3774714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9036" cy="2136376"/>
                    </a:xfrm>
                    <a:prstGeom prst="rect">
                      <a:avLst/>
                    </a:prstGeom>
                    <a:noFill/>
                    <a:ln>
                      <a:noFill/>
                    </a:ln>
                  </pic:spPr>
                </pic:pic>
              </a:graphicData>
            </a:graphic>
          </wp:inline>
        </w:drawing>
      </w:r>
      <w:r w:rsidR="00F92565" w:rsidRPr="007B12EB">
        <w:rPr>
          <w:rFonts w:ascii="Arial" w:hAnsi="Arial" w:cs="Arial"/>
          <w:b/>
          <w:bCs/>
          <w:noProof/>
          <w:sz w:val="20"/>
          <w:szCs w:val="20"/>
        </w:rPr>
        <w:t xml:space="preserve"> </w:t>
      </w:r>
      <w:r w:rsidRPr="007B12EB">
        <w:rPr>
          <w:rFonts w:ascii="Arial" w:hAnsi="Arial" w:cs="Arial"/>
          <w:b/>
          <w:bCs/>
          <w:noProof/>
          <w:sz w:val="20"/>
          <w:szCs w:val="20"/>
        </w:rPr>
        <w:drawing>
          <wp:inline distT="0" distB="0" distL="0" distR="0" wp14:anchorId="1155ABEE" wp14:editId="7B9EFA43">
            <wp:extent cx="1287201" cy="2045854"/>
            <wp:effectExtent l="0" t="0" r="8255" b="0"/>
            <wp:docPr id="2130861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78265" name="Picture 369278265"/>
                    <pic:cNvPicPr/>
                  </pic:nvPicPr>
                  <pic:blipFill rotWithShape="1">
                    <a:blip r:embed="rId10">
                      <a:extLst>
                        <a:ext uri="{28A0092B-C50C-407E-A947-70E740481C1C}">
                          <a14:useLocalDpi xmlns:a14="http://schemas.microsoft.com/office/drawing/2010/main" val="0"/>
                        </a:ext>
                      </a:extLst>
                    </a:blip>
                    <a:srcRect l="9177" b="565"/>
                    <a:stretch>
                      <a:fillRect/>
                    </a:stretch>
                  </pic:blipFill>
                  <pic:spPr bwMode="auto">
                    <a:xfrm>
                      <a:off x="0" y="0"/>
                      <a:ext cx="1322231" cy="2101530"/>
                    </a:xfrm>
                    <a:prstGeom prst="rect">
                      <a:avLst/>
                    </a:prstGeom>
                    <a:ln>
                      <a:noFill/>
                    </a:ln>
                    <a:extLst>
                      <a:ext uri="{53640926-AAD7-44D8-BBD7-CCE9431645EC}">
                        <a14:shadowObscured xmlns:a14="http://schemas.microsoft.com/office/drawing/2010/main"/>
                      </a:ext>
                    </a:extLst>
                  </pic:spPr>
                </pic:pic>
              </a:graphicData>
            </a:graphic>
          </wp:inline>
        </w:drawing>
      </w:r>
      <w:r w:rsidR="00F92565" w:rsidRPr="007B12EB">
        <w:rPr>
          <w:rFonts w:ascii="Arial" w:hAnsi="Arial" w:cs="Arial"/>
          <w:b/>
          <w:bCs/>
          <w:noProof/>
          <w:sz w:val="20"/>
          <w:szCs w:val="20"/>
        </w:rPr>
        <w:t xml:space="preserve"> </w:t>
      </w:r>
      <w:r w:rsidRPr="007B12EB">
        <w:rPr>
          <w:rFonts w:ascii="Arial" w:hAnsi="Arial" w:cs="Arial"/>
          <w:b/>
          <w:bCs/>
          <w:noProof/>
          <w:sz w:val="20"/>
          <w:szCs w:val="20"/>
        </w:rPr>
        <w:drawing>
          <wp:inline distT="0" distB="0" distL="0" distR="0" wp14:anchorId="1BF2DF44" wp14:editId="2260E315">
            <wp:extent cx="1132954" cy="2054424"/>
            <wp:effectExtent l="0" t="0" r="0" b="3175"/>
            <wp:docPr id="11245025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28733" name="Picture 581528733"/>
                    <pic:cNvPicPr/>
                  </pic:nvPicPr>
                  <pic:blipFill>
                    <a:blip r:embed="rId11">
                      <a:extLst>
                        <a:ext uri="{28A0092B-C50C-407E-A947-70E740481C1C}">
                          <a14:useLocalDpi xmlns:a14="http://schemas.microsoft.com/office/drawing/2010/main" val="0"/>
                        </a:ext>
                      </a:extLst>
                    </a:blip>
                    <a:stretch>
                      <a:fillRect/>
                    </a:stretch>
                  </pic:blipFill>
                  <pic:spPr>
                    <a:xfrm>
                      <a:off x="0" y="0"/>
                      <a:ext cx="1140289" cy="2067724"/>
                    </a:xfrm>
                    <a:prstGeom prst="rect">
                      <a:avLst/>
                    </a:prstGeom>
                  </pic:spPr>
                </pic:pic>
              </a:graphicData>
            </a:graphic>
          </wp:inline>
        </w:drawing>
      </w:r>
    </w:p>
    <w:p w14:paraId="4B08F2B0" w14:textId="77777777" w:rsidR="00220A10" w:rsidRPr="007B12EB" w:rsidRDefault="00220A10" w:rsidP="00220A10">
      <w:pPr>
        <w:spacing w:line="276" w:lineRule="auto"/>
        <w:jc w:val="both"/>
        <w:rPr>
          <w:rFonts w:ascii="Arial" w:hAnsi="Arial" w:cs="Arial"/>
          <w:b/>
          <w:bCs/>
          <w:noProof/>
          <w:sz w:val="20"/>
          <w:szCs w:val="20"/>
        </w:rPr>
      </w:pPr>
      <w:r w:rsidRPr="007B12EB">
        <w:rPr>
          <w:rFonts w:ascii="Arial" w:hAnsi="Arial" w:cs="Arial"/>
          <w:b/>
          <w:bCs/>
          <w:noProof/>
          <w:sz w:val="20"/>
          <w:szCs w:val="20"/>
        </w:rPr>
        <w:t xml:space="preserve">                                A                         </w:t>
      </w:r>
      <w:r w:rsidR="00AE7C1D" w:rsidRPr="007B12EB">
        <w:rPr>
          <w:rFonts w:ascii="Arial" w:hAnsi="Arial" w:cs="Arial"/>
          <w:b/>
          <w:bCs/>
          <w:noProof/>
          <w:sz w:val="20"/>
          <w:szCs w:val="20"/>
        </w:rPr>
        <w:t xml:space="preserve">   </w:t>
      </w:r>
      <w:r w:rsidRPr="007B12EB">
        <w:rPr>
          <w:rFonts w:ascii="Arial" w:hAnsi="Arial" w:cs="Arial"/>
          <w:b/>
          <w:bCs/>
          <w:noProof/>
          <w:sz w:val="20"/>
          <w:szCs w:val="20"/>
        </w:rPr>
        <w:t xml:space="preserve">   B                            </w:t>
      </w:r>
      <w:r w:rsidR="00AE7C1D" w:rsidRPr="007B12EB">
        <w:rPr>
          <w:rFonts w:ascii="Arial" w:hAnsi="Arial" w:cs="Arial"/>
          <w:b/>
          <w:bCs/>
          <w:noProof/>
          <w:sz w:val="20"/>
          <w:szCs w:val="20"/>
        </w:rPr>
        <w:t xml:space="preserve">      </w:t>
      </w:r>
      <w:r w:rsidRPr="007B12EB">
        <w:rPr>
          <w:rFonts w:ascii="Arial" w:hAnsi="Arial" w:cs="Arial"/>
          <w:b/>
          <w:bCs/>
          <w:noProof/>
          <w:sz w:val="20"/>
          <w:szCs w:val="20"/>
        </w:rPr>
        <w:t xml:space="preserve"> C                                D</w:t>
      </w:r>
    </w:p>
    <w:p w14:paraId="31531D69" w14:textId="77777777" w:rsidR="00220A10" w:rsidRPr="007B12EB" w:rsidRDefault="00220A10" w:rsidP="00DA379E">
      <w:pPr>
        <w:tabs>
          <w:tab w:val="right" w:pos="9360"/>
        </w:tabs>
        <w:spacing w:line="276" w:lineRule="auto"/>
        <w:jc w:val="both"/>
        <w:rPr>
          <w:rFonts w:ascii="Arial" w:hAnsi="Arial" w:cs="Arial"/>
          <w:b/>
          <w:bCs/>
          <w:noProof/>
          <w:sz w:val="20"/>
          <w:szCs w:val="20"/>
        </w:rPr>
      </w:pPr>
      <w:r w:rsidRPr="007B12EB">
        <w:rPr>
          <w:rFonts w:ascii="Arial" w:hAnsi="Arial" w:cs="Arial"/>
          <w:b/>
          <w:bCs/>
          <w:noProof/>
          <w:sz w:val="20"/>
          <w:szCs w:val="20"/>
        </w:rPr>
        <w:t xml:space="preserve">                                </w:t>
      </w:r>
      <w:r w:rsidRPr="007B12EB">
        <w:rPr>
          <w:rFonts w:ascii="Arial" w:hAnsi="Arial" w:cs="Arial"/>
          <w:b/>
          <w:bCs/>
          <w:noProof/>
          <w:sz w:val="20"/>
          <w:szCs w:val="20"/>
        </w:rPr>
        <w:drawing>
          <wp:inline distT="0" distB="0" distL="0" distR="0" wp14:anchorId="79D87E25" wp14:editId="6D9D0073">
            <wp:extent cx="1202690" cy="1966503"/>
            <wp:effectExtent l="0" t="0" r="0" b="0"/>
            <wp:docPr id="655756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79173" name="Picture 262079173"/>
                    <pic:cNvPicPr/>
                  </pic:nvPicPr>
                  <pic:blipFill rotWithShape="1">
                    <a:blip r:embed="rId12">
                      <a:extLst>
                        <a:ext uri="{28A0092B-C50C-407E-A947-70E740481C1C}">
                          <a14:useLocalDpi xmlns:a14="http://schemas.microsoft.com/office/drawing/2010/main" val="0"/>
                        </a:ext>
                      </a:extLst>
                    </a:blip>
                    <a:srcRect l="20985" t="12066" r="2555" b="3471"/>
                    <a:stretch>
                      <a:fillRect/>
                    </a:stretch>
                  </pic:blipFill>
                  <pic:spPr bwMode="auto">
                    <a:xfrm>
                      <a:off x="0" y="0"/>
                      <a:ext cx="1252757" cy="2048368"/>
                    </a:xfrm>
                    <a:prstGeom prst="rect">
                      <a:avLst/>
                    </a:prstGeom>
                    <a:ln>
                      <a:noFill/>
                    </a:ln>
                    <a:extLst>
                      <a:ext uri="{53640926-AAD7-44D8-BBD7-CCE9431645EC}">
                        <a14:shadowObscured xmlns:a14="http://schemas.microsoft.com/office/drawing/2010/main"/>
                      </a:ext>
                    </a:extLst>
                  </pic:spPr>
                </pic:pic>
              </a:graphicData>
            </a:graphic>
          </wp:inline>
        </w:drawing>
      </w:r>
      <w:r w:rsidRPr="007B12EB">
        <w:rPr>
          <w:rFonts w:ascii="Arial" w:hAnsi="Arial" w:cs="Arial"/>
          <w:b/>
          <w:bCs/>
          <w:noProof/>
          <w:sz w:val="20"/>
          <w:szCs w:val="20"/>
        </w:rPr>
        <w:t xml:space="preserve"> </w:t>
      </w:r>
      <w:r w:rsidRPr="007B12EB">
        <w:rPr>
          <w:rFonts w:ascii="Arial" w:hAnsi="Arial" w:cs="Arial"/>
          <w:b/>
          <w:bCs/>
          <w:noProof/>
          <w:sz w:val="20"/>
          <w:szCs w:val="20"/>
        </w:rPr>
        <w:drawing>
          <wp:inline distT="0" distB="0" distL="0" distR="0" wp14:anchorId="354284B8" wp14:editId="280855D2">
            <wp:extent cx="1286438" cy="1971964"/>
            <wp:effectExtent l="0" t="0" r="9525" b="0"/>
            <wp:docPr id="503945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90556" name="Picture 1974790556"/>
                    <pic:cNvPicPr/>
                  </pic:nvPicPr>
                  <pic:blipFill rotWithShape="1">
                    <a:blip r:embed="rId13">
                      <a:extLst>
                        <a:ext uri="{28A0092B-C50C-407E-A947-70E740481C1C}">
                          <a14:useLocalDpi xmlns:a14="http://schemas.microsoft.com/office/drawing/2010/main" val="0"/>
                        </a:ext>
                      </a:extLst>
                    </a:blip>
                    <a:srcRect l="1" t="1881" r="-858" b="-1826"/>
                    <a:stretch>
                      <a:fillRect/>
                    </a:stretch>
                  </pic:blipFill>
                  <pic:spPr bwMode="auto">
                    <a:xfrm>
                      <a:off x="0" y="0"/>
                      <a:ext cx="1360294" cy="2085177"/>
                    </a:xfrm>
                    <a:prstGeom prst="rect">
                      <a:avLst/>
                    </a:prstGeom>
                    <a:ln>
                      <a:noFill/>
                    </a:ln>
                    <a:extLst>
                      <a:ext uri="{53640926-AAD7-44D8-BBD7-CCE9431645EC}">
                        <a14:shadowObscured xmlns:a14="http://schemas.microsoft.com/office/drawing/2010/main"/>
                      </a:ext>
                    </a:extLst>
                  </pic:spPr>
                </pic:pic>
              </a:graphicData>
            </a:graphic>
          </wp:inline>
        </w:drawing>
      </w:r>
      <w:r w:rsidRPr="007B12EB">
        <w:rPr>
          <w:rFonts w:ascii="Arial" w:hAnsi="Arial" w:cs="Arial"/>
          <w:b/>
          <w:bCs/>
          <w:noProof/>
          <w:sz w:val="20"/>
          <w:szCs w:val="20"/>
        </w:rPr>
        <w:t xml:space="preserve"> </w:t>
      </w:r>
      <w:r w:rsidRPr="007B12EB">
        <w:rPr>
          <w:rFonts w:ascii="Arial" w:hAnsi="Arial" w:cs="Arial"/>
          <w:b/>
          <w:bCs/>
          <w:noProof/>
          <w:sz w:val="20"/>
          <w:szCs w:val="20"/>
        </w:rPr>
        <w:drawing>
          <wp:inline distT="0" distB="0" distL="0" distR="0" wp14:anchorId="5FD42A88" wp14:editId="19D8D1D3">
            <wp:extent cx="1243330" cy="1967465"/>
            <wp:effectExtent l="0" t="0" r="0" b="0"/>
            <wp:docPr id="865256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1011" name=""/>
                    <pic:cNvPicPr/>
                  </pic:nvPicPr>
                  <pic:blipFill rotWithShape="1">
                    <a:blip r:embed="rId14"/>
                    <a:srcRect l="2176" t="19666" r="473" b="-2287"/>
                    <a:stretch>
                      <a:fillRect/>
                    </a:stretch>
                  </pic:blipFill>
                  <pic:spPr bwMode="auto">
                    <a:xfrm>
                      <a:off x="0" y="0"/>
                      <a:ext cx="1307305" cy="2068699"/>
                    </a:xfrm>
                    <a:prstGeom prst="rect">
                      <a:avLst/>
                    </a:prstGeom>
                    <a:ln>
                      <a:noFill/>
                    </a:ln>
                    <a:extLst>
                      <a:ext uri="{53640926-AAD7-44D8-BBD7-CCE9431645EC}">
                        <a14:shadowObscured xmlns:a14="http://schemas.microsoft.com/office/drawing/2010/main"/>
                      </a:ext>
                    </a:extLst>
                  </pic:spPr>
                </pic:pic>
              </a:graphicData>
            </a:graphic>
          </wp:inline>
        </w:drawing>
      </w:r>
      <w:r w:rsidR="00DA379E" w:rsidRPr="007B12EB">
        <w:rPr>
          <w:rFonts w:ascii="Arial" w:hAnsi="Arial" w:cs="Arial"/>
          <w:b/>
          <w:bCs/>
          <w:noProof/>
          <w:sz w:val="20"/>
          <w:szCs w:val="20"/>
        </w:rPr>
        <w:tab/>
      </w:r>
    </w:p>
    <w:p w14:paraId="5C9C05F5" w14:textId="77777777" w:rsidR="00220A10" w:rsidRPr="007B12EB" w:rsidRDefault="00220A10" w:rsidP="00220A10">
      <w:pPr>
        <w:spacing w:line="276" w:lineRule="auto"/>
        <w:jc w:val="both"/>
        <w:rPr>
          <w:rFonts w:ascii="Arial" w:hAnsi="Arial" w:cs="Arial"/>
          <w:sz w:val="20"/>
          <w:szCs w:val="20"/>
        </w:rPr>
      </w:pPr>
      <w:r w:rsidRPr="007B12EB">
        <w:rPr>
          <w:rFonts w:ascii="Arial" w:hAnsi="Arial" w:cs="Arial"/>
          <w:b/>
          <w:bCs/>
          <w:noProof/>
          <w:sz w:val="20"/>
          <w:szCs w:val="20"/>
        </w:rPr>
        <w:t xml:space="preserve">                                          E                                </w:t>
      </w:r>
      <w:r w:rsidR="00AE7C1D" w:rsidRPr="007B12EB">
        <w:rPr>
          <w:rFonts w:ascii="Arial" w:hAnsi="Arial" w:cs="Arial"/>
          <w:b/>
          <w:bCs/>
          <w:noProof/>
          <w:sz w:val="20"/>
          <w:szCs w:val="20"/>
        </w:rPr>
        <w:t xml:space="preserve">   </w:t>
      </w:r>
      <w:r w:rsidRPr="007B12EB">
        <w:rPr>
          <w:rFonts w:ascii="Arial" w:hAnsi="Arial" w:cs="Arial"/>
          <w:b/>
          <w:bCs/>
          <w:noProof/>
          <w:sz w:val="20"/>
          <w:szCs w:val="20"/>
        </w:rPr>
        <w:t xml:space="preserve"> F                                        G</w:t>
      </w:r>
      <w:r w:rsidRPr="007B12EB">
        <w:rPr>
          <w:rFonts w:ascii="Arial" w:hAnsi="Arial" w:cs="Arial"/>
          <w:sz w:val="20"/>
          <w:szCs w:val="20"/>
        </w:rPr>
        <w:t xml:space="preserve">                  </w:t>
      </w:r>
    </w:p>
    <w:p w14:paraId="689D6669" w14:textId="77777777" w:rsidR="00220A10" w:rsidRPr="007B12EB" w:rsidRDefault="00220A10" w:rsidP="00220A10">
      <w:pPr>
        <w:spacing w:line="276" w:lineRule="auto"/>
        <w:jc w:val="both"/>
        <w:rPr>
          <w:rFonts w:ascii="Arial" w:hAnsi="Arial" w:cs="Arial"/>
          <w:b/>
          <w:bCs/>
          <w:sz w:val="20"/>
          <w:szCs w:val="20"/>
        </w:rPr>
      </w:pPr>
      <w:r w:rsidRPr="007B12EB">
        <w:rPr>
          <w:rFonts w:ascii="Arial" w:hAnsi="Arial" w:cs="Arial"/>
          <w:b/>
          <w:bCs/>
          <w:noProof/>
          <w:sz w:val="20"/>
          <w:szCs w:val="20"/>
        </w:rPr>
        <w:t>Plate 1</w:t>
      </w:r>
      <w:r w:rsidRPr="007B12EB">
        <w:rPr>
          <w:rFonts w:ascii="Arial" w:hAnsi="Arial" w:cs="Arial"/>
          <w:b/>
          <w:bCs/>
          <w:sz w:val="20"/>
          <w:szCs w:val="20"/>
        </w:rPr>
        <w:t xml:space="preserve">. </w:t>
      </w:r>
      <w:r w:rsidR="00AC12CA" w:rsidRPr="007B12EB">
        <w:rPr>
          <w:rFonts w:ascii="Arial" w:hAnsi="Arial" w:cs="Arial"/>
          <w:b/>
          <w:bCs/>
          <w:sz w:val="20"/>
          <w:szCs w:val="20"/>
        </w:rPr>
        <w:t xml:space="preserve">Different types of </w:t>
      </w:r>
      <w:r w:rsidRPr="007B12EB">
        <w:rPr>
          <w:rFonts w:ascii="Arial" w:hAnsi="Arial" w:cs="Arial"/>
          <w:b/>
          <w:bCs/>
          <w:sz w:val="20"/>
          <w:szCs w:val="20"/>
        </w:rPr>
        <w:t>Morphological Abnormalities in sperm: normal sperm (A), Broken head (B), Bent tail (C), Bent middle piece (D), Proximal bent tail (E), Coiled tail (F), Distal bent tail (G)</w:t>
      </w:r>
    </w:p>
    <w:p w14:paraId="796EC540" w14:textId="77777777" w:rsidR="00220A10" w:rsidRPr="007B12EB" w:rsidRDefault="00220A10" w:rsidP="00220A10">
      <w:pPr>
        <w:jc w:val="both"/>
        <w:rPr>
          <w:rFonts w:ascii="Arial" w:hAnsi="Arial" w:cs="Arial"/>
          <w:sz w:val="20"/>
          <w:szCs w:val="20"/>
        </w:rPr>
      </w:pPr>
    </w:p>
    <w:p w14:paraId="299212CD" w14:textId="77777777" w:rsidR="00220A10" w:rsidRPr="007B12EB" w:rsidRDefault="00220A10" w:rsidP="00220A10">
      <w:pPr>
        <w:spacing w:line="276" w:lineRule="auto"/>
        <w:jc w:val="both"/>
        <w:rPr>
          <w:rFonts w:ascii="Arial" w:hAnsi="Arial" w:cs="Arial"/>
          <w:noProof/>
          <w:sz w:val="20"/>
          <w:szCs w:val="20"/>
        </w:rPr>
      </w:pPr>
      <w:r w:rsidRPr="007B12EB">
        <w:rPr>
          <w:rFonts w:ascii="Arial" w:hAnsi="Arial" w:cs="Arial"/>
          <w:noProof/>
          <w:sz w:val="20"/>
          <w:szCs w:val="20"/>
        </w:rPr>
        <w:t xml:space="preserve">           </w:t>
      </w:r>
      <w:r w:rsidRPr="007B12EB">
        <w:rPr>
          <w:rFonts w:ascii="Arial" w:hAnsi="Arial" w:cs="Arial"/>
          <w:noProof/>
          <w:sz w:val="20"/>
          <w:szCs w:val="20"/>
        </w:rPr>
        <w:drawing>
          <wp:inline distT="0" distB="0" distL="0" distR="0" wp14:anchorId="2024D626" wp14:editId="40383B2F">
            <wp:extent cx="1491606" cy="1530185"/>
            <wp:effectExtent l="0" t="0" r="0" b="0"/>
            <wp:docPr id="787259220" name="Picture 1" descr="jjj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44951" name="Picture 1" descr="jjjj"/>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29348" cy="1568903"/>
                    </a:xfrm>
                    <a:prstGeom prst="rect">
                      <a:avLst/>
                    </a:prstGeom>
                  </pic:spPr>
                </pic:pic>
              </a:graphicData>
            </a:graphic>
          </wp:inline>
        </w:drawing>
      </w:r>
      <w:r w:rsidRPr="007B12EB">
        <w:rPr>
          <w:rFonts w:ascii="Arial" w:hAnsi="Arial" w:cs="Arial"/>
          <w:noProof/>
          <w:sz w:val="20"/>
          <w:szCs w:val="20"/>
        </w:rPr>
        <w:t xml:space="preserve">         </w:t>
      </w:r>
      <w:r w:rsidRPr="007B12EB">
        <w:rPr>
          <w:rFonts w:ascii="Arial" w:hAnsi="Arial" w:cs="Arial"/>
          <w:noProof/>
          <w:sz w:val="20"/>
          <w:szCs w:val="20"/>
        </w:rPr>
        <w:drawing>
          <wp:inline distT="0" distB="0" distL="0" distR="0" wp14:anchorId="48434993" wp14:editId="73C26605">
            <wp:extent cx="1457969" cy="1524000"/>
            <wp:effectExtent l="0" t="0" r="8890" b="0"/>
            <wp:docPr id="5465249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42458" name="Picture 38824245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93639" cy="1561286"/>
                    </a:xfrm>
                    <a:prstGeom prst="rect">
                      <a:avLst/>
                    </a:prstGeom>
                  </pic:spPr>
                </pic:pic>
              </a:graphicData>
            </a:graphic>
          </wp:inline>
        </w:drawing>
      </w:r>
      <w:r w:rsidRPr="007B12EB">
        <w:rPr>
          <w:rFonts w:ascii="Arial" w:hAnsi="Arial" w:cs="Arial"/>
          <w:noProof/>
          <w:sz w:val="20"/>
          <w:szCs w:val="20"/>
        </w:rPr>
        <w:t xml:space="preserve">        </w:t>
      </w:r>
      <w:r w:rsidRPr="007B12EB">
        <w:rPr>
          <w:rFonts w:ascii="Arial" w:hAnsi="Arial" w:cs="Arial"/>
          <w:noProof/>
          <w:sz w:val="20"/>
          <w:szCs w:val="20"/>
        </w:rPr>
        <w:drawing>
          <wp:inline distT="0" distB="0" distL="0" distR="0" wp14:anchorId="03461CB1" wp14:editId="4522E951">
            <wp:extent cx="1536700" cy="1390983"/>
            <wp:effectExtent l="0" t="3175" r="3175" b="3175"/>
            <wp:docPr id="81863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567795" name="Picture 1025567795"/>
                    <pic:cNvPicPr/>
                  </pic:nvPicPr>
                  <pic:blipFill>
                    <a:blip r:embed="rId17">
                      <a:extLst>
                        <a:ext uri="{28A0092B-C50C-407E-A947-70E740481C1C}">
                          <a14:useLocalDpi xmlns:a14="http://schemas.microsoft.com/office/drawing/2010/main" val="0"/>
                        </a:ext>
                      </a:extLst>
                    </a:blip>
                    <a:stretch>
                      <a:fillRect/>
                    </a:stretch>
                  </pic:blipFill>
                  <pic:spPr>
                    <a:xfrm rot="5400000">
                      <a:off x="0" y="0"/>
                      <a:ext cx="1605994" cy="1453706"/>
                    </a:xfrm>
                    <a:prstGeom prst="rect">
                      <a:avLst/>
                    </a:prstGeom>
                  </pic:spPr>
                </pic:pic>
              </a:graphicData>
            </a:graphic>
          </wp:inline>
        </w:drawing>
      </w:r>
      <w:r w:rsidRPr="007B12EB">
        <w:rPr>
          <w:rFonts w:ascii="Arial" w:hAnsi="Arial" w:cs="Arial"/>
          <w:noProof/>
          <w:sz w:val="20"/>
          <w:szCs w:val="20"/>
        </w:rPr>
        <w:t xml:space="preserve">   </w:t>
      </w:r>
    </w:p>
    <w:p w14:paraId="63E80156" w14:textId="77777777" w:rsidR="000E2687" w:rsidRPr="007B12EB" w:rsidRDefault="00220A10" w:rsidP="00220A10">
      <w:pPr>
        <w:spacing w:line="276" w:lineRule="auto"/>
        <w:jc w:val="both"/>
        <w:rPr>
          <w:rFonts w:ascii="Arial" w:hAnsi="Arial" w:cs="Arial"/>
          <w:b/>
          <w:bCs/>
          <w:noProof/>
          <w:sz w:val="20"/>
          <w:szCs w:val="20"/>
        </w:rPr>
      </w:pPr>
      <w:r w:rsidRPr="007B12EB">
        <w:rPr>
          <w:rFonts w:ascii="Arial" w:hAnsi="Arial" w:cs="Arial"/>
          <w:b/>
          <w:bCs/>
          <w:noProof/>
          <w:sz w:val="20"/>
          <w:szCs w:val="20"/>
        </w:rPr>
        <w:t xml:space="preserve">                            A                                                  B                                  C</w:t>
      </w:r>
    </w:p>
    <w:p w14:paraId="5688294A" w14:textId="77777777" w:rsidR="00220A10" w:rsidRPr="007B12EB" w:rsidRDefault="00220A10" w:rsidP="00220A10">
      <w:pPr>
        <w:spacing w:line="276" w:lineRule="auto"/>
        <w:jc w:val="both"/>
        <w:rPr>
          <w:rFonts w:ascii="Arial" w:hAnsi="Arial" w:cs="Arial"/>
          <w:b/>
          <w:bCs/>
          <w:noProof/>
          <w:sz w:val="20"/>
          <w:szCs w:val="20"/>
        </w:rPr>
      </w:pPr>
      <w:r w:rsidRPr="007B12EB">
        <w:rPr>
          <w:rFonts w:ascii="Arial" w:hAnsi="Arial" w:cs="Arial"/>
          <w:b/>
          <w:bCs/>
          <w:noProof/>
          <w:sz w:val="20"/>
          <w:szCs w:val="20"/>
        </w:rPr>
        <w:t xml:space="preserve">Plate 2. Histological changes in testis. (A) Normal structure of seminiferous tubule in control mice (B) </w:t>
      </w:r>
      <w:r w:rsidR="00CF471C" w:rsidRPr="007B12EB">
        <w:rPr>
          <w:rFonts w:ascii="Arial" w:hAnsi="Arial" w:cs="Arial"/>
          <w:b/>
          <w:bCs/>
          <w:noProof/>
          <w:sz w:val="20"/>
          <w:szCs w:val="20"/>
        </w:rPr>
        <w:t>Paracetamol-treated</w:t>
      </w:r>
      <w:r w:rsidRPr="007B12EB">
        <w:rPr>
          <w:rFonts w:ascii="Arial" w:hAnsi="Arial" w:cs="Arial"/>
          <w:b/>
          <w:bCs/>
          <w:noProof/>
          <w:sz w:val="20"/>
          <w:szCs w:val="20"/>
        </w:rPr>
        <w:t xml:space="preserve"> mice (Arrow showing damage</w:t>
      </w:r>
      <w:r w:rsidR="00F7195A" w:rsidRPr="007B12EB">
        <w:rPr>
          <w:rFonts w:ascii="Arial" w:hAnsi="Arial" w:cs="Arial"/>
          <w:b/>
          <w:bCs/>
          <w:noProof/>
          <w:sz w:val="20"/>
          <w:szCs w:val="20"/>
        </w:rPr>
        <w:t xml:space="preserve"> of</w:t>
      </w:r>
      <w:r w:rsidRPr="007B12EB">
        <w:rPr>
          <w:rFonts w:ascii="Arial" w:hAnsi="Arial" w:cs="Arial"/>
          <w:b/>
          <w:bCs/>
          <w:noProof/>
          <w:sz w:val="20"/>
          <w:szCs w:val="20"/>
        </w:rPr>
        <w:t xml:space="preserve"> germinal epithelium and seminiferous tubules) (C)</w:t>
      </w:r>
      <w:r w:rsidR="00F7195A" w:rsidRPr="007B12EB">
        <w:rPr>
          <w:rFonts w:ascii="Arial" w:hAnsi="Arial" w:cs="Arial"/>
          <w:b/>
          <w:bCs/>
          <w:noProof/>
          <w:sz w:val="20"/>
          <w:szCs w:val="20"/>
        </w:rPr>
        <w:t xml:space="preserve"> Partial recovery in germinal epithelium in </w:t>
      </w:r>
      <w:r w:rsidR="00CF471C" w:rsidRPr="007B12EB">
        <w:rPr>
          <w:rFonts w:ascii="Arial" w:hAnsi="Arial" w:cs="Arial"/>
          <w:b/>
          <w:bCs/>
          <w:noProof/>
          <w:sz w:val="20"/>
          <w:szCs w:val="20"/>
        </w:rPr>
        <w:t>P</w:t>
      </w:r>
      <w:r w:rsidR="00F7195A" w:rsidRPr="007B12EB">
        <w:rPr>
          <w:rFonts w:ascii="Arial" w:hAnsi="Arial" w:cs="Arial"/>
          <w:b/>
          <w:bCs/>
          <w:noProof/>
          <w:sz w:val="20"/>
          <w:szCs w:val="20"/>
        </w:rPr>
        <w:t>C + Fenugreek</w:t>
      </w:r>
      <w:r w:rsidR="00CF471C" w:rsidRPr="007B12EB">
        <w:rPr>
          <w:rFonts w:ascii="Arial" w:hAnsi="Arial" w:cs="Arial"/>
          <w:b/>
          <w:bCs/>
          <w:noProof/>
          <w:sz w:val="20"/>
          <w:szCs w:val="20"/>
        </w:rPr>
        <w:t>-treated</w:t>
      </w:r>
      <w:r w:rsidRPr="007B12EB">
        <w:rPr>
          <w:rFonts w:ascii="Arial" w:hAnsi="Arial" w:cs="Arial"/>
          <w:b/>
          <w:bCs/>
          <w:noProof/>
          <w:sz w:val="20"/>
          <w:szCs w:val="20"/>
        </w:rPr>
        <w:t xml:space="preserve"> mice</w:t>
      </w:r>
    </w:p>
    <w:p w14:paraId="40A4EF0C" w14:textId="77777777" w:rsidR="00D943D6" w:rsidRPr="007B12EB" w:rsidRDefault="00D943D6" w:rsidP="00220A10">
      <w:pPr>
        <w:spacing w:line="276" w:lineRule="auto"/>
        <w:jc w:val="both"/>
        <w:rPr>
          <w:rFonts w:ascii="Arial" w:hAnsi="Arial" w:cs="Arial"/>
          <w:b/>
          <w:bCs/>
          <w:sz w:val="20"/>
          <w:szCs w:val="20"/>
        </w:rPr>
      </w:pPr>
    </w:p>
    <w:p w14:paraId="1273802B" w14:textId="77777777" w:rsidR="00220A10" w:rsidRPr="007B12EB" w:rsidRDefault="00220A10" w:rsidP="00220A10">
      <w:pPr>
        <w:spacing w:line="276" w:lineRule="auto"/>
        <w:jc w:val="both"/>
        <w:rPr>
          <w:rFonts w:ascii="Arial" w:hAnsi="Arial" w:cs="Arial"/>
          <w:b/>
          <w:bCs/>
          <w:sz w:val="20"/>
          <w:szCs w:val="20"/>
        </w:rPr>
      </w:pPr>
      <w:r w:rsidRPr="007B12EB">
        <w:rPr>
          <w:rFonts w:ascii="Arial" w:hAnsi="Arial" w:cs="Arial"/>
          <w:b/>
          <w:bCs/>
          <w:sz w:val="20"/>
          <w:szCs w:val="20"/>
        </w:rPr>
        <w:lastRenderedPageBreak/>
        <w:t>4. CONCLUSION</w:t>
      </w:r>
    </w:p>
    <w:p w14:paraId="7408BF2B" w14:textId="77777777" w:rsidR="00220A10" w:rsidRPr="007B12EB" w:rsidRDefault="00220A10" w:rsidP="00220A10">
      <w:pPr>
        <w:spacing w:line="276" w:lineRule="auto"/>
        <w:jc w:val="both"/>
        <w:rPr>
          <w:rFonts w:ascii="Arial" w:hAnsi="Arial" w:cs="Arial"/>
          <w:sz w:val="20"/>
          <w:szCs w:val="20"/>
        </w:rPr>
      </w:pPr>
      <w:r w:rsidRPr="007B12EB">
        <w:tab/>
        <w:t xml:space="preserve">The present study demonstrates that PC induces significant reproductive toxicity in </w:t>
      </w:r>
      <w:r w:rsidRPr="007B12EB">
        <w:rPr>
          <w:i/>
        </w:rPr>
        <w:t>Mus musculus</w:t>
      </w:r>
      <w:r w:rsidRPr="007B12EB">
        <w:t>, as evidenced by impaired spermatozoa characteristics and altered testicular histology. PC-treated mice showed a reduction in sperm count along with increased morphological abnormalities, indicating disrupted spermatogenesis. These effects are consistent with the known ability of PC to interfere with testicular function, possibly through oxidative stress and hormonal imbalance.</w:t>
      </w:r>
    </w:p>
    <w:p w14:paraId="0E9AD4C0" w14:textId="77777777" w:rsidR="00220A10" w:rsidRPr="007B12EB" w:rsidRDefault="001233EF" w:rsidP="00220A10">
      <w:pPr>
        <w:spacing w:line="276" w:lineRule="auto"/>
        <w:jc w:val="both"/>
        <w:rPr>
          <w:rFonts w:ascii="Arial" w:hAnsi="Arial" w:cs="Arial"/>
          <w:sz w:val="20"/>
          <w:szCs w:val="20"/>
        </w:rPr>
      </w:pPr>
      <w:r w:rsidRPr="007B12EB">
        <w:t>During the histological study of the testis, several degenerative changes in the seminiferous tubules, including disorganisation of the germinal epithelium, reduced spermatogenic cell layers, and alterations in the interstitial tissue, were observed. Such structural damage reflects the vulnerability of germ cells to toxic agents and may be associated with impaired Leydig cell function and reduced testosterone support for spermatogenesis.</w:t>
      </w:r>
    </w:p>
    <w:p w14:paraId="64E0949A" w14:textId="77777777" w:rsidR="00220A10" w:rsidRDefault="00220A10" w:rsidP="00220A10">
      <w:pPr>
        <w:spacing w:line="276" w:lineRule="auto"/>
        <w:jc w:val="both"/>
      </w:pPr>
      <w:r w:rsidRPr="007B12EB">
        <w:t>Fenugreek administered during PC exposure resulted in a noticeable improvement in sperm parameters and testicular architecture. These findings suggest that fenugreek exerts a protective and restorative effect on testicular tissue.</w:t>
      </w:r>
    </w:p>
    <w:p w14:paraId="5FA28E5E" w14:textId="77777777" w:rsidR="009F1921" w:rsidRPr="007B12EB" w:rsidRDefault="009F1921" w:rsidP="00220A10">
      <w:pPr>
        <w:spacing w:line="276" w:lineRule="auto"/>
        <w:jc w:val="both"/>
        <w:rPr>
          <w:rFonts w:ascii="Arial" w:hAnsi="Arial" w:cs="Arial"/>
          <w:sz w:val="20"/>
          <w:szCs w:val="20"/>
        </w:rPr>
      </w:pPr>
    </w:p>
    <w:p w14:paraId="14992AD2" w14:textId="141161C6" w:rsidR="00CD60E5" w:rsidRPr="00CD60E5" w:rsidRDefault="00CD60E5" w:rsidP="009F1921">
      <w:pPr>
        <w:pStyle w:val="pdq2pgselectionanchorcontainer"/>
        <w:rPr>
          <w:b/>
          <w:bCs/>
        </w:rPr>
      </w:pPr>
      <w:r w:rsidRPr="00CD60E5">
        <w:rPr>
          <w:b/>
          <w:bCs/>
        </w:rPr>
        <w:t xml:space="preserve">Limitation </w:t>
      </w:r>
    </w:p>
    <w:p w14:paraId="4AB5C2B8" w14:textId="3CBF5E80" w:rsidR="009F1921" w:rsidRDefault="009F1921" w:rsidP="009F1921">
      <w:pPr>
        <w:pStyle w:val="pdq2pgselectionanchorcontainer"/>
      </w:pPr>
      <w:r>
        <w:t xml:space="preserve">This study was limited to adult Swiss albino mice and a 28-day treatment period, so the findings should not be extrapolated directly to humans or longer exposure periods. The assessment focused on testis weight, the </w:t>
      </w:r>
      <w:proofErr w:type="spellStart"/>
      <w:r>
        <w:t>testiculosomatic</w:t>
      </w:r>
      <w:proofErr w:type="spellEnd"/>
      <w:r>
        <w:t xml:space="preserve"> index, sperm count, sperm morphology, and testicular histology. Accordingly, the results describe effects within these measured reproductive endpoints and experimental conditions. Further work would be required to determine whether comparable responses occur across other doses, exposure durations, or biological models.</w:t>
      </w:r>
    </w:p>
    <w:p w14:paraId="16B1C365" w14:textId="39FBE9FB" w:rsidR="00040AAB" w:rsidRDefault="00040AAB" w:rsidP="00220A10">
      <w:pPr>
        <w:spacing w:line="276" w:lineRule="auto"/>
        <w:jc w:val="both"/>
        <w:rPr>
          <w:rFonts w:ascii="Arial" w:hAnsi="Arial" w:cs="Arial"/>
          <w:sz w:val="20"/>
          <w:szCs w:val="20"/>
        </w:rPr>
      </w:pPr>
    </w:p>
    <w:p w14:paraId="2E6CFF53" w14:textId="77777777" w:rsidR="009F1921" w:rsidRPr="007B12EB" w:rsidRDefault="009F1921" w:rsidP="00220A10">
      <w:pPr>
        <w:spacing w:line="276" w:lineRule="auto"/>
        <w:jc w:val="both"/>
        <w:rPr>
          <w:rFonts w:ascii="Arial" w:hAnsi="Arial" w:cs="Arial"/>
          <w:sz w:val="20"/>
          <w:szCs w:val="20"/>
        </w:rPr>
      </w:pPr>
    </w:p>
    <w:p w14:paraId="3CA1BF4D" w14:textId="77777777" w:rsidR="0098641D" w:rsidRPr="007B12EB" w:rsidRDefault="003F724D" w:rsidP="00220A10">
      <w:pPr>
        <w:spacing w:line="276" w:lineRule="auto"/>
        <w:jc w:val="both"/>
        <w:rPr>
          <w:rFonts w:ascii="Arial" w:hAnsi="Arial" w:cs="Arial"/>
          <w:b/>
          <w:bCs/>
          <w:sz w:val="20"/>
          <w:szCs w:val="20"/>
        </w:rPr>
      </w:pPr>
      <w:r w:rsidRPr="007B12EB">
        <w:rPr>
          <w:rFonts w:ascii="Arial" w:hAnsi="Arial" w:cs="Arial"/>
          <w:sz w:val="20"/>
          <w:szCs w:val="20"/>
        </w:rPr>
        <w:t xml:space="preserve"> </w:t>
      </w:r>
      <w:r w:rsidR="0098641D" w:rsidRPr="007B12EB">
        <w:rPr>
          <w:rFonts w:ascii="Arial" w:hAnsi="Arial" w:cs="Arial"/>
          <w:b/>
          <w:bCs/>
          <w:sz w:val="20"/>
          <w:szCs w:val="20"/>
        </w:rPr>
        <w:t>ETHICAL APPROVAL</w:t>
      </w:r>
    </w:p>
    <w:p w14:paraId="2434BD00" w14:textId="77777777" w:rsidR="00C0101B" w:rsidRPr="007B12EB" w:rsidRDefault="0098641D" w:rsidP="00624B6C">
      <w:pPr>
        <w:spacing w:line="276" w:lineRule="auto"/>
        <w:jc w:val="both"/>
        <w:rPr>
          <w:rFonts w:ascii="Arial" w:hAnsi="Arial" w:cs="Arial"/>
          <w:sz w:val="20"/>
          <w:szCs w:val="20"/>
          <w:lang w:val="en-IN"/>
        </w:rPr>
      </w:pPr>
      <w:r w:rsidRPr="007B12EB">
        <w:rPr>
          <w:rFonts w:ascii="Arial" w:hAnsi="Arial" w:cs="Arial"/>
          <w:sz w:val="20"/>
          <w:szCs w:val="20"/>
        </w:rPr>
        <w:t>All experimental procedures involving animals were carried out in compliance with the ethical guidelines prescribed by the Institutional Animal Ethics Committee (IAEC) and the Committee for the Purpose of Control and Supervision of Experiments on Animals (CPCSEA), India. The experimental protocol was reviewed and approved by T. M. Bhagalpur University under registration number 864/2023. Throughout the study, appropriate care and handling of the animals were ensured to minimize pain, stress, and discomfort in accordance with CPCSEA guidelines.</w:t>
      </w:r>
    </w:p>
    <w:p w14:paraId="16435C2E" w14:textId="77777777" w:rsidR="00C0101B" w:rsidRPr="007B12EB" w:rsidRDefault="00C0101B" w:rsidP="00C0101B">
      <w:pPr>
        <w:spacing w:after="0" w:line="240" w:lineRule="auto"/>
        <w:rPr>
          <w:rFonts w:ascii="Arial" w:eastAsia="Calibri" w:hAnsi="Arial" w:cs="Arial"/>
          <w:b/>
          <w:kern w:val="0"/>
          <w:sz w:val="20"/>
          <w:szCs w:val="20"/>
          <w14:ligatures w14:val="none"/>
        </w:rPr>
      </w:pPr>
      <w:r w:rsidRPr="007B12EB">
        <w:rPr>
          <w:rFonts w:ascii="Arial" w:eastAsia="Calibri" w:hAnsi="Arial" w:cs="Arial"/>
          <w:b/>
          <w:kern w:val="0"/>
          <w:sz w:val="20"/>
          <w:szCs w:val="20"/>
          <w14:ligatures w14:val="none"/>
        </w:rPr>
        <w:t>Declaration of AI Use</w:t>
      </w:r>
    </w:p>
    <w:p w14:paraId="31340683" w14:textId="77777777" w:rsidR="00C0101B" w:rsidRPr="007B12EB" w:rsidRDefault="00C0101B" w:rsidP="00C0101B">
      <w:pPr>
        <w:spacing w:after="0" w:line="240" w:lineRule="auto"/>
        <w:rPr>
          <w:rFonts w:ascii="Arial" w:eastAsia="Calibri" w:hAnsi="Arial" w:cs="Arial"/>
          <w:kern w:val="0"/>
          <w:sz w:val="20"/>
          <w:szCs w:val="20"/>
          <w14:ligatures w14:val="none"/>
        </w:rPr>
      </w:pPr>
    </w:p>
    <w:p w14:paraId="33EA931A" w14:textId="77777777" w:rsidR="00C0101B" w:rsidRPr="007B12EB" w:rsidRDefault="00C0101B" w:rsidP="00C0101B">
      <w:pPr>
        <w:spacing w:after="0" w:line="240" w:lineRule="auto"/>
        <w:rPr>
          <w:rFonts w:ascii="Arial" w:eastAsia="Calibri" w:hAnsi="Arial" w:cs="Arial"/>
          <w:kern w:val="0"/>
          <w:sz w:val="20"/>
          <w:szCs w:val="20"/>
          <w14:ligatures w14:val="none"/>
        </w:rPr>
      </w:pPr>
      <w:r w:rsidRPr="007B12EB">
        <w:rPr>
          <w:rFonts w:ascii="Arial" w:eastAsia="Calibri" w:hAnsi="Arial" w:cs="Arial"/>
          <w:kern w:val="0"/>
          <w:sz w:val="20"/>
          <w:szCs w:val="20"/>
          <w14:ligatures w14:val="none"/>
        </w:rPr>
        <w:t xml:space="preserve">This manuscript was prepared through the intellectual contributions of the author(s) to the study design, data analysis, interpretation of results, and scholarly content. Grammarly and ChatGPT were used solely </w:t>
      </w:r>
      <w:r w:rsidRPr="007B12EB">
        <w:rPr>
          <w:rFonts w:ascii="Arial" w:eastAsia="Calibri" w:hAnsi="Arial" w:cs="Arial"/>
          <w:kern w:val="0"/>
          <w:sz w:val="20"/>
          <w:szCs w:val="20"/>
          <w14:ligatures w14:val="none"/>
        </w:rPr>
        <w:lastRenderedPageBreak/>
        <w:t>to assist with grammatical refinement and reference formatting during manuscript revision. The author(s) accept full responsibility for the accuracy, integrity, and final content of the manuscript.</w:t>
      </w:r>
    </w:p>
    <w:p w14:paraId="491A192C" w14:textId="77777777" w:rsidR="00C0101B" w:rsidRPr="007B12EB" w:rsidRDefault="00C0101B" w:rsidP="00C0101B">
      <w:pPr>
        <w:spacing w:after="0" w:line="240" w:lineRule="auto"/>
        <w:jc w:val="both"/>
        <w:rPr>
          <w:rFonts w:ascii="Times New Roman" w:eastAsia="Calibri" w:hAnsi="Times New Roman" w:cs="Times New Roman"/>
          <w:kern w:val="0"/>
          <w:sz w:val="22"/>
          <w:szCs w:val="22"/>
          <w14:ligatures w14:val="none"/>
        </w:rPr>
      </w:pPr>
    </w:p>
    <w:p w14:paraId="094486D4" w14:textId="77777777" w:rsidR="00C0101B" w:rsidRPr="007B12EB" w:rsidRDefault="00C0101B" w:rsidP="00C0101B">
      <w:pPr>
        <w:spacing w:after="0" w:line="240" w:lineRule="auto"/>
        <w:jc w:val="both"/>
        <w:rPr>
          <w:rFonts w:ascii="Times New Roman" w:eastAsia="Calibri" w:hAnsi="Times New Roman" w:cs="Times New Roman"/>
          <w:kern w:val="0"/>
          <w:sz w:val="22"/>
          <w:szCs w:val="22"/>
          <w14:ligatures w14:val="none"/>
        </w:rPr>
      </w:pPr>
    </w:p>
    <w:p w14:paraId="24F51E53" w14:textId="77777777" w:rsidR="00C0101B" w:rsidRPr="007B12EB" w:rsidRDefault="00C0101B" w:rsidP="00C0101B">
      <w:pPr>
        <w:spacing w:after="200" w:line="276" w:lineRule="auto"/>
        <w:rPr>
          <w:rFonts w:ascii="Cambria" w:eastAsia="Times New Roman" w:hAnsi="Cambria" w:cs="Arial"/>
          <w:b/>
          <w:bCs/>
          <w:kern w:val="0"/>
          <w:sz w:val="22"/>
          <w:szCs w:val="22"/>
          <w:lang w:val="en-GB" w:eastAsia="en-GB"/>
          <w14:ligatures w14:val="none"/>
        </w:rPr>
      </w:pPr>
      <w:r w:rsidRPr="007B12EB">
        <w:rPr>
          <w:rFonts w:ascii="Cambria" w:eastAsia="Times New Roman" w:hAnsi="Cambria" w:cs="Arial"/>
          <w:b/>
          <w:bCs/>
          <w:kern w:val="0"/>
          <w:sz w:val="22"/>
          <w:szCs w:val="22"/>
          <w:lang w:val="en-GB" w:eastAsia="en-GB"/>
          <w14:ligatures w14:val="none"/>
        </w:rPr>
        <w:t>COMPETING INTERESTS DISCLAIMER:</w:t>
      </w:r>
    </w:p>
    <w:p w14:paraId="6A992F8A" w14:textId="77777777" w:rsidR="00C0101B" w:rsidRPr="007B12EB" w:rsidRDefault="00C0101B" w:rsidP="00C0101B">
      <w:pPr>
        <w:spacing w:after="200" w:line="276" w:lineRule="auto"/>
        <w:rPr>
          <w:rFonts w:ascii="Cambria" w:eastAsia="Times New Roman" w:hAnsi="Cambria" w:cs="Times New Roman"/>
          <w:kern w:val="0"/>
          <w:sz w:val="22"/>
          <w:szCs w:val="22"/>
          <w:lang w:val="en-GB" w:eastAsia="en-GB"/>
          <w14:ligatures w14:val="none"/>
        </w:rPr>
      </w:pPr>
      <w:r w:rsidRPr="007B12EB">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11C1B5B9" w14:textId="77777777" w:rsidR="00C0101B" w:rsidRPr="007B12EB" w:rsidRDefault="00C0101B" w:rsidP="00624B6C">
      <w:pPr>
        <w:spacing w:line="276" w:lineRule="auto"/>
        <w:jc w:val="both"/>
        <w:rPr>
          <w:rFonts w:ascii="Arial" w:hAnsi="Arial" w:cs="Arial"/>
          <w:sz w:val="20"/>
          <w:szCs w:val="20"/>
          <w:lang w:val="en-IN"/>
        </w:rPr>
      </w:pPr>
    </w:p>
    <w:p w14:paraId="4F6545F5" w14:textId="77777777" w:rsidR="00624B6C" w:rsidRPr="007B12EB" w:rsidRDefault="00624B6C" w:rsidP="00624B6C">
      <w:pPr>
        <w:spacing w:line="276" w:lineRule="auto"/>
        <w:jc w:val="both"/>
        <w:rPr>
          <w:rFonts w:ascii="Arial" w:hAnsi="Arial" w:cs="Arial"/>
          <w:sz w:val="20"/>
          <w:szCs w:val="20"/>
          <w:lang w:val="en-IN"/>
        </w:rPr>
      </w:pPr>
    </w:p>
    <w:p w14:paraId="7B39BA57" w14:textId="77777777" w:rsidR="00392C6C" w:rsidRPr="007B12EB" w:rsidRDefault="00392C6C" w:rsidP="00624B6C">
      <w:pPr>
        <w:spacing w:line="276" w:lineRule="auto"/>
        <w:jc w:val="both"/>
        <w:rPr>
          <w:rFonts w:ascii="Arial" w:hAnsi="Arial" w:cs="Arial"/>
          <w:sz w:val="20"/>
          <w:szCs w:val="20"/>
          <w:lang w:val="en-IN"/>
        </w:rPr>
      </w:pPr>
    </w:p>
    <w:p w14:paraId="70AEA2D9" w14:textId="77777777" w:rsidR="00392C6C" w:rsidRPr="007B12EB" w:rsidRDefault="00392C6C" w:rsidP="00624B6C">
      <w:pPr>
        <w:spacing w:line="276" w:lineRule="auto"/>
        <w:jc w:val="both"/>
        <w:rPr>
          <w:rFonts w:ascii="Arial" w:hAnsi="Arial" w:cs="Arial"/>
          <w:sz w:val="20"/>
          <w:szCs w:val="20"/>
          <w:lang w:val="en-IN"/>
        </w:rPr>
      </w:pPr>
    </w:p>
    <w:p w14:paraId="76AA59C9" w14:textId="77777777" w:rsidR="00392C6C" w:rsidRPr="007B12EB" w:rsidRDefault="00392C6C" w:rsidP="00624B6C">
      <w:pPr>
        <w:spacing w:line="276" w:lineRule="auto"/>
        <w:jc w:val="both"/>
        <w:rPr>
          <w:rFonts w:ascii="Arial" w:hAnsi="Arial" w:cs="Arial"/>
          <w:sz w:val="20"/>
          <w:szCs w:val="20"/>
          <w:lang w:val="en-IN"/>
        </w:rPr>
      </w:pPr>
    </w:p>
    <w:p w14:paraId="00437713" w14:textId="77777777" w:rsidR="00220A10" w:rsidRPr="007B12EB" w:rsidRDefault="00220A10" w:rsidP="00624B6C">
      <w:pPr>
        <w:spacing w:line="276" w:lineRule="auto"/>
        <w:jc w:val="both"/>
        <w:rPr>
          <w:rFonts w:ascii="Arial" w:hAnsi="Arial" w:cs="Arial"/>
          <w:b/>
          <w:bCs/>
          <w:sz w:val="20"/>
          <w:szCs w:val="20"/>
        </w:rPr>
      </w:pPr>
      <w:r w:rsidRPr="007B12EB">
        <w:rPr>
          <w:rFonts w:ascii="Arial" w:hAnsi="Arial" w:cs="Arial"/>
          <w:b/>
          <w:bCs/>
          <w:sz w:val="20"/>
          <w:szCs w:val="20"/>
        </w:rPr>
        <w:t>REFERENCES</w:t>
      </w:r>
    </w:p>
    <w:p w14:paraId="373BBB8A" w14:textId="77777777" w:rsidR="0083302E" w:rsidRPr="007B12EB" w:rsidRDefault="0083302E" w:rsidP="00624B6C">
      <w:pPr>
        <w:spacing w:line="276" w:lineRule="auto"/>
        <w:ind w:left="720" w:hanging="720"/>
        <w:jc w:val="both"/>
        <w:rPr>
          <w:rFonts w:ascii="Arial" w:hAnsi="Arial" w:cs="Arial"/>
          <w:sz w:val="20"/>
          <w:szCs w:val="20"/>
        </w:rPr>
      </w:pPr>
      <w:r w:rsidRPr="007B12EB">
        <w:t xml:space="preserve">Abreu, R. V., &amp; Moraes-Santos, T. (2011). The protective effect of coffee against paracetamol-induced hepatic injury in rats. </w:t>
      </w:r>
      <w:r w:rsidRPr="007B12EB">
        <w:rPr>
          <w:i/>
        </w:rPr>
        <w:t>Journal of Food Biochemistry</w:t>
      </w:r>
      <w:r w:rsidRPr="007B12EB">
        <w:t xml:space="preserve">, </w:t>
      </w:r>
      <w:r w:rsidRPr="007B12EB">
        <w:rPr>
          <w:i/>
        </w:rPr>
        <w:t>35</w:t>
      </w:r>
      <w:r w:rsidRPr="007B12EB">
        <w:t xml:space="preserve">, 1653–1659. </w:t>
      </w:r>
      <w:hyperlink r:id="rId18">
        <w:r w:rsidRPr="007B12EB">
          <w:rPr>
            <w:color w:val="0563C1"/>
            <w:u w:val="single"/>
          </w:rPr>
          <w:t>https://doi.org/10.1111/j.1745-4514.2010.00484.x</w:t>
        </w:r>
      </w:hyperlink>
    </w:p>
    <w:p w14:paraId="09967A59" w14:textId="77777777" w:rsidR="00067846" w:rsidRPr="007B12EB" w:rsidRDefault="00067846" w:rsidP="00067846">
      <w:pPr>
        <w:ind w:left="720" w:hanging="720"/>
        <w:jc w:val="both"/>
        <w:rPr>
          <w:rFonts w:ascii="Arial" w:hAnsi="Arial" w:cs="Arial"/>
          <w:sz w:val="20"/>
          <w:szCs w:val="20"/>
        </w:rPr>
      </w:pPr>
      <w:r w:rsidRPr="007B12EB">
        <w:t xml:space="preserve">Ademola, O. J., Alimba, C. G., &amp; Bakare, A. A. (2020). Reproductive toxicity assessment of Olusosun municipal landfill leachate in </w:t>
      </w:r>
      <w:r w:rsidRPr="007B12EB">
        <w:rPr>
          <w:i/>
        </w:rPr>
        <w:t>Mus musculus</w:t>
      </w:r>
      <w:r w:rsidRPr="007B12EB">
        <w:t xml:space="preserve"> using abnormal sperm morphology and dominant lethal mutation assays. </w:t>
      </w:r>
      <w:r w:rsidRPr="007B12EB">
        <w:rPr>
          <w:i/>
        </w:rPr>
        <w:t>Environmental Analysis, Health and Toxicology</w:t>
      </w:r>
      <w:r w:rsidRPr="007B12EB">
        <w:t xml:space="preserve">, </w:t>
      </w:r>
      <w:r w:rsidRPr="007B12EB">
        <w:rPr>
          <w:i/>
        </w:rPr>
        <w:t>35</w:t>
      </w:r>
      <w:r w:rsidRPr="007B12EB">
        <w:t xml:space="preserve">(2), e2020010. </w:t>
      </w:r>
      <w:hyperlink r:id="rId19">
        <w:r w:rsidRPr="007B12EB">
          <w:rPr>
            <w:color w:val="0563C1"/>
            <w:u w:val="single"/>
          </w:rPr>
          <w:t>https://doi.org/10.5620/eaht.e2020010</w:t>
        </w:r>
      </w:hyperlink>
    </w:p>
    <w:p w14:paraId="6CE068B1" w14:textId="77777777" w:rsidR="00067846" w:rsidRPr="007B12EB" w:rsidRDefault="00067846" w:rsidP="00067846">
      <w:pPr>
        <w:ind w:left="720" w:hanging="720"/>
        <w:jc w:val="both"/>
        <w:rPr>
          <w:rFonts w:ascii="Arial" w:hAnsi="Arial" w:cs="Arial"/>
          <w:sz w:val="20"/>
          <w:szCs w:val="20"/>
        </w:rPr>
      </w:pPr>
      <w:r w:rsidRPr="007B12EB">
        <w:t xml:space="preserve">Agarwal, A., Aponte-Mellado, A., Premkumar, B. J., Shaman, A., &amp; Gupta, S. (2012). The effects of oxidative stress on female reproduction: A review. </w:t>
      </w:r>
      <w:r w:rsidRPr="007B12EB">
        <w:rPr>
          <w:i/>
        </w:rPr>
        <w:t>Reproductive Biology and Endocrinology</w:t>
      </w:r>
      <w:r w:rsidRPr="007B12EB">
        <w:t xml:space="preserve">, </w:t>
      </w:r>
      <w:r w:rsidRPr="007B12EB">
        <w:rPr>
          <w:i/>
        </w:rPr>
        <w:t>10</w:t>
      </w:r>
      <w:r w:rsidRPr="007B12EB">
        <w:t xml:space="preserve">, 49. </w:t>
      </w:r>
      <w:hyperlink r:id="rId20">
        <w:r w:rsidRPr="007B12EB">
          <w:rPr>
            <w:color w:val="0563C1"/>
            <w:u w:val="single"/>
          </w:rPr>
          <w:t>https://doi.org/10.1186/1477-7827-10-49</w:t>
        </w:r>
      </w:hyperlink>
    </w:p>
    <w:p w14:paraId="781D4FA0" w14:textId="77777777" w:rsidR="00067846" w:rsidRPr="007B12EB" w:rsidRDefault="00067846" w:rsidP="00067846">
      <w:pPr>
        <w:ind w:left="720" w:hanging="720"/>
        <w:jc w:val="both"/>
        <w:rPr>
          <w:rFonts w:ascii="Arial" w:hAnsi="Arial" w:cs="Arial"/>
          <w:sz w:val="20"/>
          <w:szCs w:val="20"/>
        </w:rPr>
      </w:pPr>
      <w:r w:rsidRPr="007B12EB">
        <w:t xml:space="preserve">Agarwal, A., Virk, G., Ong, C., &amp; du Plessis, S. S. (2014). Effect of oxidative stress on male reproduction. </w:t>
      </w:r>
      <w:r w:rsidRPr="007B12EB">
        <w:rPr>
          <w:i/>
        </w:rPr>
        <w:t>World Journal of Men's Health</w:t>
      </w:r>
      <w:r w:rsidRPr="007B12EB">
        <w:t xml:space="preserve">, </w:t>
      </w:r>
      <w:r w:rsidRPr="007B12EB">
        <w:rPr>
          <w:i/>
        </w:rPr>
        <w:t>32</w:t>
      </w:r>
      <w:r w:rsidRPr="007B12EB">
        <w:t xml:space="preserve">(1), 1–17. </w:t>
      </w:r>
      <w:hyperlink r:id="rId21">
        <w:r w:rsidRPr="007B12EB">
          <w:rPr>
            <w:color w:val="0563C1"/>
            <w:u w:val="single"/>
          </w:rPr>
          <w:t>https://doi.org/10.5534/wjmh.2014.32.1.1</w:t>
        </w:r>
      </w:hyperlink>
    </w:p>
    <w:p w14:paraId="17849ABF" w14:textId="77777777" w:rsidR="004D3A19" w:rsidRPr="007B12EB" w:rsidRDefault="004D3A19" w:rsidP="00067846">
      <w:pPr>
        <w:ind w:left="720" w:hanging="720"/>
        <w:jc w:val="both"/>
        <w:rPr>
          <w:rFonts w:ascii="Arial" w:hAnsi="Arial" w:cs="Arial"/>
          <w:sz w:val="20"/>
          <w:szCs w:val="20"/>
        </w:rPr>
      </w:pPr>
      <w:r>
        <w:t>Akang, E. N., Oremosu, A. A., Dosumu, O. O., Noronha, C. C., &amp; Okanlawon, A. O. (2010). The effect of fluted pumpkin (</w:t>
      </w:r>
      <w:r>
        <w:rPr>
          <w:i/>
        </w:rPr>
        <w:t>Telferia occidentalis</w:t>
      </w:r>
      <w:r>
        <w:t xml:space="preserve">) seed oil (FPSO) on testis and semen parameters. </w:t>
      </w:r>
      <w:r>
        <w:rPr>
          <w:i/>
        </w:rPr>
        <w:t>Agriculture and Biology Journal of North America</w:t>
      </w:r>
      <w:r>
        <w:t xml:space="preserve">, </w:t>
      </w:r>
      <w:r>
        <w:rPr>
          <w:i/>
        </w:rPr>
        <w:t>1</w:t>
      </w:r>
      <w:r>
        <w:t xml:space="preserve">(4), 697–703. </w:t>
      </w:r>
      <w:hyperlink r:id="rId22">
        <w:r>
          <w:rPr>
            <w:rStyle w:val="Hyperlink"/>
          </w:rPr>
          <w:t>https://www.scihub.org/abjna/the-effect-of-fluted-pumpkin-telferia-occidentalis-seed-oil-fpso-on-testis-and-semen-parameters/</w:t>
        </w:r>
      </w:hyperlink>
    </w:p>
    <w:p w14:paraId="55316156" w14:textId="77777777" w:rsidR="00067846" w:rsidRPr="007B12EB" w:rsidRDefault="00067846" w:rsidP="00067846">
      <w:pPr>
        <w:ind w:left="720" w:hanging="720"/>
        <w:jc w:val="both"/>
        <w:rPr>
          <w:rFonts w:ascii="Arial" w:hAnsi="Arial" w:cs="Arial"/>
          <w:sz w:val="20"/>
          <w:szCs w:val="20"/>
        </w:rPr>
      </w:pPr>
      <w:r>
        <w:t xml:space="preserve">Alahmar, A. T. (2019). Role of oxidative stress in male infertility: An updated review. </w:t>
      </w:r>
      <w:r>
        <w:rPr>
          <w:i/>
        </w:rPr>
        <w:t>Journal of Human Reproductive Sciences</w:t>
      </w:r>
      <w:r>
        <w:t xml:space="preserve">, </w:t>
      </w:r>
      <w:r>
        <w:rPr>
          <w:i/>
        </w:rPr>
        <w:t>12</w:t>
      </w:r>
      <w:r>
        <w:t xml:space="preserve">(1), 4–18. </w:t>
      </w:r>
      <w:hyperlink r:id="rId23">
        <w:r>
          <w:rPr>
            <w:rStyle w:val="Hyperlink"/>
          </w:rPr>
          <w:t>https://doi.org/10.4103/jhrs.JHRS_150_18</w:t>
        </w:r>
      </w:hyperlink>
    </w:p>
    <w:p w14:paraId="626FF2D0" w14:textId="77777777" w:rsidR="00067846" w:rsidRPr="007B12EB" w:rsidRDefault="00067846" w:rsidP="00067846">
      <w:pPr>
        <w:ind w:left="720" w:hanging="720"/>
        <w:jc w:val="both"/>
        <w:rPr>
          <w:rFonts w:ascii="Arial" w:hAnsi="Arial" w:cs="Arial"/>
          <w:sz w:val="20"/>
          <w:szCs w:val="20"/>
        </w:rPr>
      </w:pPr>
      <w:r>
        <w:lastRenderedPageBreak/>
        <w:t xml:space="preserve">Al-Khan, H. I. (2010). Effect of aqueous extract of </w:t>
      </w:r>
      <w:r>
        <w:rPr>
          <w:i/>
        </w:rPr>
        <w:t>Capparis spinosa</w:t>
      </w:r>
      <w:r>
        <w:t xml:space="preserve"> on serum antioxidant status in paracetamol-treated rats. </w:t>
      </w:r>
      <w:r>
        <w:rPr>
          <w:i/>
        </w:rPr>
        <w:t>Rafidain Journal of Science</w:t>
      </w:r>
      <w:r>
        <w:t xml:space="preserve">, </w:t>
      </w:r>
      <w:r>
        <w:rPr>
          <w:i/>
        </w:rPr>
        <w:t>21</w:t>
      </w:r>
      <w:r>
        <w:t xml:space="preserve">(2), 29–36. </w:t>
      </w:r>
      <w:r>
        <w:rPr>
          <w:b/>
        </w:rPr>
        <w:t>ONLINE version not available</w:t>
      </w:r>
    </w:p>
    <w:p w14:paraId="7BC2F5D8" w14:textId="77777777" w:rsidR="00067846" w:rsidRPr="007B12EB" w:rsidRDefault="00067846" w:rsidP="00067846">
      <w:pPr>
        <w:ind w:left="720" w:hanging="720"/>
        <w:jc w:val="both"/>
        <w:rPr>
          <w:rFonts w:ascii="Arial" w:hAnsi="Arial" w:cs="Arial"/>
          <w:sz w:val="20"/>
          <w:szCs w:val="20"/>
        </w:rPr>
      </w:pPr>
      <w:r w:rsidRPr="007B12EB">
        <w:t xml:space="preserve">Almansa-Ordóñez, A., Bellido, R., Vassena, R., Barragán, M., &amp; Zambelli, F. (2020). Oxidative stress in reproduction: A mitochondrial perspective. </w:t>
      </w:r>
      <w:r w:rsidRPr="007B12EB">
        <w:rPr>
          <w:i/>
        </w:rPr>
        <w:t>Biology</w:t>
      </w:r>
      <w:r w:rsidRPr="007B12EB">
        <w:t xml:space="preserve">, </w:t>
      </w:r>
      <w:r w:rsidRPr="007B12EB">
        <w:rPr>
          <w:i/>
        </w:rPr>
        <w:t>9</w:t>
      </w:r>
      <w:r w:rsidRPr="007B12EB">
        <w:t xml:space="preserve">(9), 269. </w:t>
      </w:r>
      <w:hyperlink r:id="rId24">
        <w:r w:rsidRPr="007B12EB">
          <w:rPr>
            <w:color w:val="0563C1"/>
            <w:u w:val="single"/>
          </w:rPr>
          <w:t>https://doi.org/10.3390/biology9090269</w:t>
        </w:r>
      </w:hyperlink>
    </w:p>
    <w:p w14:paraId="015E48F9" w14:textId="77777777" w:rsidR="00067846" w:rsidRPr="007B12EB" w:rsidRDefault="00067846" w:rsidP="00067846">
      <w:pPr>
        <w:ind w:left="720" w:hanging="720"/>
        <w:jc w:val="both"/>
        <w:rPr>
          <w:rFonts w:ascii="Arial" w:hAnsi="Arial" w:cs="Arial"/>
          <w:sz w:val="20"/>
          <w:szCs w:val="20"/>
        </w:rPr>
      </w:pPr>
      <w:r w:rsidRPr="007B12EB">
        <w:t xml:space="preserve">Al-Yahya, A. A. (2013). Reproductive, cytological and biochemical toxicity of fenugreek in male Swiss albino mice. </w:t>
      </w:r>
      <w:r w:rsidRPr="007B12EB">
        <w:rPr>
          <w:i/>
        </w:rPr>
        <w:t>African Journal of Pharmacy and Pharmacology</w:t>
      </w:r>
      <w:r w:rsidRPr="007B12EB">
        <w:t xml:space="preserve">, </w:t>
      </w:r>
      <w:r w:rsidRPr="007B12EB">
        <w:rPr>
          <w:i/>
        </w:rPr>
        <w:t>7</w:t>
      </w:r>
      <w:r w:rsidRPr="007B12EB">
        <w:t xml:space="preserve">(29), 2072–2080. </w:t>
      </w:r>
      <w:hyperlink r:id="rId25">
        <w:r w:rsidRPr="007B12EB">
          <w:rPr>
            <w:color w:val="0563C1"/>
            <w:u w:val="single"/>
          </w:rPr>
          <w:t>https://doi.org/10.5897/AJPP2013.3449</w:t>
        </w:r>
      </w:hyperlink>
    </w:p>
    <w:p w14:paraId="19222258" w14:textId="77777777" w:rsidR="00067846" w:rsidRPr="007B12EB" w:rsidRDefault="00067846" w:rsidP="00067846">
      <w:pPr>
        <w:ind w:left="720" w:hanging="720"/>
        <w:jc w:val="both"/>
        <w:rPr>
          <w:rFonts w:ascii="Arial" w:hAnsi="Arial" w:cs="Arial"/>
          <w:sz w:val="20"/>
          <w:szCs w:val="20"/>
        </w:rPr>
      </w:pPr>
      <w:r>
        <w:t xml:space="preserve">Amann, R. P. (1981). A critical review of methods for evaluation of spermatogenesis from seminal characteristics. </w:t>
      </w:r>
      <w:r>
        <w:rPr>
          <w:i/>
        </w:rPr>
        <w:t>Journal of Andrology</w:t>
      </w:r>
      <w:r>
        <w:t xml:space="preserve">, </w:t>
      </w:r>
      <w:r>
        <w:rPr>
          <w:i/>
        </w:rPr>
        <w:t>2</w:t>
      </w:r>
      <w:r>
        <w:t xml:space="preserve">(1), 37–58. </w:t>
      </w:r>
      <w:hyperlink r:id="rId26">
        <w:r>
          <w:rPr>
            <w:rStyle w:val="Hyperlink"/>
          </w:rPr>
          <w:t>https://doi.org/10.1002/j.1939-4640.1981.tb00595.x</w:t>
        </w:r>
      </w:hyperlink>
    </w:p>
    <w:p w14:paraId="4D8C520D" w14:textId="77777777" w:rsidR="00067846" w:rsidRPr="007B12EB" w:rsidRDefault="00067846" w:rsidP="00067846">
      <w:pPr>
        <w:ind w:left="720" w:hanging="720"/>
        <w:jc w:val="both"/>
        <w:rPr>
          <w:rFonts w:ascii="Arial" w:hAnsi="Arial" w:cs="Arial"/>
          <w:sz w:val="20"/>
          <w:szCs w:val="20"/>
        </w:rPr>
      </w:pPr>
      <w:r w:rsidRPr="007B12EB">
        <w:t xml:space="preserve">Badry, A., Elghait, A. A., Abo-Youssef, A., Abdelwahab, N. S., &amp; Helaly, H. (2021). A comparative study on the effects of the fenugreek seeds' powder and its aqueous and oil extracts on the male reproductive system in albino rats. </w:t>
      </w:r>
      <w:r w:rsidRPr="007B12EB">
        <w:rPr>
          <w:i/>
        </w:rPr>
        <w:t>Bulletin of Pharmaceutical Sciences, Assiut University</w:t>
      </w:r>
      <w:r w:rsidRPr="007B12EB">
        <w:t xml:space="preserve">, </w:t>
      </w:r>
      <w:r w:rsidRPr="007B12EB">
        <w:rPr>
          <w:i/>
        </w:rPr>
        <w:t>44</w:t>
      </w:r>
      <w:r w:rsidRPr="007B12EB">
        <w:t xml:space="preserve">(2), 623–635. </w:t>
      </w:r>
      <w:hyperlink r:id="rId27">
        <w:r w:rsidRPr="007B12EB">
          <w:rPr>
            <w:color w:val="0563C1"/>
            <w:u w:val="single"/>
          </w:rPr>
          <w:t>https://doi.org/10.21608/BFSA.2021.207194</w:t>
        </w:r>
      </w:hyperlink>
    </w:p>
    <w:p w14:paraId="1B349806" w14:textId="77777777" w:rsidR="00067846" w:rsidRPr="007B12EB" w:rsidRDefault="00067846" w:rsidP="00067846">
      <w:pPr>
        <w:ind w:left="720" w:hanging="720"/>
        <w:jc w:val="both"/>
        <w:rPr>
          <w:rFonts w:ascii="Arial" w:hAnsi="Arial" w:cs="Arial"/>
          <w:sz w:val="20"/>
          <w:szCs w:val="20"/>
        </w:rPr>
      </w:pPr>
      <w:r w:rsidRPr="007B12EB">
        <w:t xml:space="preserve">Banihani, S. A. (2018). Effect of paracetamol on semen quality. </w:t>
      </w:r>
      <w:r w:rsidRPr="007B12EB">
        <w:rPr>
          <w:i/>
        </w:rPr>
        <w:t>Andrologia</w:t>
      </w:r>
      <w:r w:rsidRPr="007B12EB">
        <w:t xml:space="preserve">, </w:t>
      </w:r>
      <w:r w:rsidRPr="007B12EB">
        <w:rPr>
          <w:i/>
        </w:rPr>
        <w:t>50</w:t>
      </w:r>
      <w:r w:rsidRPr="007B12EB">
        <w:t xml:space="preserve">(1), e12874. </w:t>
      </w:r>
      <w:hyperlink r:id="rId28">
        <w:r w:rsidRPr="007B12EB">
          <w:rPr>
            <w:color w:val="0563C1"/>
            <w:u w:val="single"/>
          </w:rPr>
          <w:t>https://doi.org/10.1111/and.12874</w:t>
        </w:r>
      </w:hyperlink>
    </w:p>
    <w:p w14:paraId="4BB8F180" w14:textId="77777777" w:rsidR="00067846" w:rsidRPr="007B12EB" w:rsidRDefault="00067846" w:rsidP="00067846">
      <w:pPr>
        <w:ind w:left="720" w:hanging="720"/>
        <w:jc w:val="both"/>
        <w:rPr>
          <w:rFonts w:ascii="Arial" w:hAnsi="Arial" w:cs="Arial"/>
          <w:sz w:val="20"/>
          <w:szCs w:val="20"/>
        </w:rPr>
      </w:pPr>
      <w:r w:rsidRPr="007B12EB">
        <w:t>Baset, M. E., Ali, T. I., Elshamy, H., El Sadek, A. M., Sami, D. G., Badawy, M. T., Abou-Zekry, S. S., Heiba, H. H., Saadeldin, M. K., &amp; Abdellatif, A. (2020). Anti-diabetic effects of fenugreek (</w:t>
      </w:r>
      <w:r w:rsidRPr="007B12EB">
        <w:rPr>
          <w:i/>
        </w:rPr>
        <w:t>Trigonella foenum-graecum</w:t>
      </w:r>
      <w:r w:rsidRPr="007B12EB">
        <w:t xml:space="preserve">): A comparison between oral and intraperitoneal administration - an animal study. </w:t>
      </w:r>
      <w:r w:rsidRPr="007B12EB">
        <w:rPr>
          <w:i/>
        </w:rPr>
        <w:t>International Journal of Functional Nutrition</w:t>
      </w:r>
      <w:r w:rsidRPr="007B12EB">
        <w:t xml:space="preserve">, </w:t>
      </w:r>
      <w:r w:rsidRPr="007B12EB">
        <w:rPr>
          <w:i/>
        </w:rPr>
        <w:t>1</w:t>
      </w:r>
      <w:r w:rsidRPr="007B12EB">
        <w:t xml:space="preserve">(1), 2. </w:t>
      </w:r>
      <w:hyperlink r:id="rId29">
        <w:r w:rsidRPr="007B12EB">
          <w:rPr>
            <w:color w:val="0563C1"/>
            <w:u w:val="single"/>
          </w:rPr>
          <w:t>https://doi.org/10.3892/ijfn.2020.2</w:t>
        </w:r>
      </w:hyperlink>
    </w:p>
    <w:p w14:paraId="111594BE" w14:textId="77777777" w:rsidR="00067846" w:rsidRPr="007B12EB" w:rsidRDefault="00067846" w:rsidP="00067846">
      <w:pPr>
        <w:ind w:left="720" w:hanging="720"/>
        <w:jc w:val="both"/>
        <w:rPr>
          <w:rFonts w:ascii="Arial" w:hAnsi="Arial" w:cs="Arial"/>
          <w:sz w:val="20"/>
          <w:szCs w:val="20"/>
        </w:rPr>
      </w:pPr>
      <w:r w:rsidRPr="007B12EB">
        <w:t xml:space="preserve">Bkhairia, I., Dhibi, S., Nasri, R., Elfeki, A., Hfaiyedh, N., Ben Amara, I., &amp; Nasri, M. (2018). Bioactive properties: Enhancement of hepatoprotective, antioxidant and DNA damage protective effects of golden grey mullet protein hydrolysates against paracetamol toxicity. </w:t>
      </w:r>
      <w:r w:rsidRPr="007B12EB">
        <w:rPr>
          <w:i/>
        </w:rPr>
        <w:t>RSC Advances</w:t>
      </w:r>
      <w:r w:rsidRPr="007B12EB">
        <w:t xml:space="preserve">, </w:t>
      </w:r>
      <w:r w:rsidRPr="007B12EB">
        <w:rPr>
          <w:i/>
        </w:rPr>
        <w:t>8</w:t>
      </w:r>
      <w:r w:rsidRPr="007B12EB">
        <w:t xml:space="preserve">(41), 23230–23240. </w:t>
      </w:r>
      <w:hyperlink r:id="rId30">
        <w:r w:rsidRPr="007B12EB">
          <w:rPr>
            <w:color w:val="0563C1"/>
            <w:u w:val="single"/>
          </w:rPr>
          <w:t>https://doi.org/10.1039/C8RA02178C</w:t>
        </w:r>
      </w:hyperlink>
    </w:p>
    <w:p w14:paraId="03F7FD51" w14:textId="77777777" w:rsidR="00067846" w:rsidRPr="007B12EB" w:rsidRDefault="00067846" w:rsidP="00067846">
      <w:pPr>
        <w:ind w:left="720" w:hanging="720"/>
        <w:jc w:val="both"/>
        <w:rPr>
          <w:rFonts w:ascii="Arial" w:hAnsi="Arial" w:cs="Arial"/>
          <w:sz w:val="20"/>
          <w:szCs w:val="20"/>
        </w:rPr>
      </w:pPr>
      <w:r w:rsidRPr="007B12EB">
        <w:t xml:space="preserve">Blecharz-Klin, K., Sznejder-Pachołek, A., Wawer, A., Pyrzanowska, J., Piechal, A., Joniec-Maciejak, I., Mirowska-Guzel, D., &amp; Widy-Tyszkiewicz, E. (2022). Early exposure to paracetamol reduces level of testicular testosterone and changes gonadal expression of genes relevant for steroidogenesis in rat offspring. </w:t>
      </w:r>
      <w:r w:rsidRPr="007B12EB">
        <w:rPr>
          <w:i/>
        </w:rPr>
        <w:t>Drug and Chemical Toxicology</w:t>
      </w:r>
      <w:r w:rsidRPr="007B12EB">
        <w:t xml:space="preserve">, </w:t>
      </w:r>
      <w:r w:rsidRPr="007B12EB">
        <w:rPr>
          <w:i/>
        </w:rPr>
        <w:t>45</w:t>
      </w:r>
      <w:r w:rsidRPr="007B12EB">
        <w:t xml:space="preserve">(4), 1862–1869. </w:t>
      </w:r>
      <w:hyperlink r:id="rId31">
        <w:r w:rsidRPr="007B12EB">
          <w:rPr>
            <w:color w:val="0563C1"/>
            <w:u w:val="single"/>
          </w:rPr>
          <w:t>https://doi.org/10.1080/01480545.2021.1892941</w:t>
        </w:r>
      </w:hyperlink>
    </w:p>
    <w:p w14:paraId="5BBDBA0E" w14:textId="77777777" w:rsidR="009A14C1" w:rsidRPr="007B12EB" w:rsidRDefault="009A14C1" w:rsidP="00067846">
      <w:pPr>
        <w:ind w:left="720" w:hanging="720"/>
        <w:jc w:val="both"/>
        <w:rPr>
          <w:rFonts w:ascii="Arial" w:hAnsi="Arial" w:cs="Arial"/>
          <w:sz w:val="20"/>
          <w:szCs w:val="20"/>
        </w:rPr>
      </w:pPr>
      <w:r>
        <w:t xml:space="preserve">Creasy, D. M. (2001). Pathogenesis of male reproductive toxicity. </w:t>
      </w:r>
      <w:r>
        <w:rPr>
          <w:i/>
        </w:rPr>
        <w:t>Toxicologic Pathology</w:t>
      </w:r>
      <w:r>
        <w:t xml:space="preserve">, </w:t>
      </w:r>
      <w:r>
        <w:rPr>
          <w:i/>
        </w:rPr>
        <w:t>29</w:t>
      </w:r>
      <w:r>
        <w:t xml:space="preserve">(1), 64–76. </w:t>
      </w:r>
      <w:hyperlink r:id="rId32">
        <w:r>
          <w:rPr>
            <w:rStyle w:val="Hyperlink"/>
          </w:rPr>
          <w:t>https://doi.org/10.1080/019262301301418865</w:t>
        </w:r>
      </w:hyperlink>
    </w:p>
    <w:p w14:paraId="18979CAE" w14:textId="77777777" w:rsidR="00067846" w:rsidRPr="007B12EB" w:rsidRDefault="00067846" w:rsidP="00067846">
      <w:pPr>
        <w:ind w:left="720" w:hanging="720"/>
        <w:jc w:val="both"/>
        <w:rPr>
          <w:rFonts w:ascii="Arial" w:hAnsi="Arial" w:cs="Arial"/>
          <w:sz w:val="20"/>
          <w:szCs w:val="20"/>
        </w:rPr>
      </w:pPr>
      <w:r w:rsidRPr="007B12EB">
        <w:lastRenderedPageBreak/>
        <w:t xml:space="preserve">Divyanshu, Kumari, C., &amp; Ahmad, M. E. (2022). Restitutive effects of </w:t>
      </w:r>
      <w:r w:rsidRPr="007B12EB">
        <w:rPr>
          <w:i/>
        </w:rPr>
        <w:t>Allium sativum</w:t>
      </w:r>
      <w:r w:rsidRPr="007B12EB">
        <w:t xml:space="preserve"> on oxidative stress and hepatotoxicity in dimethoate-induced </w:t>
      </w:r>
      <w:r w:rsidRPr="007B12EB">
        <w:rPr>
          <w:i/>
        </w:rPr>
        <w:t>Mus musculus</w:t>
      </w:r>
      <w:r w:rsidRPr="007B12EB">
        <w:t xml:space="preserve">. </w:t>
      </w:r>
      <w:r w:rsidRPr="007B12EB">
        <w:rPr>
          <w:i/>
        </w:rPr>
        <w:t>Journal of Advanced Zoology</w:t>
      </w:r>
      <w:r w:rsidRPr="007B12EB">
        <w:t xml:space="preserve">, </w:t>
      </w:r>
      <w:r w:rsidRPr="007B12EB">
        <w:rPr>
          <w:i/>
        </w:rPr>
        <w:t>43</w:t>
      </w:r>
      <w:r w:rsidRPr="007B12EB">
        <w:t xml:space="preserve">(1), 1424–1431. </w:t>
      </w:r>
      <w:hyperlink r:id="rId33">
        <w:r w:rsidRPr="007B12EB">
          <w:rPr>
            <w:color w:val="0563C1"/>
            <w:u w:val="single"/>
          </w:rPr>
          <w:t>https://doi.org/10.53555/jaz.v43i1.5139</w:t>
        </w:r>
      </w:hyperlink>
    </w:p>
    <w:p w14:paraId="0B6280C7" w14:textId="77777777" w:rsidR="00067846" w:rsidRPr="007B12EB" w:rsidRDefault="00067846" w:rsidP="00067846">
      <w:pPr>
        <w:ind w:left="720" w:hanging="720"/>
        <w:jc w:val="both"/>
        <w:rPr>
          <w:rFonts w:ascii="Arial" w:hAnsi="Arial" w:cs="Arial"/>
          <w:sz w:val="20"/>
          <w:szCs w:val="20"/>
        </w:rPr>
      </w:pPr>
      <w:r w:rsidRPr="007B12EB">
        <w:t xml:space="preserve">Divyanshu, Nawaz, M. S., &amp; Ahmad, M. E. (2025). Ameliorative potential of </w:t>
      </w:r>
      <w:r w:rsidRPr="007B12EB">
        <w:rPr>
          <w:i/>
        </w:rPr>
        <w:t>Allium sativum</w:t>
      </w:r>
      <w:r w:rsidRPr="007B12EB">
        <w:t xml:space="preserve"> against chlorpyrifos-induced toxicity in Swiss albino mice (</w:t>
      </w:r>
      <w:r w:rsidRPr="007B12EB">
        <w:rPr>
          <w:i/>
        </w:rPr>
        <w:t>Mus musculus</w:t>
      </w:r>
      <w:r w:rsidRPr="007B12EB">
        <w:t xml:space="preserve">). </w:t>
      </w:r>
      <w:r w:rsidRPr="007B12EB">
        <w:rPr>
          <w:i/>
        </w:rPr>
        <w:t>Asian Journal of Biological and Life Sciences</w:t>
      </w:r>
      <w:r w:rsidRPr="007B12EB">
        <w:t xml:space="preserve">, </w:t>
      </w:r>
      <w:r w:rsidRPr="007B12EB">
        <w:rPr>
          <w:i/>
        </w:rPr>
        <w:t>14</w:t>
      </w:r>
      <w:r w:rsidRPr="007B12EB">
        <w:t xml:space="preserve">(2), 303–308. </w:t>
      </w:r>
      <w:hyperlink r:id="rId34">
        <w:r w:rsidRPr="007B12EB">
          <w:rPr>
            <w:color w:val="0563C1"/>
            <w:u w:val="single"/>
          </w:rPr>
          <w:t>https://doi.org/10.5530/ajbls.20251465</w:t>
        </w:r>
      </w:hyperlink>
    </w:p>
    <w:p w14:paraId="5CF3034B" w14:textId="77777777" w:rsidR="00067846" w:rsidRPr="007B12EB" w:rsidRDefault="00067846" w:rsidP="00067846">
      <w:pPr>
        <w:ind w:left="720" w:hanging="720"/>
        <w:jc w:val="both"/>
        <w:rPr>
          <w:rFonts w:ascii="Arial" w:hAnsi="Arial" w:cs="Arial"/>
          <w:sz w:val="20"/>
          <w:szCs w:val="20"/>
        </w:rPr>
      </w:pPr>
      <w:r w:rsidRPr="007B12EB">
        <w:t xml:space="preserve">Guo, X., &amp; Nzerue, C. (2002). How to prevent, recognize, and treat drug-induced nephrotoxicity. </w:t>
      </w:r>
      <w:r w:rsidRPr="007B12EB">
        <w:rPr>
          <w:i/>
        </w:rPr>
        <w:t>Cleveland Clinic Journal of Medicine</w:t>
      </w:r>
      <w:r w:rsidRPr="007B12EB">
        <w:t xml:space="preserve">, </w:t>
      </w:r>
      <w:r w:rsidRPr="007B12EB">
        <w:rPr>
          <w:i/>
        </w:rPr>
        <w:t>69</w:t>
      </w:r>
      <w:r w:rsidRPr="007B12EB">
        <w:t xml:space="preserve">(4), 289–290, 293–294, 296–297. </w:t>
      </w:r>
      <w:hyperlink r:id="rId35">
        <w:r w:rsidRPr="007B12EB">
          <w:rPr>
            <w:color w:val="0563C1"/>
            <w:u w:val="single"/>
          </w:rPr>
          <w:t>https://doi.org/10.3949/ccjm.69.4.289</w:t>
        </w:r>
      </w:hyperlink>
    </w:p>
    <w:p w14:paraId="71D24C81" w14:textId="77777777" w:rsidR="00067846" w:rsidRPr="007B12EB" w:rsidRDefault="00067846" w:rsidP="00067846">
      <w:pPr>
        <w:ind w:left="720" w:hanging="720"/>
        <w:jc w:val="both"/>
        <w:rPr>
          <w:rFonts w:ascii="Arial" w:hAnsi="Arial" w:cs="Arial"/>
          <w:sz w:val="20"/>
          <w:szCs w:val="20"/>
        </w:rPr>
      </w:pPr>
      <w:r>
        <w:t xml:space="preserve">Hamad, S. R., Anwar, H. M., &amp; Diab, M. S. M. (2023). Assessment ameliorative role of fenugreek seeds and germinated fenugreek seeds on pancreatic and testicular gentamicin toxicity of male Swiss albino mice. </w:t>
      </w:r>
      <w:r>
        <w:rPr>
          <w:i/>
        </w:rPr>
        <w:t>The Journal of Basic and Applied Zoology</w:t>
      </w:r>
      <w:r>
        <w:t xml:space="preserve">, </w:t>
      </w:r>
      <w:r>
        <w:rPr>
          <w:i/>
        </w:rPr>
        <w:t>84</w:t>
      </w:r>
      <w:r>
        <w:t xml:space="preserve">, 3. </w:t>
      </w:r>
      <w:hyperlink r:id="rId36">
        <w:r>
          <w:rPr>
            <w:rStyle w:val="Hyperlink"/>
          </w:rPr>
          <w:t>https://doi.org/10.1186/s41936-023-00324-y</w:t>
        </w:r>
      </w:hyperlink>
    </w:p>
    <w:p w14:paraId="2BCDDF29" w14:textId="77777777" w:rsidR="00067846" w:rsidRPr="007B12EB" w:rsidRDefault="00067846" w:rsidP="00067846">
      <w:pPr>
        <w:ind w:left="720" w:hanging="720"/>
        <w:jc w:val="both"/>
        <w:rPr>
          <w:rFonts w:ascii="Arial" w:hAnsi="Arial" w:cs="Arial"/>
          <w:sz w:val="20"/>
          <w:szCs w:val="20"/>
        </w:rPr>
      </w:pPr>
      <w:r w:rsidRPr="007B12EB">
        <w:t xml:space="preserve">Hamden, K., Jaouadi, B., Carreau, S., Aouidet, A., El-Fazaa, S., Gharbi, N., &amp; Elfeki, A. (2010). Potential protective effect on key steroidogenesis and metabolic enzymes and sperm abnormalities by fenugreek steroids in testis and epididymis of surviving diabetic rats. </w:t>
      </w:r>
      <w:r w:rsidRPr="007B12EB">
        <w:rPr>
          <w:i/>
        </w:rPr>
        <w:t>Archives of Physiology and Biochemistry</w:t>
      </w:r>
      <w:r w:rsidRPr="007B12EB">
        <w:t xml:space="preserve">, </w:t>
      </w:r>
      <w:r w:rsidRPr="007B12EB">
        <w:rPr>
          <w:i/>
        </w:rPr>
        <w:t>116</w:t>
      </w:r>
      <w:r w:rsidRPr="007B12EB">
        <w:t xml:space="preserve">(3), 146–155. </w:t>
      </w:r>
      <w:hyperlink r:id="rId37">
        <w:r w:rsidRPr="007B12EB">
          <w:rPr>
            <w:color w:val="0563C1"/>
            <w:u w:val="single"/>
          </w:rPr>
          <w:t>https://doi.org/10.3109/13813455.2010.486405</w:t>
        </w:r>
      </w:hyperlink>
    </w:p>
    <w:p w14:paraId="13F6E9C2" w14:textId="77777777" w:rsidR="00067846" w:rsidRPr="007B12EB" w:rsidRDefault="00067846" w:rsidP="00067846">
      <w:pPr>
        <w:ind w:left="720" w:hanging="720"/>
        <w:jc w:val="both"/>
        <w:rPr>
          <w:rFonts w:ascii="Arial" w:hAnsi="Arial" w:cs="Arial"/>
          <w:sz w:val="20"/>
          <w:szCs w:val="20"/>
        </w:rPr>
      </w:pPr>
      <w:r>
        <w:t xml:space="preserve">Hamza, A. A., Elwy, H. M., &amp; Badawi, A. M. (2016). Fenugreek seed extract attenuates cisplatin-induced testicular damage in Wistar rats. </w:t>
      </w:r>
      <w:r>
        <w:rPr>
          <w:i/>
        </w:rPr>
        <w:t>Andrologia</w:t>
      </w:r>
      <w:r>
        <w:t xml:space="preserve">, </w:t>
      </w:r>
      <w:r>
        <w:rPr>
          <w:i/>
        </w:rPr>
        <w:t>48</w:t>
      </w:r>
      <w:r>
        <w:t xml:space="preserve">(2), 211–221. </w:t>
      </w:r>
      <w:hyperlink r:id="rId38">
        <w:r>
          <w:rPr>
            <w:rStyle w:val="Hyperlink"/>
          </w:rPr>
          <w:t>https://doi.org/10.1111/and.12435</w:t>
        </w:r>
      </w:hyperlink>
    </w:p>
    <w:p w14:paraId="0272845B" w14:textId="77777777" w:rsidR="004D3F1D" w:rsidRPr="007B12EB" w:rsidRDefault="004D3F1D" w:rsidP="00067846">
      <w:pPr>
        <w:ind w:left="720" w:hanging="720"/>
        <w:jc w:val="both"/>
        <w:rPr>
          <w:rFonts w:ascii="Arial" w:hAnsi="Arial" w:cs="Arial"/>
          <w:sz w:val="20"/>
          <w:szCs w:val="20"/>
        </w:rPr>
      </w:pPr>
      <w:r>
        <w:t xml:space="preserve">Hassan, N. A. M. (2013). Toxic effects of paracetamol on male reproductive system of adult rabbits. </w:t>
      </w:r>
      <w:r>
        <w:rPr>
          <w:i/>
        </w:rPr>
        <w:t>International Journal of Pharma and Bio Sciences</w:t>
      </w:r>
      <w:r>
        <w:t xml:space="preserve">, </w:t>
      </w:r>
      <w:r>
        <w:rPr>
          <w:i/>
        </w:rPr>
        <w:t>4</w:t>
      </w:r>
      <w:r>
        <w:t xml:space="preserve">(1), 806–821. </w:t>
      </w:r>
      <w:hyperlink r:id="rId39">
        <w:r>
          <w:rPr>
            <w:rStyle w:val="Hyperlink"/>
          </w:rPr>
          <w:t>https://ijpbs.net/index.php/journal/article/view/1966</w:t>
        </w:r>
      </w:hyperlink>
    </w:p>
    <w:p w14:paraId="7E4C5878" w14:textId="77777777" w:rsidR="00067846" w:rsidRPr="007B12EB" w:rsidRDefault="00067846" w:rsidP="00067846">
      <w:pPr>
        <w:ind w:left="720" w:hanging="720"/>
        <w:jc w:val="both"/>
        <w:rPr>
          <w:rFonts w:ascii="Arial" w:hAnsi="Arial" w:cs="Arial"/>
          <w:sz w:val="20"/>
          <w:szCs w:val="20"/>
        </w:rPr>
      </w:pPr>
      <w:r w:rsidRPr="007B12EB">
        <w:t xml:space="preserve">Hussain, T., Kandeel, M., Metwally, E., Murtaza, G., Kalhoro, D. H., Yin, Y., Tan, B., Chughtai, M. I., Yaseen, A., Afzal, A., &amp; Kalhoro, M. S. (2023). Unraveling the harmful effect of oxidative stress on male fertility: A mechanistic insight. </w:t>
      </w:r>
      <w:r w:rsidRPr="007B12EB">
        <w:rPr>
          <w:i/>
        </w:rPr>
        <w:t>Frontiers in Endocrinology</w:t>
      </w:r>
      <w:r w:rsidRPr="007B12EB">
        <w:t xml:space="preserve">, </w:t>
      </w:r>
      <w:r w:rsidRPr="007B12EB">
        <w:rPr>
          <w:i/>
        </w:rPr>
        <w:t>14</w:t>
      </w:r>
      <w:r w:rsidRPr="007B12EB">
        <w:t xml:space="preserve">, 1070692. </w:t>
      </w:r>
      <w:hyperlink r:id="rId40">
        <w:r w:rsidRPr="007B12EB">
          <w:rPr>
            <w:color w:val="0563C1"/>
            <w:u w:val="single"/>
          </w:rPr>
          <w:t>https://doi.org/10.3389/fendo.2023.1070692</w:t>
        </w:r>
      </w:hyperlink>
    </w:p>
    <w:p w14:paraId="51EAE363" w14:textId="77777777" w:rsidR="00067846" w:rsidRPr="007B12EB" w:rsidRDefault="00067846" w:rsidP="00067846">
      <w:pPr>
        <w:ind w:left="720" w:hanging="720"/>
        <w:jc w:val="both"/>
        <w:rPr>
          <w:rFonts w:ascii="Arial" w:hAnsi="Arial" w:cs="Arial"/>
          <w:sz w:val="20"/>
          <w:szCs w:val="20"/>
        </w:rPr>
      </w:pPr>
      <w:r w:rsidRPr="007B12EB">
        <w:t>Iqbal, A., Nawaz, M. S., &amp; Ahmad, M. E. (2024). Role of Ashwagandha (</w:t>
      </w:r>
      <w:r w:rsidRPr="007B12EB">
        <w:rPr>
          <w:i/>
        </w:rPr>
        <w:t>Withania somnifera</w:t>
      </w:r>
      <w:r w:rsidRPr="007B12EB">
        <w:t>) root extract in attenuating hepatic deficits in diclofenac sodium-induced Swiss albino mice (</w:t>
      </w:r>
      <w:r w:rsidRPr="007B12EB">
        <w:rPr>
          <w:i/>
        </w:rPr>
        <w:t>Mus musculus</w:t>
      </w:r>
      <w:r w:rsidRPr="007B12EB">
        <w:t xml:space="preserve">). </w:t>
      </w:r>
      <w:r w:rsidRPr="007B12EB">
        <w:rPr>
          <w:i/>
        </w:rPr>
        <w:t>International Journal of Pharmaceutical Research and Applications</w:t>
      </w:r>
      <w:r w:rsidRPr="007B12EB">
        <w:t xml:space="preserve">, </w:t>
      </w:r>
      <w:r w:rsidRPr="007B12EB">
        <w:rPr>
          <w:i/>
        </w:rPr>
        <w:t>9</w:t>
      </w:r>
      <w:r w:rsidRPr="007B12EB">
        <w:t xml:space="preserve">(1), 563–570. </w:t>
      </w:r>
      <w:hyperlink r:id="rId41">
        <w:r w:rsidRPr="007B12EB">
          <w:rPr>
            <w:color w:val="0563C1"/>
            <w:u w:val="single"/>
          </w:rPr>
          <w:t>https://doi.org/10.35629/7781-0901563570</w:t>
        </w:r>
      </w:hyperlink>
    </w:p>
    <w:p w14:paraId="3B223E2F" w14:textId="77777777" w:rsidR="00067846" w:rsidRPr="007B12EB" w:rsidRDefault="00067846" w:rsidP="00067846">
      <w:pPr>
        <w:ind w:left="720" w:hanging="720"/>
        <w:jc w:val="both"/>
        <w:rPr>
          <w:rFonts w:ascii="Arial" w:hAnsi="Arial" w:cs="Arial"/>
          <w:sz w:val="20"/>
          <w:szCs w:val="20"/>
        </w:rPr>
      </w:pPr>
      <w:r>
        <w:lastRenderedPageBreak/>
        <w:t>Kaur, S., &amp; Sadwal, S. (2020). Studies on the phytomodulatory potential of fenugreek (</w:t>
      </w:r>
      <w:r>
        <w:rPr>
          <w:i/>
        </w:rPr>
        <w:t>Trigonella foenum-graecum</w:t>
      </w:r>
      <w:r>
        <w:t xml:space="preserve">) on bisphenol-A induced testicular damage in mice. </w:t>
      </w:r>
      <w:r>
        <w:rPr>
          <w:i/>
        </w:rPr>
        <w:t>Andrologia</w:t>
      </w:r>
      <w:r>
        <w:t xml:space="preserve">, </w:t>
      </w:r>
      <w:r>
        <w:rPr>
          <w:i/>
        </w:rPr>
        <w:t>52</w:t>
      </w:r>
      <w:r>
        <w:t xml:space="preserve">(2), e13492. </w:t>
      </w:r>
      <w:hyperlink r:id="rId42">
        <w:r>
          <w:rPr>
            <w:rStyle w:val="Hyperlink"/>
          </w:rPr>
          <w:t>https://doi.org/10.1111/and.13492</w:t>
        </w:r>
      </w:hyperlink>
    </w:p>
    <w:p w14:paraId="2BB85629" w14:textId="77777777" w:rsidR="00067846" w:rsidRPr="007B12EB" w:rsidRDefault="00067846" w:rsidP="00067846">
      <w:pPr>
        <w:ind w:left="720" w:hanging="720"/>
        <w:jc w:val="both"/>
        <w:rPr>
          <w:rFonts w:ascii="Arial" w:hAnsi="Arial" w:cs="Arial"/>
          <w:sz w:val="20"/>
          <w:szCs w:val="20"/>
        </w:rPr>
      </w:pPr>
      <w:r>
        <w:t>Kaviarasan, S., Viswanathan, P., &amp; Anuradha, C. V. (2007). Fenugreek seed (</w:t>
      </w:r>
      <w:r>
        <w:rPr>
          <w:i/>
        </w:rPr>
        <w:t>Trigonella foenum-graecum</w:t>
      </w:r>
      <w:r>
        <w:t xml:space="preserve">) polyphenols inhibit ethanol-induced collagen and lipid accumulation in rat liver. </w:t>
      </w:r>
      <w:r>
        <w:rPr>
          <w:i/>
        </w:rPr>
        <w:t>Cell Biology and Toxicology</w:t>
      </w:r>
      <w:r>
        <w:t xml:space="preserve">, </w:t>
      </w:r>
      <w:r>
        <w:rPr>
          <w:i/>
        </w:rPr>
        <w:t>23</w:t>
      </w:r>
      <w:r>
        <w:t xml:space="preserve">(6), 373–383. </w:t>
      </w:r>
      <w:hyperlink r:id="rId43">
        <w:r>
          <w:rPr>
            <w:rStyle w:val="Hyperlink"/>
          </w:rPr>
          <w:t>https://doi.org/10.1007/s10565-007-9000-7</w:t>
        </w:r>
      </w:hyperlink>
    </w:p>
    <w:p w14:paraId="59CE2880" w14:textId="77777777" w:rsidR="00067846" w:rsidRPr="007B12EB" w:rsidRDefault="00067846" w:rsidP="00067846">
      <w:pPr>
        <w:ind w:left="720" w:hanging="720"/>
        <w:jc w:val="both"/>
        <w:rPr>
          <w:rFonts w:ascii="Arial" w:hAnsi="Arial" w:cs="Arial"/>
          <w:sz w:val="20"/>
          <w:szCs w:val="20"/>
        </w:rPr>
      </w:pPr>
      <w:r w:rsidRPr="007B12EB">
        <w:t xml:space="preserve">Khayyat, L. I. (2021). Extra virgin olive oil protects the testis and blood from the toxicity of paracetamol (overdose) in adult male rats. </w:t>
      </w:r>
      <w:r w:rsidRPr="007B12EB">
        <w:rPr>
          <w:i/>
        </w:rPr>
        <w:t>Biology</w:t>
      </w:r>
      <w:r w:rsidRPr="007B12EB">
        <w:t xml:space="preserve">, </w:t>
      </w:r>
      <w:r w:rsidRPr="007B12EB">
        <w:rPr>
          <w:i/>
        </w:rPr>
        <w:t>10</w:t>
      </w:r>
      <w:r w:rsidRPr="007B12EB">
        <w:t xml:space="preserve">(10), 1042. </w:t>
      </w:r>
      <w:hyperlink r:id="rId44">
        <w:r w:rsidRPr="007B12EB">
          <w:rPr>
            <w:color w:val="0563C1"/>
            <w:u w:val="single"/>
          </w:rPr>
          <w:t>https://doi.org/10.3390/biology10101042</w:t>
        </w:r>
      </w:hyperlink>
    </w:p>
    <w:p w14:paraId="54F4ACE3" w14:textId="77777777" w:rsidR="00067846" w:rsidRPr="007B12EB" w:rsidRDefault="00067846" w:rsidP="00067846">
      <w:pPr>
        <w:ind w:left="720" w:hanging="720"/>
        <w:jc w:val="both"/>
        <w:rPr>
          <w:rFonts w:ascii="Arial" w:hAnsi="Arial" w:cs="Arial"/>
          <w:sz w:val="20"/>
          <w:szCs w:val="20"/>
        </w:rPr>
      </w:pPr>
      <w:r w:rsidRPr="007B12EB">
        <w:t xml:space="preserve">Laursen, T. Q., Ramlau-Hansen, C. H., Tøttenborg, S. S., Liew, Z., Toft, G., Gaml-Sørensen, A., Hougaard, K. S., Bonde, J. P. E., &amp; Ernst, A. (2024). Maternal intake of paracetamol during pregnancy and biomarkers of male fecundity in young adult sons. </w:t>
      </w:r>
      <w:r w:rsidRPr="007B12EB">
        <w:rPr>
          <w:i/>
        </w:rPr>
        <w:t>Reproductive Toxicology</w:t>
      </w:r>
      <w:r w:rsidRPr="007B12EB">
        <w:t xml:space="preserve">, </w:t>
      </w:r>
      <w:r w:rsidRPr="007B12EB">
        <w:rPr>
          <w:i/>
        </w:rPr>
        <w:t>127</w:t>
      </w:r>
      <w:r w:rsidRPr="007B12EB">
        <w:t xml:space="preserve">, 108626. </w:t>
      </w:r>
      <w:hyperlink r:id="rId45">
        <w:r w:rsidRPr="007B12EB">
          <w:rPr>
            <w:color w:val="0563C1"/>
            <w:u w:val="single"/>
          </w:rPr>
          <w:t>https://doi.org/10.1016/j.reprotox.2024.108626</w:t>
        </w:r>
      </w:hyperlink>
    </w:p>
    <w:p w14:paraId="49995A01" w14:textId="77777777" w:rsidR="002654F7" w:rsidRPr="007B12EB" w:rsidRDefault="0025036D">
      <w:pPr>
        <w:ind w:left="720" w:hanging="720"/>
        <w:jc w:val="both"/>
        <w:rPr>
          <w:rFonts w:ascii="Arial" w:hAnsi="Arial" w:cs="Arial"/>
          <w:sz w:val="20"/>
          <w:szCs w:val="20"/>
        </w:rPr>
      </w:pPr>
      <w:r w:rsidRPr="007B12EB">
        <w:t>Lee-Ødegård, S., Gundersen, T. E., &amp; Drevon, C. A. (2024). Effect of a plant extract of fenugreek (</w:t>
      </w:r>
      <w:r w:rsidRPr="007B12EB">
        <w:rPr>
          <w:i/>
        </w:rPr>
        <w:t>Trigonella foenum-graecum</w:t>
      </w:r>
      <w:r w:rsidRPr="007B12EB">
        <w:t xml:space="preserve">) on testosterone in blood plasma and saliva in a double blind randomized controlled intervention study. </w:t>
      </w:r>
      <w:r w:rsidRPr="007B12EB">
        <w:rPr>
          <w:i/>
        </w:rPr>
        <w:t>PLOS ONE</w:t>
      </w:r>
      <w:r w:rsidRPr="007B12EB">
        <w:t xml:space="preserve">, </w:t>
      </w:r>
      <w:r w:rsidRPr="007B12EB">
        <w:rPr>
          <w:i/>
        </w:rPr>
        <w:t>19</w:t>
      </w:r>
      <w:r w:rsidRPr="007B12EB">
        <w:t xml:space="preserve">(9), e0310170. </w:t>
      </w:r>
      <w:hyperlink r:id="rId46">
        <w:r w:rsidR="002654F7" w:rsidRPr="007B12EB">
          <w:rPr>
            <w:color w:val="0563C1"/>
            <w:u w:val="single"/>
          </w:rPr>
          <w:t>https://doi.org/10.1371/journal.pone.0310170</w:t>
        </w:r>
      </w:hyperlink>
    </w:p>
    <w:p w14:paraId="1B1EB487" w14:textId="77777777" w:rsidR="002654F7" w:rsidRPr="007B12EB" w:rsidRDefault="0025036D">
      <w:pPr>
        <w:ind w:left="720" w:hanging="720"/>
        <w:jc w:val="both"/>
        <w:rPr>
          <w:rFonts w:ascii="Arial" w:hAnsi="Arial" w:cs="Arial"/>
          <w:sz w:val="20"/>
          <w:szCs w:val="20"/>
        </w:rPr>
      </w:pPr>
      <w:r w:rsidRPr="007B12EB">
        <w:t xml:space="preserve">Maheshwari, A., Verma, N., Swaroop, A., Bagchi, M., Preuss, H. G., Tiwari, K., &amp; Bagchi, D. (2017). Efficacy of Furosap™, a novel </w:t>
      </w:r>
      <w:r w:rsidRPr="007B12EB">
        <w:rPr>
          <w:i/>
        </w:rPr>
        <w:t>Trigonella foenum-graecum</w:t>
      </w:r>
      <w:r w:rsidRPr="007B12EB">
        <w:t xml:space="preserve"> seed extract, in enhancing testosterone level and improving sperm profile in male volunteers. </w:t>
      </w:r>
      <w:r w:rsidRPr="007B12EB">
        <w:rPr>
          <w:i/>
        </w:rPr>
        <w:t>International Journal of Medical Sciences</w:t>
      </w:r>
      <w:r w:rsidRPr="007B12EB">
        <w:t xml:space="preserve">, </w:t>
      </w:r>
      <w:r w:rsidRPr="007B12EB">
        <w:rPr>
          <w:i/>
        </w:rPr>
        <w:t>14</w:t>
      </w:r>
      <w:r w:rsidRPr="007B12EB">
        <w:t xml:space="preserve">(1), 58–66. </w:t>
      </w:r>
      <w:hyperlink r:id="rId47">
        <w:r w:rsidR="002654F7" w:rsidRPr="007B12EB">
          <w:rPr>
            <w:color w:val="0563C1"/>
            <w:u w:val="single"/>
          </w:rPr>
          <w:t>https://doi.org/10.7150/ijms.17256</w:t>
        </w:r>
      </w:hyperlink>
    </w:p>
    <w:p w14:paraId="0400628F" w14:textId="77777777" w:rsidR="00067846" w:rsidRPr="007B12EB" w:rsidRDefault="00067846" w:rsidP="00067846">
      <w:pPr>
        <w:ind w:left="720" w:hanging="720"/>
        <w:jc w:val="both"/>
        <w:rPr>
          <w:rFonts w:ascii="Arial" w:hAnsi="Arial" w:cs="Arial"/>
          <w:sz w:val="20"/>
          <w:szCs w:val="20"/>
        </w:rPr>
      </w:pPr>
      <w:r>
        <w:t xml:space="preserve">Marzouk, M., Sayed, A. A., &amp; Soliman, A. M. (2011). Hepatoprotective and antioxidant effects of </w:t>
      </w:r>
      <w:r>
        <w:rPr>
          <w:i/>
        </w:rPr>
        <w:t>Cichorium endivia</w:t>
      </w:r>
      <w:r>
        <w:t xml:space="preserve"> L. leaves extract against acetaminophen toxicity on rats. </w:t>
      </w:r>
      <w:r>
        <w:rPr>
          <w:i/>
        </w:rPr>
        <w:t>Journal of Medicine and Medical Sciences</w:t>
      </w:r>
      <w:r>
        <w:t xml:space="preserve">, </w:t>
      </w:r>
      <w:r>
        <w:rPr>
          <w:i/>
        </w:rPr>
        <w:t>2</w:t>
      </w:r>
      <w:r>
        <w:t xml:space="preserve">(12), 1273–1279. </w:t>
      </w:r>
      <w:hyperlink r:id="rId48">
        <w:r>
          <w:rPr>
            <w:rStyle w:val="Hyperlink"/>
          </w:rPr>
          <w:t>https://www.interesjournals.org/abstract/hepatoprotective-and-antioxidant-effects-of-cichorium-endivia-l-leaves-extract-against-acetaminophen-toxicity-on-rats-18118.html</w:t>
        </w:r>
      </w:hyperlink>
    </w:p>
    <w:p w14:paraId="1DD1AE51" w14:textId="77777777" w:rsidR="00067846" w:rsidRPr="007B12EB" w:rsidRDefault="00067846" w:rsidP="00067846">
      <w:pPr>
        <w:ind w:left="720" w:hanging="720"/>
        <w:jc w:val="both"/>
        <w:rPr>
          <w:rFonts w:ascii="Arial" w:hAnsi="Arial" w:cs="Arial"/>
          <w:sz w:val="20"/>
          <w:szCs w:val="20"/>
        </w:rPr>
      </w:pPr>
      <w:r>
        <w:t xml:space="preserve">McGill, M. R., Sharpe, M. R., Williams, C. D., Taha, M., Curry, S. C., &amp; Jaeschke, H. (2012). The mechanism underlying acetaminophen-induced hepatotoxicity in humans and mice involves mitochondrial damage and nuclear DNA fragmentation. </w:t>
      </w:r>
      <w:r>
        <w:rPr>
          <w:i/>
        </w:rPr>
        <w:t>Journal of Clinical Investigation</w:t>
      </w:r>
      <w:r>
        <w:t xml:space="preserve">, </w:t>
      </w:r>
      <w:r>
        <w:rPr>
          <w:i/>
        </w:rPr>
        <w:t>122</w:t>
      </w:r>
      <w:r>
        <w:t xml:space="preserve">(4), 1574–1583. </w:t>
      </w:r>
      <w:hyperlink r:id="rId49">
        <w:r>
          <w:rPr>
            <w:rStyle w:val="Hyperlink"/>
          </w:rPr>
          <w:t>https://doi.org/10.1172/JCI59755</w:t>
        </w:r>
      </w:hyperlink>
    </w:p>
    <w:p w14:paraId="10190CE8" w14:textId="77777777" w:rsidR="00067846" w:rsidRPr="007B12EB" w:rsidRDefault="00067846" w:rsidP="00067846">
      <w:pPr>
        <w:ind w:left="720" w:hanging="720"/>
        <w:jc w:val="both"/>
        <w:rPr>
          <w:rFonts w:ascii="Arial" w:hAnsi="Arial" w:cs="Arial"/>
          <w:sz w:val="20"/>
          <w:szCs w:val="20"/>
        </w:rPr>
      </w:pPr>
      <w:r w:rsidRPr="007B12EB">
        <w:t xml:space="preserve">Nawaz, M. S., Iqbal, A., &amp; Ahmad, M. E. (2024). Restitutive properties of </w:t>
      </w:r>
      <w:r w:rsidRPr="007B12EB">
        <w:rPr>
          <w:i/>
        </w:rPr>
        <w:t>Curcuma longa</w:t>
      </w:r>
      <w:r w:rsidRPr="007B12EB">
        <w:t xml:space="preserve"> on cypermethrin-induced Swiss albino mice (</w:t>
      </w:r>
      <w:r w:rsidRPr="007B12EB">
        <w:rPr>
          <w:i/>
        </w:rPr>
        <w:t>Mus musculus</w:t>
      </w:r>
      <w:r w:rsidRPr="007B12EB">
        <w:t xml:space="preserve">). </w:t>
      </w:r>
      <w:r w:rsidRPr="007B12EB">
        <w:rPr>
          <w:i/>
        </w:rPr>
        <w:t>International Journal of Advanced Research</w:t>
      </w:r>
      <w:r w:rsidRPr="007B12EB">
        <w:t xml:space="preserve">, </w:t>
      </w:r>
      <w:r w:rsidRPr="007B12EB">
        <w:rPr>
          <w:i/>
        </w:rPr>
        <w:t>12</w:t>
      </w:r>
      <w:r w:rsidRPr="007B12EB">
        <w:t xml:space="preserve">(1), 163–171. </w:t>
      </w:r>
      <w:hyperlink r:id="rId50">
        <w:r w:rsidRPr="007B12EB">
          <w:rPr>
            <w:color w:val="0563C1"/>
            <w:u w:val="single"/>
          </w:rPr>
          <w:t>https://doi.org/10.21474/IJAR01/18106</w:t>
        </w:r>
      </w:hyperlink>
    </w:p>
    <w:p w14:paraId="2C10CB97" w14:textId="77777777" w:rsidR="00067846" w:rsidRPr="007B12EB" w:rsidRDefault="00067846" w:rsidP="00067846">
      <w:pPr>
        <w:ind w:left="720" w:hanging="720"/>
        <w:jc w:val="both"/>
        <w:rPr>
          <w:rFonts w:ascii="Arial" w:hAnsi="Arial" w:cs="Arial"/>
          <w:sz w:val="20"/>
          <w:szCs w:val="20"/>
        </w:rPr>
      </w:pPr>
      <w:r w:rsidRPr="007B12EB">
        <w:lastRenderedPageBreak/>
        <w:t xml:space="preserve">Oyedeji, K. O., Bolarinwa, A. F., &amp; Ojeniran, S. S. (2013). Effect of paracetamol (acetaminophen) on haematological and reproductive parameters in male albino rats. </w:t>
      </w:r>
      <w:r w:rsidRPr="007B12EB">
        <w:rPr>
          <w:i/>
        </w:rPr>
        <w:t>IOSR Journal of Pharmacy and Biological Sciences</w:t>
      </w:r>
      <w:r w:rsidRPr="007B12EB">
        <w:t xml:space="preserve">, </w:t>
      </w:r>
      <w:r w:rsidRPr="007B12EB">
        <w:rPr>
          <w:i/>
        </w:rPr>
        <w:t>4</w:t>
      </w:r>
      <w:r w:rsidRPr="007B12EB">
        <w:t xml:space="preserve">(6), 65–70. </w:t>
      </w:r>
      <w:hyperlink r:id="rId51">
        <w:r w:rsidRPr="007B12EB">
          <w:rPr>
            <w:color w:val="0563C1"/>
            <w:u w:val="single"/>
          </w:rPr>
          <w:t>https://doi.org/10.9790/3008-0466570</w:t>
        </w:r>
      </w:hyperlink>
    </w:p>
    <w:p w14:paraId="1B5F393F" w14:textId="77777777" w:rsidR="00067846" w:rsidRPr="007B12EB" w:rsidRDefault="00067846" w:rsidP="00067846">
      <w:pPr>
        <w:ind w:left="720" w:hanging="720"/>
        <w:jc w:val="both"/>
        <w:rPr>
          <w:rFonts w:ascii="Arial" w:hAnsi="Arial" w:cs="Arial"/>
          <w:sz w:val="20"/>
          <w:szCs w:val="20"/>
        </w:rPr>
      </w:pPr>
      <w:r w:rsidRPr="007B12EB">
        <w:t xml:space="preserve">Pooja, Ram, K., &amp; Ahlawat, A. (2024). Physiological and phytochemical analysis of different </w:t>
      </w:r>
      <w:r w:rsidRPr="007B12EB">
        <w:rPr>
          <w:i/>
        </w:rPr>
        <w:t>Trigonella foenum-graecum</w:t>
      </w:r>
      <w:r w:rsidRPr="007B12EB">
        <w:t xml:space="preserve"> genotypes. </w:t>
      </w:r>
      <w:r w:rsidRPr="007B12EB">
        <w:rPr>
          <w:i/>
        </w:rPr>
        <w:t>Journal of Biochemistry International</w:t>
      </w:r>
      <w:r w:rsidRPr="007B12EB">
        <w:t xml:space="preserve">, </w:t>
      </w:r>
      <w:r w:rsidRPr="007B12EB">
        <w:rPr>
          <w:i/>
        </w:rPr>
        <w:t>11</w:t>
      </w:r>
      <w:r w:rsidRPr="007B12EB">
        <w:t xml:space="preserve">(1), 83–94. </w:t>
      </w:r>
      <w:hyperlink r:id="rId52">
        <w:r w:rsidRPr="007B12EB">
          <w:rPr>
            <w:color w:val="0563C1"/>
            <w:u w:val="single"/>
          </w:rPr>
          <w:t>https://doi.org/10.56557/jobi/2024/v11i19098</w:t>
        </w:r>
      </w:hyperlink>
    </w:p>
    <w:p w14:paraId="2F23F41D" w14:textId="77777777" w:rsidR="002654F7" w:rsidRPr="007B12EB" w:rsidRDefault="0025036D">
      <w:pPr>
        <w:ind w:left="720" w:hanging="720"/>
        <w:jc w:val="both"/>
        <w:rPr>
          <w:rFonts w:ascii="Arial" w:hAnsi="Arial" w:cs="Arial"/>
          <w:sz w:val="20"/>
          <w:szCs w:val="20"/>
        </w:rPr>
      </w:pPr>
      <w:r>
        <w:t>Qader, S. W., &amp; Othman, G. O. (2014). Cytological and histological effect of paracetamol on the testis and liver in albino mice (</w:t>
      </w:r>
      <w:r>
        <w:rPr>
          <w:i/>
        </w:rPr>
        <w:t>Mus musculus</w:t>
      </w:r>
      <w:r>
        <w:t xml:space="preserve">). </w:t>
      </w:r>
      <w:r>
        <w:rPr>
          <w:i/>
        </w:rPr>
        <w:t>Journal of Zankoy Sulaimani - Part A</w:t>
      </w:r>
      <w:r>
        <w:t xml:space="preserve">, </w:t>
      </w:r>
      <w:r>
        <w:rPr>
          <w:i/>
        </w:rPr>
        <w:t>16</w:t>
      </w:r>
      <w:r>
        <w:t xml:space="preserve">(4), 59–67. </w:t>
      </w:r>
      <w:hyperlink r:id="rId53">
        <w:r w:rsidR="002654F7">
          <w:rPr>
            <w:rStyle w:val="Hyperlink"/>
          </w:rPr>
          <w:t>https://doi.org/10.17656/jzs.10346</w:t>
        </w:r>
      </w:hyperlink>
    </w:p>
    <w:p w14:paraId="1158C84A" w14:textId="77777777" w:rsidR="00067846" w:rsidRPr="007B12EB" w:rsidRDefault="00067846" w:rsidP="00067846">
      <w:pPr>
        <w:ind w:left="720" w:hanging="720"/>
        <w:jc w:val="both"/>
        <w:rPr>
          <w:rFonts w:ascii="Arial" w:hAnsi="Arial" w:cs="Arial"/>
          <w:sz w:val="20"/>
          <w:szCs w:val="20"/>
        </w:rPr>
      </w:pPr>
      <w:r>
        <w:t xml:space="preserve">Rannug, U., Holme, J. A., Hongslo, J. K., &amp; Srám, R. (1995). International Commission for Protection against Environmental Mutagens and Carcinogens. An evaluation of the genetic toxicity of paracetamol. </w:t>
      </w:r>
      <w:r>
        <w:rPr>
          <w:i/>
        </w:rPr>
        <w:t>Mutation Research</w:t>
      </w:r>
      <w:r>
        <w:t xml:space="preserve">, </w:t>
      </w:r>
      <w:r>
        <w:rPr>
          <w:i/>
        </w:rPr>
        <w:t>327</w:t>
      </w:r>
      <w:r>
        <w:t xml:space="preserve">(1–2), 179–200. </w:t>
      </w:r>
      <w:hyperlink r:id="rId54">
        <w:r>
          <w:rPr>
            <w:rStyle w:val="Hyperlink"/>
          </w:rPr>
          <w:t>https://doi.org/10.1016/0027-5107(94)00184-7</w:t>
        </w:r>
      </w:hyperlink>
    </w:p>
    <w:p w14:paraId="16088ADD" w14:textId="77777777" w:rsidR="00067846" w:rsidRPr="007B12EB" w:rsidRDefault="00067846" w:rsidP="00067846">
      <w:pPr>
        <w:ind w:left="720" w:hanging="720"/>
        <w:jc w:val="both"/>
        <w:rPr>
          <w:rFonts w:ascii="Arial" w:hAnsi="Arial" w:cs="Arial"/>
          <w:sz w:val="20"/>
          <w:szCs w:val="20"/>
        </w:rPr>
      </w:pPr>
      <w:r>
        <w:t xml:space="preserve">Ratnasooriya, W. D., &amp; Jayakody, J. R. A. C. (2000). Long-term administration of large doses of paracetamol impairs the reproductive competence of male rats. </w:t>
      </w:r>
      <w:r>
        <w:rPr>
          <w:i/>
        </w:rPr>
        <w:t>Asian Journal of Andrology</w:t>
      </w:r>
      <w:r>
        <w:t xml:space="preserve">, </w:t>
      </w:r>
      <w:r>
        <w:rPr>
          <w:i/>
        </w:rPr>
        <w:t>2</w:t>
      </w:r>
      <w:r>
        <w:t xml:space="preserve">(4), 247–255. </w:t>
      </w:r>
      <w:hyperlink r:id="rId55">
        <w:r>
          <w:rPr>
            <w:rStyle w:val="Hyperlink"/>
          </w:rPr>
          <w:t>https://www.asiaandro.com/archive/1008-682X/2/247.htm</w:t>
        </w:r>
      </w:hyperlink>
    </w:p>
    <w:p w14:paraId="60C3FACD" w14:textId="77777777" w:rsidR="002654F7" w:rsidRPr="007B12EB" w:rsidRDefault="0025036D">
      <w:pPr>
        <w:ind w:left="720" w:hanging="720"/>
        <w:jc w:val="both"/>
        <w:rPr>
          <w:rFonts w:ascii="Arial" w:hAnsi="Arial" w:cs="Arial"/>
          <w:sz w:val="20"/>
          <w:szCs w:val="20"/>
        </w:rPr>
      </w:pPr>
      <w:r w:rsidRPr="007B12EB">
        <w:t xml:space="preserve">Sakr, S. A., El-Shenawy, S. M., &amp; Al-Shabka, A. M. (2012). Aqueous fenugreek seed extract ameliorates adriamycin-induced cytotoxicity and testicular alterations in albino rats. </w:t>
      </w:r>
      <w:r w:rsidRPr="007B12EB">
        <w:rPr>
          <w:i/>
        </w:rPr>
        <w:t>Reproductive Sciences</w:t>
      </w:r>
      <w:r w:rsidRPr="007B12EB">
        <w:t xml:space="preserve">, </w:t>
      </w:r>
      <w:r w:rsidRPr="007B12EB">
        <w:rPr>
          <w:i/>
        </w:rPr>
        <w:t>19</w:t>
      </w:r>
      <w:r w:rsidRPr="007B12EB">
        <w:t xml:space="preserve">(1), 70–80. </w:t>
      </w:r>
      <w:hyperlink r:id="rId56">
        <w:r w:rsidR="002654F7" w:rsidRPr="007B12EB">
          <w:rPr>
            <w:color w:val="0563C1"/>
            <w:u w:val="single"/>
          </w:rPr>
          <w:t>https://doi.org/10.1177/1933719111413301</w:t>
        </w:r>
      </w:hyperlink>
    </w:p>
    <w:p w14:paraId="5979855B" w14:textId="77777777" w:rsidR="002654F7" w:rsidRPr="007B12EB" w:rsidRDefault="0025036D">
      <w:pPr>
        <w:ind w:left="720" w:hanging="720"/>
        <w:jc w:val="both"/>
        <w:rPr>
          <w:rFonts w:ascii="Arial" w:hAnsi="Arial" w:cs="Arial"/>
          <w:sz w:val="20"/>
          <w:szCs w:val="20"/>
        </w:rPr>
      </w:pPr>
      <w:r w:rsidRPr="007B12EB">
        <w:t xml:space="preserve">Sasi, S. M., Alghoul, N. M., Prastiya, R. A., &amp; Salem, K. (2025). Effects of boiled fenugreek seed extract on testicular histology and reproductive parameters in adult male mice. </w:t>
      </w:r>
      <w:r w:rsidRPr="007B12EB">
        <w:rPr>
          <w:i/>
        </w:rPr>
        <w:t>Open Veterinary Journal</w:t>
      </w:r>
      <w:r w:rsidRPr="007B12EB">
        <w:t xml:space="preserve">, </w:t>
      </w:r>
      <w:r w:rsidRPr="007B12EB">
        <w:rPr>
          <w:i/>
        </w:rPr>
        <w:t>15</w:t>
      </w:r>
      <w:r w:rsidRPr="007B12EB">
        <w:t xml:space="preserve">(10), 5041–5047. </w:t>
      </w:r>
      <w:hyperlink r:id="rId57">
        <w:r w:rsidR="002654F7" w:rsidRPr="007B12EB">
          <w:rPr>
            <w:color w:val="0563C1"/>
            <w:u w:val="single"/>
          </w:rPr>
          <w:t>https://doi.org/10.5455/OVJ.2025.v15.i10.22</w:t>
        </w:r>
      </w:hyperlink>
    </w:p>
    <w:p w14:paraId="25FDC9B4" w14:textId="77777777" w:rsidR="00067846" w:rsidRPr="007B12EB" w:rsidRDefault="00067846" w:rsidP="00067846">
      <w:pPr>
        <w:ind w:left="720" w:hanging="720"/>
        <w:jc w:val="both"/>
        <w:rPr>
          <w:rFonts w:ascii="Arial" w:hAnsi="Arial" w:cs="Arial"/>
          <w:sz w:val="20"/>
          <w:szCs w:val="20"/>
        </w:rPr>
      </w:pPr>
      <w:r w:rsidRPr="007B12EB">
        <w:t xml:space="preserve">Singh, M., &amp; Verma, G. N. (2019). Effect of ethanolic extract of </w:t>
      </w:r>
      <w:r w:rsidRPr="007B12EB">
        <w:rPr>
          <w:i/>
        </w:rPr>
        <w:t>Trigonella foenum-graecum</w:t>
      </w:r>
      <w:r w:rsidRPr="007B12EB">
        <w:t xml:space="preserve"> L. seeds on reproductive system of male albino rats. </w:t>
      </w:r>
      <w:r w:rsidRPr="007B12EB">
        <w:rPr>
          <w:i/>
        </w:rPr>
        <w:t>Journal of Complementary and Alternative Medical Research</w:t>
      </w:r>
      <w:r w:rsidRPr="007B12EB">
        <w:t xml:space="preserve">, </w:t>
      </w:r>
      <w:r w:rsidRPr="007B12EB">
        <w:rPr>
          <w:i/>
        </w:rPr>
        <w:t>8</w:t>
      </w:r>
      <w:r w:rsidRPr="007B12EB">
        <w:t xml:space="preserve">(3), 1–8. </w:t>
      </w:r>
      <w:hyperlink r:id="rId58">
        <w:r w:rsidRPr="007B12EB">
          <w:rPr>
            <w:color w:val="0563C1"/>
            <w:u w:val="single"/>
          </w:rPr>
          <w:t>https://doi.org/10.9734/jocamr/2019/v8i330122</w:t>
        </w:r>
      </w:hyperlink>
    </w:p>
    <w:p w14:paraId="142FC979" w14:textId="77777777" w:rsidR="00067846" w:rsidRPr="007B12EB" w:rsidRDefault="00067846" w:rsidP="00067846">
      <w:pPr>
        <w:ind w:left="720" w:hanging="720"/>
        <w:jc w:val="both"/>
        <w:rPr>
          <w:rFonts w:ascii="Arial" w:hAnsi="Arial" w:cs="Arial"/>
          <w:sz w:val="20"/>
          <w:szCs w:val="20"/>
        </w:rPr>
      </w:pPr>
      <w:r w:rsidRPr="007B12EB">
        <w:t xml:space="preserve">Singhmura, S., Kumari, A., De, R., Pradhan, P., Banik, S., &amp; Mandal, A. (2024). Protective effects of fenugreek seed on monosodium glutamate (MSG) spermatozoa morphology and characteristics in male mice. </w:t>
      </w:r>
      <w:r w:rsidRPr="007B12EB">
        <w:rPr>
          <w:i/>
        </w:rPr>
        <w:t>Asian Journal of Pharmacy and Pharmacology</w:t>
      </w:r>
      <w:r w:rsidRPr="007B12EB">
        <w:t xml:space="preserve">, </w:t>
      </w:r>
      <w:r w:rsidRPr="007B12EB">
        <w:rPr>
          <w:i/>
        </w:rPr>
        <w:t>10</w:t>
      </w:r>
      <w:r w:rsidRPr="007B12EB">
        <w:t xml:space="preserve">(3), 78–84. </w:t>
      </w:r>
      <w:hyperlink r:id="rId59">
        <w:r w:rsidRPr="007B12EB">
          <w:rPr>
            <w:color w:val="0563C1"/>
            <w:u w:val="single"/>
          </w:rPr>
          <w:t>https://doi.org/10.31024/ajpp.2024.10.3.2</w:t>
        </w:r>
      </w:hyperlink>
    </w:p>
    <w:p w14:paraId="0850DA96" w14:textId="77777777" w:rsidR="00067846" w:rsidRPr="007B12EB" w:rsidRDefault="00067846" w:rsidP="00067846">
      <w:pPr>
        <w:ind w:left="720" w:hanging="720"/>
        <w:jc w:val="both"/>
        <w:rPr>
          <w:rFonts w:ascii="Arial" w:hAnsi="Arial" w:cs="Arial"/>
          <w:sz w:val="20"/>
          <w:szCs w:val="20"/>
        </w:rPr>
      </w:pPr>
      <w:r w:rsidRPr="007B12EB">
        <w:t>Tanushree, Kumar, A., &amp; Kumar, A. (2024). Study on mitigating role of fenugreek aqueous extract against gonadotoxic induced by permethrin on male Swiss albino mice (</w:t>
      </w:r>
      <w:r w:rsidRPr="007B12EB">
        <w:rPr>
          <w:i/>
        </w:rPr>
        <w:t>Mus musculus</w:t>
      </w:r>
      <w:r w:rsidRPr="007B12EB">
        <w:t xml:space="preserve">). </w:t>
      </w:r>
      <w:r w:rsidRPr="007B12EB">
        <w:rPr>
          <w:i/>
        </w:rPr>
        <w:t>Biospectra</w:t>
      </w:r>
      <w:r w:rsidRPr="007B12EB">
        <w:t xml:space="preserve">, </w:t>
      </w:r>
      <w:r w:rsidRPr="007B12EB">
        <w:rPr>
          <w:i/>
        </w:rPr>
        <w:t>19</w:t>
      </w:r>
      <w:r w:rsidRPr="007B12EB">
        <w:t xml:space="preserve">(1), 57–60. </w:t>
      </w:r>
      <w:hyperlink r:id="rId60">
        <w:r w:rsidRPr="007B12EB">
          <w:rPr>
            <w:color w:val="0563C1"/>
            <w:u w:val="single"/>
          </w:rPr>
          <w:t>https://doi.org/10.5281/zenodo.14263339</w:t>
        </w:r>
      </w:hyperlink>
    </w:p>
    <w:p w14:paraId="20DE65BD" w14:textId="77777777" w:rsidR="00067846" w:rsidRPr="007B12EB" w:rsidRDefault="00067846" w:rsidP="00067846">
      <w:pPr>
        <w:ind w:left="720" w:hanging="720"/>
        <w:jc w:val="both"/>
        <w:rPr>
          <w:rFonts w:ascii="Arial" w:hAnsi="Arial" w:cs="Arial"/>
          <w:sz w:val="20"/>
          <w:szCs w:val="20"/>
        </w:rPr>
      </w:pPr>
      <w:r w:rsidRPr="007B12EB">
        <w:lastRenderedPageBreak/>
        <w:t xml:space="preserve">Tran-Guzman, A., &amp; Culty, M. (2022). Eicosanoid biosynthesis in male reproductive development: Effects of perinatal exposure to NSAIDs and analgesic drugs. </w:t>
      </w:r>
      <w:r w:rsidRPr="007B12EB">
        <w:rPr>
          <w:i/>
        </w:rPr>
        <w:t>Frontiers in Toxicology</w:t>
      </w:r>
      <w:r w:rsidRPr="007B12EB">
        <w:t xml:space="preserve">, </w:t>
      </w:r>
      <w:r w:rsidRPr="007B12EB">
        <w:rPr>
          <w:i/>
        </w:rPr>
        <w:t>4</w:t>
      </w:r>
      <w:r w:rsidRPr="007B12EB">
        <w:t xml:space="preserve">, 842565. </w:t>
      </w:r>
      <w:hyperlink r:id="rId61">
        <w:r w:rsidRPr="007B12EB">
          <w:rPr>
            <w:color w:val="0563C1"/>
            <w:u w:val="single"/>
          </w:rPr>
          <w:t>https://doi.org/10.3389/ftox.2022.842565</w:t>
        </w:r>
      </w:hyperlink>
    </w:p>
    <w:p w14:paraId="0EF1D4D0" w14:textId="77777777" w:rsidR="00067846" w:rsidRPr="007B12EB" w:rsidRDefault="00067846" w:rsidP="00067846">
      <w:pPr>
        <w:ind w:left="720" w:hanging="720"/>
        <w:jc w:val="both"/>
        <w:rPr>
          <w:rFonts w:ascii="Arial" w:hAnsi="Arial" w:cs="Arial"/>
          <w:sz w:val="20"/>
          <w:szCs w:val="20"/>
        </w:rPr>
      </w:pPr>
      <w:r w:rsidRPr="007B12EB">
        <w:t xml:space="preserve">Trettin, A., Böhmer, A., Suchy, M.-T., Probst, I., Staerk, U., Stichtenoth, D. O., Frölich, J. C., &amp; Tsikas, D. (2014). Effects of paracetamol on NOS, COX, and CYP activity and on oxidative stress in healthy male subjects, rat hepatocytes, and recombinant NOS. </w:t>
      </w:r>
      <w:r w:rsidRPr="007B12EB">
        <w:rPr>
          <w:i/>
        </w:rPr>
        <w:t>Oxidative Medicine and Cellular Longevity</w:t>
      </w:r>
      <w:r w:rsidRPr="007B12EB">
        <w:t xml:space="preserve">, </w:t>
      </w:r>
      <w:r w:rsidRPr="007B12EB">
        <w:rPr>
          <w:i/>
        </w:rPr>
        <w:t>2014</w:t>
      </w:r>
      <w:r w:rsidRPr="007B12EB">
        <w:t xml:space="preserve">, 212576. </w:t>
      </w:r>
      <w:hyperlink r:id="rId62">
        <w:r w:rsidRPr="007B12EB">
          <w:rPr>
            <w:color w:val="0563C1"/>
            <w:u w:val="single"/>
          </w:rPr>
          <w:t>https://doi.org/10.1155/2014/212576</w:t>
        </w:r>
      </w:hyperlink>
    </w:p>
    <w:p w14:paraId="6E7DD82C" w14:textId="77777777" w:rsidR="00067846" w:rsidRPr="007B12EB" w:rsidRDefault="00067846" w:rsidP="00067846">
      <w:pPr>
        <w:ind w:left="720" w:hanging="720"/>
        <w:jc w:val="both"/>
        <w:rPr>
          <w:rFonts w:ascii="Arial" w:hAnsi="Arial" w:cs="Arial"/>
          <w:sz w:val="20"/>
          <w:szCs w:val="20"/>
        </w:rPr>
      </w:pPr>
      <w:r w:rsidRPr="007B12EB">
        <w:t xml:space="preserve">Ucheya, R. E., &amp; Igweh, J. C. (2006). Histological changes in kidney structure following a long-term administration of paracetamol (acetaminophen) in pregnant Sprague Dawley rats. </w:t>
      </w:r>
      <w:r w:rsidRPr="007B12EB">
        <w:rPr>
          <w:i/>
        </w:rPr>
        <w:t>Nigerian Journal of Physiological Sciences</w:t>
      </w:r>
      <w:r w:rsidRPr="007B12EB">
        <w:t xml:space="preserve">, </w:t>
      </w:r>
      <w:r w:rsidRPr="007B12EB">
        <w:rPr>
          <w:i/>
        </w:rPr>
        <w:t>21</w:t>
      </w:r>
      <w:r w:rsidRPr="007B12EB">
        <w:t xml:space="preserve">(1–2), 77–81. </w:t>
      </w:r>
      <w:hyperlink r:id="rId63">
        <w:r w:rsidRPr="007B12EB">
          <w:rPr>
            <w:color w:val="0563C1"/>
            <w:u w:val="single"/>
          </w:rPr>
          <w:t>https://doi.org/10.4314/njps.v21i1-2.53973</w:t>
        </w:r>
      </w:hyperlink>
    </w:p>
    <w:p w14:paraId="6CDAFB0E" w14:textId="77777777" w:rsidR="00067846" w:rsidRPr="007B12EB" w:rsidRDefault="00067846" w:rsidP="00067846">
      <w:pPr>
        <w:ind w:left="720" w:hanging="720"/>
        <w:jc w:val="both"/>
        <w:rPr>
          <w:rFonts w:ascii="Arial" w:hAnsi="Arial" w:cs="Arial"/>
          <w:sz w:val="20"/>
          <w:szCs w:val="20"/>
        </w:rPr>
      </w:pPr>
      <w:r>
        <w:t xml:space="preserve">Visuvanathan, T., Than, L. T. L., Stanslas, J., Chew, S. Y., &amp; Vellasamy, S. (2022). Revisiting </w:t>
      </w:r>
      <w:r>
        <w:rPr>
          <w:i/>
        </w:rPr>
        <w:t>Trigonella foenum-graecum</w:t>
      </w:r>
      <w:r>
        <w:t xml:space="preserve"> L.: Pharmacology and therapeutic potentialities. </w:t>
      </w:r>
      <w:r>
        <w:rPr>
          <w:i/>
        </w:rPr>
        <w:t>Plants</w:t>
      </w:r>
      <w:r>
        <w:t xml:space="preserve">, </w:t>
      </w:r>
      <w:r>
        <w:rPr>
          <w:i/>
        </w:rPr>
        <w:t>11</w:t>
      </w:r>
      <w:r>
        <w:t xml:space="preserve">(11), 1450. </w:t>
      </w:r>
      <w:hyperlink r:id="rId64">
        <w:r>
          <w:rPr>
            <w:rStyle w:val="Hyperlink"/>
          </w:rPr>
          <w:t>https://doi.org/10.3390/plants11111450</w:t>
        </w:r>
      </w:hyperlink>
    </w:p>
    <w:p w14:paraId="27DE37A8" w14:textId="77777777" w:rsidR="00067846" w:rsidRPr="00067846" w:rsidRDefault="00067846" w:rsidP="00067846">
      <w:pPr>
        <w:ind w:left="720" w:hanging="720"/>
        <w:jc w:val="both"/>
        <w:rPr>
          <w:rFonts w:ascii="Arial" w:hAnsi="Arial" w:cs="Arial"/>
          <w:sz w:val="20"/>
          <w:szCs w:val="20"/>
        </w:rPr>
      </w:pPr>
      <w:r>
        <w:t xml:space="preserve">Wyrobek, A. J., Gordon, L. A., Burkhart, J. G., Francis, M. W., Kapp, R. W., Jr., Letz, G., Malling, H. V., Topham, J. C., &amp; Whorton, M. D. (1983). An evaluation of the mouse sperm morphology test and other sperm tests in nonhuman mammals: A report of the U.S. Environmental Protection Agency Gene-Tox Program. </w:t>
      </w:r>
      <w:r>
        <w:rPr>
          <w:i/>
        </w:rPr>
        <w:t>Mutation Research/Reviews in Genetic Toxicology</w:t>
      </w:r>
      <w:r>
        <w:t xml:space="preserve">, </w:t>
      </w:r>
      <w:r>
        <w:rPr>
          <w:i/>
        </w:rPr>
        <w:t>115</w:t>
      </w:r>
      <w:r>
        <w:t xml:space="preserve">(1), 1–72. </w:t>
      </w:r>
      <w:hyperlink r:id="rId65">
        <w:r>
          <w:rPr>
            <w:rStyle w:val="Hyperlink"/>
          </w:rPr>
          <w:t>https://doi.org/10.1016/0165-1110(83)90014-3</w:t>
        </w:r>
      </w:hyperlink>
    </w:p>
    <w:sectPr w:rsidR="00067846" w:rsidRPr="00067846">
      <w:headerReference w:type="even" r:id="rId66"/>
      <w:headerReference w:type="default" r:id="rId67"/>
      <w:footerReference w:type="even" r:id="rId68"/>
      <w:footerReference w:type="default" r:id="rId69"/>
      <w:headerReference w:type="first" r:id="rId70"/>
      <w:footerReference w:type="first" r:id="rId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79F7A" w14:textId="77777777" w:rsidR="0025036D" w:rsidRDefault="0025036D" w:rsidP="002904ED">
      <w:pPr>
        <w:spacing w:after="0" w:line="240" w:lineRule="auto"/>
      </w:pPr>
      <w:r>
        <w:separator/>
      </w:r>
    </w:p>
  </w:endnote>
  <w:endnote w:type="continuationSeparator" w:id="0">
    <w:p w14:paraId="48EB9DA0" w14:textId="77777777" w:rsidR="0025036D" w:rsidRDefault="0025036D" w:rsidP="0029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4BCD" w14:textId="77777777" w:rsidR="00556A76" w:rsidRDefault="00556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5C54" w14:textId="77777777" w:rsidR="00556A76" w:rsidRDefault="00556A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9FA5" w14:textId="77777777" w:rsidR="00556A76" w:rsidRDefault="00556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FE8FC" w14:textId="77777777" w:rsidR="0025036D" w:rsidRDefault="0025036D" w:rsidP="002904ED">
      <w:pPr>
        <w:spacing w:after="0" w:line="240" w:lineRule="auto"/>
      </w:pPr>
      <w:r>
        <w:separator/>
      </w:r>
    </w:p>
  </w:footnote>
  <w:footnote w:type="continuationSeparator" w:id="0">
    <w:p w14:paraId="1313E0DC" w14:textId="77777777" w:rsidR="0025036D" w:rsidRDefault="0025036D" w:rsidP="00290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3B32" w14:textId="77777777" w:rsidR="00556A76" w:rsidRDefault="0025036D">
    <w:pPr>
      <w:pStyle w:val="Header"/>
    </w:pPr>
    <w:r>
      <w:rPr>
        <w:noProof/>
      </w:rPr>
      <w:pict w14:anchorId="6A9A0A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581906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92C2" w14:textId="77777777" w:rsidR="00556A76" w:rsidRDefault="0025036D">
    <w:pPr>
      <w:pStyle w:val="Header"/>
    </w:pPr>
    <w:r>
      <w:rPr>
        <w:noProof/>
      </w:rPr>
      <w:pict w14:anchorId="2DAAA2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581906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DF11" w14:textId="77777777" w:rsidR="00556A76" w:rsidRDefault="0025036D">
    <w:pPr>
      <w:pStyle w:val="Header"/>
    </w:pPr>
    <w:r>
      <w:rPr>
        <w:noProof/>
      </w:rPr>
      <w:pict w14:anchorId="4440E6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581906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7751"/>
    <w:multiLevelType w:val="hybridMultilevel"/>
    <w:tmpl w:val="696A883A"/>
    <w:lvl w:ilvl="0" w:tplc="D3D42E02">
      <w:start w:val="131"/>
      <w:numFmt w:val="bullet"/>
      <w:lvlText w:val=""/>
      <w:lvlJc w:val="left"/>
      <w:pPr>
        <w:ind w:left="840" w:hanging="360"/>
      </w:pPr>
      <w:rPr>
        <w:rFonts w:ascii="Symbol" w:eastAsiaTheme="minorHAnsi" w:hAnsi="Symbol"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13D33DF1"/>
    <w:multiLevelType w:val="multilevel"/>
    <w:tmpl w:val="CAA0D34C"/>
    <w:lvl w:ilvl="0">
      <w:start w:val="1"/>
      <w:numFmt w:val="decimal"/>
      <w:lvlText w:val="%1."/>
      <w:lvlJc w:val="left"/>
      <w:pPr>
        <w:tabs>
          <w:tab w:val="num" w:pos="990"/>
        </w:tabs>
        <w:ind w:left="99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FB7541"/>
    <w:multiLevelType w:val="hybridMultilevel"/>
    <w:tmpl w:val="55D89290"/>
    <w:lvl w:ilvl="0" w:tplc="5AF290D2">
      <w:start w:val="131"/>
      <w:numFmt w:val="bullet"/>
      <w:lvlText w:val=""/>
      <w:lvlJc w:val="left"/>
      <w:pPr>
        <w:ind w:left="480" w:hanging="360"/>
      </w:pPr>
      <w:rPr>
        <w:rFonts w:ascii="Symbol" w:eastAsiaTheme="minorHAnsi" w:hAnsi="Symbol"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16cid:durableId="851723981">
    <w:abstractNumId w:val="1"/>
  </w:num>
  <w:num w:numId="2" w16cid:durableId="1485124839">
    <w:abstractNumId w:val="2"/>
  </w:num>
  <w:num w:numId="3" w16cid:durableId="193069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xsrQwtDAwNjQxMjFV0lEKTi0uzszPAykwqgUAOU3xRywAAAA="/>
  </w:docVars>
  <w:rsids>
    <w:rsidRoot w:val="00D80B54"/>
    <w:rsid w:val="00000E83"/>
    <w:rsid w:val="00023236"/>
    <w:rsid w:val="00035CB2"/>
    <w:rsid w:val="00040AAB"/>
    <w:rsid w:val="000504BE"/>
    <w:rsid w:val="00067846"/>
    <w:rsid w:val="00070307"/>
    <w:rsid w:val="000706E0"/>
    <w:rsid w:val="00073D63"/>
    <w:rsid w:val="000A24D6"/>
    <w:rsid w:val="000B5CC7"/>
    <w:rsid w:val="000D359C"/>
    <w:rsid w:val="000D4183"/>
    <w:rsid w:val="000E2687"/>
    <w:rsid w:val="000E4661"/>
    <w:rsid w:val="000F11D8"/>
    <w:rsid w:val="00120C43"/>
    <w:rsid w:val="001233EF"/>
    <w:rsid w:val="00143235"/>
    <w:rsid w:val="00166BA8"/>
    <w:rsid w:val="00172E54"/>
    <w:rsid w:val="0017404B"/>
    <w:rsid w:val="00175057"/>
    <w:rsid w:val="00175D28"/>
    <w:rsid w:val="001C194D"/>
    <w:rsid w:val="001C7618"/>
    <w:rsid w:val="001E740C"/>
    <w:rsid w:val="0020416B"/>
    <w:rsid w:val="00220A10"/>
    <w:rsid w:val="00222C26"/>
    <w:rsid w:val="0022672D"/>
    <w:rsid w:val="002333AE"/>
    <w:rsid w:val="002468B4"/>
    <w:rsid w:val="00246CF5"/>
    <w:rsid w:val="0025036D"/>
    <w:rsid w:val="0025050C"/>
    <w:rsid w:val="00252868"/>
    <w:rsid w:val="0025799C"/>
    <w:rsid w:val="002617FC"/>
    <w:rsid w:val="00264BEA"/>
    <w:rsid w:val="002654F7"/>
    <w:rsid w:val="00285BC8"/>
    <w:rsid w:val="002904ED"/>
    <w:rsid w:val="002A6957"/>
    <w:rsid w:val="002B6DEF"/>
    <w:rsid w:val="002D01B1"/>
    <w:rsid w:val="00301D35"/>
    <w:rsid w:val="00306EC2"/>
    <w:rsid w:val="00310E7A"/>
    <w:rsid w:val="00311079"/>
    <w:rsid w:val="00322705"/>
    <w:rsid w:val="00326AC7"/>
    <w:rsid w:val="00327BDF"/>
    <w:rsid w:val="003329E5"/>
    <w:rsid w:val="00334E98"/>
    <w:rsid w:val="00335B3F"/>
    <w:rsid w:val="003443DA"/>
    <w:rsid w:val="00346330"/>
    <w:rsid w:val="0035366D"/>
    <w:rsid w:val="00360299"/>
    <w:rsid w:val="00392C6C"/>
    <w:rsid w:val="00395FBC"/>
    <w:rsid w:val="003A3F0D"/>
    <w:rsid w:val="003C2B27"/>
    <w:rsid w:val="003E7C7B"/>
    <w:rsid w:val="003F4D00"/>
    <w:rsid w:val="003F6A42"/>
    <w:rsid w:val="003F724D"/>
    <w:rsid w:val="00400504"/>
    <w:rsid w:val="00401C96"/>
    <w:rsid w:val="00410806"/>
    <w:rsid w:val="004160CD"/>
    <w:rsid w:val="0041778A"/>
    <w:rsid w:val="00423911"/>
    <w:rsid w:val="00445F10"/>
    <w:rsid w:val="0045106E"/>
    <w:rsid w:val="004572AB"/>
    <w:rsid w:val="004B1DC8"/>
    <w:rsid w:val="004B6B6A"/>
    <w:rsid w:val="004B78E0"/>
    <w:rsid w:val="004B7984"/>
    <w:rsid w:val="004C59CB"/>
    <w:rsid w:val="004C5D0F"/>
    <w:rsid w:val="004D3A19"/>
    <w:rsid w:val="004D3F1D"/>
    <w:rsid w:val="004E383B"/>
    <w:rsid w:val="004F39BA"/>
    <w:rsid w:val="004F707F"/>
    <w:rsid w:val="004F7156"/>
    <w:rsid w:val="00504629"/>
    <w:rsid w:val="005104A7"/>
    <w:rsid w:val="00513D68"/>
    <w:rsid w:val="005270F1"/>
    <w:rsid w:val="00536CA9"/>
    <w:rsid w:val="00552DED"/>
    <w:rsid w:val="00556A76"/>
    <w:rsid w:val="00560922"/>
    <w:rsid w:val="0057256B"/>
    <w:rsid w:val="005848F8"/>
    <w:rsid w:val="00592CBB"/>
    <w:rsid w:val="005B5882"/>
    <w:rsid w:val="005C20AF"/>
    <w:rsid w:val="005C3641"/>
    <w:rsid w:val="005D4A97"/>
    <w:rsid w:val="005E78D7"/>
    <w:rsid w:val="00602C36"/>
    <w:rsid w:val="006150E5"/>
    <w:rsid w:val="00616B19"/>
    <w:rsid w:val="00624B6C"/>
    <w:rsid w:val="00676553"/>
    <w:rsid w:val="00694D1A"/>
    <w:rsid w:val="006A29C8"/>
    <w:rsid w:val="006A2DA4"/>
    <w:rsid w:val="006B0C01"/>
    <w:rsid w:val="006B1B93"/>
    <w:rsid w:val="006C120D"/>
    <w:rsid w:val="006D7762"/>
    <w:rsid w:val="006F62DD"/>
    <w:rsid w:val="0071208A"/>
    <w:rsid w:val="0071419A"/>
    <w:rsid w:val="00727FEF"/>
    <w:rsid w:val="00733A78"/>
    <w:rsid w:val="00744B82"/>
    <w:rsid w:val="00750A33"/>
    <w:rsid w:val="00764DAE"/>
    <w:rsid w:val="00783176"/>
    <w:rsid w:val="00795239"/>
    <w:rsid w:val="007A32CC"/>
    <w:rsid w:val="007A5DC4"/>
    <w:rsid w:val="007B12EB"/>
    <w:rsid w:val="007B2BAB"/>
    <w:rsid w:val="007D2E70"/>
    <w:rsid w:val="007D60F4"/>
    <w:rsid w:val="007D7D83"/>
    <w:rsid w:val="007E0960"/>
    <w:rsid w:val="00802C22"/>
    <w:rsid w:val="008121F6"/>
    <w:rsid w:val="00820A58"/>
    <w:rsid w:val="008265A0"/>
    <w:rsid w:val="0082798A"/>
    <w:rsid w:val="0083302E"/>
    <w:rsid w:val="008332CB"/>
    <w:rsid w:val="00836FDF"/>
    <w:rsid w:val="00852423"/>
    <w:rsid w:val="008556C5"/>
    <w:rsid w:val="00857E72"/>
    <w:rsid w:val="00867FF3"/>
    <w:rsid w:val="008804E2"/>
    <w:rsid w:val="008E29B4"/>
    <w:rsid w:val="008E5B7F"/>
    <w:rsid w:val="008E5CDA"/>
    <w:rsid w:val="008F2F6D"/>
    <w:rsid w:val="008F3084"/>
    <w:rsid w:val="008F5964"/>
    <w:rsid w:val="0091097A"/>
    <w:rsid w:val="00911B44"/>
    <w:rsid w:val="00924C24"/>
    <w:rsid w:val="00927583"/>
    <w:rsid w:val="00937EDD"/>
    <w:rsid w:val="009452B3"/>
    <w:rsid w:val="009512A6"/>
    <w:rsid w:val="00955B5A"/>
    <w:rsid w:val="00963E26"/>
    <w:rsid w:val="0098641D"/>
    <w:rsid w:val="00987C03"/>
    <w:rsid w:val="0099679B"/>
    <w:rsid w:val="009A1109"/>
    <w:rsid w:val="009A14C1"/>
    <w:rsid w:val="009C4F52"/>
    <w:rsid w:val="009D344D"/>
    <w:rsid w:val="009D4D51"/>
    <w:rsid w:val="009E5DD3"/>
    <w:rsid w:val="009F1921"/>
    <w:rsid w:val="00A12299"/>
    <w:rsid w:val="00A754D3"/>
    <w:rsid w:val="00A76C50"/>
    <w:rsid w:val="00A802C9"/>
    <w:rsid w:val="00A91BCF"/>
    <w:rsid w:val="00A95B83"/>
    <w:rsid w:val="00AA17AF"/>
    <w:rsid w:val="00AA357C"/>
    <w:rsid w:val="00AA5769"/>
    <w:rsid w:val="00AA6428"/>
    <w:rsid w:val="00AB238A"/>
    <w:rsid w:val="00AC12CA"/>
    <w:rsid w:val="00AC4865"/>
    <w:rsid w:val="00AD4490"/>
    <w:rsid w:val="00AE2E2A"/>
    <w:rsid w:val="00AE3666"/>
    <w:rsid w:val="00AE69D8"/>
    <w:rsid w:val="00AE7C1D"/>
    <w:rsid w:val="00AF3957"/>
    <w:rsid w:val="00AF3EA0"/>
    <w:rsid w:val="00AF619E"/>
    <w:rsid w:val="00B03A89"/>
    <w:rsid w:val="00B17014"/>
    <w:rsid w:val="00B21D5D"/>
    <w:rsid w:val="00B22A8E"/>
    <w:rsid w:val="00B339D7"/>
    <w:rsid w:val="00B54757"/>
    <w:rsid w:val="00B57074"/>
    <w:rsid w:val="00B65481"/>
    <w:rsid w:val="00B714D7"/>
    <w:rsid w:val="00B77DA7"/>
    <w:rsid w:val="00B83ACB"/>
    <w:rsid w:val="00B9751F"/>
    <w:rsid w:val="00BA5336"/>
    <w:rsid w:val="00BB6394"/>
    <w:rsid w:val="00BB63F8"/>
    <w:rsid w:val="00BD6B7A"/>
    <w:rsid w:val="00BF4707"/>
    <w:rsid w:val="00C0101B"/>
    <w:rsid w:val="00C15200"/>
    <w:rsid w:val="00C33D78"/>
    <w:rsid w:val="00C57722"/>
    <w:rsid w:val="00C60EFC"/>
    <w:rsid w:val="00C66B52"/>
    <w:rsid w:val="00C73D83"/>
    <w:rsid w:val="00CB1958"/>
    <w:rsid w:val="00CD60E5"/>
    <w:rsid w:val="00CE4A69"/>
    <w:rsid w:val="00CF471C"/>
    <w:rsid w:val="00CF6242"/>
    <w:rsid w:val="00D24FFE"/>
    <w:rsid w:val="00D30CEE"/>
    <w:rsid w:val="00D446C3"/>
    <w:rsid w:val="00D46FBC"/>
    <w:rsid w:val="00D47431"/>
    <w:rsid w:val="00D51AD5"/>
    <w:rsid w:val="00D5202A"/>
    <w:rsid w:val="00D605B3"/>
    <w:rsid w:val="00D80B54"/>
    <w:rsid w:val="00D943D6"/>
    <w:rsid w:val="00D97A29"/>
    <w:rsid w:val="00DA28B2"/>
    <w:rsid w:val="00DA2D29"/>
    <w:rsid w:val="00DA379E"/>
    <w:rsid w:val="00DC1E99"/>
    <w:rsid w:val="00DC5256"/>
    <w:rsid w:val="00DF3425"/>
    <w:rsid w:val="00E309E9"/>
    <w:rsid w:val="00E52832"/>
    <w:rsid w:val="00E645A0"/>
    <w:rsid w:val="00E75016"/>
    <w:rsid w:val="00E94842"/>
    <w:rsid w:val="00E9522A"/>
    <w:rsid w:val="00E95CC0"/>
    <w:rsid w:val="00E96CB4"/>
    <w:rsid w:val="00EA14D1"/>
    <w:rsid w:val="00EA639B"/>
    <w:rsid w:val="00EA7EAD"/>
    <w:rsid w:val="00EB03AA"/>
    <w:rsid w:val="00EB4B40"/>
    <w:rsid w:val="00EB5684"/>
    <w:rsid w:val="00EB7F7E"/>
    <w:rsid w:val="00EC1558"/>
    <w:rsid w:val="00ED4881"/>
    <w:rsid w:val="00EE427A"/>
    <w:rsid w:val="00EF1AC4"/>
    <w:rsid w:val="00F031F7"/>
    <w:rsid w:val="00F15B22"/>
    <w:rsid w:val="00F33EFF"/>
    <w:rsid w:val="00F426A5"/>
    <w:rsid w:val="00F565D7"/>
    <w:rsid w:val="00F6786D"/>
    <w:rsid w:val="00F70F1A"/>
    <w:rsid w:val="00F7195A"/>
    <w:rsid w:val="00F84C5B"/>
    <w:rsid w:val="00F85BB0"/>
    <w:rsid w:val="00F92565"/>
    <w:rsid w:val="00FB1FAC"/>
    <w:rsid w:val="00FB417F"/>
    <w:rsid w:val="00FB511F"/>
    <w:rsid w:val="00FC05A3"/>
    <w:rsid w:val="00FD4597"/>
    <w:rsid w:val="00FE0B43"/>
    <w:rsid w:val="00FE16D0"/>
    <w:rsid w:val="00FE3E11"/>
    <w:rsid w:val="00FE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3D6A6"/>
  <w15:chartTrackingRefBased/>
  <w15:docId w15:val="{F9C1FE32-DC4B-4FFA-ABDB-D56526EA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B54"/>
  </w:style>
  <w:style w:type="paragraph" w:styleId="Heading1">
    <w:name w:val="heading 1"/>
    <w:basedOn w:val="Normal"/>
    <w:next w:val="Normal"/>
    <w:link w:val="Heading1Char"/>
    <w:uiPriority w:val="9"/>
    <w:qFormat/>
    <w:rsid w:val="00D80B5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80B5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80B5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80B5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80B5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80B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B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B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B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B5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80B5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80B5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80B5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80B5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80B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B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B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B54"/>
    <w:rPr>
      <w:rFonts w:eastAsiaTheme="majorEastAsia" w:cstheme="majorBidi"/>
      <w:color w:val="272727" w:themeColor="text1" w:themeTint="D8"/>
    </w:rPr>
  </w:style>
  <w:style w:type="paragraph" w:styleId="Title">
    <w:name w:val="Title"/>
    <w:basedOn w:val="Normal"/>
    <w:next w:val="Normal"/>
    <w:link w:val="TitleChar"/>
    <w:uiPriority w:val="10"/>
    <w:qFormat/>
    <w:rsid w:val="00D80B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B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B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B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B54"/>
    <w:pPr>
      <w:spacing w:before="160"/>
      <w:jc w:val="center"/>
    </w:pPr>
    <w:rPr>
      <w:i/>
      <w:iCs/>
      <w:color w:val="404040" w:themeColor="text1" w:themeTint="BF"/>
    </w:rPr>
  </w:style>
  <w:style w:type="character" w:customStyle="1" w:styleId="QuoteChar">
    <w:name w:val="Quote Char"/>
    <w:basedOn w:val="DefaultParagraphFont"/>
    <w:link w:val="Quote"/>
    <w:uiPriority w:val="29"/>
    <w:rsid w:val="00D80B54"/>
    <w:rPr>
      <w:i/>
      <w:iCs/>
      <w:color w:val="404040" w:themeColor="text1" w:themeTint="BF"/>
    </w:rPr>
  </w:style>
  <w:style w:type="paragraph" w:styleId="ListParagraph">
    <w:name w:val="List Paragraph"/>
    <w:basedOn w:val="Normal"/>
    <w:uiPriority w:val="34"/>
    <w:qFormat/>
    <w:rsid w:val="00D80B54"/>
    <w:pPr>
      <w:ind w:left="720"/>
      <w:contextualSpacing/>
    </w:pPr>
  </w:style>
  <w:style w:type="character" w:styleId="IntenseEmphasis">
    <w:name w:val="Intense Emphasis"/>
    <w:basedOn w:val="DefaultParagraphFont"/>
    <w:uiPriority w:val="21"/>
    <w:qFormat/>
    <w:rsid w:val="00D80B54"/>
    <w:rPr>
      <w:i/>
      <w:iCs/>
      <w:color w:val="2E74B5" w:themeColor="accent1" w:themeShade="BF"/>
    </w:rPr>
  </w:style>
  <w:style w:type="paragraph" w:styleId="IntenseQuote">
    <w:name w:val="Intense Quote"/>
    <w:basedOn w:val="Normal"/>
    <w:next w:val="Normal"/>
    <w:link w:val="IntenseQuoteChar"/>
    <w:uiPriority w:val="30"/>
    <w:qFormat/>
    <w:rsid w:val="00D80B5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80B54"/>
    <w:rPr>
      <w:i/>
      <w:iCs/>
      <w:color w:val="2E74B5" w:themeColor="accent1" w:themeShade="BF"/>
    </w:rPr>
  </w:style>
  <w:style w:type="character" w:styleId="IntenseReference">
    <w:name w:val="Intense Reference"/>
    <w:basedOn w:val="DefaultParagraphFont"/>
    <w:uiPriority w:val="32"/>
    <w:qFormat/>
    <w:rsid w:val="00D80B54"/>
    <w:rPr>
      <w:b/>
      <w:bCs/>
      <w:smallCaps/>
      <w:color w:val="2E74B5" w:themeColor="accent1" w:themeShade="BF"/>
      <w:spacing w:val="5"/>
    </w:rPr>
  </w:style>
  <w:style w:type="table" w:styleId="TableGrid">
    <w:name w:val="Table Grid"/>
    <w:basedOn w:val="TableNormal"/>
    <w:uiPriority w:val="39"/>
    <w:rsid w:val="00D80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80B54"/>
    <w:rPr>
      <w:rFonts w:ascii="Times New Roman" w:hAnsi="Times New Roman" w:cs="Times New Roman"/>
    </w:rPr>
  </w:style>
  <w:style w:type="character" w:styleId="Hyperlink">
    <w:name w:val="Hyperlink"/>
    <w:basedOn w:val="DefaultParagraphFont"/>
    <w:uiPriority w:val="99"/>
    <w:unhideWhenUsed/>
    <w:rsid w:val="00D80B54"/>
    <w:rPr>
      <w:color w:val="0563C1" w:themeColor="hyperlink"/>
      <w:u w:val="single"/>
    </w:rPr>
  </w:style>
  <w:style w:type="character" w:styleId="Strong">
    <w:name w:val="Strong"/>
    <w:basedOn w:val="DefaultParagraphFont"/>
    <w:uiPriority w:val="22"/>
    <w:qFormat/>
    <w:rsid w:val="00D80B54"/>
    <w:rPr>
      <w:b/>
      <w:bCs/>
    </w:rPr>
  </w:style>
  <w:style w:type="paragraph" w:styleId="z-BottomofForm">
    <w:name w:val="HTML Bottom of Form"/>
    <w:basedOn w:val="Normal"/>
    <w:next w:val="Normal"/>
    <w:link w:val="z-BottomofFormChar"/>
    <w:hidden/>
    <w:uiPriority w:val="99"/>
    <w:semiHidden/>
    <w:unhideWhenUsed/>
    <w:rsid w:val="00D80B54"/>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D80B54"/>
    <w:rPr>
      <w:rFonts w:ascii="Arial" w:eastAsia="Times New Roman" w:hAnsi="Arial" w:cs="Arial"/>
      <w:vanish/>
      <w:kern w:val="0"/>
      <w:sz w:val="16"/>
      <w:szCs w:val="16"/>
      <w14:ligatures w14:val="none"/>
    </w:rPr>
  </w:style>
  <w:style w:type="paragraph" w:styleId="Header">
    <w:name w:val="header"/>
    <w:basedOn w:val="Normal"/>
    <w:link w:val="HeaderChar"/>
    <w:uiPriority w:val="99"/>
    <w:unhideWhenUsed/>
    <w:rsid w:val="00290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4ED"/>
  </w:style>
  <w:style w:type="paragraph" w:styleId="Footer">
    <w:name w:val="footer"/>
    <w:basedOn w:val="Normal"/>
    <w:link w:val="FooterChar"/>
    <w:uiPriority w:val="99"/>
    <w:unhideWhenUsed/>
    <w:rsid w:val="00290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4ED"/>
  </w:style>
  <w:style w:type="character" w:styleId="UnresolvedMention">
    <w:name w:val="Unresolved Mention"/>
    <w:basedOn w:val="DefaultParagraphFont"/>
    <w:uiPriority w:val="99"/>
    <w:semiHidden/>
    <w:unhideWhenUsed/>
    <w:rsid w:val="004B78E0"/>
    <w:rPr>
      <w:color w:val="605E5C"/>
      <w:shd w:val="clear" w:color="auto" w:fill="E1DFDD"/>
    </w:rPr>
  </w:style>
  <w:style w:type="paragraph" w:customStyle="1" w:styleId="pdq2pgselectionanchorcontainer">
    <w:name w:val="pdq2pg_selectionanchorcontainer"/>
    <w:basedOn w:val="Normal"/>
    <w:rsid w:val="00911B4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11B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2/j.1939-4640.1981.tb00595.x" TargetMode="External"/><Relationship Id="rId21" Type="http://schemas.openxmlformats.org/officeDocument/2006/relationships/hyperlink" Target="https://doi.org/10.5534/wjmh.2014.32.1.1" TargetMode="External"/><Relationship Id="rId42" Type="http://schemas.openxmlformats.org/officeDocument/2006/relationships/hyperlink" Target="https://doi.org/10.1111/and.13492" TargetMode="External"/><Relationship Id="rId47" Type="http://schemas.openxmlformats.org/officeDocument/2006/relationships/hyperlink" Target="https://doi.org/10.7150/ijms.17256" TargetMode="External"/><Relationship Id="rId63" Type="http://schemas.openxmlformats.org/officeDocument/2006/relationships/hyperlink" Target="https://doi.org/10.4314/njps.v21i1-2.53973" TargetMode="External"/><Relationship Id="rId6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s://doi.org/10.3892/ijfn.2020.2" TargetMode="External"/><Relationship Id="rId11" Type="http://schemas.openxmlformats.org/officeDocument/2006/relationships/image" Target="media/image4.jpg"/><Relationship Id="rId24" Type="http://schemas.openxmlformats.org/officeDocument/2006/relationships/hyperlink" Target="https://doi.org/10.3390/biology9090269" TargetMode="External"/><Relationship Id="rId32" Type="http://schemas.openxmlformats.org/officeDocument/2006/relationships/hyperlink" Target="https://doi.org/10.1080/019262301301418865" TargetMode="External"/><Relationship Id="rId37" Type="http://schemas.openxmlformats.org/officeDocument/2006/relationships/hyperlink" Target="https://doi.org/10.3109/13813455.2010.486405" TargetMode="External"/><Relationship Id="rId40" Type="http://schemas.openxmlformats.org/officeDocument/2006/relationships/hyperlink" Target="https://doi.org/10.3389/fendo.2023.1070692" TargetMode="External"/><Relationship Id="rId45" Type="http://schemas.openxmlformats.org/officeDocument/2006/relationships/hyperlink" Target="https://doi.org/10.1016/j.reprotox.2024.108626" TargetMode="External"/><Relationship Id="rId53" Type="http://schemas.openxmlformats.org/officeDocument/2006/relationships/hyperlink" Target="https://doi.org/10.17656/jzs.10346" TargetMode="External"/><Relationship Id="rId58" Type="http://schemas.openxmlformats.org/officeDocument/2006/relationships/hyperlink" Target="https://doi.org/10.9734/jocamr/2019/v8i330122"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doi.org/10.3389/ftox.2022.842565" TargetMode="External"/><Relationship Id="rId19" Type="http://schemas.openxmlformats.org/officeDocument/2006/relationships/hyperlink" Target="https://doi.org/10.5620/eaht.e2020010" TargetMode="External"/><Relationship Id="rId14" Type="http://schemas.openxmlformats.org/officeDocument/2006/relationships/image" Target="media/image7.png"/><Relationship Id="rId22" Type="http://schemas.openxmlformats.org/officeDocument/2006/relationships/hyperlink" Target="https://www.scihub.org/abjna/the-effect-of-fluted-pumpkin-telferia-occidentalis-seed-oil-fpso-on-testis-and-semen-parameters/" TargetMode="External"/><Relationship Id="rId27" Type="http://schemas.openxmlformats.org/officeDocument/2006/relationships/hyperlink" Target="https://doi.org/10.21608/BFSA.2021.207194" TargetMode="External"/><Relationship Id="rId30" Type="http://schemas.openxmlformats.org/officeDocument/2006/relationships/hyperlink" Target="https://doi.org/10.1039/C8RA02178C" TargetMode="External"/><Relationship Id="rId35" Type="http://schemas.openxmlformats.org/officeDocument/2006/relationships/hyperlink" Target="https://doi.org/10.3949/ccjm.69.4.289" TargetMode="External"/><Relationship Id="rId43" Type="http://schemas.openxmlformats.org/officeDocument/2006/relationships/hyperlink" Target="https://doi.org/10.1007/s10565-007-9000-7" TargetMode="External"/><Relationship Id="rId48" Type="http://schemas.openxmlformats.org/officeDocument/2006/relationships/hyperlink" Target="https://www.interesjournals.org/abstract/hepatoprotective-and-antioxidant-effects-of-cichorium-endivia-l-leaves-extract-against-acetaminophen-toxicity-on-rats-18118.html" TargetMode="External"/><Relationship Id="rId56" Type="http://schemas.openxmlformats.org/officeDocument/2006/relationships/hyperlink" Target="https://doi.org/10.1177/1933719111413301" TargetMode="External"/><Relationship Id="rId64" Type="http://schemas.openxmlformats.org/officeDocument/2006/relationships/hyperlink" Target="https://doi.org/10.3390/plants11111450" TargetMode="External"/><Relationship Id="rId69" Type="http://schemas.openxmlformats.org/officeDocument/2006/relationships/footer" Target="footer2.xml"/><Relationship Id="rId8" Type="http://schemas.openxmlformats.org/officeDocument/2006/relationships/image" Target="media/image1.jpg"/><Relationship Id="rId51" Type="http://schemas.openxmlformats.org/officeDocument/2006/relationships/hyperlink" Target="https://doi.org/10.9790/3008-0466570"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hyperlink" Target="https://doi.org/10.5897/AJPP2013.3449" TargetMode="External"/><Relationship Id="rId33" Type="http://schemas.openxmlformats.org/officeDocument/2006/relationships/hyperlink" Target="https://doi.org/10.53555/jaz.v43i1.5139" TargetMode="External"/><Relationship Id="rId38" Type="http://schemas.openxmlformats.org/officeDocument/2006/relationships/hyperlink" Target="https://doi.org/10.1111/and.12435" TargetMode="External"/><Relationship Id="rId46" Type="http://schemas.openxmlformats.org/officeDocument/2006/relationships/hyperlink" Target="https://doi.org/10.1371/journal.pone.0310170" TargetMode="External"/><Relationship Id="rId59" Type="http://schemas.openxmlformats.org/officeDocument/2006/relationships/hyperlink" Target="https://doi.org/10.31024/ajpp.2024.10.3.2" TargetMode="External"/><Relationship Id="rId67" Type="http://schemas.openxmlformats.org/officeDocument/2006/relationships/header" Target="header2.xml"/><Relationship Id="rId20" Type="http://schemas.openxmlformats.org/officeDocument/2006/relationships/hyperlink" Target="https://doi.org/10.1186/1477-7827-10-49" TargetMode="External"/><Relationship Id="rId41" Type="http://schemas.openxmlformats.org/officeDocument/2006/relationships/hyperlink" Target="https://doi.org/10.35629/7781-0901563570" TargetMode="External"/><Relationship Id="rId54" Type="http://schemas.openxmlformats.org/officeDocument/2006/relationships/hyperlink" Target="https://doi.org/10.1016/0027-5107(94)00184-7" TargetMode="External"/><Relationship Id="rId62" Type="http://schemas.openxmlformats.org/officeDocument/2006/relationships/hyperlink" Target="https://doi.org/10.1155/2014/212576" TargetMode="External"/><Relationship Id="rId7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hyperlink" Target="https://doi.org/10.4103/jhrs.JHRS_150_18" TargetMode="External"/><Relationship Id="rId28" Type="http://schemas.openxmlformats.org/officeDocument/2006/relationships/hyperlink" Target="https://doi.org/10.1111/and.12874" TargetMode="External"/><Relationship Id="rId36" Type="http://schemas.openxmlformats.org/officeDocument/2006/relationships/hyperlink" Target="https://doi.org/10.1186/s41936-023-00324-y" TargetMode="External"/><Relationship Id="rId49" Type="http://schemas.openxmlformats.org/officeDocument/2006/relationships/hyperlink" Target="https://doi.org/10.1172/JCI59755" TargetMode="External"/><Relationship Id="rId57" Type="http://schemas.openxmlformats.org/officeDocument/2006/relationships/hyperlink" Target="https://doi.org/10.5455/OVJ.2025.v15.i10.22" TargetMode="External"/><Relationship Id="rId10" Type="http://schemas.openxmlformats.org/officeDocument/2006/relationships/image" Target="media/image3.jpg"/><Relationship Id="rId31" Type="http://schemas.openxmlformats.org/officeDocument/2006/relationships/hyperlink" Target="https://doi.org/10.1080/01480545.2021.1892941" TargetMode="External"/><Relationship Id="rId44" Type="http://schemas.openxmlformats.org/officeDocument/2006/relationships/hyperlink" Target="https://doi.org/10.3390/biology10101042" TargetMode="External"/><Relationship Id="rId52" Type="http://schemas.openxmlformats.org/officeDocument/2006/relationships/hyperlink" Target="https://doi.org/10.56557/jobi/2024/v11i19098" TargetMode="External"/><Relationship Id="rId60" Type="http://schemas.openxmlformats.org/officeDocument/2006/relationships/hyperlink" Target="https://doi.org/10.5281/zenodo.14263339" TargetMode="External"/><Relationship Id="rId65" Type="http://schemas.openxmlformats.org/officeDocument/2006/relationships/hyperlink" Target="https://doi.org/10.1016/0165-1110(83)90014-3"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6.jpg"/><Relationship Id="rId18" Type="http://schemas.openxmlformats.org/officeDocument/2006/relationships/hyperlink" Target="https://doi.org/10.1111/j.1745-4514.2010.00484.x" TargetMode="External"/><Relationship Id="rId39" Type="http://schemas.openxmlformats.org/officeDocument/2006/relationships/hyperlink" Target="https://ijpbs.net/index.php/journal/article/view/1966" TargetMode="External"/><Relationship Id="rId34" Type="http://schemas.openxmlformats.org/officeDocument/2006/relationships/hyperlink" Target="https://doi.org/10.5530/ajbls.20251465" TargetMode="External"/><Relationship Id="rId50" Type="http://schemas.openxmlformats.org/officeDocument/2006/relationships/hyperlink" Target="https://doi.org/10.21474/IJAR01/18106" TargetMode="External"/><Relationship Id="rId55" Type="http://schemas.openxmlformats.org/officeDocument/2006/relationships/hyperlink" Target="https://www.asiaandro.com/archive/1008-682X/2/247.htm" TargetMode="External"/><Relationship Id="rId7" Type="http://schemas.openxmlformats.org/officeDocument/2006/relationships/chart" Target="charts/chart1.xml"/><Relationship Id="rId71"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data%20final%20hist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23798736895518"/>
          <c:y val="6.2852125073003431E-2"/>
          <c:w val="0.78434211092465911"/>
          <c:h val="0.78438059116955927"/>
        </c:manualLayout>
      </c:layout>
      <c:barChart>
        <c:barDir val="col"/>
        <c:grouping val="clustered"/>
        <c:varyColors val="0"/>
        <c:ser>
          <c:idx val="0"/>
          <c:order val="0"/>
          <c:tx>
            <c:strRef>
              <c:f>Sheet1!$R$4</c:f>
              <c:strCache>
                <c:ptCount val="1"/>
                <c:pt idx="0">
                  <c:v>pc</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Sheet1!$Q$5:$Q$8</c:f>
              <c:strCache>
                <c:ptCount val="4"/>
                <c:pt idx="0">
                  <c:v>BW</c:v>
                </c:pt>
                <c:pt idx="1">
                  <c:v>TW</c:v>
                </c:pt>
                <c:pt idx="2">
                  <c:v>SC</c:v>
                </c:pt>
                <c:pt idx="3">
                  <c:v>TSI</c:v>
                </c:pt>
              </c:strCache>
            </c:strRef>
          </c:cat>
          <c:val>
            <c:numRef>
              <c:f>Sheet1!$R$5:$R$8</c:f>
              <c:numCache>
                <c:formatCode>General</c:formatCode>
                <c:ptCount val="4"/>
                <c:pt idx="0">
                  <c:v>9.8000000000000007</c:v>
                </c:pt>
                <c:pt idx="1">
                  <c:v>3.8</c:v>
                </c:pt>
                <c:pt idx="2">
                  <c:v>29.7</c:v>
                </c:pt>
                <c:pt idx="3">
                  <c:v>9.58</c:v>
                </c:pt>
              </c:numCache>
            </c:numRef>
          </c:val>
          <c:extLst>
            <c:ext xmlns:c16="http://schemas.microsoft.com/office/drawing/2014/chart" uri="{C3380CC4-5D6E-409C-BE32-E72D297353CC}">
              <c16:uniqueId val="{00000000-2442-4949-A9DB-4D0DB3542DF9}"/>
            </c:ext>
          </c:extLst>
        </c:ser>
        <c:ser>
          <c:idx val="1"/>
          <c:order val="1"/>
          <c:tx>
            <c:strRef>
              <c:f>Sheet1!$S$4</c:f>
              <c:strCache>
                <c:ptCount val="1"/>
                <c:pt idx="0">
                  <c:v>pc+Fenu</c:v>
                </c:pt>
              </c:strCache>
            </c:strRef>
          </c:tx>
          <c:spPr>
            <a:solidFill>
              <a:schemeClr val="accent2">
                <a:lumMod val="75000"/>
              </a:schemeClr>
            </a:solid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Sheet1!$Q$5:$Q$8</c:f>
              <c:strCache>
                <c:ptCount val="4"/>
                <c:pt idx="0">
                  <c:v>BW</c:v>
                </c:pt>
                <c:pt idx="1">
                  <c:v>TW</c:v>
                </c:pt>
                <c:pt idx="2">
                  <c:v>SC</c:v>
                </c:pt>
                <c:pt idx="3">
                  <c:v>TSI</c:v>
                </c:pt>
              </c:strCache>
            </c:strRef>
          </c:cat>
          <c:val>
            <c:numRef>
              <c:f>Sheet1!$S$5:$S$8</c:f>
              <c:numCache>
                <c:formatCode>General</c:formatCode>
                <c:ptCount val="4"/>
                <c:pt idx="0">
                  <c:v>6.67</c:v>
                </c:pt>
                <c:pt idx="1">
                  <c:v>0.94</c:v>
                </c:pt>
                <c:pt idx="2">
                  <c:v>11</c:v>
                </c:pt>
                <c:pt idx="3">
                  <c:v>10.78</c:v>
                </c:pt>
              </c:numCache>
            </c:numRef>
          </c:val>
          <c:extLst>
            <c:ext xmlns:c16="http://schemas.microsoft.com/office/drawing/2014/chart" uri="{C3380CC4-5D6E-409C-BE32-E72D297353CC}">
              <c16:uniqueId val="{00000001-2442-4949-A9DB-4D0DB3542DF9}"/>
            </c:ext>
          </c:extLst>
        </c:ser>
        <c:dLbls>
          <c:dLblPos val="outEnd"/>
          <c:showLegendKey val="0"/>
          <c:showVal val="1"/>
          <c:showCatName val="0"/>
          <c:showSerName val="0"/>
          <c:showPercent val="0"/>
          <c:showBubbleSize val="0"/>
        </c:dLbls>
        <c:gapWidth val="164"/>
        <c:axId val="450179536"/>
        <c:axId val="450175576"/>
      </c:barChart>
      <c:dateAx>
        <c:axId val="45017953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1000" b="1">
                    <a:solidFill>
                      <a:schemeClr val="tx1"/>
                    </a:solidFill>
                    <a:latin typeface="Arial" panose="020B0604020202020204" pitchFamily="34" charset="0"/>
                    <a:cs typeface="Arial" panose="020B0604020202020204" pitchFamily="34" charset="0"/>
                  </a:rPr>
                  <a:t>Reproductive</a:t>
                </a:r>
                <a:r>
                  <a:rPr lang="en-US" sz="1000" b="1" baseline="0">
                    <a:solidFill>
                      <a:schemeClr val="tx1"/>
                    </a:solidFill>
                    <a:latin typeface="Arial" panose="020B0604020202020204" pitchFamily="34" charset="0"/>
                    <a:cs typeface="Arial" panose="020B0604020202020204" pitchFamily="34" charset="0"/>
                  </a:rPr>
                  <a:t> parameters </a:t>
                </a:r>
                <a:endParaRPr lang="en-US" sz="1000" b="1">
                  <a:solidFill>
                    <a:schemeClr val="tx1"/>
                  </a:solidFill>
                  <a:latin typeface="Arial" panose="020B0604020202020204" pitchFamily="34" charset="0"/>
                  <a:cs typeface="Arial" panose="020B0604020202020204" pitchFamily="34" charset="0"/>
                </a:endParaRPr>
              </a:p>
            </c:rich>
          </c:tx>
          <c:layout>
            <c:manualLayout>
              <c:xMode val="edge"/>
              <c:yMode val="edge"/>
              <c:x val="0.28022756442783547"/>
              <c:y val="0.9223976451699224"/>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out"/>
        <c:minorTickMark val="none"/>
        <c:tickLblPos val="nextTo"/>
        <c:spPr>
          <a:pattFill prst="pct5">
            <a:fgClr>
              <a:schemeClr val="bg1"/>
            </a:fgClr>
            <a:bgClr>
              <a:schemeClr val="bg1"/>
            </a:bgClr>
          </a:pattFill>
          <a:ln w="190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alpha val="84000"/>
                  </a:schemeClr>
                </a:solidFill>
                <a:latin typeface="+mn-lt"/>
                <a:ea typeface="+mn-ea"/>
                <a:cs typeface="+mn-cs"/>
              </a:defRPr>
            </a:pPr>
            <a:endParaRPr lang="en-US"/>
          </a:p>
        </c:txPr>
        <c:crossAx val="450175576"/>
        <c:crosses val="autoZero"/>
        <c:auto val="0"/>
        <c:lblOffset val="100"/>
        <c:baseTimeUnit val="days"/>
      </c:dateAx>
      <c:valAx>
        <c:axId val="45017557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1000">
                    <a:solidFill>
                      <a:schemeClr val="tx1"/>
                    </a:solidFill>
                    <a:latin typeface="Arial" panose="020B0604020202020204" pitchFamily="34" charset="0"/>
                    <a:cs typeface="Arial" panose="020B0604020202020204" pitchFamily="34" charset="0"/>
                  </a:rPr>
                  <a:t>Percentage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179536"/>
        <c:crosses val="autoZero"/>
        <c:crossBetween val="between"/>
      </c:valAx>
      <c:spPr>
        <a:noFill/>
        <a:ln w="15875">
          <a:solidFill>
            <a:schemeClr val="tx1"/>
          </a:solidFill>
        </a:ln>
        <a:effectLst/>
      </c:spPr>
    </c:plotArea>
    <c:legend>
      <c:legendPos val="r"/>
      <c:layout>
        <c:manualLayout>
          <c:xMode val="edge"/>
          <c:yMode val="edge"/>
          <c:x val="0.15580160061959469"/>
          <c:y val="9.2276868532794667E-2"/>
          <c:w val="0.18846069446237254"/>
          <c:h val="0.160996001154305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a:softEdge rad="12700"/>
    </a:effectLst>
  </c:spPr>
  <c:txPr>
    <a:bodyPr rot="0"/>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4217</TotalTime>
  <Pages>15</Pages>
  <Words>5789</Words>
  <Characters>32999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PC New 16</cp:lastModifiedBy>
  <cp:revision>219</cp:revision>
  <cp:lastPrinted>2026-09-03T07:27:00Z</cp:lastPrinted>
  <dcterms:created xsi:type="dcterms:W3CDTF">2026-08-26T13:37:00Z</dcterms:created>
  <dcterms:modified xsi:type="dcterms:W3CDTF">2026-09-10T10:24:00Z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23cac2ef-546a-4413-948e-ca291f499bde</vt:lpwstr>
  </property>
</Properties>
</file>