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E7F98" w14:textId="77777777" w:rsidR="00AA5368" w:rsidRPr="00AA5368" w:rsidRDefault="00AA5368" w:rsidP="00AA5368">
      <w:pPr>
        <w:spacing w:after="0"/>
        <w:jc w:val="center"/>
        <w:rPr>
          <w:rFonts w:ascii="Times New Roman" w:hAnsi="Times New Roman"/>
          <w:b/>
          <w:sz w:val="24"/>
          <w:szCs w:val="24"/>
        </w:rPr>
      </w:pPr>
      <w:r w:rsidRPr="00AA5368">
        <w:rPr>
          <w:rFonts w:ascii="Times New Roman" w:hAnsi="Times New Roman"/>
          <w:b/>
          <w:sz w:val="24"/>
          <w:szCs w:val="24"/>
        </w:rPr>
        <w:t xml:space="preserve">Length–Weight Relationship and Condition Factors of the Freshwater Prawn </w:t>
      </w:r>
      <w:r w:rsidR="009C6FA0" w:rsidRPr="009C6FA0">
        <w:rPr>
          <w:rFonts w:ascii="Times New Roman" w:hAnsi="Times New Roman"/>
          <w:b/>
          <w:i/>
          <w:iCs/>
          <w:sz w:val="24"/>
          <w:szCs w:val="24"/>
        </w:rPr>
        <w:t>Macrobrachium</w:t>
      </w:r>
      <w:r w:rsidRPr="00AA5368">
        <w:rPr>
          <w:rFonts w:ascii="Times New Roman" w:hAnsi="Times New Roman"/>
          <w:b/>
          <w:i/>
          <w:sz w:val="24"/>
          <w:szCs w:val="24"/>
        </w:rPr>
        <w:t xml:space="preserve"> </w:t>
      </w:r>
      <w:proofErr w:type="spellStart"/>
      <w:r w:rsidR="009C6FA0" w:rsidRPr="009C6FA0">
        <w:rPr>
          <w:rFonts w:ascii="Times New Roman" w:hAnsi="Times New Roman"/>
          <w:b/>
          <w:i/>
          <w:iCs/>
          <w:sz w:val="24"/>
          <w:szCs w:val="24"/>
        </w:rPr>
        <w:t>lamarrei</w:t>
      </w:r>
      <w:proofErr w:type="spellEnd"/>
      <w:r w:rsidR="009C6FA0" w:rsidRPr="009C6FA0">
        <w:rPr>
          <w:rFonts w:ascii="Times New Roman" w:hAnsi="Times New Roman"/>
          <w:b/>
          <w:i/>
          <w:iCs/>
          <w:sz w:val="24"/>
          <w:szCs w:val="24"/>
        </w:rPr>
        <w:t xml:space="preserve">  </w:t>
      </w:r>
      <w:r w:rsidRPr="00AA5368">
        <w:rPr>
          <w:rFonts w:ascii="Times New Roman" w:hAnsi="Times New Roman"/>
          <w:b/>
          <w:sz w:val="24"/>
          <w:szCs w:val="24"/>
        </w:rPr>
        <w:t xml:space="preserve"> from the Sone River, Bihar, India: A Sex-Wise Comparative Study</w:t>
      </w:r>
    </w:p>
    <w:p w14:paraId="5BA1D178" w14:textId="77777777" w:rsidR="00AA5368" w:rsidRPr="00AA5368" w:rsidRDefault="00AA5368" w:rsidP="00AA5368">
      <w:pPr>
        <w:spacing w:after="0"/>
        <w:jc w:val="both"/>
        <w:rPr>
          <w:rFonts w:ascii="Times New Roman" w:hAnsi="Times New Roman"/>
          <w:b/>
          <w:bCs/>
          <w:iCs/>
          <w:color w:val="000000"/>
          <w:sz w:val="30"/>
          <w:szCs w:val="30"/>
        </w:rPr>
      </w:pPr>
      <w:r w:rsidRPr="00AA5368">
        <w:rPr>
          <w:rFonts w:ascii="Times New Roman" w:eastAsia="Times New Roman" w:hAnsi="Times New Roman"/>
          <w:b/>
          <w:bCs/>
          <w:iCs/>
          <w:color w:val="000000"/>
          <w:sz w:val="30"/>
          <w:szCs w:val="30"/>
        </w:rPr>
        <w:t xml:space="preserve"> </w:t>
      </w:r>
    </w:p>
    <w:p w14:paraId="69EDCDF8" w14:textId="77777777" w:rsidR="00AA5368" w:rsidRPr="00AA5368" w:rsidRDefault="00AA5368" w:rsidP="00AA5368">
      <w:pPr>
        <w:spacing w:after="0" w:line="360" w:lineRule="auto"/>
        <w:jc w:val="both"/>
        <w:rPr>
          <w:rFonts w:ascii="Times New Roman" w:hAnsi="Times New Roman"/>
          <w:b/>
          <w:bCs/>
          <w:iCs/>
          <w:color w:val="000000"/>
          <w:sz w:val="30"/>
          <w:szCs w:val="30"/>
        </w:rPr>
      </w:pPr>
    </w:p>
    <w:p w14:paraId="63039A14" w14:textId="63C41029" w:rsidR="00AA5368" w:rsidRPr="005A43E7" w:rsidRDefault="00AA5368" w:rsidP="00AA5368">
      <w:pPr>
        <w:spacing w:after="0" w:line="360" w:lineRule="auto"/>
        <w:jc w:val="both"/>
      </w:pPr>
      <w:r>
        <w:rPr>
          <w:rFonts w:ascii="Times New Roman" w:hAnsi="Times New Roman"/>
          <w:b/>
          <w:bCs/>
          <w:iCs/>
          <w:color w:val="000000"/>
        </w:rPr>
        <w:t xml:space="preserve">Abstract: </w:t>
      </w:r>
      <w:r>
        <w:rPr>
          <w:rFonts w:ascii="Times New Roman" w:hAnsi="Times New Roman"/>
          <w:color w:val="333333"/>
          <w:sz w:val="20"/>
          <w:szCs w:val="20"/>
          <w:shd w:val="clear" w:color="auto" w:fill="FFFFFF"/>
        </w:rPr>
        <w:t>Sex-wise length</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weight relationship</w:t>
      </w:r>
      <w:r>
        <w:rPr>
          <w:rFonts w:ascii="Times New Roman" w:hAnsi="Times New Roman"/>
          <w:color w:val="333333"/>
          <w:sz w:val="20"/>
          <w:szCs w:val="20"/>
          <w:highlight w:val="yellow"/>
          <w:shd w:val="clear" w:color="auto" w:fill="FFFFFF"/>
        </w:rPr>
        <w:t>s</w:t>
      </w:r>
      <w:r>
        <w:rPr>
          <w:rFonts w:ascii="Times New Roman" w:hAnsi="Times New Roman"/>
          <w:color w:val="333333"/>
          <w:sz w:val="20"/>
          <w:szCs w:val="20"/>
          <w:shd w:val="clear" w:color="auto" w:fill="FFFFFF"/>
        </w:rPr>
        <w:t xml:space="preserve"> and condition factor</w:t>
      </w:r>
      <w:r>
        <w:rPr>
          <w:rFonts w:ascii="Times New Roman" w:hAnsi="Times New Roman"/>
          <w:color w:val="333333"/>
          <w:sz w:val="20"/>
          <w:szCs w:val="20"/>
          <w:highlight w:val="yellow"/>
          <w:shd w:val="clear" w:color="auto" w:fill="FFFFFF"/>
        </w:rPr>
        <w:t>s</w:t>
      </w:r>
      <w:r>
        <w:rPr>
          <w:rFonts w:ascii="Times New Roman" w:hAnsi="Times New Roman"/>
          <w:color w:val="333333"/>
          <w:sz w:val="20"/>
          <w:szCs w:val="20"/>
          <w:shd w:val="clear" w:color="auto" w:fill="FFFFFF"/>
        </w:rPr>
        <w:t xml:space="preserve"> of </w:t>
      </w:r>
      <w:r>
        <w:rPr>
          <w:rStyle w:val="Emphasis"/>
          <w:rFonts w:ascii="Times New Roman" w:hAnsi="Times New Roman"/>
          <w:color w:val="333333"/>
          <w:sz w:val="20"/>
          <w:szCs w:val="20"/>
          <w:shd w:val="clear" w:color="auto" w:fill="FFFFFF"/>
        </w:rPr>
        <w:t>Macrobrachium </w:t>
      </w:r>
      <w:proofErr w:type="spellStart"/>
      <w:r>
        <w:rPr>
          <w:rStyle w:val="Emphasis"/>
          <w:rFonts w:ascii="Times New Roman" w:hAnsi="Times New Roman"/>
          <w:color w:val="333333"/>
          <w:sz w:val="20"/>
          <w:szCs w:val="20"/>
          <w:shd w:val="clear" w:color="auto" w:fill="FFFFFF"/>
        </w:rPr>
        <w:t>lamarrei</w:t>
      </w:r>
      <w:proofErr w:type="spellEnd"/>
      <w:r>
        <w:rPr>
          <w:rStyle w:val="Emphasis"/>
          <w:rFonts w:ascii="Times New Roman" w:hAnsi="Times New Roman"/>
          <w:color w:val="333333"/>
          <w:sz w:val="20"/>
          <w:szCs w:val="20"/>
          <w:shd w:val="clear" w:color="auto" w:fill="FFFFFF"/>
        </w:rPr>
        <w:t xml:space="preserve"> </w:t>
      </w:r>
      <w:r>
        <w:rPr>
          <w:rFonts w:ascii="Times New Roman" w:hAnsi="Times New Roman"/>
          <w:color w:val="333333"/>
          <w:sz w:val="20"/>
          <w:szCs w:val="20"/>
          <w:shd w:val="clear" w:color="auto" w:fill="FFFFFF"/>
        </w:rPr>
        <w:t>were investigated in wild populations.</w:t>
      </w:r>
      <w:r w:rsidR="005A43E7" w:rsidRPr="005A43E7">
        <w:rPr>
          <w:rFonts w:ascii="Times New Roman" w:hAnsi="Times New Roman"/>
          <w:b/>
          <w:sz w:val="24"/>
          <w:highlight w:val="yellow"/>
        </w:rPr>
        <w:t xml:space="preserve"> </w:t>
      </w:r>
      <w:r w:rsidR="005A43E7">
        <w:rPr>
          <w:rFonts w:ascii="Times New Roman" w:hAnsi="Times New Roman"/>
          <w:bCs/>
          <w:sz w:val="24"/>
        </w:rPr>
        <w:t>T</w:t>
      </w:r>
      <w:r w:rsidR="005A43E7" w:rsidRPr="005A43E7">
        <w:rPr>
          <w:rFonts w:ascii="Times New Roman" w:hAnsi="Times New Roman"/>
          <w:bCs/>
          <w:sz w:val="24"/>
        </w:rPr>
        <w:t xml:space="preserve">he aim of the present study was to evaluate sex-wise length–weight relationships and condition factors of </w:t>
      </w:r>
      <w:r w:rsidR="005A43E7" w:rsidRPr="005A43E7">
        <w:rPr>
          <w:rFonts w:ascii="Times New Roman" w:hAnsi="Times New Roman"/>
          <w:bCs/>
          <w:i/>
          <w:sz w:val="24"/>
        </w:rPr>
        <w:t xml:space="preserve">M. </w:t>
      </w:r>
      <w:proofErr w:type="spellStart"/>
      <w:r w:rsidR="005A43E7" w:rsidRPr="005A43E7">
        <w:rPr>
          <w:rFonts w:ascii="Times New Roman" w:hAnsi="Times New Roman"/>
          <w:bCs/>
          <w:i/>
          <w:sz w:val="24"/>
        </w:rPr>
        <w:t>lamarrei</w:t>
      </w:r>
      <w:proofErr w:type="spellEnd"/>
      <w:r w:rsidR="005A43E7" w:rsidRPr="005A43E7">
        <w:rPr>
          <w:rFonts w:ascii="Times New Roman" w:hAnsi="Times New Roman"/>
          <w:bCs/>
          <w:sz w:val="24"/>
        </w:rPr>
        <w:t xml:space="preserve"> from the Sone River, Bihar, across different length classes</w:t>
      </w:r>
      <w:r w:rsidR="005A43E7">
        <w:rPr>
          <w:rFonts w:ascii="Times New Roman" w:hAnsi="Times New Roman"/>
          <w:b/>
          <w:sz w:val="24"/>
          <w:highlight w:val="yellow"/>
        </w:rPr>
        <w:t>.</w:t>
      </w:r>
      <w:r>
        <w:rPr>
          <w:rFonts w:ascii="Times New Roman" w:hAnsi="Times New Roman"/>
          <w:color w:val="333333"/>
          <w:sz w:val="20"/>
          <w:szCs w:val="20"/>
          <w:shd w:val="clear" w:color="auto" w:fill="FFFFFF"/>
        </w:rPr>
        <w:t> The length</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weight relationship showed negative allometric growth in males (b = 2.6154), females (b = 2.7443), and the pooled population (b = 2</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6700), indicating that body weight increased at a slower rate than total length. The coefficient of correlation (r) was highest in males (0.9131), followed by the pooled population (0.9011) and females (0.8757), while the coefficient of determination (R</w:t>
      </w:r>
      <w:r>
        <w:rPr>
          <w:rFonts w:ascii="Times New Roman" w:hAnsi="Times New Roman"/>
          <w:color w:val="333333"/>
          <w:highlight w:val="yellow"/>
          <w:shd w:val="clear" w:color="auto" w:fill="FFFFFF"/>
          <w:vertAlign w:val="superscript"/>
        </w:rPr>
        <w:t>²</w:t>
      </w:r>
      <w:r>
        <w:rPr>
          <w:rFonts w:ascii="Times New Roman" w:hAnsi="Times New Roman"/>
          <w:color w:val="333333"/>
          <w:shd w:val="clear" w:color="auto" w:fill="FFFFFF"/>
        </w:rPr>
        <w:t>)</w:t>
      </w:r>
      <w:r>
        <w:rPr>
          <w:rFonts w:ascii="Times New Roman" w:hAnsi="Times New Roman"/>
          <w:color w:val="333333"/>
          <w:sz w:val="20"/>
          <w:szCs w:val="20"/>
          <w:shd w:val="clear" w:color="auto" w:fill="FFFFFF"/>
        </w:rPr>
        <w:t> ranged from 0.7668 to 0.8338, demonstrating a strong relationship between length and body weight. Relative condition factor (</w:t>
      </w:r>
      <w:proofErr w:type="spellStart"/>
      <w:r>
        <w:rPr>
          <w:rFonts w:ascii="Times New Roman" w:hAnsi="Times New Roman"/>
          <w:color w:val="333333"/>
          <w:sz w:val="20"/>
          <w:szCs w:val="20"/>
          <w:shd w:val="clear" w:color="auto" w:fill="FFFFFF"/>
        </w:rPr>
        <w:t>Kn</w:t>
      </w:r>
      <w:proofErr w:type="spellEnd"/>
      <w:r>
        <w:rPr>
          <w:rFonts w:ascii="Times New Roman" w:hAnsi="Times New Roman"/>
          <w:color w:val="333333"/>
          <w:sz w:val="20"/>
          <w:szCs w:val="20"/>
          <w:shd w:val="clear" w:color="auto" w:fill="FFFFFF"/>
        </w:rPr>
        <w:t xml:space="preserve">) values were generally greater than 1 across all length classes, indicating that individuals </w:t>
      </w:r>
      <w:r>
        <w:rPr>
          <w:rFonts w:ascii="Times New Roman" w:hAnsi="Times New Roman"/>
          <w:color w:val="333333"/>
          <w:sz w:val="20"/>
          <w:szCs w:val="20"/>
          <w:highlight w:val="yellow"/>
          <w:shd w:val="clear" w:color="auto" w:fill="FFFFFF"/>
        </w:rPr>
        <w:t>gener</w:t>
      </w:r>
      <w:r>
        <w:rPr>
          <w:rFonts w:ascii="Times New Roman" w:hAnsi="Times New Roman"/>
          <w:color w:val="333333"/>
          <w:sz w:val="20"/>
          <w:szCs w:val="20"/>
          <w:shd w:val="clear" w:color="auto" w:fill="FFFFFF"/>
        </w:rPr>
        <w:t>ally attain</w:t>
      </w:r>
      <w:r>
        <w:rPr>
          <w:rFonts w:ascii="Times New Roman" w:hAnsi="Times New Roman"/>
          <w:color w:val="333333"/>
          <w:sz w:val="20"/>
          <w:szCs w:val="20"/>
          <w:highlight w:val="yellow"/>
          <w:shd w:val="clear" w:color="auto" w:fill="FFFFFF"/>
        </w:rPr>
        <w:t>ed</w:t>
      </w:r>
      <w:r>
        <w:rPr>
          <w:rFonts w:ascii="Times New Roman" w:hAnsi="Times New Roman"/>
          <w:color w:val="333333"/>
          <w:sz w:val="20"/>
          <w:szCs w:val="20"/>
          <w:shd w:val="clear" w:color="auto" w:fill="FFFFFF"/>
        </w:rPr>
        <w:t xml:space="preserve"> body weight</w:t>
      </w:r>
      <w:r>
        <w:rPr>
          <w:rFonts w:ascii="Times New Roman" w:hAnsi="Times New Roman"/>
          <w:color w:val="333333"/>
          <w:sz w:val="20"/>
          <w:szCs w:val="20"/>
          <w:highlight w:val="yellow"/>
          <w:shd w:val="clear" w:color="auto" w:fill="FFFFFF"/>
        </w:rPr>
        <w:t>s</w:t>
      </w:r>
      <w:r>
        <w:rPr>
          <w:rFonts w:ascii="Times New Roman" w:hAnsi="Times New Roman"/>
          <w:color w:val="333333"/>
          <w:sz w:val="20"/>
          <w:szCs w:val="20"/>
          <w:shd w:val="clear" w:color="auto" w:fill="FFFFFF"/>
        </w:rPr>
        <w:t xml:space="preserve"> comparable to or slightly higher than th</w:t>
      </w:r>
      <w:r>
        <w:rPr>
          <w:rFonts w:ascii="Times New Roman" w:hAnsi="Times New Roman"/>
          <w:color w:val="333333"/>
          <w:sz w:val="20"/>
          <w:szCs w:val="20"/>
          <w:highlight w:val="yellow"/>
          <w:shd w:val="clear" w:color="auto" w:fill="FFFFFF"/>
        </w:rPr>
        <w:t>ose</w:t>
      </w:r>
      <w:r>
        <w:rPr>
          <w:rFonts w:ascii="Times New Roman" w:hAnsi="Times New Roman"/>
          <w:color w:val="333333"/>
          <w:sz w:val="20"/>
          <w:szCs w:val="20"/>
          <w:shd w:val="clear" w:color="auto" w:fill="FFFFFF"/>
        </w:rPr>
        <w:t xml:space="preserve"> predicted by the length</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 xml:space="preserve">weight relationship. Variation in </w:t>
      </w:r>
      <w:r>
        <w:rPr>
          <w:rFonts w:ascii="Times New Roman" w:hAnsi="Times New Roman"/>
          <w:color w:val="333333"/>
          <w:sz w:val="20"/>
          <w:szCs w:val="20"/>
          <w:highlight w:val="yellow"/>
          <w:shd w:val="clear" w:color="auto" w:fill="FFFFFF"/>
        </w:rPr>
        <w:t>F</w:t>
      </w:r>
      <w:r>
        <w:rPr>
          <w:rFonts w:ascii="Times New Roman" w:hAnsi="Times New Roman"/>
          <w:color w:val="333333"/>
          <w:sz w:val="20"/>
          <w:szCs w:val="20"/>
          <w:shd w:val="clear" w:color="auto" w:fill="FFFFFF"/>
        </w:rPr>
        <w:t>ulton</w:t>
      </w:r>
      <w:r>
        <w:rPr>
          <w:rFonts w:ascii="Times New Roman" w:hAnsi="Times New Roman"/>
          <w:color w:val="333333"/>
          <w:sz w:val="20"/>
          <w:szCs w:val="20"/>
          <w:highlight w:val="yellow"/>
          <w:shd w:val="clear" w:color="auto" w:fill="FFFFFF"/>
        </w:rPr>
        <w:t>'s</w:t>
      </w:r>
      <w:r>
        <w:rPr>
          <w:rFonts w:ascii="Times New Roman" w:hAnsi="Times New Roman"/>
          <w:color w:val="333333"/>
          <w:sz w:val="20"/>
          <w:szCs w:val="20"/>
          <w:shd w:val="clear" w:color="auto" w:fill="FFFFFF"/>
        </w:rPr>
        <w:t xml:space="preserve"> condition factor (K) among different </w:t>
      </w:r>
      <w:r>
        <w:rPr>
          <w:rFonts w:ascii="Times New Roman" w:hAnsi="Times New Roman"/>
          <w:color w:val="333333"/>
          <w:sz w:val="20"/>
          <w:szCs w:val="20"/>
          <w:highlight w:val="yellow"/>
          <w:shd w:val="clear" w:color="auto" w:fill="FFFFFF"/>
        </w:rPr>
        <w:t xml:space="preserve">size </w:t>
      </w:r>
      <w:r>
        <w:rPr>
          <w:rFonts w:ascii="Times New Roman" w:hAnsi="Times New Roman"/>
          <w:color w:val="333333"/>
          <w:sz w:val="20"/>
          <w:szCs w:val="20"/>
          <w:shd w:val="clear" w:color="auto" w:fill="FFFFFF"/>
        </w:rPr>
        <w:t>classes indicate</w:t>
      </w:r>
      <w:r>
        <w:rPr>
          <w:rFonts w:ascii="Times New Roman" w:hAnsi="Times New Roman"/>
          <w:color w:val="333333"/>
          <w:sz w:val="20"/>
          <w:szCs w:val="20"/>
          <w:highlight w:val="yellow"/>
          <w:shd w:val="clear" w:color="auto" w:fill="FFFFFF"/>
        </w:rPr>
        <w:t>d</w:t>
      </w:r>
      <w:r>
        <w:rPr>
          <w:rFonts w:ascii="Times New Roman" w:hAnsi="Times New Roman"/>
          <w:color w:val="333333"/>
          <w:sz w:val="20"/>
          <w:szCs w:val="20"/>
          <w:shd w:val="clear" w:color="auto" w:fill="FFFFFF"/>
        </w:rPr>
        <w:t xml:space="preserve"> differences in somatic condition. Overall, the condition</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factor indices indicate</w:t>
      </w:r>
      <w:r>
        <w:rPr>
          <w:rFonts w:ascii="Times New Roman" w:hAnsi="Times New Roman"/>
          <w:color w:val="333333"/>
          <w:sz w:val="20"/>
          <w:szCs w:val="20"/>
          <w:highlight w:val="yellow"/>
          <w:shd w:val="clear" w:color="auto" w:fill="FFFFFF"/>
        </w:rPr>
        <w:t>d</w:t>
      </w:r>
      <w:r>
        <w:rPr>
          <w:rFonts w:ascii="Times New Roman" w:hAnsi="Times New Roman"/>
          <w:color w:val="333333"/>
          <w:sz w:val="20"/>
          <w:szCs w:val="20"/>
          <w:shd w:val="clear" w:color="auto" w:fill="FFFFFF"/>
        </w:rPr>
        <w:t xml:space="preserve"> that the population of </w:t>
      </w:r>
      <w:r>
        <w:rPr>
          <w:rFonts w:ascii="Times New Roman" w:hAnsi="Times New Roman"/>
          <w:i/>
          <w:iCs/>
          <w:color w:val="333333"/>
          <w:sz w:val="20"/>
          <w:szCs w:val="20"/>
          <w:shd w:val="clear" w:color="auto" w:fill="FFFFFF"/>
        </w:rPr>
        <w:t xml:space="preserve">M. </w:t>
      </w:r>
      <w:proofErr w:type="spellStart"/>
      <w:r>
        <w:rPr>
          <w:rFonts w:ascii="Times New Roman" w:hAnsi="Times New Roman"/>
          <w:i/>
          <w:iCs/>
          <w:color w:val="333333"/>
          <w:sz w:val="20"/>
          <w:szCs w:val="20"/>
          <w:shd w:val="clear" w:color="auto" w:fill="FFFFFF"/>
        </w:rPr>
        <w:t>lamarrei</w:t>
      </w:r>
      <w:proofErr w:type="spellEnd"/>
      <w:r>
        <w:rPr>
          <w:rFonts w:ascii="Times New Roman" w:hAnsi="Times New Roman"/>
          <w:i/>
          <w:iCs/>
          <w:color w:val="333333"/>
          <w:sz w:val="20"/>
          <w:szCs w:val="20"/>
          <w:shd w:val="clear" w:color="auto" w:fill="FFFFFF"/>
        </w:rPr>
        <w:t xml:space="preserve"> </w:t>
      </w:r>
      <w:r>
        <w:rPr>
          <w:rFonts w:ascii="Times New Roman" w:hAnsi="Times New Roman"/>
          <w:color w:val="333333"/>
          <w:sz w:val="20"/>
          <w:szCs w:val="20"/>
          <w:shd w:val="clear" w:color="auto" w:fill="FFFFFF"/>
        </w:rPr>
        <w:t xml:space="preserve">in the Sone River maintained a </w:t>
      </w:r>
      <w:proofErr w:type="spellStart"/>
      <w:r>
        <w:rPr>
          <w:rFonts w:ascii="Times New Roman" w:hAnsi="Times New Roman"/>
          <w:color w:val="333333"/>
          <w:sz w:val="20"/>
          <w:szCs w:val="20"/>
          <w:shd w:val="clear" w:color="auto" w:fill="FFFFFF"/>
        </w:rPr>
        <w:t>favourable</w:t>
      </w:r>
      <w:proofErr w:type="spellEnd"/>
      <w:r>
        <w:rPr>
          <w:rFonts w:ascii="Times New Roman" w:hAnsi="Times New Roman"/>
          <w:color w:val="333333"/>
          <w:sz w:val="20"/>
          <w:szCs w:val="20"/>
          <w:shd w:val="clear" w:color="auto" w:fill="FFFFFF"/>
        </w:rPr>
        <w:t xml:space="preserve"> physiological status, while the negative allometric growth pattern provide</w:t>
      </w:r>
      <w:r>
        <w:rPr>
          <w:rFonts w:ascii="Times New Roman" w:hAnsi="Times New Roman"/>
          <w:color w:val="333333"/>
          <w:sz w:val="20"/>
          <w:szCs w:val="20"/>
          <w:highlight w:val="yellow"/>
          <w:shd w:val="clear" w:color="auto" w:fill="FFFFFF"/>
        </w:rPr>
        <w:t>d</w:t>
      </w:r>
      <w:r>
        <w:rPr>
          <w:rFonts w:ascii="Times New Roman" w:hAnsi="Times New Roman"/>
          <w:color w:val="333333"/>
          <w:sz w:val="20"/>
          <w:szCs w:val="20"/>
          <w:shd w:val="clear" w:color="auto" w:fill="FFFFFF"/>
        </w:rPr>
        <w:t xml:space="preserve"> useful information on size-dependent body development. Together, the length</w:t>
      </w:r>
      <w:r>
        <w:rPr>
          <w:rFonts w:ascii="Times New Roman" w:hAnsi="Times New Roman"/>
          <w:color w:val="333333"/>
          <w:sz w:val="20"/>
          <w:szCs w:val="20"/>
          <w:highlight w:val="yellow"/>
          <w:shd w:val="clear" w:color="auto" w:fill="FFFFFF"/>
        </w:rPr>
        <w:t>–</w:t>
      </w:r>
      <w:r>
        <w:rPr>
          <w:rFonts w:ascii="Times New Roman" w:hAnsi="Times New Roman"/>
          <w:color w:val="333333"/>
          <w:sz w:val="20"/>
          <w:szCs w:val="20"/>
          <w:shd w:val="clear" w:color="auto" w:fill="FFFFFF"/>
        </w:rPr>
        <w:t>weight relationship and condition factor</w:t>
      </w:r>
      <w:r>
        <w:rPr>
          <w:rFonts w:ascii="Times New Roman" w:hAnsi="Times New Roman"/>
          <w:color w:val="333333"/>
          <w:sz w:val="20"/>
          <w:szCs w:val="20"/>
          <w:highlight w:val="yellow"/>
          <w:shd w:val="clear" w:color="auto" w:fill="FFFFFF"/>
        </w:rPr>
        <w:t>s</w:t>
      </w:r>
      <w:r>
        <w:rPr>
          <w:rFonts w:ascii="Times New Roman" w:hAnsi="Times New Roman"/>
          <w:color w:val="333333"/>
          <w:sz w:val="20"/>
          <w:szCs w:val="20"/>
          <w:shd w:val="clear" w:color="auto" w:fill="FFFFFF"/>
        </w:rPr>
        <w:t xml:space="preserve"> of </w:t>
      </w:r>
      <w:r>
        <w:rPr>
          <w:rFonts w:ascii="Times New Roman" w:hAnsi="Times New Roman"/>
          <w:i/>
          <w:iCs/>
          <w:color w:val="333333"/>
          <w:sz w:val="20"/>
          <w:szCs w:val="20"/>
          <w:shd w:val="clear" w:color="auto" w:fill="FFFFFF"/>
        </w:rPr>
        <w:t>M. </w:t>
      </w:r>
      <w:proofErr w:type="spellStart"/>
      <w:r>
        <w:rPr>
          <w:rFonts w:ascii="Times New Roman" w:hAnsi="Times New Roman"/>
          <w:i/>
          <w:iCs/>
          <w:color w:val="333333"/>
          <w:sz w:val="20"/>
          <w:szCs w:val="20"/>
          <w:shd w:val="clear" w:color="auto" w:fill="FFFFFF"/>
        </w:rPr>
        <w:t>lamarrei</w:t>
      </w:r>
      <w:proofErr w:type="spellEnd"/>
      <w:r>
        <w:rPr>
          <w:rFonts w:ascii="Times New Roman" w:hAnsi="Times New Roman"/>
          <w:i/>
          <w:iCs/>
          <w:color w:val="333333"/>
          <w:sz w:val="20"/>
          <w:szCs w:val="20"/>
          <w:shd w:val="clear" w:color="auto" w:fill="FFFFFF"/>
        </w:rPr>
        <w:t xml:space="preserve"> </w:t>
      </w:r>
      <w:r>
        <w:rPr>
          <w:rFonts w:ascii="Times New Roman" w:hAnsi="Times New Roman"/>
          <w:color w:val="333333"/>
          <w:sz w:val="20"/>
          <w:szCs w:val="20"/>
          <w:shd w:val="clear" w:color="auto" w:fill="FFFFFF"/>
        </w:rPr>
        <w:t>provide basic information on the population structure and physiological condition of prawns and can serve as useful indicators for long-term ecological monitoring and assessment of habitat suitability for freshwater prawns.</w:t>
      </w:r>
    </w:p>
    <w:p w14:paraId="1C3ADC31" w14:textId="77777777" w:rsidR="00AA5368" w:rsidRPr="00AA5368" w:rsidRDefault="00AA5368" w:rsidP="00AA5368">
      <w:pPr>
        <w:spacing w:after="0" w:line="360" w:lineRule="auto"/>
        <w:jc w:val="both"/>
        <w:rPr>
          <w:rFonts w:ascii="Times New Roman" w:eastAsia="Times New Roman" w:hAnsi="Times New Roman"/>
          <w:lang w:val="en-IN" w:eastAsia="en-IN" w:bidi="hi-IN"/>
        </w:rPr>
      </w:pPr>
    </w:p>
    <w:p w14:paraId="2ECC4325" w14:textId="61F331B4" w:rsidR="00AA5368" w:rsidRPr="00AA5368" w:rsidRDefault="00AA5368" w:rsidP="00AA5368">
      <w:pPr>
        <w:spacing w:after="0" w:line="360" w:lineRule="auto"/>
        <w:jc w:val="both"/>
        <w:rPr>
          <w:rFonts w:ascii="Times New Roman" w:hAnsi="Times New Roman"/>
          <w:iCs/>
          <w:color w:val="000000"/>
        </w:rPr>
      </w:pPr>
      <w:r>
        <w:rPr>
          <w:rFonts w:ascii="Times New Roman" w:hAnsi="Times New Roman"/>
          <w:b/>
          <w:bCs/>
        </w:rPr>
        <w:t>Keywords:</w:t>
      </w:r>
      <w:r>
        <w:rPr>
          <w:rFonts w:ascii="Times New Roman" w:hAnsi="Times New Roman"/>
        </w:rPr>
        <w:t xml:space="preserve"> </w:t>
      </w:r>
      <w:r w:rsidR="00625BB0">
        <w:rPr>
          <w:rStyle w:val="Emphasis"/>
        </w:rPr>
        <w:t xml:space="preserve">Macrobrachium </w:t>
      </w:r>
      <w:proofErr w:type="spellStart"/>
      <w:r w:rsidR="00625BB0">
        <w:rPr>
          <w:rStyle w:val="Emphasis"/>
        </w:rPr>
        <w:t>lamarrei</w:t>
      </w:r>
      <w:proofErr w:type="spellEnd"/>
      <w:r w:rsidR="00625BB0">
        <w:t>; length–weight relationship; Fulton’s condition factor; relative condition factor; negative allometric growth; freshwater prawn; sex-wise variation; Sone River; Bihar; population condition.</w:t>
      </w:r>
    </w:p>
    <w:p w14:paraId="6D38B95B" w14:textId="77777777" w:rsidR="00AA5368" w:rsidRPr="00AA5368" w:rsidRDefault="00AA5368" w:rsidP="00AA5368">
      <w:pPr>
        <w:spacing w:after="0" w:line="360" w:lineRule="auto"/>
        <w:jc w:val="both"/>
        <w:rPr>
          <w:rFonts w:ascii="Times New Roman" w:hAnsi="Times New Roman"/>
          <w:b/>
          <w:bCs/>
          <w:sz w:val="30"/>
          <w:szCs w:val="30"/>
        </w:rPr>
      </w:pPr>
      <w:r w:rsidRPr="00AA5368">
        <w:rPr>
          <w:rFonts w:ascii="Times New Roman" w:hAnsi="Times New Roman"/>
          <w:b/>
          <w:bCs/>
          <w:sz w:val="30"/>
          <w:szCs w:val="30"/>
        </w:rPr>
        <w:t>Introduction</w:t>
      </w:r>
    </w:p>
    <w:p w14:paraId="342BCCDF" w14:textId="77777777" w:rsidR="00AA5368" w:rsidRPr="00AA5368" w:rsidRDefault="00AA5368" w:rsidP="00AA5368">
      <w:pPr>
        <w:spacing w:after="0" w:line="360" w:lineRule="auto"/>
        <w:jc w:val="both"/>
        <w:rPr>
          <w:rFonts w:ascii="Times New Roman" w:hAnsi="Times New Roman"/>
          <w:sz w:val="24"/>
          <w:szCs w:val="24"/>
        </w:rPr>
      </w:pPr>
      <w:r>
        <w:rPr>
          <w:rFonts w:ascii="Times New Roman" w:hAnsi="Times New Roman"/>
          <w:sz w:val="24"/>
          <w:szCs w:val="24"/>
        </w:rPr>
        <w:t>Length</w:t>
      </w:r>
      <w:r>
        <w:rPr>
          <w:rFonts w:ascii="Times New Roman" w:hAnsi="Times New Roman"/>
          <w:sz w:val="24"/>
          <w:szCs w:val="24"/>
          <w:highlight w:val="yellow"/>
        </w:rPr>
        <w:t>–</w:t>
      </w:r>
      <w:r>
        <w:rPr>
          <w:rFonts w:ascii="Times New Roman" w:hAnsi="Times New Roman"/>
          <w:sz w:val="24"/>
          <w:szCs w:val="24"/>
        </w:rPr>
        <w:t xml:space="preserve">weight relationships are important and commonly used biometric </w:t>
      </w:r>
      <w:r>
        <w:rPr>
          <w:rFonts w:ascii="Times New Roman" w:hAnsi="Times New Roman"/>
          <w:sz w:val="24"/>
          <w:szCs w:val="24"/>
          <w:highlight w:val="yellow"/>
        </w:rPr>
        <w:t>me</w:t>
      </w:r>
      <w:r>
        <w:rPr>
          <w:rFonts w:ascii="Times New Roman" w:hAnsi="Times New Roman"/>
          <w:sz w:val="24"/>
          <w:szCs w:val="24"/>
        </w:rPr>
        <w:t>a</w:t>
      </w:r>
      <w:r>
        <w:rPr>
          <w:rFonts w:ascii="Times New Roman" w:hAnsi="Times New Roman"/>
          <w:sz w:val="24"/>
          <w:szCs w:val="24"/>
          <w:highlight w:val="yellow"/>
        </w:rPr>
        <w:t>s</w:t>
      </w:r>
      <w:r>
        <w:rPr>
          <w:rFonts w:ascii="Times New Roman" w:hAnsi="Times New Roman"/>
          <w:sz w:val="24"/>
          <w:szCs w:val="24"/>
        </w:rPr>
        <w:t>u</w:t>
      </w:r>
      <w:r>
        <w:rPr>
          <w:rFonts w:ascii="Times New Roman" w:hAnsi="Times New Roman"/>
          <w:sz w:val="24"/>
          <w:szCs w:val="24"/>
          <w:highlight w:val="yellow"/>
        </w:rPr>
        <w:t>remen</w:t>
      </w:r>
      <w:r>
        <w:rPr>
          <w:rFonts w:ascii="Times New Roman" w:hAnsi="Times New Roman"/>
          <w:sz w:val="24"/>
          <w:szCs w:val="24"/>
        </w:rPr>
        <w:t>t</w:t>
      </w:r>
      <w:r>
        <w:rPr>
          <w:rFonts w:ascii="Times New Roman" w:hAnsi="Times New Roman"/>
          <w:sz w:val="24"/>
          <w:szCs w:val="24"/>
          <w:highlight w:val="yellow"/>
        </w:rPr>
        <w:t>s</w:t>
      </w:r>
      <w:r>
        <w:rPr>
          <w:rFonts w:ascii="Times New Roman" w:hAnsi="Times New Roman"/>
          <w:sz w:val="24"/>
          <w:szCs w:val="24"/>
        </w:rPr>
        <w:t xml:space="preserve"> in fisheries and aquatic biology for assessing the overall health status of prawn population</w:t>
      </w:r>
      <w:r>
        <w:rPr>
          <w:rFonts w:ascii="Times New Roman" w:hAnsi="Times New Roman"/>
          <w:sz w:val="24"/>
          <w:szCs w:val="24"/>
          <w:highlight w:val="yellow"/>
        </w:rPr>
        <w:t>s</w:t>
      </w:r>
      <w:r>
        <w:rPr>
          <w:rFonts w:ascii="Times New Roman" w:hAnsi="Times New Roman"/>
          <w:sz w:val="24"/>
          <w:szCs w:val="24"/>
        </w:rPr>
        <w:t xml:space="preserve">. </w:t>
      </w:r>
      <w:r>
        <w:rPr>
          <w:rFonts w:ascii="Times New Roman" w:hAnsi="Times New Roman"/>
          <w:sz w:val="24"/>
          <w:szCs w:val="24"/>
          <w:highlight w:val="yellow"/>
        </w:rPr>
        <w:t>They</w:t>
      </w:r>
      <w:r>
        <w:rPr>
          <w:rFonts w:ascii="Times New Roman" w:hAnsi="Times New Roman"/>
          <w:sz w:val="24"/>
          <w:szCs w:val="24"/>
        </w:rPr>
        <w:t xml:space="preserve"> provide useful information about growth pattern</w:t>
      </w:r>
      <w:r>
        <w:rPr>
          <w:rFonts w:ascii="Times New Roman" w:hAnsi="Times New Roman"/>
          <w:sz w:val="24"/>
          <w:szCs w:val="24"/>
          <w:highlight w:val="yellow"/>
        </w:rPr>
        <w:t>s</w:t>
      </w:r>
      <w:r>
        <w:rPr>
          <w:rFonts w:ascii="Times New Roman" w:hAnsi="Times New Roman"/>
          <w:sz w:val="24"/>
          <w:szCs w:val="24"/>
        </w:rPr>
        <w:t xml:space="preserve"> within a population and allow comparison</w:t>
      </w:r>
      <w:r>
        <w:rPr>
          <w:rFonts w:ascii="Times New Roman" w:hAnsi="Times New Roman"/>
          <w:sz w:val="24"/>
          <w:szCs w:val="24"/>
          <w:highlight w:val="yellow"/>
        </w:rPr>
        <w:t>s</w:t>
      </w:r>
      <w:r>
        <w:rPr>
          <w:rFonts w:ascii="Times New Roman" w:hAnsi="Times New Roman"/>
          <w:sz w:val="24"/>
          <w:szCs w:val="24"/>
        </w:rPr>
        <w:t xml:space="preserve"> </w:t>
      </w:r>
      <w:r>
        <w:rPr>
          <w:rFonts w:ascii="Times New Roman" w:hAnsi="Times New Roman"/>
          <w:sz w:val="24"/>
          <w:szCs w:val="24"/>
          <w:highlight w:val="yellow"/>
        </w:rPr>
        <w:t>amo</w:t>
      </w:r>
      <w:r>
        <w:rPr>
          <w:rFonts w:ascii="Times New Roman" w:hAnsi="Times New Roman"/>
          <w:sz w:val="24"/>
          <w:szCs w:val="24"/>
        </w:rPr>
        <w:t>n</w:t>
      </w:r>
      <w:r>
        <w:rPr>
          <w:rFonts w:ascii="Times New Roman" w:hAnsi="Times New Roman"/>
          <w:sz w:val="24"/>
          <w:szCs w:val="24"/>
          <w:highlight w:val="yellow"/>
        </w:rPr>
        <w:t>g</w:t>
      </w:r>
      <w:r>
        <w:rPr>
          <w:rFonts w:ascii="Times New Roman" w:hAnsi="Times New Roman"/>
          <w:sz w:val="24"/>
          <w:szCs w:val="24"/>
        </w:rPr>
        <w:t xml:space="preserve"> individuals of different sizes, sexes, seasons, or geographical locations. In freshwater prawns, the length</w:t>
      </w:r>
      <w:r>
        <w:rPr>
          <w:rFonts w:ascii="Times New Roman" w:hAnsi="Times New Roman"/>
          <w:sz w:val="24"/>
          <w:szCs w:val="24"/>
          <w:highlight w:val="yellow"/>
        </w:rPr>
        <w:t>–</w:t>
      </w:r>
      <w:r>
        <w:rPr>
          <w:rFonts w:ascii="Times New Roman" w:hAnsi="Times New Roman"/>
          <w:sz w:val="24"/>
          <w:szCs w:val="24"/>
        </w:rPr>
        <w:t>weight relationship provides baseline information on population characteristics and growth patterns in relation to body size and, when combined with condition</w:t>
      </w:r>
      <w:r>
        <w:rPr>
          <w:rFonts w:ascii="Times New Roman" w:hAnsi="Times New Roman"/>
          <w:sz w:val="24"/>
          <w:szCs w:val="24"/>
          <w:highlight w:val="yellow"/>
        </w:rPr>
        <w:t>-</w:t>
      </w:r>
      <w:r>
        <w:rPr>
          <w:rFonts w:ascii="Times New Roman" w:hAnsi="Times New Roman"/>
          <w:sz w:val="24"/>
          <w:szCs w:val="24"/>
        </w:rPr>
        <w:t>factor indices, offers a broad picture of the population's biological status.</w:t>
      </w:r>
    </w:p>
    <w:p w14:paraId="0F5F67BF" w14:textId="77777777" w:rsidR="00BC5471" w:rsidRDefault="00000000">
      <w:pPr>
        <w:spacing w:after="0" w:line="360" w:lineRule="auto"/>
        <w:jc w:val="both"/>
      </w:pPr>
      <w:r>
        <w:rPr>
          <w:rFonts w:ascii="Times New Roman" w:hAnsi="Times New Roman"/>
          <w:b/>
          <w:sz w:val="24"/>
          <w:highlight w:val="yellow"/>
        </w:rPr>
        <w:t>Recent studies continue to apply length–weight relationships together with condition-factor indices to describe growth patterns and relative body condition in aquatic populations (de Carvalho-Souza et al., 2023; Maji et al., 2026).</w:t>
      </w:r>
    </w:p>
    <w:p w14:paraId="5A1BD0F8" w14:textId="77777777" w:rsidR="00AA5368" w:rsidRPr="00AA5368" w:rsidRDefault="00AA5368" w:rsidP="00AA5368">
      <w:pPr>
        <w:spacing w:after="0" w:line="360" w:lineRule="auto"/>
        <w:jc w:val="both"/>
        <w:rPr>
          <w:rFonts w:ascii="Times New Roman" w:hAnsi="Times New Roman"/>
          <w:sz w:val="24"/>
          <w:szCs w:val="24"/>
        </w:rPr>
      </w:pPr>
      <w:r>
        <w:rPr>
          <w:rFonts w:ascii="Times New Roman" w:hAnsi="Times New Roman"/>
          <w:sz w:val="24"/>
          <w:szCs w:val="24"/>
        </w:rPr>
        <w:lastRenderedPageBreak/>
        <w:t>Freshwater prawns belong to the genus</w:t>
      </w:r>
      <w:r>
        <w:rPr>
          <w:rFonts w:ascii="Times New Roman" w:hAnsi="Times New Roman"/>
          <w:i/>
          <w:iCs/>
          <w:sz w:val="24"/>
          <w:szCs w:val="24"/>
        </w:rPr>
        <w:t xml:space="preserve"> Macrobrachium</w:t>
      </w:r>
      <w:r>
        <w:rPr>
          <w:rFonts w:ascii="Times New Roman" w:hAnsi="Times New Roman"/>
          <w:sz w:val="24"/>
          <w:szCs w:val="24"/>
        </w:rPr>
        <w:t xml:space="preserve"> and are an important component of riverine and other water bodies, contributing to aquatic food webs and supporting fisheries and aquaculture. The growth and development of these freshwater prawns mainly depend on </w:t>
      </w:r>
      <w:proofErr w:type="spellStart"/>
      <w:r>
        <w:rPr>
          <w:rFonts w:ascii="Times New Roman" w:hAnsi="Times New Roman"/>
          <w:sz w:val="24"/>
          <w:szCs w:val="24"/>
        </w:rPr>
        <w:t>favourable</w:t>
      </w:r>
      <w:proofErr w:type="spellEnd"/>
      <w:r>
        <w:rPr>
          <w:rFonts w:ascii="Times New Roman" w:hAnsi="Times New Roman"/>
          <w:sz w:val="24"/>
          <w:szCs w:val="24"/>
        </w:rPr>
        <w:t xml:space="preserve"> ecological parameters, food availability, reproductive activities, habitat characteristics, and water quality. Hence, information on the growth and condition of a population is useful for understanding the biological performance of the natural population and </w:t>
      </w:r>
      <w:r>
        <w:rPr>
          <w:rFonts w:ascii="Times New Roman" w:hAnsi="Times New Roman"/>
          <w:sz w:val="24"/>
          <w:szCs w:val="24"/>
          <w:highlight w:val="yellow"/>
        </w:rPr>
        <w:t xml:space="preserve">for </w:t>
      </w:r>
      <w:r>
        <w:rPr>
          <w:rFonts w:ascii="Times New Roman" w:hAnsi="Times New Roman"/>
          <w:sz w:val="24"/>
          <w:szCs w:val="24"/>
        </w:rPr>
        <w:t>helping that population flourish.</w:t>
      </w:r>
    </w:p>
    <w:p w14:paraId="782C97FA" w14:textId="77777777" w:rsidR="00AA5368" w:rsidRPr="00AA5368" w:rsidRDefault="00AA5368" w:rsidP="00AA5368">
      <w:pPr>
        <w:spacing w:after="0" w:line="360" w:lineRule="auto"/>
        <w:jc w:val="both"/>
        <w:rPr>
          <w:rFonts w:ascii="Times New Roman" w:hAnsi="Times New Roman"/>
          <w:sz w:val="24"/>
          <w:szCs w:val="24"/>
        </w:rPr>
      </w:pPr>
    </w:p>
    <w:p w14:paraId="61CF4283" w14:textId="77777777" w:rsidR="00AA5368" w:rsidRPr="00AA5368" w:rsidRDefault="009C6FA0" w:rsidP="00AA5368">
      <w:pPr>
        <w:spacing w:after="0" w:line="360" w:lineRule="auto"/>
        <w:jc w:val="both"/>
        <w:rPr>
          <w:rFonts w:ascii="Times New Roman" w:hAnsi="Times New Roman"/>
          <w:sz w:val="24"/>
          <w:szCs w:val="24"/>
        </w:rPr>
      </w:pPr>
      <w:r>
        <w:rPr>
          <w:rFonts w:ascii="Times New Roman" w:hAnsi="Times New Roman"/>
          <w:i/>
          <w:iCs/>
          <w:sz w:val="24"/>
          <w:szCs w:val="24"/>
        </w:rPr>
        <w:t xml:space="preserve">Macrobrachium </w:t>
      </w:r>
      <w:proofErr w:type="spellStart"/>
      <w:r>
        <w:rPr>
          <w:rFonts w:ascii="Times New Roman" w:hAnsi="Times New Roman"/>
          <w:i/>
          <w:iCs/>
          <w:sz w:val="24"/>
          <w:szCs w:val="24"/>
          <w:highlight w:val="yellow"/>
        </w:rPr>
        <w:t>l</w:t>
      </w:r>
      <w:r>
        <w:rPr>
          <w:rFonts w:ascii="Times New Roman" w:hAnsi="Times New Roman"/>
          <w:i/>
          <w:iCs/>
          <w:sz w:val="24"/>
          <w:szCs w:val="24"/>
        </w:rPr>
        <w:t>amarrei</w:t>
      </w:r>
      <w:proofErr w:type="spellEnd"/>
      <w:r>
        <w:rPr>
          <w:rFonts w:ascii="Times New Roman" w:hAnsi="Times New Roman"/>
          <w:sz w:val="24"/>
          <w:szCs w:val="24"/>
        </w:rPr>
        <w:t xml:space="preserve"> is a minor freshwater prawn distributed across different parts of the country, primarily in freshwater habitats, and contributes to aquatic biodiversity. Stud</w:t>
      </w:r>
      <w:r>
        <w:rPr>
          <w:rFonts w:ascii="Times New Roman" w:hAnsi="Times New Roman"/>
          <w:sz w:val="24"/>
          <w:szCs w:val="24"/>
          <w:highlight w:val="yellow"/>
        </w:rPr>
        <w:t>ies</w:t>
      </w:r>
      <w:r>
        <w:rPr>
          <w:rFonts w:ascii="Times New Roman" w:hAnsi="Times New Roman"/>
          <w:sz w:val="24"/>
          <w:szCs w:val="24"/>
        </w:rPr>
        <w:t xml:space="preserve"> of length</w:t>
      </w:r>
      <w:r>
        <w:rPr>
          <w:rFonts w:ascii="Times New Roman" w:hAnsi="Times New Roman"/>
          <w:sz w:val="24"/>
          <w:szCs w:val="24"/>
          <w:highlight w:val="yellow"/>
        </w:rPr>
        <w:t>–</w:t>
      </w:r>
      <w:r>
        <w:rPr>
          <w:rFonts w:ascii="Times New Roman" w:hAnsi="Times New Roman"/>
          <w:sz w:val="24"/>
          <w:szCs w:val="24"/>
        </w:rPr>
        <w:t>weight relationships and condition factor</w:t>
      </w:r>
      <w:r>
        <w:rPr>
          <w:rFonts w:ascii="Times New Roman" w:hAnsi="Times New Roman"/>
          <w:sz w:val="24"/>
          <w:szCs w:val="24"/>
          <w:highlight w:val="yellow"/>
        </w:rPr>
        <w:t>s</w:t>
      </w:r>
      <w:r>
        <w:rPr>
          <w:rFonts w:ascii="Times New Roman" w:hAnsi="Times New Roman"/>
          <w:sz w:val="24"/>
          <w:szCs w:val="24"/>
        </w:rPr>
        <w:t xml:space="preserve"> describe the growth characteristics of individual</w:t>
      </w:r>
      <w:r>
        <w:rPr>
          <w:rFonts w:ascii="Times New Roman" w:hAnsi="Times New Roman"/>
          <w:sz w:val="24"/>
          <w:szCs w:val="24"/>
          <w:highlight w:val="yellow"/>
        </w:rPr>
        <w:t>s</w:t>
      </w:r>
      <w:r>
        <w:rPr>
          <w:rFonts w:ascii="Times New Roman" w:hAnsi="Times New Roman"/>
          <w:sz w:val="24"/>
          <w:szCs w:val="24"/>
        </w:rPr>
        <w:t xml:space="preserve"> under natural conditions and </w:t>
      </w:r>
      <w:r>
        <w:rPr>
          <w:rFonts w:ascii="Times New Roman" w:hAnsi="Times New Roman"/>
          <w:sz w:val="24"/>
          <w:szCs w:val="24"/>
          <w:highlight w:val="yellow"/>
        </w:rPr>
        <w:t>help</w:t>
      </w:r>
      <w:r>
        <w:rPr>
          <w:rFonts w:ascii="Times New Roman" w:hAnsi="Times New Roman"/>
          <w:sz w:val="24"/>
          <w:szCs w:val="24"/>
        </w:rPr>
        <w:t xml:space="preserve"> identify problems </w:t>
      </w:r>
      <w:r>
        <w:rPr>
          <w:rFonts w:ascii="Times New Roman" w:hAnsi="Times New Roman"/>
          <w:sz w:val="24"/>
          <w:szCs w:val="24"/>
          <w:highlight w:val="yellow"/>
        </w:rPr>
        <w:t>a</w:t>
      </w:r>
      <w:r>
        <w:rPr>
          <w:rFonts w:ascii="Times New Roman" w:hAnsi="Times New Roman"/>
          <w:sz w:val="24"/>
          <w:szCs w:val="24"/>
        </w:rPr>
        <w:t>f</w:t>
      </w:r>
      <w:r>
        <w:rPr>
          <w:rFonts w:ascii="Times New Roman" w:hAnsi="Times New Roman"/>
          <w:sz w:val="24"/>
          <w:szCs w:val="24"/>
          <w:highlight w:val="yellow"/>
        </w:rPr>
        <w:t>fe</w:t>
      </w:r>
      <w:r>
        <w:rPr>
          <w:rFonts w:ascii="Times New Roman" w:hAnsi="Times New Roman"/>
          <w:sz w:val="24"/>
          <w:szCs w:val="24"/>
        </w:rPr>
        <w:t>c</w:t>
      </w:r>
      <w:r>
        <w:rPr>
          <w:rFonts w:ascii="Times New Roman" w:hAnsi="Times New Roman"/>
          <w:sz w:val="24"/>
          <w:szCs w:val="24"/>
          <w:highlight w:val="yellow"/>
        </w:rPr>
        <w:t>t</w:t>
      </w:r>
      <w:r>
        <w:rPr>
          <w:rFonts w:ascii="Times New Roman" w:hAnsi="Times New Roman"/>
          <w:sz w:val="24"/>
          <w:szCs w:val="24"/>
        </w:rPr>
        <w:t>in</w:t>
      </w:r>
      <w:r>
        <w:rPr>
          <w:rFonts w:ascii="Times New Roman" w:hAnsi="Times New Roman"/>
          <w:sz w:val="24"/>
          <w:szCs w:val="24"/>
          <w:highlight w:val="yellow"/>
        </w:rPr>
        <w:t>g</w:t>
      </w:r>
      <w:r>
        <w:rPr>
          <w:rFonts w:ascii="Times New Roman" w:hAnsi="Times New Roman"/>
          <w:sz w:val="24"/>
          <w:szCs w:val="24"/>
        </w:rPr>
        <w:t xml:space="preserve"> the development of individual body parameters. Generally, the growth and body condition of any population vary across locations, habitats, food resources, environmental conditions, and population structure, and information gathered from one location may be useful for studying population</w:t>
      </w:r>
      <w:r>
        <w:rPr>
          <w:rFonts w:ascii="Times New Roman" w:hAnsi="Times New Roman"/>
          <w:sz w:val="24"/>
          <w:szCs w:val="24"/>
          <w:highlight w:val="yellow"/>
        </w:rPr>
        <w:t>s</w:t>
      </w:r>
      <w:r>
        <w:rPr>
          <w:rFonts w:ascii="Times New Roman" w:hAnsi="Times New Roman"/>
          <w:sz w:val="24"/>
          <w:szCs w:val="24"/>
        </w:rPr>
        <w:t xml:space="preserve"> in other locations.</w:t>
      </w:r>
    </w:p>
    <w:p w14:paraId="67377C9F" w14:textId="77777777" w:rsidR="00BC5471" w:rsidRDefault="00000000">
      <w:pPr>
        <w:spacing w:after="0" w:line="360" w:lineRule="auto"/>
        <w:jc w:val="both"/>
      </w:pPr>
      <w:r>
        <w:rPr>
          <w:rFonts w:ascii="Times New Roman" w:hAnsi="Times New Roman"/>
          <w:b/>
          <w:sz w:val="24"/>
          <w:highlight w:val="yellow"/>
        </w:rPr>
        <w:t xml:space="preserve">Within freshwater prawns, recent work on </w:t>
      </w:r>
      <w:r>
        <w:rPr>
          <w:rFonts w:ascii="Times New Roman" w:hAnsi="Times New Roman"/>
          <w:b/>
          <w:i/>
          <w:sz w:val="24"/>
          <w:highlight w:val="yellow"/>
        </w:rPr>
        <w:t xml:space="preserve">Macrobrachium </w:t>
      </w:r>
      <w:proofErr w:type="spellStart"/>
      <w:r>
        <w:rPr>
          <w:rFonts w:ascii="Times New Roman" w:hAnsi="Times New Roman"/>
          <w:b/>
          <w:i/>
          <w:sz w:val="24"/>
          <w:highlight w:val="yellow"/>
        </w:rPr>
        <w:t>vollenhovenii</w:t>
      </w:r>
      <w:proofErr w:type="spellEnd"/>
      <w:r>
        <w:rPr>
          <w:rFonts w:ascii="Times New Roman" w:hAnsi="Times New Roman"/>
          <w:b/>
          <w:sz w:val="24"/>
          <w:highlight w:val="yellow"/>
        </w:rPr>
        <w:t xml:space="preserve"> has likewise demonstrated the utility of length, weight, and condition-factor measurements for comparing size-related variation among morphotypes and habitats (</w:t>
      </w:r>
      <w:proofErr w:type="spellStart"/>
      <w:r>
        <w:rPr>
          <w:rFonts w:ascii="Times New Roman" w:hAnsi="Times New Roman"/>
          <w:b/>
          <w:sz w:val="24"/>
          <w:highlight w:val="yellow"/>
        </w:rPr>
        <w:t>Oyebola</w:t>
      </w:r>
      <w:proofErr w:type="spellEnd"/>
      <w:r>
        <w:rPr>
          <w:rFonts w:ascii="Times New Roman" w:hAnsi="Times New Roman"/>
          <w:b/>
          <w:sz w:val="24"/>
          <w:highlight w:val="yellow"/>
        </w:rPr>
        <w:t xml:space="preserve"> et al., 2024).</w:t>
      </w:r>
    </w:p>
    <w:p w14:paraId="56B4C237" w14:textId="77777777" w:rsidR="00AA5368" w:rsidRPr="00AA5368" w:rsidRDefault="00AA5368" w:rsidP="00AA5368">
      <w:pPr>
        <w:pStyle w:val="NormalWeb"/>
        <w:spacing w:before="120" w:after="120" w:line="360" w:lineRule="auto"/>
        <w:jc w:val="both"/>
        <w:rPr>
          <w:rFonts w:cs="Times New Roman"/>
        </w:rPr>
      </w:pPr>
      <w:r>
        <w:rPr>
          <w:rFonts w:cs="Times New Roman"/>
          <w:highlight w:val="yellow"/>
          <w:lang w:val="en-IN"/>
        </w:rPr>
        <w:t xml:space="preserve">The </w:t>
      </w:r>
      <w:r>
        <w:rPr>
          <w:rFonts w:cs="Times New Roman"/>
          <w:lang w:val="en-IN"/>
        </w:rPr>
        <w:t>Sone River, part of the Ganges basin, supports rich aquatic biodiversity and ecosystem function</w:t>
      </w:r>
      <w:r>
        <w:rPr>
          <w:rFonts w:cs="Times New Roman"/>
          <w:highlight w:val="yellow"/>
          <w:lang w:val="en-IN"/>
        </w:rPr>
        <w:t>ing</w:t>
      </w:r>
      <w:r>
        <w:rPr>
          <w:rFonts w:cs="Times New Roman"/>
          <w:lang w:val="en-IN"/>
        </w:rPr>
        <w:t xml:space="preserve">. Freshwater prawns and other benthic fauna can serve as indicators of nutrient cycling and food chains. Thus, there is a need to investigate the current health status and well-being of Sone River prawns and identify </w:t>
      </w:r>
      <w:r>
        <w:rPr>
          <w:rFonts w:cs="Times New Roman"/>
          <w:highlight w:val="yellow"/>
          <w:lang w:val="en-IN"/>
        </w:rPr>
        <w:t>individual</w:t>
      </w:r>
      <w:r>
        <w:rPr>
          <w:rFonts w:cs="Times New Roman"/>
          <w:lang w:val="en-IN"/>
        </w:rPr>
        <w:t xml:space="preserve">s that may exhibit </w:t>
      </w:r>
      <w:proofErr w:type="spellStart"/>
      <w:r>
        <w:rPr>
          <w:rFonts w:cs="Times New Roman"/>
          <w:lang w:val="en-IN"/>
        </w:rPr>
        <w:t>distinc</w:t>
      </w:r>
      <w:proofErr w:type="spellEnd"/>
      <w:r>
        <w:rPr>
          <w:rFonts w:cs="Times New Roman"/>
        </w:rPr>
        <w:t>t morphometric and meristic characteristics. Such information is important because males and females may differ in growth, physiological condition, and reproductive success, which can subsequently influence po</w:t>
      </w:r>
      <w:r>
        <w:rPr>
          <w:rFonts w:cs="Times New Roman"/>
          <w:highlight w:val="yellow"/>
        </w:rPr>
        <w:t>pu</w:t>
      </w:r>
      <w:r>
        <w:rPr>
          <w:rFonts w:cs="Times New Roman"/>
        </w:rPr>
        <w:t>l</w:t>
      </w:r>
      <w:r>
        <w:rPr>
          <w:rFonts w:cs="Times New Roman"/>
          <w:highlight w:val="yellow"/>
        </w:rPr>
        <w:t>a</w:t>
      </w:r>
      <w:r>
        <w:rPr>
          <w:rFonts w:cs="Times New Roman"/>
        </w:rPr>
        <w:t>tion structure and</w:t>
      </w:r>
      <w:r>
        <w:rPr>
          <w:rFonts w:cs="Times New Roman"/>
          <w:highlight w:val="yellow"/>
        </w:rPr>
        <w:t xml:space="preserve"> the</w:t>
      </w:r>
      <w:r>
        <w:rPr>
          <w:rFonts w:cs="Times New Roman"/>
        </w:rPr>
        <w:t xml:space="preserve"> overall well-being of individual</w:t>
      </w:r>
      <w:r>
        <w:rPr>
          <w:rFonts w:cs="Times New Roman"/>
          <w:highlight w:val="yellow"/>
        </w:rPr>
        <w:t>s</w:t>
      </w:r>
      <w:r>
        <w:rPr>
          <w:rFonts w:cs="Times New Roman"/>
        </w:rPr>
        <w:t>.</w:t>
      </w:r>
    </w:p>
    <w:p w14:paraId="6F8BABBE" w14:textId="77777777" w:rsidR="00BC5471" w:rsidRDefault="00000000">
      <w:pPr>
        <w:spacing w:after="0" w:line="360" w:lineRule="auto"/>
        <w:jc w:val="both"/>
      </w:pPr>
      <w:r>
        <w:rPr>
          <w:rFonts w:ascii="Times New Roman" w:hAnsi="Times New Roman"/>
          <w:b/>
          <w:sz w:val="24"/>
          <w:highlight w:val="yellow"/>
        </w:rPr>
        <w:t xml:space="preserve">Freshwater prawn surveys in the Koshi River of eastern Bihar have documented </w:t>
      </w:r>
      <w:r>
        <w:rPr>
          <w:rFonts w:ascii="Times New Roman" w:hAnsi="Times New Roman"/>
          <w:b/>
          <w:i/>
          <w:sz w:val="24"/>
          <w:highlight w:val="yellow"/>
        </w:rPr>
        <w:t xml:space="preserve">M. </w:t>
      </w:r>
      <w:proofErr w:type="spellStart"/>
      <w:r>
        <w:rPr>
          <w:rFonts w:ascii="Times New Roman" w:hAnsi="Times New Roman"/>
          <w:b/>
          <w:i/>
          <w:sz w:val="24"/>
          <w:highlight w:val="yellow"/>
        </w:rPr>
        <w:t>lamarrei</w:t>
      </w:r>
      <w:proofErr w:type="spellEnd"/>
      <w:r>
        <w:rPr>
          <w:rFonts w:ascii="Times New Roman" w:hAnsi="Times New Roman"/>
          <w:b/>
          <w:sz w:val="24"/>
          <w:highlight w:val="yellow"/>
        </w:rPr>
        <w:t xml:space="preserve"> among the recorded </w:t>
      </w:r>
      <w:r>
        <w:rPr>
          <w:rFonts w:ascii="Times New Roman" w:hAnsi="Times New Roman"/>
          <w:b/>
          <w:i/>
          <w:sz w:val="24"/>
          <w:highlight w:val="yellow"/>
        </w:rPr>
        <w:t>Macrobrachium</w:t>
      </w:r>
      <w:r>
        <w:rPr>
          <w:rFonts w:ascii="Times New Roman" w:hAnsi="Times New Roman"/>
          <w:b/>
          <w:sz w:val="24"/>
          <w:highlight w:val="yellow"/>
        </w:rPr>
        <w:t xml:space="preserve"> assemblage, supporting its regional occurrence within Bihar river systems (Prasad et al., 2023).</w:t>
      </w:r>
    </w:p>
    <w:p w14:paraId="5C488A36" w14:textId="77777777" w:rsidR="00AA5368" w:rsidRPr="00AA5368" w:rsidRDefault="00AA5368" w:rsidP="00AA5368">
      <w:pPr>
        <w:spacing w:after="0" w:line="360" w:lineRule="auto"/>
        <w:jc w:val="both"/>
        <w:rPr>
          <w:rFonts w:ascii="Times New Roman" w:hAnsi="Times New Roman"/>
          <w:sz w:val="24"/>
          <w:szCs w:val="24"/>
          <w:lang w:val="en-IN"/>
        </w:rPr>
      </w:pPr>
      <w:r>
        <w:rPr>
          <w:rFonts w:ascii="Times New Roman" w:hAnsi="Times New Roman"/>
          <w:sz w:val="24"/>
          <w:szCs w:val="24"/>
        </w:rPr>
        <w:t>The condition factor is an indicator of well-being and of the effect</w:t>
      </w:r>
      <w:r>
        <w:rPr>
          <w:rFonts w:ascii="Times New Roman" w:hAnsi="Times New Roman"/>
          <w:sz w:val="24"/>
          <w:szCs w:val="24"/>
          <w:highlight w:val="yellow"/>
        </w:rPr>
        <w:t>s</w:t>
      </w:r>
      <w:r>
        <w:rPr>
          <w:rFonts w:ascii="Times New Roman" w:hAnsi="Times New Roman"/>
          <w:sz w:val="24"/>
          <w:szCs w:val="24"/>
        </w:rPr>
        <w:t xml:space="preserve"> of ecological conditions on growth</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T</w:t>
      </w:r>
      <w:r>
        <w:rPr>
          <w:rFonts w:ascii="Times New Roman" w:hAnsi="Times New Roman"/>
          <w:sz w:val="24"/>
          <w:szCs w:val="24"/>
          <w:lang w:val="en-IN"/>
        </w:rPr>
        <w:t>he relative condition factor (</w:t>
      </w:r>
      <w:proofErr w:type="spellStart"/>
      <w:r>
        <w:rPr>
          <w:rFonts w:ascii="Times New Roman" w:hAnsi="Times New Roman"/>
          <w:sz w:val="24"/>
          <w:szCs w:val="24"/>
          <w:lang w:val="en-IN"/>
        </w:rPr>
        <w:t>Kn</w:t>
      </w:r>
      <w:proofErr w:type="spellEnd"/>
      <w:r>
        <w:rPr>
          <w:rFonts w:ascii="Times New Roman" w:hAnsi="Times New Roman"/>
          <w:sz w:val="24"/>
          <w:szCs w:val="24"/>
          <w:lang w:val="en-IN"/>
        </w:rPr>
        <w:t>) is a vital biological indicator widely used in biolog</w:t>
      </w:r>
      <w:r>
        <w:rPr>
          <w:rFonts w:ascii="Times New Roman" w:hAnsi="Times New Roman"/>
          <w:sz w:val="24"/>
          <w:szCs w:val="24"/>
          <w:highlight w:val="yellow"/>
          <w:lang w:val="en-IN"/>
        </w:rPr>
        <w:t>ical</w:t>
      </w:r>
      <w:r>
        <w:rPr>
          <w:rFonts w:ascii="Times New Roman" w:hAnsi="Times New Roman"/>
          <w:sz w:val="24"/>
          <w:szCs w:val="24"/>
          <w:lang w:val="en-IN"/>
        </w:rPr>
        <w:t xml:space="preserve"> and crustacean</w:t>
      </w:r>
      <w:r>
        <w:rPr>
          <w:rFonts w:ascii="Times New Roman" w:hAnsi="Times New Roman"/>
          <w:sz w:val="24"/>
          <w:szCs w:val="24"/>
          <w:highlight w:val="yellow"/>
          <w:lang w:val="en-IN"/>
        </w:rPr>
        <w:t xml:space="preserve"> studie</w:t>
      </w:r>
      <w:r>
        <w:rPr>
          <w:rFonts w:ascii="Times New Roman" w:hAnsi="Times New Roman"/>
          <w:sz w:val="24"/>
          <w:szCs w:val="24"/>
          <w:lang w:val="en-IN"/>
        </w:rPr>
        <w:t>s to assess the health, nutrition</w:t>
      </w:r>
      <w:r>
        <w:rPr>
          <w:rFonts w:ascii="Times New Roman" w:hAnsi="Times New Roman"/>
          <w:sz w:val="24"/>
          <w:szCs w:val="24"/>
          <w:highlight w:val="yellow"/>
          <w:lang w:val="en-IN"/>
        </w:rPr>
        <w:t>al status</w:t>
      </w:r>
      <w:r>
        <w:rPr>
          <w:rFonts w:ascii="Times New Roman" w:hAnsi="Times New Roman"/>
          <w:sz w:val="24"/>
          <w:szCs w:val="24"/>
          <w:lang w:val="en-IN"/>
        </w:rPr>
        <w:t>, and body condition of aquatic organisms</w:t>
      </w:r>
      <w:r>
        <w:rPr>
          <w:rFonts w:ascii="Times New Roman" w:hAnsi="Times New Roman"/>
          <w:sz w:val="24"/>
          <w:szCs w:val="24"/>
          <w:highlight w:val="yellow"/>
          <w:lang w:val="en-IN"/>
        </w:rPr>
        <w:t>.</w:t>
      </w:r>
      <w:r>
        <w:rPr>
          <w:rFonts w:ascii="Times New Roman" w:hAnsi="Times New Roman"/>
          <w:sz w:val="24"/>
          <w:szCs w:val="24"/>
          <w:lang w:val="en-IN"/>
        </w:rPr>
        <w:t xml:space="preserve"> </w:t>
      </w:r>
      <w:r>
        <w:rPr>
          <w:rFonts w:ascii="Times New Roman" w:hAnsi="Times New Roman"/>
          <w:sz w:val="24"/>
          <w:szCs w:val="24"/>
          <w:highlight w:val="yellow"/>
          <w:lang w:val="en-IN"/>
        </w:rPr>
        <w:t>F</w:t>
      </w:r>
      <w:r>
        <w:rPr>
          <w:rFonts w:ascii="Times New Roman" w:hAnsi="Times New Roman"/>
          <w:sz w:val="24"/>
          <w:szCs w:val="24"/>
          <w:lang w:val="en-IN"/>
        </w:rPr>
        <w:t>ulton</w:t>
      </w:r>
      <w:r>
        <w:rPr>
          <w:rFonts w:ascii="Times New Roman" w:hAnsi="Times New Roman"/>
          <w:sz w:val="24"/>
          <w:szCs w:val="24"/>
          <w:highlight w:val="yellow"/>
          <w:lang w:val="en-IN"/>
        </w:rPr>
        <w:t>'s</w:t>
      </w:r>
      <w:r>
        <w:rPr>
          <w:rFonts w:ascii="Times New Roman" w:hAnsi="Times New Roman"/>
          <w:sz w:val="24"/>
          <w:szCs w:val="24"/>
          <w:lang w:val="en-IN"/>
        </w:rPr>
        <w:t xml:space="preserve"> condition factor (K), which assumes a fixed proportion</w:t>
      </w:r>
      <w:r>
        <w:rPr>
          <w:rFonts w:ascii="Times New Roman" w:hAnsi="Times New Roman"/>
          <w:sz w:val="24"/>
          <w:szCs w:val="24"/>
          <w:highlight w:val="yellow"/>
          <w:lang w:val="en-IN"/>
        </w:rPr>
        <w:t xml:space="preserve">al </w:t>
      </w:r>
      <w:r>
        <w:rPr>
          <w:rFonts w:ascii="Times New Roman" w:hAnsi="Times New Roman"/>
          <w:sz w:val="24"/>
          <w:szCs w:val="24"/>
          <w:highlight w:val="yellow"/>
          <w:lang w:val="en-IN"/>
        </w:rPr>
        <w:lastRenderedPageBreak/>
        <w:t>relationship</w:t>
      </w:r>
      <w:r>
        <w:rPr>
          <w:rFonts w:ascii="Times New Roman" w:hAnsi="Times New Roman"/>
          <w:sz w:val="24"/>
          <w:szCs w:val="24"/>
          <w:lang w:val="en-IN"/>
        </w:rPr>
        <w:t xml:space="preserve"> between body length and body weight,</w:t>
      </w:r>
      <w:r>
        <w:rPr>
          <w:rFonts w:ascii="Times New Roman" w:hAnsi="Times New Roman"/>
          <w:sz w:val="24"/>
          <w:szCs w:val="24"/>
          <w:highlight w:val="yellow"/>
          <w:lang w:val="en-IN"/>
        </w:rPr>
        <w:t xml:space="preserve"> is</w:t>
      </w:r>
      <w:r>
        <w:rPr>
          <w:rFonts w:ascii="Times New Roman" w:hAnsi="Times New Roman"/>
          <w:sz w:val="24"/>
          <w:szCs w:val="24"/>
          <w:lang w:val="en-IN"/>
        </w:rPr>
        <w:t xml:space="preserve"> regarded as an effective measure of the ecological health and physiological condition of aquatic animals. The current study aims to determine </w:t>
      </w:r>
      <w:r>
        <w:rPr>
          <w:rFonts w:ascii="Times New Roman" w:hAnsi="Times New Roman"/>
          <w:sz w:val="24"/>
          <w:szCs w:val="24"/>
          <w:highlight w:val="yellow"/>
        </w:rPr>
        <w:t>the l</w:t>
      </w:r>
      <w:r>
        <w:rPr>
          <w:rFonts w:ascii="Times New Roman" w:hAnsi="Times New Roman"/>
          <w:sz w:val="24"/>
          <w:szCs w:val="24"/>
        </w:rPr>
        <w:t>ength</w:t>
      </w:r>
      <w:r>
        <w:rPr>
          <w:rFonts w:ascii="Times New Roman" w:hAnsi="Times New Roman"/>
          <w:sz w:val="24"/>
          <w:szCs w:val="24"/>
          <w:highlight w:val="yellow"/>
        </w:rPr>
        <w:t>–</w:t>
      </w:r>
      <w:r>
        <w:rPr>
          <w:rFonts w:ascii="Times New Roman" w:hAnsi="Times New Roman"/>
          <w:sz w:val="24"/>
          <w:szCs w:val="24"/>
        </w:rPr>
        <w:t>weight relationships</w:t>
      </w:r>
      <w:r>
        <w:rPr>
          <w:rFonts w:ascii="Times New Roman" w:hAnsi="Times New Roman"/>
          <w:sz w:val="24"/>
          <w:szCs w:val="24"/>
          <w:highlight w:val="yellow"/>
          <w:lang w:val="en-IN"/>
        </w:rPr>
        <w:t xml:space="preserve"> and</w:t>
      </w:r>
      <w:r>
        <w:rPr>
          <w:rFonts w:ascii="Times New Roman" w:hAnsi="Times New Roman"/>
          <w:sz w:val="24"/>
          <w:szCs w:val="24"/>
          <w:lang w:val="en-IN"/>
        </w:rPr>
        <w:t xml:space="preserve"> condition factors </w:t>
      </w:r>
      <w:r>
        <w:rPr>
          <w:rFonts w:ascii="Times New Roman" w:hAnsi="Times New Roman"/>
          <w:sz w:val="24"/>
          <w:szCs w:val="24"/>
          <w:highlight w:val="yellow"/>
          <w:lang w:val="en-IN"/>
        </w:rPr>
        <w:t>of</w:t>
      </w:r>
      <w:r>
        <w:rPr>
          <w:rFonts w:ascii="Times New Roman" w:hAnsi="Times New Roman"/>
          <w:sz w:val="24"/>
          <w:szCs w:val="24"/>
          <w:lang w:val="en-IN"/>
        </w:rPr>
        <w:t xml:space="preserve"> male and female individuals</w:t>
      </w:r>
      <w:r>
        <w:rPr>
          <w:rFonts w:ascii="Times New Roman" w:hAnsi="Times New Roman"/>
          <w:i/>
          <w:iCs/>
          <w:sz w:val="24"/>
          <w:szCs w:val="24"/>
          <w:lang w:val="en-IN"/>
        </w:rPr>
        <w:t xml:space="preserve"> </w:t>
      </w:r>
      <w:r>
        <w:rPr>
          <w:rFonts w:ascii="Times New Roman" w:hAnsi="Times New Roman"/>
          <w:sz w:val="24"/>
          <w:szCs w:val="24"/>
          <w:lang w:val="en-IN"/>
        </w:rPr>
        <w:t>caught in the Sone River, Bihar, and to assess their body condition and fitness across different length categories.</w:t>
      </w:r>
    </w:p>
    <w:p w14:paraId="65EB32ED" w14:textId="40DA0932" w:rsidR="00AA5368" w:rsidRPr="00AA5368" w:rsidRDefault="00AA5368" w:rsidP="00AA5368">
      <w:pPr>
        <w:spacing w:line="360" w:lineRule="auto"/>
        <w:jc w:val="both"/>
        <w:rPr>
          <w:rFonts w:ascii="Times New Roman" w:hAnsi="Times New Roman"/>
          <w:sz w:val="24"/>
          <w:szCs w:val="24"/>
        </w:rPr>
      </w:pPr>
      <w:r>
        <w:rPr>
          <w:rFonts w:ascii="Times New Roman" w:hAnsi="Times New Roman"/>
          <w:sz w:val="24"/>
          <w:szCs w:val="24"/>
          <w:highlight w:val="yellow"/>
          <w:lang w:val="en-IN"/>
        </w:rPr>
        <w:t>S</w:t>
      </w:r>
      <w:r>
        <w:rPr>
          <w:rFonts w:ascii="Times New Roman" w:hAnsi="Times New Roman"/>
          <w:sz w:val="24"/>
          <w:szCs w:val="24"/>
          <w:lang w:val="en-IN"/>
        </w:rPr>
        <w:t xml:space="preserve">everal research reports </w:t>
      </w:r>
      <w:r>
        <w:rPr>
          <w:rFonts w:ascii="Times New Roman" w:hAnsi="Times New Roman"/>
          <w:sz w:val="24"/>
          <w:szCs w:val="24"/>
          <w:highlight w:val="yellow"/>
          <w:lang w:val="en-IN"/>
        </w:rPr>
        <w:t xml:space="preserve">have </w:t>
      </w:r>
      <w:r>
        <w:rPr>
          <w:rFonts w:ascii="Times New Roman" w:hAnsi="Times New Roman"/>
          <w:sz w:val="24"/>
          <w:szCs w:val="24"/>
          <w:lang w:val="en-IN"/>
        </w:rPr>
        <w:t>evaluated the length</w:t>
      </w:r>
      <w:r>
        <w:rPr>
          <w:rFonts w:ascii="Times New Roman" w:hAnsi="Times New Roman"/>
          <w:sz w:val="24"/>
          <w:szCs w:val="24"/>
          <w:highlight w:val="yellow"/>
          <w:lang w:val="en-IN"/>
        </w:rPr>
        <w:t>–</w:t>
      </w:r>
      <w:r>
        <w:rPr>
          <w:rFonts w:ascii="Times New Roman" w:hAnsi="Times New Roman"/>
          <w:sz w:val="24"/>
          <w:szCs w:val="24"/>
          <w:lang w:val="en-IN"/>
        </w:rPr>
        <w:t>weight relationship</w:t>
      </w:r>
      <w:r>
        <w:rPr>
          <w:rFonts w:ascii="Times New Roman" w:hAnsi="Times New Roman"/>
          <w:sz w:val="24"/>
          <w:szCs w:val="24"/>
          <w:highlight w:val="yellow"/>
          <w:lang w:val="en-IN"/>
        </w:rPr>
        <w:t>s</w:t>
      </w:r>
      <w:r>
        <w:rPr>
          <w:rFonts w:ascii="Times New Roman" w:hAnsi="Times New Roman"/>
          <w:sz w:val="24"/>
          <w:szCs w:val="24"/>
          <w:lang w:val="en-IN"/>
        </w:rPr>
        <w:t xml:space="preserve"> and condition factor</w:t>
      </w:r>
      <w:r>
        <w:rPr>
          <w:rFonts w:ascii="Times New Roman" w:hAnsi="Times New Roman"/>
          <w:sz w:val="24"/>
          <w:szCs w:val="24"/>
          <w:highlight w:val="yellow"/>
          <w:lang w:val="en-IN"/>
        </w:rPr>
        <w:t>s</w:t>
      </w:r>
      <w:r>
        <w:rPr>
          <w:rFonts w:ascii="Times New Roman" w:hAnsi="Times New Roman"/>
          <w:sz w:val="24"/>
          <w:szCs w:val="24"/>
          <w:lang w:val="en-IN"/>
        </w:rPr>
        <w:t xml:space="preserve"> of freshwater prawns in India, especially </w:t>
      </w:r>
      <w:r>
        <w:rPr>
          <w:rFonts w:ascii="Times New Roman" w:hAnsi="Times New Roman"/>
          <w:sz w:val="24"/>
          <w:szCs w:val="24"/>
          <w:highlight w:val="yellow"/>
          <w:lang w:val="en-IN"/>
        </w:rPr>
        <w:t>with</w:t>
      </w:r>
      <w:r>
        <w:rPr>
          <w:rFonts w:ascii="Times New Roman" w:hAnsi="Times New Roman"/>
          <w:sz w:val="24"/>
          <w:szCs w:val="24"/>
          <w:lang w:val="en-IN"/>
        </w:rPr>
        <w:t xml:space="preserve">in the genus </w:t>
      </w:r>
      <w:r>
        <w:rPr>
          <w:rFonts w:ascii="Times New Roman" w:hAnsi="Times New Roman"/>
          <w:i/>
          <w:iCs/>
          <w:sz w:val="24"/>
          <w:szCs w:val="24"/>
          <w:lang w:val="en-IN"/>
        </w:rPr>
        <w:t>Macrob</w:t>
      </w:r>
      <w:r>
        <w:rPr>
          <w:rFonts w:ascii="Times New Roman" w:hAnsi="Times New Roman"/>
          <w:i/>
          <w:iCs/>
          <w:sz w:val="24"/>
          <w:szCs w:val="24"/>
          <w:highlight w:val="yellow"/>
          <w:lang w:val="en-IN"/>
        </w:rPr>
        <w:t>r</w:t>
      </w:r>
      <w:r>
        <w:rPr>
          <w:rFonts w:ascii="Times New Roman" w:hAnsi="Times New Roman"/>
          <w:i/>
          <w:iCs/>
          <w:sz w:val="24"/>
          <w:szCs w:val="24"/>
          <w:lang w:val="en-IN"/>
        </w:rPr>
        <w:t>achium</w:t>
      </w:r>
      <w:r>
        <w:rPr>
          <w:rFonts w:ascii="Times New Roman" w:hAnsi="Times New Roman"/>
          <w:sz w:val="24"/>
          <w:szCs w:val="24"/>
          <w:lang w:val="en-IN"/>
        </w:rPr>
        <w:t>, to asses</w:t>
      </w:r>
      <w:r>
        <w:rPr>
          <w:rFonts w:ascii="Times New Roman" w:hAnsi="Times New Roman"/>
          <w:sz w:val="24"/>
          <w:szCs w:val="24"/>
          <w:highlight w:val="yellow"/>
          <w:lang w:val="en-IN"/>
        </w:rPr>
        <w:t>s</w:t>
      </w:r>
      <w:r>
        <w:rPr>
          <w:rFonts w:ascii="Times New Roman" w:hAnsi="Times New Roman"/>
          <w:sz w:val="24"/>
          <w:szCs w:val="24"/>
          <w:lang w:val="en-IN"/>
        </w:rPr>
        <w:t xml:space="preserve"> growth, </w:t>
      </w:r>
      <w:r>
        <w:rPr>
          <w:rFonts w:ascii="Times New Roman" w:hAnsi="Times New Roman"/>
          <w:color w:val="000000"/>
          <w:sz w:val="24"/>
          <w:szCs w:val="24"/>
          <w:lang w:val="en-IN"/>
        </w:rPr>
        <w:t>hea</w:t>
      </w:r>
      <w:r>
        <w:rPr>
          <w:rFonts w:ascii="Times New Roman" w:hAnsi="Times New Roman"/>
          <w:color w:val="000000"/>
          <w:sz w:val="24"/>
          <w:szCs w:val="24"/>
          <w:highlight w:val="yellow"/>
          <w:lang w:val="en-IN"/>
        </w:rPr>
        <w:t>l</w:t>
      </w:r>
      <w:r>
        <w:rPr>
          <w:rFonts w:ascii="Times New Roman" w:hAnsi="Times New Roman"/>
          <w:color w:val="000000"/>
          <w:sz w:val="24"/>
          <w:szCs w:val="24"/>
          <w:lang w:val="en-IN"/>
        </w:rPr>
        <w:t>th</w:t>
      </w:r>
      <w:r>
        <w:rPr>
          <w:rFonts w:ascii="Times New Roman" w:hAnsi="Times New Roman"/>
          <w:color w:val="000000"/>
          <w:sz w:val="24"/>
          <w:szCs w:val="24"/>
          <w:highlight w:val="yellow"/>
          <w:lang w:val="en-IN"/>
        </w:rPr>
        <w:t>,</w:t>
      </w:r>
      <w:r>
        <w:rPr>
          <w:rFonts w:ascii="Times New Roman" w:hAnsi="Times New Roman"/>
          <w:color w:val="000000"/>
          <w:sz w:val="24"/>
          <w:szCs w:val="24"/>
          <w:lang w:val="en-IN"/>
        </w:rPr>
        <w:t xml:space="preserve"> and population status in natural ecosystem</w:t>
      </w:r>
      <w:r>
        <w:rPr>
          <w:rFonts w:ascii="Times New Roman" w:hAnsi="Times New Roman"/>
          <w:color w:val="000000"/>
          <w:sz w:val="24"/>
          <w:szCs w:val="24"/>
          <w:highlight w:val="yellow"/>
          <w:lang w:val="en-IN"/>
        </w:rPr>
        <w:t>s</w:t>
      </w:r>
      <w:r>
        <w:rPr>
          <w:rFonts w:ascii="Times New Roman" w:hAnsi="Times New Roman"/>
          <w:color w:val="000000"/>
          <w:sz w:val="24"/>
          <w:szCs w:val="24"/>
          <w:lang w:val="en-IN"/>
        </w:rPr>
        <w:t xml:space="preserve"> </w:t>
      </w:r>
      <w:r>
        <w:rPr>
          <w:rFonts w:ascii="Times New Roman" w:hAnsi="Times New Roman"/>
          <w:color w:val="000000"/>
          <w:sz w:val="24"/>
          <w:szCs w:val="24"/>
          <w:highlight w:val="yellow"/>
          <w:lang w:val="en-IN"/>
        </w:rPr>
        <w:t>such as</w:t>
      </w:r>
      <w:r>
        <w:rPr>
          <w:rFonts w:ascii="Times New Roman" w:hAnsi="Times New Roman"/>
          <w:color w:val="000000"/>
          <w:sz w:val="24"/>
          <w:szCs w:val="24"/>
          <w:lang w:val="en-IN"/>
        </w:rPr>
        <w:t xml:space="preserve"> river</w:t>
      </w:r>
      <w:r>
        <w:rPr>
          <w:rFonts w:ascii="Times New Roman" w:hAnsi="Times New Roman"/>
          <w:color w:val="000000"/>
          <w:sz w:val="24"/>
          <w:szCs w:val="24"/>
          <w:highlight w:val="yellow"/>
          <w:lang w:val="en-IN"/>
        </w:rPr>
        <w:t>s</w:t>
      </w:r>
      <w:r>
        <w:rPr>
          <w:rFonts w:ascii="Times New Roman" w:hAnsi="Times New Roman"/>
          <w:color w:val="000000"/>
          <w:sz w:val="24"/>
          <w:szCs w:val="24"/>
          <w:lang w:val="en-IN"/>
        </w:rPr>
        <w:t>, reserv</w:t>
      </w:r>
      <w:r>
        <w:rPr>
          <w:rFonts w:ascii="Times New Roman" w:hAnsi="Times New Roman"/>
          <w:color w:val="000000"/>
          <w:sz w:val="24"/>
          <w:szCs w:val="24"/>
          <w:highlight w:val="yellow"/>
          <w:lang w:val="en-IN"/>
        </w:rPr>
        <w:t>oir</w:t>
      </w:r>
      <w:r>
        <w:rPr>
          <w:rFonts w:ascii="Times New Roman" w:hAnsi="Times New Roman"/>
          <w:color w:val="000000"/>
          <w:sz w:val="24"/>
          <w:szCs w:val="24"/>
          <w:lang w:val="en-IN"/>
        </w:rPr>
        <w:t>s,</w:t>
      </w:r>
      <w:r>
        <w:rPr>
          <w:rFonts w:ascii="Times New Roman" w:hAnsi="Times New Roman"/>
          <w:color w:val="000000"/>
          <w:sz w:val="24"/>
          <w:szCs w:val="24"/>
          <w:highlight w:val="yellow"/>
          <w:lang w:val="en-IN"/>
        </w:rPr>
        <w:t xml:space="preserve"> and</w:t>
      </w:r>
      <w:r>
        <w:rPr>
          <w:rFonts w:ascii="Times New Roman" w:hAnsi="Times New Roman"/>
          <w:color w:val="000000"/>
          <w:sz w:val="24"/>
          <w:szCs w:val="24"/>
          <w:lang w:val="en-IN"/>
        </w:rPr>
        <w:t xml:space="preserve"> estuaries in different re</w:t>
      </w:r>
      <w:r>
        <w:rPr>
          <w:rFonts w:ascii="Times New Roman" w:hAnsi="Times New Roman"/>
          <w:color w:val="000000"/>
          <w:sz w:val="24"/>
          <w:szCs w:val="24"/>
          <w:highlight w:val="yellow"/>
          <w:lang w:val="en-IN"/>
        </w:rPr>
        <w:t>g</w:t>
      </w:r>
      <w:r>
        <w:rPr>
          <w:rFonts w:ascii="Times New Roman" w:hAnsi="Times New Roman"/>
          <w:color w:val="000000"/>
          <w:sz w:val="24"/>
          <w:szCs w:val="24"/>
          <w:lang w:val="en-IN"/>
        </w:rPr>
        <w:t>i</w:t>
      </w:r>
      <w:r>
        <w:rPr>
          <w:rFonts w:ascii="Times New Roman" w:hAnsi="Times New Roman"/>
          <w:color w:val="000000"/>
          <w:sz w:val="24"/>
          <w:szCs w:val="24"/>
          <w:highlight w:val="yellow"/>
          <w:lang w:val="en-IN"/>
        </w:rPr>
        <w:t>o</w:t>
      </w:r>
      <w:r>
        <w:rPr>
          <w:rFonts w:ascii="Times New Roman" w:hAnsi="Times New Roman"/>
          <w:color w:val="000000"/>
          <w:sz w:val="24"/>
          <w:szCs w:val="24"/>
          <w:lang w:val="en-IN"/>
        </w:rPr>
        <w:t>n</w:t>
      </w:r>
      <w:r>
        <w:rPr>
          <w:rFonts w:ascii="Times New Roman" w:hAnsi="Times New Roman"/>
          <w:color w:val="000000"/>
          <w:sz w:val="24"/>
          <w:szCs w:val="24"/>
          <w:highlight w:val="yellow"/>
          <w:lang w:val="en-IN"/>
        </w:rPr>
        <w:t>s</w:t>
      </w:r>
      <w:r>
        <w:rPr>
          <w:rFonts w:ascii="Times New Roman" w:hAnsi="Times New Roman"/>
          <w:color w:val="000000"/>
          <w:sz w:val="24"/>
          <w:szCs w:val="24"/>
          <w:lang w:val="en-IN"/>
        </w:rPr>
        <w:t xml:space="preserve"> of the country </w:t>
      </w:r>
      <w:r>
        <w:rPr>
          <w:rFonts w:ascii="Times New Roman" w:hAnsi="Times New Roman"/>
          <w:color w:val="000000"/>
          <w:sz w:val="24"/>
          <w:szCs w:val="24"/>
        </w:rPr>
        <w:t>(</w:t>
      </w:r>
      <w:proofErr w:type="spellStart"/>
      <w:r>
        <w:rPr>
          <w:rFonts w:ascii="Times New Roman" w:hAnsi="Times New Roman"/>
          <w:color w:val="000000"/>
          <w:sz w:val="24"/>
          <w:szCs w:val="24"/>
        </w:rPr>
        <w:t>Abohweyere</w:t>
      </w:r>
      <w:proofErr w:type="spellEnd"/>
      <w:r>
        <w:rPr>
          <w:rFonts w:ascii="Times New Roman" w:hAnsi="Times New Roman"/>
          <w:color w:val="000000"/>
          <w:sz w:val="24"/>
          <w:szCs w:val="24"/>
        </w:rPr>
        <w:t xml:space="preserve"> </w:t>
      </w:r>
      <w:r>
        <w:rPr>
          <w:rFonts w:ascii="Times New Roman" w:hAnsi="Times New Roman"/>
          <w:color w:val="000000"/>
          <w:sz w:val="24"/>
          <w:szCs w:val="24"/>
          <w:highlight w:val="yellow"/>
        </w:rPr>
        <w:t>&amp;</w:t>
      </w:r>
      <w:r>
        <w:rPr>
          <w:rFonts w:ascii="Times New Roman" w:hAnsi="Times New Roman"/>
          <w:color w:val="000000"/>
          <w:sz w:val="24"/>
          <w:szCs w:val="24"/>
        </w:rPr>
        <w:t xml:space="preserve"> Williams, 2008</w:t>
      </w:r>
      <w:r>
        <w:rPr>
          <w:rFonts w:ascii="Times New Roman" w:hAnsi="Times New Roman"/>
          <w:color w:val="000000"/>
          <w:sz w:val="24"/>
          <w:szCs w:val="24"/>
          <w:highlight w:val="yellow"/>
        </w:rPr>
        <w:t>; Kumar et al., 2014, 2016</w:t>
      </w:r>
      <w:r>
        <w:rPr>
          <w:rFonts w:ascii="Times New Roman" w:hAnsi="Times New Roman"/>
          <w:color w:val="000000"/>
          <w:sz w:val="24"/>
          <w:szCs w:val="24"/>
        </w:rPr>
        <w:t xml:space="preserve">; Kurup et al., </w:t>
      </w:r>
      <w:r w:rsidR="00641D58" w:rsidRPr="00641D58">
        <w:rPr>
          <w:rFonts w:ascii="Times New Roman" w:hAnsi="Times New Roman"/>
          <w:color w:val="000000"/>
          <w:sz w:val="24"/>
          <w:szCs w:val="24"/>
        </w:rPr>
        <w:t>2000</w:t>
      </w:r>
      <w:r>
        <w:rPr>
          <w:rFonts w:ascii="Times New Roman" w:hAnsi="Times New Roman"/>
          <w:color w:val="000000"/>
          <w:sz w:val="24"/>
          <w:szCs w:val="24"/>
        </w:rPr>
        <w:t xml:space="preserve">; </w:t>
      </w:r>
      <w:r>
        <w:rPr>
          <w:rFonts w:ascii="Times New Roman" w:hAnsi="Times New Roman"/>
          <w:color w:val="000000"/>
          <w:sz w:val="24"/>
          <w:szCs w:val="24"/>
          <w:highlight w:val="yellow"/>
        </w:rPr>
        <w:t xml:space="preserve">Lodhi et al., 2024; Rana &amp; Kumar, 2013; Ranjeet &amp; Kurup, 2002; Sahu et al., 2024; Sarkar et al., 2013; </w:t>
      </w:r>
      <w:r>
        <w:rPr>
          <w:rFonts w:ascii="Times New Roman" w:hAnsi="Times New Roman"/>
          <w:color w:val="000000"/>
          <w:sz w:val="24"/>
          <w:szCs w:val="24"/>
        </w:rPr>
        <w:t>Sethi et al., 2012</w:t>
      </w:r>
      <w:r>
        <w:rPr>
          <w:rFonts w:ascii="Times New Roman" w:hAnsi="Times New Roman"/>
          <w:color w:val="000000"/>
          <w:sz w:val="24"/>
          <w:szCs w:val="24"/>
          <w:highlight w:val="yellow"/>
        </w:rPr>
        <w:t>, 2013</w:t>
      </w:r>
      <w:r>
        <w:rPr>
          <w:rFonts w:ascii="Times New Roman" w:hAnsi="Times New Roman"/>
          <w:color w:val="000000"/>
          <w:sz w:val="24"/>
          <w:szCs w:val="24"/>
        </w:rPr>
        <w:t xml:space="preserve">; Soomro et al., 2012; </w:t>
      </w:r>
      <w:r>
        <w:rPr>
          <w:rFonts w:ascii="Times New Roman" w:hAnsi="Times New Roman"/>
          <w:sz w:val="24"/>
          <w:szCs w:val="24"/>
        </w:rPr>
        <w:t>Yang et al., 2016). However, report</w:t>
      </w:r>
      <w:r>
        <w:rPr>
          <w:rFonts w:ascii="Times New Roman" w:hAnsi="Times New Roman"/>
          <w:sz w:val="24"/>
          <w:szCs w:val="24"/>
          <w:highlight w:val="yellow"/>
        </w:rPr>
        <w:t>s</w:t>
      </w:r>
      <w:r>
        <w:rPr>
          <w:rFonts w:ascii="Times New Roman" w:hAnsi="Times New Roman"/>
          <w:sz w:val="24"/>
          <w:szCs w:val="24"/>
        </w:rPr>
        <w:t xml:space="preserve"> on the length</w:t>
      </w:r>
      <w:r>
        <w:rPr>
          <w:rFonts w:ascii="Times New Roman" w:hAnsi="Times New Roman"/>
          <w:sz w:val="24"/>
          <w:szCs w:val="24"/>
          <w:highlight w:val="yellow"/>
        </w:rPr>
        <w:t>–</w:t>
      </w:r>
      <w:r>
        <w:rPr>
          <w:rFonts w:ascii="Times New Roman" w:hAnsi="Times New Roman"/>
          <w:sz w:val="24"/>
          <w:szCs w:val="24"/>
        </w:rPr>
        <w:t xml:space="preserve">weight relationship and condition factor of </w:t>
      </w:r>
      <w:r>
        <w:rPr>
          <w:rFonts w:ascii="Times New Roman" w:hAnsi="Times New Roman"/>
          <w:i/>
          <w:iCs/>
          <w:sz w:val="24"/>
          <w:szCs w:val="24"/>
        </w:rPr>
        <w:t xml:space="preserve">Macrobrachium </w:t>
      </w:r>
      <w:proofErr w:type="spellStart"/>
      <w:r>
        <w:rPr>
          <w:rFonts w:ascii="Times New Roman" w:hAnsi="Times New Roman"/>
          <w:i/>
          <w:iCs/>
          <w:sz w:val="24"/>
          <w:szCs w:val="24"/>
        </w:rPr>
        <w:t>lamarrei</w:t>
      </w:r>
      <w:proofErr w:type="spellEnd"/>
      <w:r>
        <w:rPr>
          <w:rFonts w:ascii="Times New Roman" w:hAnsi="Times New Roman"/>
          <w:i/>
          <w:iCs/>
          <w:sz w:val="24"/>
          <w:szCs w:val="24"/>
        </w:rPr>
        <w:t xml:space="preserve"> </w:t>
      </w:r>
      <w:r>
        <w:rPr>
          <w:rFonts w:ascii="Times New Roman" w:hAnsi="Times New Roman"/>
          <w:sz w:val="24"/>
          <w:szCs w:val="24"/>
        </w:rPr>
        <w:t xml:space="preserve">from the Sone River </w:t>
      </w:r>
      <w:r>
        <w:rPr>
          <w:rFonts w:ascii="Times New Roman" w:hAnsi="Times New Roman"/>
          <w:sz w:val="24"/>
          <w:szCs w:val="24"/>
          <w:highlight w:val="yellow"/>
        </w:rPr>
        <w:t>are</w:t>
      </w:r>
      <w:r>
        <w:rPr>
          <w:rFonts w:ascii="Times New Roman" w:hAnsi="Times New Roman"/>
          <w:sz w:val="24"/>
          <w:szCs w:val="24"/>
        </w:rPr>
        <w:t xml:space="preserve"> lacking; hence, the present study </w:t>
      </w:r>
      <w:r>
        <w:rPr>
          <w:rFonts w:ascii="Times New Roman" w:hAnsi="Times New Roman"/>
          <w:sz w:val="24"/>
          <w:szCs w:val="24"/>
          <w:highlight w:val="yellow"/>
        </w:rPr>
        <w:t>w</w:t>
      </w:r>
      <w:r>
        <w:rPr>
          <w:rFonts w:ascii="Times New Roman" w:hAnsi="Times New Roman"/>
          <w:sz w:val="24"/>
          <w:szCs w:val="24"/>
        </w:rPr>
        <w:t xml:space="preserve">as </w:t>
      </w:r>
      <w:r>
        <w:rPr>
          <w:rFonts w:ascii="Times New Roman" w:hAnsi="Times New Roman"/>
          <w:sz w:val="24"/>
          <w:szCs w:val="24"/>
          <w:highlight w:val="yellow"/>
        </w:rPr>
        <w:t>co</w:t>
      </w:r>
      <w:r>
        <w:rPr>
          <w:rFonts w:ascii="Times New Roman" w:hAnsi="Times New Roman"/>
          <w:sz w:val="24"/>
          <w:szCs w:val="24"/>
        </w:rPr>
        <w:t>n</w:t>
      </w:r>
      <w:r>
        <w:rPr>
          <w:rFonts w:ascii="Times New Roman" w:hAnsi="Times New Roman"/>
          <w:sz w:val="24"/>
          <w:szCs w:val="24"/>
          <w:highlight w:val="yellow"/>
        </w:rPr>
        <w:t>du</w:t>
      </w:r>
      <w:r>
        <w:rPr>
          <w:rFonts w:ascii="Times New Roman" w:hAnsi="Times New Roman"/>
          <w:sz w:val="24"/>
          <w:szCs w:val="24"/>
        </w:rPr>
        <w:t>c</w:t>
      </w:r>
      <w:r>
        <w:rPr>
          <w:rFonts w:ascii="Times New Roman" w:hAnsi="Times New Roman"/>
          <w:sz w:val="24"/>
          <w:szCs w:val="24"/>
          <w:highlight w:val="yellow"/>
        </w:rPr>
        <w:t>t</w:t>
      </w:r>
      <w:r>
        <w:rPr>
          <w:rFonts w:ascii="Times New Roman" w:hAnsi="Times New Roman"/>
          <w:sz w:val="24"/>
          <w:szCs w:val="24"/>
        </w:rPr>
        <w:t>ed u</w:t>
      </w:r>
      <w:r>
        <w:rPr>
          <w:rFonts w:ascii="Times New Roman" w:hAnsi="Times New Roman"/>
          <w:sz w:val="24"/>
          <w:szCs w:val="24"/>
          <w:highlight w:val="yellow"/>
        </w:rPr>
        <w:t>si</w:t>
      </w:r>
      <w:r>
        <w:rPr>
          <w:rFonts w:ascii="Times New Roman" w:hAnsi="Times New Roman"/>
          <w:sz w:val="24"/>
          <w:szCs w:val="24"/>
        </w:rPr>
        <w:t>n</w:t>
      </w:r>
      <w:r>
        <w:rPr>
          <w:rFonts w:ascii="Times New Roman" w:hAnsi="Times New Roman"/>
          <w:sz w:val="24"/>
          <w:szCs w:val="24"/>
          <w:highlight w:val="yellow"/>
        </w:rPr>
        <w:t>g</w:t>
      </w:r>
      <w:r>
        <w:rPr>
          <w:rFonts w:ascii="Times New Roman" w:hAnsi="Times New Roman"/>
          <w:sz w:val="24"/>
          <w:szCs w:val="24"/>
        </w:rPr>
        <w:t xml:space="preserve"> </w:t>
      </w:r>
      <w:r>
        <w:rPr>
          <w:rFonts w:ascii="Times New Roman" w:hAnsi="Times New Roman"/>
          <w:color w:val="000000"/>
          <w:sz w:val="24"/>
          <w:szCs w:val="24"/>
        </w:rPr>
        <w:t>different prawn length groups</w:t>
      </w:r>
      <w:r>
        <w:rPr>
          <w:rFonts w:ascii="Times New Roman" w:hAnsi="Times New Roman"/>
          <w:sz w:val="24"/>
          <w:szCs w:val="24"/>
        </w:rPr>
        <w:t xml:space="preserve">. By providing population-specific information on </w:t>
      </w:r>
      <w:r>
        <w:rPr>
          <w:rFonts w:ascii="Times New Roman" w:hAnsi="Times New Roman"/>
          <w:i/>
          <w:iCs/>
          <w:sz w:val="24"/>
          <w:szCs w:val="24"/>
        </w:rPr>
        <w:t xml:space="preserve">M. </w:t>
      </w:r>
      <w:proofErr w:type="spellStart"/>
      <w:r>
        <w:rPr>
          <w:rFonts w:ascii="Times New Roman" w:hAnsi="Times New Roman"/>
          <w:i/>
          <w:iCs/>
          <w:sz w:val="24"/>
          <w:szCs w:val="24"/>
        </w:rPr>
        <w:t>lamarrei</w:t>
      </w:r>
      <w:proofErr w:type="spellEnd"/>
      <w:r>
        <w:rPr>
          <w:rFonts w:ascii="Times New Roman" w:hAnsi="Times New Roman"/>
          <w:sz w:val="24"/>
          <w:szCs w:val="24"/>
        </w:rPr>
        <w:t xml:space="preserve">, the study establishes baseline data for future ecological pollution investigations. Detailed knowledge of morphological and metric criteria </w:t>
      </w:r>
      <w:r>
        <w:rPr>
          <w:rFonts w:ascii="Times New Roman" w:hAnsi="Times New Roman"/>
          <w:sz w:val="24"/>
          <w:szCs w:val="24"/>
          <w:highlight w:val="yellow"/>
        </w:rPr>
        <w:t>can be</w:t>
      </w:r>
      <w:r>
        <w:rPr>
          <w:rFonts w:ascii="Times New Roman" w:hAnsi="Times New Roman"/>
          <w:sz w:val="24"/>
          <w:szCs w:val="24"/>
        </w:rPr>
        <w:t xml:space="preserve"> used to predict weight at a given length and vice versa.</w:t>
      </w:r>
    </w:p>
    <w:p w14:paraId="0B0D8ADD" w14:textId="77777777" w:rsidR="00AA5368" w:rsidRPr="00AA5368" w:rsidRDefault="00AA5368" w:rsidP="00AA5368">
      <w:pPr>
        <w:spacing w:line="360" w:lineRule="auto"/>
        <w:jc w:val="both"/>
        <w:rPr>
          <w:rFonts w:ascii="Times New Roman" w:hAnsi="Times New Roman"/>
          <w:sz w:val="24"/>
          <w:szCs w:val="24"/>
        </w:rPr>
      </w:pPr>
      <w:r>
        <w:rPr>
          <w:rFonts w:ascii="Times New Roman" w:hAnsi="Times New Roman"/>
          <w:sz w:val="24"/>
          <w:szCs w:val="24"/>
        </w:rPr>
        <w:t xml:space="preserve">The findings of this study </w:t>
      </w:r>
      <w:r>
        <w:rPr>
          <w:rFonts w:ascii="Times New Roman" w:hAnsi="Times New Roman"/>
          <w:sz w:val="24"/>
          <w:szCs w:val="24"/>
          <w:highlight w:val="yellow"/>
        </w:rPr>
        <w:t>m</w:t>
      </w:r>
      <w:r>
        <w:rPr>
          <w:rFonts w:ascii="Times New Roman" w:hAnsi="Times New Roman"/>
          <w:sz w:val="24"/>
          <w:szCs w:val="24"/>
        </w:rPr>
        <w:t>a</w:t>
      </w:r>
      <w:r>
        <w:rPr>
          <w:rFonts w:ascii="Times New Roman" w:hAnsi="Times New Roman"/>
          <w:sz w:val="24"/>
          <w:szCs w:val="24"/>
          <w:highlight w:val="yellow"/>
        </w:rPr>
        <w:t>y</w:t>
      </w:r>
      <w:r>
        <w:rPr>
          <w:rFonts w:ascii="Times New Roman" w:hAnsi="Times New Roman"/>
          <w:sz w:val="24"/>
          <w:szCs w:val="24"/>
        </w:rPr>
        <w:t xml:space="preserve"> also</w:t>
      </w:r>
      <w:r>
        <w:rPr>
          <w:rFonts w:ascii="Times New Roman" w:hAnsi="Times New Roman"/>
          <w:sz w:val="24"/>
          <w:szCs w:val="24"/>
          <w:highlight w:val="yellow"/>
        </w:rPr>
        <w:t xml:space="preserve"> be</w:t>
      </w:r>
      <w:r>
        <w:rPr>
          <w:rFonts w:ascii="Times New Roman" w:hAnsi="Times New Roman"/>
          <w:sz w:val="24"/>
          <w:szCs w:val="24"/>
        </w:rPr>
        <w:t xml:space="preserve"> useful for monitoring changes in prawn population</w:t>
      </w:r>
      <w:r>
        <w:rPr>
          <w:rFonts w:ascii="Times New Roman" w:hAnsi="Times New Roman"/>
          <w:sz w:val="24"/>
          <w:szCs w:val="24"/>
          <w:highlight w:val="yellow"/>
        </w:rPr>
        <w:t>s</w:t>
      </w:r>
      <w:r>
        <w:rPr>
          <w:rFonts w:ascii="Times New Roman" w:hAnsi="Times New Roman"/>
          <w:sz w:val="24"/>
          <w:szCs w:val="24"/>
        </w:rPr>
        <w:t xml:space="preserve">, supporting the sustainable use of these prawns, and providing biological information for fisheries management and aquaculture research. The study </w:t>
      </w:r>
      <w:r>
        <w:rPr>
          <w:rFonts w:ascii="Times New Roman" w:hAnsi="Times New Roman"/>
          <w:sz w:val="24"/>
          <w:szCs w:val="24"/>
          <w:highlight w:val="yellow"/>
        </w:rPr>
        <w:t xml:space="preserve">may </w:t>
      </w:r>
      <w:r>
        <w:rPr>
          <w:rFonts w:ascii="Times New Roman" w:hAnsi="Times New Roman"/>
          <w:sz w:val="24"/>
          <w:szCs w:val="24"/>
        </w:rPr>
        <w:t xml:space="preserve">also support future </w:t>
      </w:r>
      <w:r>
        <w:rPr>
          <w:rFonts w:ascii="Times New Roman" w:hAnsi="Times New Roman"/>
          <w:sz w:val="24"/>
          <w:szCs w:val="24"/>
          <w:highlight w:val="yellow"/>
        </w:rPr>
        <w:t>effort</w:t>
      </w:r>
      <w:r>
        <w:rPr>
          <w:rFonts w:ascii="Times New Roman" w:hAnsi="Times New Roman"/>
          <w:sz w:val="24"/>
          <w:szCs w:val="24"/>
        </w:rPr>
        <w:t xml:space="preserve">s to </w:t>
      </w:r>
      <w:r>
        <w:rPr>
          <w:rFonts w:ascii="Times New Roman" w:hAnsi="Times New Roman"/>
          <w:sz w:val="24"/>
          <w:szCs w:val="24"/>
          <w:highlight w:val="yellow"/>
        </w:rPr>
        <w:t>imp</w:t>
      </w:r>
      <w:r>
        <w:rPr>
          <w:rFonts w:ascii="Times New Roman" w:hAnsi="Times New Roman"/>
          <w:sz w:val="24"/>
          <w:szCs w:val="24"/>
        </w:rPr>
        <w:t>r</w:t>
      </w:r>
      <w:r>
        <w:rPr>
          <w:rFonts w:ascii="Times New Roman" w:hAnsi="Times New Roman"/>
          <w:sz w:val="24"/>
          <w:szCs w:val="24"/>
          <w:highlight w:val="yellow"/>
        </w:rPr>
        <w:t>ov</w:t>
      </w:r>
      <w:r>
        <w:rPr>
          <w:rFonts w:ascii="Times New Roman" w:hAnsi="Times New Roman"/>
          <w:sz w:val="24"/>
          <w:szCs w:val="24"/>
        </w:rPr>
        <w:t xml:space="preserve">e the culture production of this species under intensive conditions. Prawns are an important subject in fisheries science and aquaculture because they </w:t>
      </w:r>
      <w:r>
        <w:rPr>
          <w:rFonts w:ascii="Times New Roman" w:hAnsi="Times New Roman"/>
          <w:sz w:val="24"/>
          <w:szCs w:val="24"/>
          <w:highlight w:val="yellow"/>
        </w:rPr>
        <w:t>constitut</w:t>
      </w:r>
      <w:r>
        <w:rPr>
          <w:rFonts w:ascii="Times New Roman" w:hAnsi="Times New Roman"/>
          <w:sz w:val="24"/>
          <w:szCs w:val="24"/>
        </w:rPr>
        <w:t>e a multi-million-dollar industry.</w:t>
      </w:r>
    </w:p>
    <w:p w14:paraId="2194EED1" w14:textId="77777777" w:rsidR="00BC5471" w:rsidRDefault="00000000">
      <w:pPr>
        <w:spacing w:after="0" w:line="360" w:lineRule="auto"/>
        <w:jc w:val="both"/>
      </w:pPr>
      <w:r>
        <w:rPr>
          <w:rFonts w:ascii="Times New Roman" w:hAnsi="Times New Roman"/>
          <w:b/>
          <w:sz w:val="24"/>
          <w:highlight w:val="yellow"/>
        </w:rPr>
        <w:t xml:space="preserve">Accordingly, the objective of the present study was to evaluate sex-wise length–weight relationships and condition factors of </w:t>
      </w:r>
      <w:r>
        <w:rPr>
          <w:rFonts w:ascii="Times New Roman" w:hAnsi="Times New Roman"/>
          <w:b/>
          <w:i/>
          <w:sz w:val="24"/>
          <w:highlight w:val="yellow"/>
        </w:rPr>
        <w:t xml:space="preserve">M. </w:t>
      </w:r>
      <w:proofErr w:type="spellStart"/>
      <w:r>
        <w:rPr>
          <w:rFonts w:ascii="Times New Roman" w:hAnsi="Times New Roman"/>
          <w:b/>
          <w:i/>
          <w:sz w:val="24"/>
          <w:highlight w:val="yellow"/>
        </w:rPr>
        <w:t>lamarrei</w:t>
      </w:r>
      <w:proofErr w:type="spellEnd"/>
      <w:r>
        <w:rPr>
          <w:rFonts w:ascii="Times New Roman" w:hAnsi="Times New Roman"/>
          <w:b/>
          <w:sz w:val="24"/>
          <w:highlight w:val="yellow"/>
        </w:rPr>
        <w:t xml:space="preserve"> from the Sone River, Bihar, across different length classes.</w:t>
      </w:r>
    </w:p>
    <w:p w14:paraId="699A9A0C" w14:textId="77777777" w:rsidR="00AA5368" w:rsidRPr="00AA5368" w:rsidRDefault="00AA5368" w:rsidP="00AA5368">
      <w:pPr>
        <w:spacing w:after="0" w:line="360" w:lineRule="auto"/>
        <w:jc w:val="both"/>
        <w:rPr>
          <w:rFonts w:ascii="Times New Roman" w:hAnsi="Times New Roman"/>
          <w:b/>
          <w:bCs/>
          <w:sz w:val="24"/>
          <w:szCs w:val="24"/>
        </w:rPr>
      </w:pPr>
      <w:r w:rsidRPr="00AA5368">
        <w:rPr>
          <w:rFonts w:ascii="Times New Roman" w:hAnsi="Times New Roman"/>
          <w:b/>
          <w:bCs/>
          <w:sz w:val="24"/>
          <w:szCs w:val="24"/>
        </w:rPr>
        <w:t xml:space="preserve">Material and Methods </w:t>
      </w:r>
    </w:p>
    <w:p w14:paraId="6B149B31" w14:textId="77777777" w:rsidR="00AA5368" w:rsidRPr="00AA5368" w:rsidRDefault="00AA5368" w:rsidP="00AA5368">
      <w:pPr>
        <w:spacing w:before="120" w:after="120" w:line="360" w:lineRule="auto"/>
        <w:jc w:val="both"/>
        <w:rPr>
          <w:rFonts w:ascii="Times New Roman" w:hAnsi="Times New Roman"/>
          <w:sz w:val="23"/>
          <w:szCs w:val="23"/>
        </w:rPr>
      </w:pPr>
      <w:r>
        <w:rPr>
          <w:rFonts w:ascii="Times New Roman" w:hAnsi="Times New Roman"/>
          <w:sz w:val="23"/>
          <w:szCs w:val="23"/>
        </w:rPr>
        <w:t xml:space="preserve">The present study was conducted in the village of </w:t>
      </w:r>
      <w:proofErr w:type="spellStart"/>
      <w:r>
        <w:rPr>
          <w:rFonts w:ascii="Times New Roman" w:hAnsi="Times New Roman"/>
          <w:sz w:val="23"/>
          <w:szCs w:val="23"/>
        </w:rPr>
        <w:t>Makrain</w:t>
      </w:r>
      <w:proofErr w:type="spellEnd"/>
      <w:r>
        <w:rPr>
          <w:rFonts w:ascii="Times New Roman" w:hAnsi="Times New Roman"/>
          <w:sz w:val="23"/>
          <w:szCs w:val="23"/>
        </w:rPr>
        <w:t xml:space="preserve">, </w:t>
      </w:r>
      <w:proofErr w:type="spellStart"/>
      <w:r>
        <w:rPr>
          <w:rFonts w:ascii="Times New Roman" w:hAnsi="Times New Roman"/>
          <w:sz w:val="23"/>
          <w:szCs w:val="23"/>
        </w:rPr>
        <w:t>Rohtas</w:t>
      </w:r>
      <w:proofErr w:type="spellEnd"/>
      <w:r>
        <w:rPr>
          <w:rFonts w:ascii="Times New Roman" w:hAnsi="Times New Roman"/>
          <w:sz w:val="23"/>
          <w:szCs w:val="23"/>
        </w:rPr>
        <w:t xml:space="preserve"> district, along the </w:t>
      </w:r>
      <w:r>
        <w:rPr>
          <w:rFonts w:ascii="Times New Roman" w:hAnsi="Times New Roman"/>
          <w:sz w:val="23"/>
          <w:szCs w:val="23"/>
          <w:highlight w:val="yellow"/>
        </w:rPr>
        <w:t>Sone R</w:t>
      </w:r>
      <w:r>
        <w:rPr>
          <w:rFonts w:ascii="Times New Roman" w:hAnsi="Times New Roman"/>
          <w:sz w:val="23"/>
          <w:szCs w:val="23"/>
        </w:rPr>
        <w:t xml:space="preserve">iver in the southwestern region of Bihar, India, from November 2025 to January 2026. Geographically, </w:t>
      </w:r>
      <w:proofErr w:type="spellStart"/>
      <w:r>
        <w:rPr>
          <w:rFonts w:ascii="Times New Roman" w:hAnsi="Times New Roman"/>
          <w:sz w:val="23"/>
          <w:szCs w:val="23"/>
          <w:highlight w:val="yellow"/>
        </w:rPr>
        <w:t>Roh</w:t>
      </w:r>
      <w:r>
        <w:rPr>
          <w:rFonts w:ascii="Times New Roman" w:hAnsi="Times New Roman"/>
          <w:sz w:val="23"/>
          <w:szCs w:val="23"/>
        </w:rPr>
        <w:t>t</w:t>
      </w:r>
      <w:r>
        <w:rPr>
          <w:rFonts w:ascii="Times New Roman" w:hAnsi="Times New Roman"/>
          <w:sz w:val="23"/>
          <w:szCs w:val="23"/>
          <w:highlight w:val="yellow"/>
        </w:rPr>
        <w:t>as</w:t>
      </w:r>
      <w:proofErr w:type="spellEnd"/>
      <w:r>
        <w:rPr>
          <w:rFonts w:ascii="Times New Roman" w:hAnsi="Times New Roman"/>
          <w:sz w:val="23"/>
          <w:szCs w:val="23"/>
        </w:rPr>
        <w:t xml:space="preserve"> district lies between approximately 24°34′12″–25°15′00″ N latitude and 83°40′12″–84°30′00″ E longitude and is located at an average elevation of about 107–110 </w:t>
      </w:r>
      <w:proofErr w:type="spellStart"/>
      <w:r>
        <w:rPr>
          <w:rFonts w:ascii="Times New Roman" w:hAnsi="Times New Roman"/>
          <w:sz w:val="23"/>
          <w:szCs w:val="23"/>
        </w:rPr>
        <w:t>met</w:t>
      </w:r>
      <w:r>
        <w:rPr>
          <w:rFonts w:ascii="Times New Roman" w:hAnsi="Times New Roman"/>
          <w:sz w:val="23"/>
          <w:szCs w:val="23"/>
          <w:highlight w:val="yellow"/>
        </w:rPr>
        <w:t>r</w:t>
      </w:r>
      <w:r>
        <w:rPr>
          <w:rFonts w:ascii="Times New Roman" w:hAnsi="Times New Roman"/>
          <w:sz w:val="23"/>
          <w:szCs w:val="23"/>
        </w:rPr>
        <w:t>es</w:t>
      </w:r>
      <w:proofErr w:type="spellEnd"/>
      <w:r>
        <w:rPr>
          <w:rFonts w:ascii="Times New Roman" w:hAnsi="Times New Roman"/>
          <w:sz w:val="23"/>
          <w:szCs w:val="23"/>
        </w:rPr>
        <w:t xml:space="preserve"> above sea level, as shown in Figure 1. A total of 164 </w:t>
      </w:r>
      <w:r>
        <w:rPr>
          <w:rFonts w:ascii="Times New Roman" w:hAnsi="Times New Roman"/>
          <w:bCs/>
          <w:i/>
          <w:iCs/>
          <w:color w:val="000000"/>
          <w:sz w:val="24"/>
          <w:szCs w:val="24"/>
        </w:rPr>
        <w:t xml:space="preserve">Macrobrachium </w:t>
      </w:r>
      <w:proofErr w:type="spellStart"/>
      <w:r>
        <w:rPr>
          <w:rFonts w:ascii="Times New Roman" w:hAnsi="Times New Roman"/>
          <w:bCs/>
          <w:i/>
          <w:iCs/>
          <w:color w:val="000000"/>
          <w:sz w:val="24"/>
          <w:szCs w:val="24"/>
        </w:rPr>
        <w:t>lamarrei</w:t>
      </w:r>
      <w:proofErr w:type="spellEnd"/>
      <w:r>
        <w:rPr>
          <w:rFonts w:ascii="Times New Roman" w:hAnsi="Times New Roman"/>
          <w:bCs/>
          <w:i/>
          <w:iCs/>
          <w:color w:val="000000"/>
          <w:sz w:val="24"/>
          <w:szCs w:val="24"/>
        </w:rPr>
        <w:t xml:space="preserve"> </w:t>
      </w:r>
      <w:r>
        <w:rPr>
          <w:rFonts w:ascii="Times New Roman" w:hAnsi="Times New Roman"/>
          <w:bCs/>
          <w:color w:val="000000"/>
          <w:sz w:val="24"/>
          <w:szCs w:val="24"/>
        </w:rPr>
        <w:t xml:space="preserve">specimens were examined </w:t>
      </w:r>
      <w:r>
        <w:rPr>
          <w:rFonts w:ascii="Times New Roman" w:hAnsi="Times New Roman"/>
          <w:bCs/>
          <w:color w:val="000000"/>
          <w:sz w:val="24"/>
          <w:szCs w:val="24"/>
        </w:rPr>
        <w:lastRenderedPageBreak/>
        <w:t xml:space="preserve">for biomimetic analyses, comprising 100 females and 64 males. The specimens were collected from the Sone </w:t>
      </w:r>
      <w:r>
        <w:rPr>
          <w:rFonts w:ascii="Times New Roman" w:hAnsi="Times New Roman"/>
          <w:bCs/>
          <w:color w:val="000000"/>
          <w:sz w:val="24"/>
          <w:szCs w:val="24"/>
          <w:highlight w:val="yellow"/>
        </w:rPr>
        <w:t>R</w:t>
      </w:r>
      <w:r>
        <w:rPr>
          <w:rFonts w:ascii="Times New Roman" w:hAnsi="Times New Roman"/>
          <w:bCs/>
          <w:color w:val="000000"/>
          <w:sz w:val="24"/>
          <w:szCs w:val="24"/>
        </w:rPr>
        <w:t>iver and subsequently used for total length and body weight analys</w:t>
      </w:r>
      <w:r>
        <w:rPr>
          <w:rFonts w:ascii="Times New Roman" w:hAnsi="Times New Roman"/>
          <w:bCs/>
          <w:color w:val="000000"/>
          <w:sz w:val="24"/>
          <w:szCs w:val="24"/>
          <w:highlight w:val="yellow"/>
        </w:rPr>
        <w:t>e</w:t>
      </w:r>
      <w:r>
        <w:rPr>
          <w:rFonts w:ascii="Times New Roman" w:hAnsi="Times New Roman"/>
          <w:bCs/>
          <w:color w:val="000000"/>
          <w:sz w:val="24"/>
          <w:szCs w:val="24"/>
        </w:rPr>
        <w:t>s to study the length</w:t>
      </w:r>
      <w:r>
        <w:rPr>
          <w:rFonts w:ascii="Times New Roman" w:hAnsi="Times New Roman"/>
          <w:bCs/>
          <w:color w:val="000000"/>
          <w:sz w:val="24"/>
          <w:szCs w:val="24"/>
          <w:highlight w:val="yellow"/>
        </w:rPr>
        <w:t>–</w:t>
      </w:r>
      <w:r>
        <w:rPr>
          <w:rFonts w:ascii="Times New Roman" w:hAnsi="Times New Roman"/>
          <w:bCs/>
          <w:color w:val="000000"/>
          <w:sz w:val="24"/>
          <w:szCs w:val="24"/>
        </w:rPr>
        <w:t>weight relationship and condition factor.</w:t>
      </w:r>
    </w:p>
    <w:p w14:paraId="1092A908" w14:textId="77777777" w:rsidR="00AA5368" w:rsidRPr="00AA5368" w:rsidRDefault="00AA5368" w:rsidP="00AA5368">
      <w:pPr>
        <w:spacing w:before="120" w:after="120" w:line="360" w:lineRule="auto"/>
        <w:jc w:val="center"/>
        <w:rPr>
          <w:rFonts w:ascii="Times New Roman" w:hAnsi="Times New Roman"/>
          <w:b/>
          <w:bCs/>
          <w:sz w:val="24"/>
          <w:szCs w:val="24"/>
        </w:rPr>
      </w:pPr>
      <w:r w:rsidRPr="00AA5368">
        <w:rPr>
          <w:rFonts w:ascii="Times New Roman" w:eastAsia="Times New Roman" w:hAnsi="Times New Roman"/>
          <w:noProof/>
          <w:lang w:val="en-IN"/>
        </w:rPr>
        <w:drawing>
          <wp:inline distT="0" distB="0" distL="0" distR="0" wp14:anchorId="69F65E87" wp14:editId="0C7FDFD0">
            <wp:extent cx="5276850" cy="4248150"/>
            <wp:effectExtent l="0" t="0" r="0" b="0"/>
            <wp:docPr id="12222121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4248150"/>
                    </a:xfrm>
                    <a:prstGeom prst="rect">
                      <a:avLst/>
                    </a:prstGeom>
                    <a:noFill/>
                    <a:ln>
                      <a:noFill/>
                    </a:ln>
                  </pic:spPr>
                </pic:pic>
              </a:graphicData>
            </a:graphic>
          </wp:inline>
        </w:drawing>
      </w:r>
    </w:p>
    <w:p w14:paraId="656B3FB1" w14:textId="77777777" w:rsidR="00AA5368" w:rsidRPr="00AA5368" w:rsidRDefault="00AA5368" w:rsidP="00AA5368">
      <w:pPr>
        <w:pStyle w:val="BodyText"/>
        <w:spacing w:before="120" w:after="120" w:line="360" w:lineRule="auto"/>
        <w:jc w:val="both"/>
        <w:rPr>
          <w:rFonts w:ascii="Times New Roman" w:hAnsi="Times New Roman" w:cs="Times New Roman"/>
          <w:b/>
          <w:bCs/>
          <w:sz w:val="24"/>
          <w:szCs w:val="24"/>
        </w:rPr>
      </w:pPr>
      <w:r w:rsidRPr="00AA5368">
        <w:rPr>
          <w:rFonts w:ascii="Times New Roman" w:hAnsi="Times New Roman" w:cs="Times New Roman"/>
          <w:b/>
          <w:bCs/>
          <w:sz w:val="24"/>
          <w:szCs w:val="24"/>
        </w:rPr>
        <w:t>Figure 1</w:t>
      </w:r>
      <w:r w:rsidR="009C6FA0">
        <w:rPr>
          <w:rFonts w:ascii="Times New Roman" w:hAnsi="Times New Roman" w:cs="Times New Roman"/>
          <w:b/>
          <w:bCs/>
          <w:sz w:val="24"/>
          <w:szCs w:val="24"/>
        </w:rPr>
        <w:t>:</w:t>
      </w:r>
      <w:r w:rsidRPr="00AA5368">
        <w:rPr>
          <w:rFonts w:ascii="Times New Roman" w:hAnsi="Times New Roman" w:cs="Times New Roman"/>
          <w:b/>
          <w:bCs/>
          <w:sz w:val="24"/>
          <w:szCs w:val="24"/>
        </w:rPr>
        <w:t xml:space="preserve"> </w:t>
      </w:r>
      <w:r w:rsidRPr="00AA5368">
        <w:rPr>
          <w:rFonts w:ascii="Times New Roman" w:eastAsia="Times New Roman" w:hAnsi="Times New Roman" w:cs="Times New Roman"/>
          <w:b/>
          <w:bCs/>
          <w:u w:color="1F497D"/>
        </w:rPr>
        <w:t>Location Map of the study area</w:t>
      </w:r>
    </w:p>
    <w:p w14:paraId="5E775472" w14:textId="77777777" w:rsidR="00AA5368" w:rsidRPr="00AA5368" w:rsidRDefault="00AA5368" w:rsidP="00AA5368">
      <w:pPr>
        <w:pStyle w:val="BodyText"/>
        <w:spacing w:before="120" w:after="120" w:line="360" w:lineRule="auto"/>
        <w:jc w:val="both"/>
        <w:rPr>
          <w:rFonts w:ascii="Times New Roman" w:hAnsi="Times New Roman" w:cs="Times New Roman"/>
          <w:b/>
          <w:bCs/>
          <w:sz w:val="24"/>
          <w:szCs w:val="24"/>
        </w:rPr>
      </w:pPr>
      <w:r w:rsidRPr="00AA5368">
        <w:rPr>
          <w:rFonts w:ascii="Times New Roman" w:hAnsi="Times New Roman" w:cs="Times New Roman"/>
          <w:b/>
          <w:bCs/>
          <w:sz w:val="24"/>
          <w:szCs w:val="24"/>
        </w:rPr>
        <w:t xml:space="preserve">Length-weight relationship (LWR) </w:t>
      </w:r>
    </w:p>
    <w:p w14:paraId="22EF8FE1" w14:textId="77777777" w:rsidR="00AA5368" w:rsidRPr="00AA5368" w:rsidRDefault="00AA5368" w:rsidP="00AA5368">
      <w:pPr>
        <w:pStyle w:val="BodyText"/>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The length</w:t>
      </w:r>
      <w:r>
        <w:rPr>
          <w:rFonts w:ascii="Times New Roman" w:hAnsi="Times New Roman" w:cs="Times New Roman"/>
          <w:sz w:val="24"/>
          <w:szCs w:val="24"/>
          <w:highlight w:val="yellow"/>
        </w:rPr>
        <w:t>–</w:t>
      </w:r>
      <w:r>
        <w:rPr>
          <w:rFonts w:ascii="Times New Roman" w:hAnsi="Times New Roman" w:cs="Times New Roman"/>
          <w:sz w:val="24"/>
          <w:szCs w:val="24"/>
        </w:rPr>
        <w:t xml:space="preserve">weight relationship was </w:t>
      </w:r>
      <w:proofErr w:type="spellStart"/>
      <w:r>
        <w:rPr>
          <w:rFonts w:ascii="Times New Roman" w:hAnsi="Times New Roman" w:cs="Times New Roman"/>
          <w:sz w:val="24"/>
          <w:szCs w:val="24"/>
        </w:rPr>
        <w:t>analy</w:t>
      </w:r>
      <w:r>
        <w:rPr>
          <w:rFonts w:ascii="Times New Roman" w:hAnsi="Times New Roman" w:cs="Times New Roman"/>
          <w:sz w:val="24"/>
          <w:szCs w:val="24"/>
          <w:highlight w:val="yellow"/>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separately by grouping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data into sex- and season-wise categories. After water</w:t>
      </w:r>
      <w:r>
        <w:rPr>
          <w:rFonts w:ascii="Times New Roman" w:hAnsi="Times New Roman" w:cs="Times New Roman"/>
          <w:sz w:val="24"/>
          <w:szCs w:val="24"/>
          <w:highlight w:val="yellow"/>
        </w:rPr>
        <w:t xml:space="preserve"> was wiped</w:t>
      </w:r>
      <w:r>
        <w:rPr>
          <w:rFonts w:ascii="Times New Roman" w:hAnsi="Times New Roman" w:cs="Times New Roman"/>
          <w:sz w:val="24"/>
          <w:szCs w:val="24"/>
        </w:rPr>
        <w:t xml:space="preserve"> from the body, freshly collected specimens were weighed accurately using a digital weighing balance (0.001</w:t>
      </w:r>
      <w:r>
        <w:rPr>
          <w:rFonts w:ascii="Times New Roman" w:hAnsi="Times New Roman" w:cs="Times New Roman"/>
          <w:sz w:val="24"/>
          <w:szCs w:val="24"/>
          <w:highlight w:val="yellow"/>
        </w:rPr>
        <w:t xml:space="preserve"> </w:t>
      </w:r>
      <w:r>
        <w:rPr>
          <w:rFonts w:ascii="Times New Roman" w:hAnsi="Times New Roman" w:cs="Times New Roman"/>
          <w:sz w:val="24"/>
          <w:szCs w:val="24"/>
        </w:rPr>
        <w:t>g), and total body length (mm)</w:t>
      </w:r>
      <w:r>
        <w:rPr>
          <w:rFonts w:ascii="Times New Roman" w:hAnsi="Times New Roman" w:cs="Times New Roman"/>
          <w:sz w:val="24"/>
          <w:szCs w:val="24"/>
          <w:highlight w:val="yellow"/>
        </w:rPr>
        <w:t xml:space="preserve"> was measured</w:t>
      </w:r>
      <w:r>
        <w:rPr>
          <w:rFonts w:ascii="Times New Roman" w:hAnsi="Times New Roman" w:cs="Times New Roman"/>
          <w:sz w:val="24"/>
          <w:szCs w:val="24"/>
        </w:rPr>
        <w:t xml:space="preserve"> using a digital Vernier </w:t>
      </w:r>
      <w:proofErr w:type="spellStart"/>
      <w:r>
        <w:rPr>
          <w:rFonts w:ascii="Times New Roman" w:hAnsi="Times New Roman" w:cs="Times New Roman"/>
          <w:sz w:val="24"/>
          <w:szCs w:val="24"/>
          <w:highlight w:val="yellow"/>
        </w:rPr>
        <w:t>c</w:t>
      </w:r>
      <w:r>
        <w:rPr>
          <w:rFonts w:ascii="Times New Roman" w:hAnsi="Times New Roman" w:cs="Times New Roman"/>
          <w:sz w:val="24"/>
          <w:szCs w:val="24"/>
        </w:rPr>
        <w:t>alliper</w:t>
      </w:r>
      <w:proofErr w:type="spellEnd"/>
      <w:r>
        <w:rPr>
          <w:rFonts w:ascii="Times New Roman" w:hAnsi="Times New Roman" w:cs="Times New Roman"/>
          <w:sz w:val="24"/>
          <w:szCs w:val="24"/>
        </w:rPr>
        <w:t xml:space="preserve"> with </w:t>
      </w:r>
      <w:r>
        <w:rPr>
          <w:rFonts w:ascii="Times New Roman" w:hAnsi="Times New Roman" w:cs="Times New Roman"/>
          <w:sz w:val="24"/>
          <w:szCs w:val="24"/>
          <w:highlight w:val="yellow"/>
        </w:rPr>
        <w:t>an</w:t>
      </w:r>
      <w:r>
        <w:rPr>
          <w:rFonts w:ascii="Times New Roman" w:hAnsi="Times New Roman" w:cs="Times New Roman"/>
          <w:sz w:val="24"/>
          <w:szCs w:val="24"/>
        </w:rPr>
        <w:t xml:space="preserve"> accuracy</w:t>
      </w:r>
      <w:r>
        <w:rPr>
          <w:rFonts w:ascii="Times New Roman" w:hAnsi="Times New Roman" w:cs="Times New Roman"/>
          <w:sz w:val="24"/>
          <w:szCs w:val="24"/>
          <w:highlight w:val="yellow"/>
        </w:rPr>
        <w:t xml:space="preserve"> of 0</w:t>
      </w:r>
      <w:r>
        <w:rPr>
          <w:rFonts w:ascii="Times New Roman" w:hAnsi="Times New Roman" w:cs="Times New Roman"/>
          <w:sz w:val="24"/>
          <w:szCs w:val="24"/>
        </w:rPr>
        <w:t>.</w:t>
      </w:r>
      <w:r>
        <w:rPr>
          <w:rFonts w:ascii="Times New Roman" w:hAnsi="Times New Roman" w:cs="Times New Roman"/>
          <w:sz w:val="24"/>
          <w:szCs w:val="24"/>
          <w:highlight w:val="yellow"/>
        </w:rPr>
        <w:t>01</w:t>
      </w:r>
      <w:r>
        <w:rPr>
          <w:rFonts w:ascii="Times New Roman" w:hAnsi="Times New Roman" w:cs="Times New Roman"/>
          <w:sz w:val="24"/>
          <w:szCs w:val="24"/>
        </w:rPr>
        <w:t xml:space="preserve"> </w:t>
      </w:r>
      <w:r>
        <w:rPr>
          <w:rFonts w:ascii="Times New Roman" w:hAnsi="Times New Roman" w:cs="Times New Roman"/>
          <w:sz w:val="24"/>
          <w:szCs w:val="24"/>
          <w:highlight w:val="yellow"/>
        </w:rPr>
        <w:t>mm.</w:t>
      </w:r>
    </w:p>
    <w:p w14:paraId="5B6F64E2" w14:textId="77777777" w:rsidR="00AA5368" w:rsidRPr="00AA5368" w:rsidRDefault="00AA5368" w:rsidP="00AA5368">
      <w:pPr>
        <w:spacing w:before="120" w:after="12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The length–weight relationship (LWR) of </w:t>
      </w:r>
      <w:r>
        <w:rPr>
          <w:rFonts w:ascii="Times New Roman" w:hAnsi="Times New Roman"/>
          <w:bCs/>
          <w:i/>
          <w:iCs/>
          <w:color w:val="000000"/>
          <w:sz w:val="24"/>
          <w:szCs w:val="24"/>
        </w:rPr>
        <w:t xml:space="preserve">Macrobrachium </w:t>
      </w:r>
      <w:proofErr w:type="spellStart"/>
      <w:r>
        <w:rPr>
          <w:rFonts w:ascii="Times New Roman" w:hAnsi="Times New Roman"/>
          <w:bCs/>
          <w:i/>
          <w:iCs/>
          <w:color w:val="000000"/>
          <w:sz w:val="24"/>
          <w:szCs w:val="24"/>
        </w:rPr>
        <w:t>lamarrei</w:t>
      </w:r>
      <w:proofErr w:type="spellEnd"/>
      <w:r>
        <w:rPr>
          <w:rFonts w:ascii="Times New Roman" w:hAnsi="Times New Roman"/>
          <w:bCs/>
          <w:color w:val="000000"/>
          <w:sz w:val="24"/>
          <w:szCs w:val="24"/>
        </w:rPr>
        <w:t xml:space="preserve"> was estimated following the method proposed by Le </w:t>
      </w:r>
      <w:proofErr w:type="spellStart"/>
      <w:r>
        <w:rPr>
          <w:rFonts w:ascii="Times New Roman" w:hAnsi="Times New Roman"/>
          <w:bCs/>
          <w:color w:val="000000"/>
          <w:sz w:val="24"/>
          <w:szCs w:val="24"/>
        </w:rPr>
        <w:t>Cren</w:t>
      </w:r>
      <w:proofErr w:type="spellEnd"/>
      <w:r>
        <w:rPr>
          <w:rFonts w:ascii="Times New Roman" w:hAnsi="Times New Roman"/>
          <w:bCs/>
          <w:color w:val="000000"/>
          <w:sz w:val="24"/>
          <w:szCs w:val="24"/>
        </w:rPr>
        <w:t xml:space="preserve"> (1951) using the equation:</w:t>
      </w:r>
    </w:p>
    <w:p w14:paraId="5B7E0A24" w14:textId="77777777" w:rsidR="00AA5368" w:rsidRPr="00AA5368" w:rsidRDefault="00AA5368" w:rsidP="00AA5368">
      <w:pPr>
        <w:spacing w:before="120" w:after="120" w:line="360" w:lineRule="auto"/>
        <w:jc w:val="center"/>
        <w:rPr>
          <w:rFonts w:ascii="Times New Roman" w:hAnsi="Times New Roman"/>
          <w:bCs/>
          <w:color w:val="000000"/>
          <w:sz w:val="24"/>
          <w:szCs w:val="24"/>
        </w:rPr>
      </w:pPr>
      <w:r w:rsidRPr="00AA5368">
        <w:rPr>
          <w:rFonts w:ascii="Times New Roman" w:hAnsi="Times New Roman"/>
          <w:bCs/>
          <w:color w:val="000000"/>
          <w:sz w:val="24"/>
          <w:szCs w:val="24"/>
        </w:rPr>
        <w:t xml:space="preserve">W = </w:t>
      </w:r>
      <w:proofErr w:type="spellStart"/>
      <w:r w:rsidRPr="00AA5368">
        <w:rPr>
          <w:rFonts w:ascii="Times New Roman" w:hAnsi="Times New Roman"/>
          <w:bCs/>
          <w:color w:val="000000"/>
          <w:sz w:val="24"/>
          <w:szCs w:val="24"/>
        </w:rPr>
        <w:t>aL</w:t>
      </w:r>
      <w:proofErr w:type="spellEnd"/>
      <w:r w:rsidRPr="00AA5368">
        <w:rPr>
          <w:rFonts w:ascii="Times New Roman" w:hAnsi="Times New Roman"/>
          <w:bCs/>
          <w:color w:val="000000"/>
          <w:sz w:val="24"/>
          <w:szCs w:val="24"/>
        </w:rPr>
        <w:t>ᵇ</w:t>
      </w:r>
    </w:p>
    <w:p w14:paraId="0D57F154" w14:textId="77777777" w:rsidR="00AA5368" w:rsidRPr="00AA5368" w:rsidRDefault="00AA5368" w:rsidP="00AA5368">
      <w:pPr>
        <w:spacing w:before="120" w:after="120" w:line="360" w:lineRule="auto"/>
        <w:jc w:val="both"/>
        <w:rPr>
          <w:rFonts w:ascii="Times New Roman" w:hAnsi="Times New Roman"/>
          <w:bCs/>
          <w:color w:val="000000"/>
          <w:sz w:val="24"/>
          <w:szCs w:val="24"/>
        </w:rPr>
      </w:pPr>
      <w:r>
        <w:rPr>
          <w:rFonts w:ascii="Times New Roman" w:hAnsi="Times New Roman"/>
          <w:bCs/>
          <w:color w:val="000000"/>
          <w:sz w:val="24"/>
          <w:szCs w:val="24"/>
          <w:highlight w:val="yellow"/>
        </w:rPr>
        <w:t>w</w:t>
      </w:r>
      <w:r>
        <w:rPr>
          <w:rFonts w:ascii="Times New Roman" w:hAnsi="Times New Roman"/>
          <w:bCs/>
          <w:color w:val="000000"/>
          <w:sz w:val="24"/>
          <w:szCs w:val="24"/>
        </w:rPr>
        <w:t>here W represents the body weight of the prawn, L is the body length, a is the intercept (constant), and b is the regression coefficient, which describes the growth pattern.</w:t>
      </w:r>
    </w:p>
    <w:p w14:paraId="01D1ECBA" w14:textId="77777777" w:rsidR="00AA5368" w:rsidRPr="00AA5368" w:rsidRDefault="00AA5368" w:rsidP="00AA5368">
      <w:pPr>
        <w:spacing w:before="120" w:after="120" w:line="360" w:lineRule="auto"/>
        <w:jc w:val="both"/>
        <w:rPr>
          <w:rFonts w:ascii="Times New Roman" w:hAnsi="Times New Roman"/>
          <w:b/>
          <w:color w:val="000000"/>
          <w:sz w:val="24"/>
          <w:szCs w:val="24"/>
        </w:rPr>
      </w:pPr>
      <w:r w:rsidRPr="00AA5368">
        <w:rPr>
          <w:rFonts w:ascii="Times New Roman" w:hAnsi="Times New Roman"/>
          <w:b/>
          <w:color w:val="000000"/>
          <w:sz w:val="24"/>
          <w:szCs w:val="24"/>
        </w:rPr>
        <w:t>Relative Condition Factor (</w:t>
      </w:r>
      <w:proofErr w:type="spellStart"/>
      <w:r w:rsidRPr="00AA5368">
        <w:rPr>
          <w:rFonts w:ascii="Times New Roman" w:hAnsi="Times New Roman"/>
          <w:b/>
          <w:color w:val="000000"/>
          <w:sz w:val="24"/>
          <w:szCs w:val="24"/>
        </w:rPr>
        <w:t>Kn</w:t>
      </w:r>
      <w:proofErr w:type="spellEnd"/>
      <w:r w:rsidRPr="00AA5368">
        <w:rPr>
          <w:rFonts w:ascii="Times New Roman" w:hAnsi="Times New Roman"/>
          <w:b/>
          <w:color w:val="000000"/>
          <w:sz w:val="24"/>
          <w:szCs w:val="24"/>
        </w:rPr>
        <w:t>)</w:t>
      </w:r>
    </w:p>
    <w:p w14:paraId="6D733A70" w14:textId="77777777" w:rsidR="00AA5368" w:rsidRPr="00AA5368" w:rsidRDefault="00AA5368" w:rsidP="00AA5368">
      <w:pPr>
        <w:spacing w:before="120" w:after="120" w:line="360" w:lineRule="auto"/>
        <w:jc w:val="both"/>
        <w:rPr>
          <w:rFonts w:ascii="Times New Roman" w:hAnsi="Times New Roman"/>
          <w:bCs/>
          <w:color w:val="000000"/>
          <w:sz w:val="24"/>
          <w:szCs w:val="24"/>
        </w:rPr>
      </w:pPr>
      <w:r w:rsidRPr="00AA5368">
        <w:rPr>
          <w:rFonts w:ascii="Times New Roman" w:hAnsi="Times New Roman"/>
          <w:bCs/>
          <w:color w:val="000000"/>
          <w:sz w:val="24"/>
          <w:szCs w:val="24"/>
        </w:rPr>
        <w:lastRenderedPageBreak/>
        <w:t>The relative condition factor (</w:t>
      </w:r>
      <w:proofErr w:type="spellStart"/>
      <w:r w:rsidRPr="00AA5368">
        <w:rPr>
          <w:rFonts w:ascii="Times New Roman" w:hAnsi="Times New Roman"/>
          <w:bCs/>
          <w:color w:val="000000"/>
          <w:sz w:val="24"/>
          <w:szCs w:val="24"/>
        </w:rPr>
        <w:t>Kn</w:t>
      </w:r>
      <w:proofErr w:type="spellEnd"/>
      <w:r w:rsidRPr="00AA5368">
        <w:rPr>
          <w:rFonts w:ascii="Times New Roman" w:hAnsi="Times New Roman"/>
          <w:bCs/>
          <w:color w:val="000000"/>
          <w:sz w:val="24"/>
          <w:szCs w:val="24"/>
        </w:rPr>
        <w:t xml:space="preserve">) was estimated using the formula proposed by Le </w:t>
      </w:r>
      <w:proofErr w:type="spellStart"/>
      <w:r w:rsidRPr="00AA5368">
        <w:rPr>
          <w:rFonts w:ascii="Times New Roman" w:hAnsi="Times New Roman"/>
          <w:bCs/>
          <w:color w:val="000000"/>
          <w:sz w:val="24"/>
          <w:szCs w:val="24"/>
        </w:rPr>
        <w:t>Cren</w:t>
      </w:r>
      <w:proofErr w:type="spellEnd"/>
      <w:r w:rsidRPr="00AA5368">
        <w:rPr>
          <w:rFonts w:ascii="Times New Roman" w:hAnsi="Times New Roman"/>
          <w:bCs/>
          <w:color w:val="000000"/>
          <w:sz w:val="24"/>
          <w:szCs w:val="24"/>
        </w:rPr>
        <w:t xml:space="preserve"> (1951). This parameter was used to assess and compare prawn condition across various size categories and populations, as outlined by </w:t>
      </w:r>
      <w:proofErr w:type="spellStart"/>
      <w:r w:rsidRPr="00AA5368">
        <w:rPr>
          <w:rFonts w:ascii="Times New Roman" w:hAnsi="Times New Roman"/>
          <w:bCs/>
          <w:color w:val="000000"/>
          <w:sz w:val="24"/>
          <w:szCs w:val="24"/>
        </w:rPr>
        <w:t>Omogoriola</w:t>
      </w:r>
      <w:proofErr w:type="spellEnd"/>
      <w:r w:rsidRPr="00AA5368">
        <w:rPr>
          <w:rFonts w:ascii="Times New Roman" w:hAnsi="Times New Roman"/>
          <w:bCs/>
          <w:color w:val="000000"/>
          <w:sz w:val="24"/>
          <w:szCs w:val="24"/>
        </w:rPr>
        <w:t xml:space="preserve"> et al. (2011).</w:t>
      </w:r>
    </w:p>
    <w:p w14:paraId="7895D498" w14:textId="77777777" w:rsidR="00AA5368" w:rsidRPr="00AA5368" w:rsidRDefault="00AA5368" w:rsidP="00AA5368">
      <w:pPr>
        <w:spacing w:before="120" w:after="120" w:line="360" w:lineRule="auto"/>
        <w:jc w:val="both"/>
        <w:rPr>
          <w:rFonts w:ascii="Times New Roman" w:eastAsia="Times New Roman" w:hAnsi="Times New Roman"/>
          <w:iCs/>
          <w:color w:val="000000"/>
          <w:sz w:val="24"/>
          <w:szCs w:val="24"/>
        </w:rPr>
      </w:pPr>
      <w:r w:rsidRPr="00AA5368">
        <w:rPr>
          <w:rFonts w:ascii="Times New Roman" w:eastAsia="Times New Roman" w:hAnsi="Times New Roman"/>
          <w:color w:val="000000"/>
          <w:sz w:val="24"/>
          <w:szCs w:val="24"/>
        </w:rPr>
        <w:t xml:space="preserve">                                       </w:t>
      </w:r>
      <w:r w:rsidRPr="00AA5368">
        <w:rPr>
          <w:rFonts w:ascii="Times New Roman" w:hAnsi="Times New Roman"/>
          <w:color w:val="000000"/>
          <w:sz w:val="24"/>
          <w:szCs w:val="24"/>
        </w:rPr>
        <w:t xml:space="preserve">Relative condition factor </w:t>
      </w:r>
      <w:r w:rsidRPr="00AA5368">
        <w:rPr>
          <w:rFonts w:ascii="Times New Roman" w:hAnsi="Times New Roman"/>
        </w:rPr>
        <w:fldChar w:fldCharType="begin"/>
      </w:r>
      <w:r w:rsidRPr="00AA5368">
        <w:rPr>
          <w:rFonts w:ascii="Times New Roman" w:hAnsi="Times New Roman"/>
          <w:position w:val="-17"/>
        </w:rPr>
        <w:instrText xml:space="preserve"> QUOTE _x0001_ </w:instrText>
      </w:r>
      <w:r w:rsidRPr="00AA5368">
        <w:rPr>
          <w:rFonts w:ascii="Times New Roman" w:hAnsi="Times New Roman"/>
          <w:position w:val="-17"/>
        </w:rPr>
        <w:fldChar w:fldCharType="separate"/>
      </w:r>
      <w:r w:rsidRPr="00AA5368">
        <w:rPr>
          <w:rFonts w:ascii="Times New Roman" w:hAnsi="Times New Roman"/>
          <w:noProof/>
          <w:position w:val="-17"/>
        </w:rPr>
        <w:drawing>
          <wp:inline distT="0" distB="0" distL="0" distR="0" wp14:anchorId="2B955928" wp14:editId="10EB5277">
            <wp:extent cx="619125" cy="285750"/>
            <wp:effectExtent l="0" t="0" r="9525" b="0"/>
            <wp:docPr id="4954852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8">
                      <a:extLst>
                        <a:ext uri="{28A0092B-C50C-407E-A947-70E740481C1C}">
                          <a14:useLocalDpi xmlns:a14="http://schemas.microsoft.com/office/drawing/2010/main" val="0"/>
                        </a:ext>
                      </a:extLst>
                    </a:blip>
                    <a:srcRect l="-58" t="-127" r="-58" b="-127"/>
                    <a:stretch>
                      <a:fillRect/>
                    </a:stretch>
                  </pic:blipFill>
                  <pic:spPr bwMode="auto">
                    <a:xfrm>
                      <a:off x="0" y="0"/>
                      <a:ext cx="619125" cy="285750"/>
                    </a:xfrm>
                    <a:prstGeom prst="rect">
                      <a:avLst/>
                    </a:prstGeom>
                    <a:noFill/>
                    <a:ln>
                      <a:noFill/>
                    </a:ln>
                  </pic:spPr>
                </pic:pic>
              </a:graphicData>
            </a:graphic>
          </wp:inline>
        </w:drawing>
      </w:r>
      <w:r w:rsidRPr="00AA5368">
        <w:rPr>
          <w:rFonts w:ascii="Times New Roman" w:hAnsi="Times New Roman"/>
          <w:position w:val="-17"/>
        </w:rPr>
        <w:fldChar w:fldCharType="end"/>
      </w:r>
    </w:p>
    <w:p w14:paraId="2709D05E" w14:textId="77777777" w:rsidR="00AA5368" w:rsidRPr="00AA5368" w:rsidRDefault="00AA5368" w:rsidP="00AA5368">
      <w:pPr>
        <w:spacing w:before="120" w:after="120" w:line="360" w:lineRule="auto"/>
        <w:jc w:val="both"/>
        <w:rPr>
          <w:rFonts w:ascii="Times New Roman" w:hAnsi="Times New Roman"/>
          <w:iCs/>
          <w:color w:val="000000"/>
          <w:sz w:val="24"/>
          <w:szCs w:val="24"/>
        </w:rPr>
      </w:pPr>
      <w:r>
        <w:rPr>
          <w:rFonts w:ascii="Times New Roman" w:hAnsi="Times New Roman"/>
          <w:iCs/>
          <w:color w:val="000000"/>
          <w:sz w:val="24"/>
          <w:szCs w:val="24"/>
        </w:rPr>
        <w:t xml:space="preserve">Here, </w:t>
      </w:r>
      <w:proofErr w:type="spellStart"/>
      <w:r>
        <w:rPr>
          <w:rFonts w:ascii="Times New Roman" w:hAnsi="Times New Roman"/>
          <w:iCs/>
          <w:color w:val="000000"/>
          <w:sz w:val="24"/>
          <w:szCs w:val="24"/>
        </w:rPr>
        <w:t>Kn</w:t>
      </w:r>
      <w:proofErr w:type="spellEnd"/>
      <w:r>
        <w:rPr>
          <w:rFonts w:ascii="Times New Roman" w:hAnsi="Times New Roman"/>
          <w:iCs/>
          <w:color w:val="000000"/>
          <w:sz w:val="24"/>
          <w:szCs w:val="24"/>
        </w:rPr>
        <w:t xml:space="preserve"> is the relative condition factor</w:t>
      </w:r>
      <w:r>
        <w:rPr>
          <w:rFonts w:ascii="Times New Roman" w:hAnsi="Times New Roman"/>
          <w:iCs/>
          <w:color w:val="000000"/>
          <w:sz w:val="24"/>
          <w:szCs w:val="24"/>
          <w:highlight w:val="yellow"/>
        </w:rPr>
        <w:t>, and</w:t>
      </w:r>
      <w:r>
        <w:rPr>
          <w:rFonts w:ascii="Times New Roman" w:hAnsi="Times New Roman"/>
          <w:iCs/>
          <w:color w:val="000000"/>
          <w:sz w:val="24"/>
          <w:szCs w:val="24"/>
        </w:rPr>
        <w:t xml:space="preserve"> W is the actual weight of the prawn in grams</w:t>
      </w:r>
      <w:r>
        <w:rPr>
          <w:rFonts w:ascii="Times New Roman" w:hAnsi="Times New Roman"/>
          <w:iCs/>
          <w:color w:val="000000"/>
          <w:sz w:val="24"/>
          <w:szCs w:val="24"/>
          <w:highlight w:val="yellow"/>
        </w:rPr>
        <w:t>.</w:t>
      </w:r>
    </w:p>
    <w:p w14:paraId="3E8B7772" w14:textId="77777777" w:rsidR="00AA5368" w:rsidRPr="00AA5368" w:rsidRDefault="00AA5368" w:rsidP="00AA5368">
      <w:pPr>
        <w:spacing w:before="120" w:after="120" w:line="360" w:lineRule="auto"/>
        <w:jc w:val="center"/>
        <w:rPr>
          <w:rFonts w:ascii="Times New Roman" w:hAnsi="Times New Roman"/>
          <w:iCs/>
          <w:color w:val="000000"/>
          <w:sz w:val="24"/>
          <w:szCs w:val="24"/>
        </w:rPr>
      </w:pPr>
      <w:r>
        <w:rPr>
          <w:rFonts w:ascii="Times New Roman" w:hAnsi="Times New Roman"/>
          <w:sz w:val="24"/>
          <w:szCs w:val="24"/>
          <w:highlight w:val="yellow"/>
        </w:rPr>
        <w:t>The estimated weight (</w:t>
      </w:r>
      <w:r>
        <w:rPr>
          <w:rFonts w:ascii="Times New Roman" w:hAnsi="Times New Roman"/>
          <w:sz w:val="24"/>
          <w:szCs w:val="24"/>
        </w:rPr>
        <w:t>w̅</w:t>
      </w:r>
      <w:r>
        <w:rPr>
          <w:rFonts w:ascii="Times New Roman" w:hAnsi="Times New Roman"/>
          <w:sz w:val="24"/>
          <w:szCs w:val="24"/>
          <w:highlight w:val="yellow"/>
        </w:rPr>
        <w:t>) was</w:t>
      </w:r>
      <w:r>
        <w:rPr>
          <w:rFonts w:ascii="Times New Roman" w:hAnsi="Times New Roman"/>
          <w:sz w:val="24"/>
          <w:szCs w:val="24"/>
        </w:rPr>
        <w:t xml:space="preserve"> calculated as w̅ = </w:t>
      </w:r>
      <w:proofErr w:type="spellStart"/>
      <w:r>
        <w:rPr>
          <w:rFonts w:ascii="Times New Roman" w:hAnsi="Times New Roman"/>
          <w:sz w:val="24"/>
          <w:szCs w:val="24"/>
        </w:rPr>
        <w:t>aLb</w:t>
      </w:r>
      <w:proofErr w:type="spellEnd"/>
    </w:p>
    <w:p w14:paraId="07722D54" w14:textId="77777777" w:rsidR="00AA5368" w:rsidRPr="00AA5368" w:rsidRDefault="00AA5368" w:rsidP="00AA5368">
      <w:pPr>
        <w:spacing w:before="120" w:after="120" w:line="360" w:lineRule="auto"/>
        <w:jc w:val="both"/>
        <w:rPr>
          <w:rFonts w:ascii="Times New Roman" w:hAnsi="Times New Roman"/>
          <w:iCs/>
          <w:color w:val="000000"/>
          <w:sz w:val="24"/>
          <w:szCs w:val="24"/>
        </w:rPr>
      </w:pPr>
      <w:r>
        <w:rPr>
          <w:rFonts w:ascii="Times New Roman" w:hAnsi="Times New Roman"/>
          <w:iCs/>
          <w:color w:val="000000"/>
          <w:sz w:val="24"/>
          <w:szCs w:val="24"/>
        </w:rPr>
        <w:t xml:space="preserve">Here, </w:t>
      </w:r>
      <w:r>
        <w:rPr>
          <w:rFonts w:ascii="Times New Roman" w:hAnsi="Times New Roman"/>
          <w:sz w:val="24"/>
          <w:szCs w:val="24"/>
        </w:rPr>
        <w:t>w̅</w:t>
      </w:r>
      <w:r>
        <w:rPr>
          <w:rFonts w:ascii="Times New Roman" w:hAnsi="Times New Roman"/>
          <w:iCs/>
          <w:color w:val="000000"/>
          <w:sz w:val="24"/>
          <w:szCs w:val="24"/>
        </w:rPr>
        <w:t xml:space="preserve"> is the estimated weight of the prawn, L is the prawn length, while a and b are the intercept and slope of the length</w:t>
      </w:r>
      <w:r>
        <w:rPr>
          <w:rFonts w:ascii="Times New Roman" w:hAnsi="Times New Roman"/>
          <w:iCs/>
          <w:color w:val="000000"/>
          <w:sz w:val="24"/>
          <w:szCs w:val="24"/>
          <w:highlight w:val="yellow"/>
        </w:rPr>
        <w:t>–</w:t>
      </w:r>
      <w:r>
        <w:rPr>
          <w:rFonts w:ascii="Times New Roman" w:hAnsi="Times New Roman"/>
          <w:iCs/>
          <w:color w:val="000000"/>
          <w:sz w:val="24"/>
          <w:szCs w:val="24"/>
        </w:rPr>
        <w:t>weight regression equation, respectively.</w:t>
      </w:r>
    </w:p>
    <w:p w14:paraId="4241ABFC" w14:textId="77777777" w:rsidR="00AA5368" w:rsidRPr="00AA5368" w:rsidRDefault="00AA5368" w:rsidP="00AA5368">
      <w:pPr>
        <w:spacing w:before="120" w:after="120" w:line="360" w:lineRule="auto"/>
        <w:jc w:val="both"/>
        <w:rPr>
          <w:rFonts w:ascii="Times New Roman" w:hAnsi="Times New Roman"/>
          <w:b/>
          <w:color w:val="000000"/>
          <w:sz w:val="24"/>
          <w:szCs w:val="24"/>
        </w:rPr>
      </w:pPr>
      <w:r w:rsidRPr="00AA5368">
        <w:rPr>
          <w:rFonts w:ascii="Times New Roman" w:hAnsi="Times New Roman"/>
          <w:b/>
          <w:color w:val="000000"/>
          <w:sz w:val="24"/>
          <w:szCs w:val="24"/>
        </w:rPr>
        <w:t>Fulton's Condition Factor (K)</w:t>
      </w:r>
    </w:p>
    <w:p w14:paraId="6C6FAC6C" w14:textId="77777777" w:rsidR="00AA5368" w:rsidRPr="00AA5368" w:rsidRDefault="00AA5368" w:rsidP="00AA5368">
      <w:pPr>
        <w:spacing w:before="120" w:after="120" w:line="360" w:lineRule="auto"/>
        <w:jc w:val="both"/>
        <w:rPr>
          <w:rFonts w:ascii="Times New Roman" w:hAnsi="Times New Roman"/>
          <w:iCs/>
          <w:color w:val="000000"/>
          <w:sz w:val="24"/>
          <w:szCs w:val="24"/>
        </w:rPr>
      </w:pPr>
      <w:r>
        <w:rPr>
          <w:rFonts w:ascii="Times New Roman" w:hAnsi="Times New Roman"/>
          <w:iCs/>
          <w:color w:val="000000"/>
          <w:sz w:val="24"/>
          <w:szCs w:val="24"/>
        </w:rPr>
        <w:t>Fulton's condition factor (K) differs from the relative condition factor (</w:t>
      </w:r>
      <w:proofErr w:type="spellStart"/>
      <w:r>
        <w:rPr>
          <w:rFonts w:ascii="Times New Roman" w:hAnsi="Times New Roman"/>
          <w:iCs/>
          <w:color w:val="000000"/>
          <w:sz w:val="24"/>
          <w:szCs w:val="24"/>
        </w:rPr>
        <w:t>Kn</w:t>
      </w:r>
      <w:proofErr w:type="spellEnd"/>
      <w:r>
        <w:rPr>
          <w:rFonts w:ascii="Times New Roman" w:hAnsi="Times New Roman"/>
          <w:iCs/>
          <w:color w:val="000000"/>
          <w:sz w:val="24"/>
          <w:szCs w:val="24"/>
        </w:rPr>
        <w:t xml:space="preserve">) because the former measures the difference between an individual prawn and an imaginary standard, while the latter </w:t>
      </w:r>
      <w:r>
        <w:rPr>
          <w:rFonts w:ascii="Times New Roman" w:hAnsi="Times New Roman"/>
          <w:iCs/>
          <w:color w:val="000000"/>
          <w:sz w:val="24"/>
          <w:szCs w:val="24"/>
          <w:highlight w:val="yellow"/>
        </w:rPr>
        <w:t>measure</w:t>
      </w:r>
      <w:r>
        <w:rPr>
          <w:rFonts w:ascii="Times New Roman" w:hAnsi="Times New Roman"/>
          <w:iCs/>
          <w:color w:val="000000"/>
          <w:sz w:val="24"/>
          <w:szCs w:val="24"/>
        </w:rPr>
        <w:t>s the difference between the weight of an individual prawn and the mean expected weight for a particular length.</w:t>
      </w:r>
    </w:p>
    <w:p w14:paraId="1336AF30" w14:textId="77777777" w:rsidR="00AA5368" w:rsidRPr="00AA5368" w:rsidRDefault="00AA5368" w:rsidP="00AA5368">
      <w:pPr>
        <w:spacing w:before="120" w:after="120" w:line="360" w:lineRule="auto"/>
        <w:jc w:val="both"/>
        <w:rPr>
          <w:rFonts w:ascii="Times New Roman" w:hAnsi="Times New Roman"/>
          <w:bCs/>
          <w:color w:val="000000"/>
          <w:sz w:val="24"/>
          <w:szCs w:val="24"/>
        </w:rPr>
      </w:pPr>
      <w:r>
        <w:rPr>
          <w:rFonts w:ascii="Times New Roman" w:hAnsi="Times New Roman"/>
          <w:bCs/>
          <w:color w:val="000000"/>
          <w:sz w:val="24"/>
          <w:szCs w:val="24"/>
        </w:rPr>
        <w:t>The condition factor (K) of</w:t>
      </w:r>
      <w:r>
        <w:rPr>
          <w:rFonts w:ascii="Times New Roman" w:hAnsi="Times New Roman"/>
          <w:bCs/>
          <w:i/>
          <w:iCs/>
          <w:color w:val="000000"/>
          <w:sz w:val="24"/>
          <w:szCs w:val="24"/>
        </w:rPr>
        <w:t xml:space="preserve"> Macrobrachium </w:t>
      </w:r>
      <w:proofErr w:type="spellStart"/>
      <w:r>
        <w:rPr>
          <w:rFonts w:ascii="Times New Roman" w:hAnsi="Times New Roman"/>
          <w:bCs/>
          <w:i/>
          <w:iCs/>
          <w:color w:val="000000"/>
          <w:sz w:val="24"/>
          <w:szCs w:val="24"/>
        </w:rPr>
        <w:t>lamarrei</w:t>
      </w:r>
      <w:proofErr w:type="spellEnd"/>
      <w:r>
        <w:rPr>
          <w:rFonts w:ascii="Times New Roman" w:hAnsi="Times New Roman"/>
          <w:bCs/>
          <w:color w:val="000000"/>
          <w:sz w:val="24"/>
          <w:szCs w:val="24"/>
        </w:rPr>
        <w:t xml:space="preserve"> was computed using Fulton's condition factor formula, first defined by Fulton </w:t>
      </w:r>
      <w:r>
        <w:rPr>
          <w:rFonts w:ascii="Times New Roman" w:hAnsi="Times New Roman"/>
          <w:bCs/>
          <w:color w:val="000000"/>
          <w:sz w:val="24"/>
          <w:szCs w:val="24"/>
          <w:highlight w:val="yellow"/>
        </w:rPr>
        <w:t>(</w:t>
      </w:r>
      <w:r>
        <w:rPr>
          <w:rFonts w:ascii="Times New Roman" w:hAnsi="Times New Roman"/>
          <w:bCs/>
          <w:color w:val="000000"/>
          <w:sz w:val="24"/>
          <w:szCs w:val="24"/>
        </w:rPr>
        <w:t>1904</w:t>
      </w:r>
      <w:r>
        <w:rPr>
          <w:rFonts w:ascii="Times New Roman" w:hAnsi="Times New Roman"/>
          <w:bCs/>
          <w:color w:val="000000"/>
          <w:sz w:val="24"/>
          <w:szCs w:val="24"/>
          <w:highlight w:val="yellow"/>
        </w:rPr>
        <w:t>)</w:t>
      </w:r>
      <w:r>
        <w:rPr>
          <w:rFonts w:ascii="Times New Roman" w:hAnsi="Times New Roman"/>
          <w:bCs/>
          <w:color w:val="000000"/>
          <w:sz w:val="24"/>
          <w:szCs w:val="24"/>
        </w:rPr>
        <w:t>. This formula assumes that body weight is proportional to the cube of body length. Using the calculation</w:t>
      </w:r>
      <w:r>
        <w:rPr>
          <w:rFonts w:ascii="Times New Roman" w:hAnsi="Times New Roman"/>
          <w:bCs/>
          <w:color w:val="000000"/>
          <w:sz w:val="24"/>
          <w:szCs w:val="24"/>
          <w:highlight w:val="yellow"/>
        </w:rPr>
        <w:t xml:space="preserve"> methods</w:t>
      </w:r>
      <w:r>
        <w:rPr>
          <w:rFonts w:ascii="Times New Roman" w:hAnsi="Times New Roman"/>
          <w:bCs/>
          <w:color w:val="000000"/>
          <w:sz w:val="24"/>
          <w:szCs w:val="24"/>
        </w:rPr>
        <w:t xml:space="preserve"> suggested by Pauly (1984) and Wootton (1992), the condition factor was computed </w:t>
      </w:r>
      <w:r>
        <w:rPr>
          <w:rFonts w:ascii="Times New Roman" w:hAnsi="Times New Roman"/>
          <w:bCs/>
          <w:color w:val="000000"/>
          <w:sz w:val="24"/>
          <w:szCs w:val="24"/>
          <w:highlight w:val="yellow"/>
        </w:rPr>
        <w:t>from</w:t>
      </w:r>
      <w:r>
        <w:rPr>
          <w:rFonts w:ascii="Times New Roman" w:hAnsi="Times New Roman"/>
          <w:bCs/>
          <w:color w:val="000000"/>
          <w:sz w:val="24"/>
          <w:szCs w:val="24"/>
        </w:rPr>
        <w:t xml:space="preserve"> the mean values of total length and body weight of the prawn</w:t>
      </w:r>
      <w:r>
        <w:rPr>
          <w:rFonts w:ascii="Times New Roman" w:hAnsi="Times New Roman"/>
          <w:bCs/>
          <w:color w:val="000000"/>
          <w:sz w:val="24"/>
          <w:szCs w:val="24"/>
          <w:highlight w:val="yellow"/>
        </w:rPr>
        <w:t>s</w:t>
      </w:r>
      <w:r>
        <w:rPr>
          <w:rFonts w:ascii="Times New Roman" w:hAnsi="Times New Roman"/>
          <w:bCs/>
          <w:color w:val="000000"/>
          <w:sz w:val="24"/>
          <w:szCs w:val="24"/>
        </w:rPr>
        <w:t xml:space="preserve"> </w:t>
      </w:r>
      <w:r>
        <w:rPr>
          <w:rFonts w:ascii="Times New Roman" w:hAnsi="Times New Roman"/>
          <w:bCs/>
          <w:color w:val="000000"/>
          <w:sz w:val="24"/>
          <w:szCs w:val="24"/>
          <w:highlight w:val="yellow"/>
        </w:rPr>
        <w:t>us</w:t>
      </w:r>
      <w:r>
        <w:rPr>
          <w:rFonts w:ascii="Times New Roman" w:hAnsi="Times New Roman"/>
          <w:bCs/>
          <w:color w:val="000000"/>
          <w:sz w:val="24"/>
          <w:szCs w:val="24"/>
        </w:rPr>
        <w:t>i</w:t>
      </w:r>
      <w:r>
        <w:rPr>
          <w:rFonts w:ascii="Times New Roman" w:hAnsi="Times New Roman"/>
          <w:bCs/>
          <w:color w:val="000000"/>
          <w:sz w:val="24"/>
          <w:szCs w:val="24"/>
          <w:highlight w:val="yellow"/>
        </w:rPr>
        <w:t>ng</w:t>
      </w:r>
      <w:r>
        <w:rPr>
          <w:rFonts w:ascii="Times New Roman" w:hAnsi="Times New Roman"/>
          <w:bCs/>
          <w:color w:val="000000"/>
          <w:sz w:val="24"/>
          <w:szCs w:val="24"/>
        </w:rPr>
        <w:t xml:space="preserve"> the following formula.</w:t>
      </w:r>
    </w:p>
    <w:p w14:paraId="33EB72F8" w14:textId="77777777" w:rsidR="00AA5368" w:rsidRPr="00AA5368" w:rsidRDefault="00AA5368" w:rsidP="00AA5368">
      <w:pPr>
        <w:spacing w:before="120" w:after="120" w:line="360" w:lineRule="auto"/>
        <w:jc w:val="center"/>
        <w:rPr>
          <w:rFonts w:ascii="Times New Roman" w:eastAsia="Times New Roman" w:hAnsi="Times New Roman"/>
          <w:bCs/>
          <w:iCs/>
          <w:color w:val="000000"/>
          <w:sz w:val="24"/>
          <w:szCs w:val="24"/>
          <w:u w:val="single"/>
        </w:rPr>
      </w:pPr>
      <w:r w:rsidRPr="00AA5368">
        <w:rPr>
          <w:rFonts w:ascii="Times New Roman" w:hAnsi="Times New Roman"/>
          <w:noProof/>
        </w:rPr>
        <w:drawing>
          <wp:inline distT="0" distB="0" distL="0" distR="0" wp14:anchorId="1B8A0D87" wp14:editId="467B11E7">
            <wp:extent cx="904875" cy="371475"/>
            <wp:effectExtent l="0" t="0" r="9525" b="9525"/>
            <wp:docPr id="12552375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9">
                      <a:extLst>
                        <a:ext uri="{28A0092B-C50C-407E-A947-70E740481C1C}">
                          <a14:useLocalDpi xmlns:a14="http://schemas.microsoft.com/office/drawing/2010/main" val="0"/>
                        </a:ext>
                      </a:extLst>
                    </a:blip>
                    <a:srcRect l="-40" t="-98" r="-40" b="-98"/>
                    <a:stretch>
                      <a:fillRect/>
                    </a:stretch>
                  </pic:blipFill>
                  <pic:spPr bwMode="auto">
                    <a:xfrm>
                      <a:off x="0" y="0"/>
                      <a:ext cx="904875" cy="371475"/>
                    </a:xfrm>
                    <a:prstGeom prst="rect">
                      <a:avLst/>
                    </a:prstGeom>
                    <a:noFill/>
                    <a:ln>
                      <a:noFill/>
                    </a:ln>
                  </pic:spPr>
                </pic:pic>
              </a:graphicData>
            </a:graphic>
          </wp:inline>
        </w:drawing>
      </w:r>
    </w:p>
    <w:p w14:paraId="6AA66636" w14:textId="77777777" w:rsidR="00AA5368" w:rsidRPr="00AA5368" w:rsidRDefault="00AA5368" w:rsidP="00AA5368">
      <w:pPr>
        <w:spacing w:before="120" w:after="120" w:line="360" w:lineRule="auto"/>
        <w:jc w:val="both"/>
        <w:rPr>
          <w:rFonts w:ascii="Times New Roman" w:hAnsi="Times New Roman"/>
          <w:bCs/>
          <w:color w:val="000000"/>
          <w:sz w:val="24"/>
          <w:szCs w:val="24"/>
        </w:rPr>
      </w:pPr>
      <w:r w:rsidRPr="00AA5368">
        <w:rPr>
          <w:rFonts w:ascii="Times New Roman" w:hAnsi="Times New Roman"/>
          <w:bCs/>
          <w:color w:val="000000"/>
          <w:sz w:val="24"/>
          <w:szCs w:val="24"/>
        </w:rPr>
        <w:t>Where:</w:t>
      </w:r>
      <w:r w:rsidRPr="00AA5368">
        <w:rPr>
          <w:rFonts w:ascii="Times New Roman" w:hAnsi="Times New Roman"/>
          <w:bCs/>
          <w:iCs/>
          <w:color w:val="000000"/>
          <w:sz w:val="24"/>
          <w:szCs w:val="24"/>
        </w:rPr>
        <w:t xml:space="preserve"> </w:t>
      </w:r>
      <w:r w:rsidRPr="00AA5368">
        <w:rPr>
          <w:rFonts w:ascii="Times New Roman" w:hAnsi="Times New Roman"/>
        </w:rPr>
        <w:fldChar w:fldCharType="begin"/>
      </w:r>
      <w:r w:rsidRPr="00AA5368">
        <w:rPr>
          <w:rFonts w:ascii="Times New Roman" w:hAnsi="Times New Roman"/>
          <w:position w:val="-11"/>
        </w:rPr>
        <w:instrText xml:space="preserve"> QUOTE _x0001_ </w:instrText>
      </w:r>
      <w:r w:rsidRPr="00AA5368">
        <w:rPr>
          <w:rFonts w:ascii="Times New Roman" w:hAnsi="Times New Roman"/>
          <w:position w:val="-11"/>
        </w:rPr>
        <w:fldChar w:fldCharType="separate"/>
      </w:r>
      <w:r w:rsidRPr="00AA5368">
        <w:rPr>
          <w:rFonts w:ascii="Times New Roman" w:hAnsi="Times New Roman"/>
          <w:noProof/>
          <w:position w:val="-11"/>
        </w:rPr>
        <w:drawing>
          <wp:inline distT="0" distB="0" distL="0" distR="0" wp14:anchorId="1A35BE26" wp14:editId="25EEEA85">
            <wp:extent cx="114300" cy="209550"/>
            <wp:effectExtent l="0" t="0" r="0" b="0"/>
            <wp:docPr id="1314080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
                    <pic:cNvPicPr>
                      <a:picLocks noChangeAspect="1" noChangeArrowheads="1"/>
                    </pic:cNvPicPr>
                  </pic:nvPicPr>
                  <pic:blipFill>
                    <a:blip r:embed="rId10">
                      <a:extLst>
                        <a:ext uri="{28A0092B-C50C-407E-A947-70E740481C1C}">
                          <a14:useLocalDpi xmlns:a14="http://schemas.microsoft.com/office/drawing/2010/main" val="0"/>
                        </a:ext>
                      </a:extLst>
                    </a:blip>
                    <a:srcRect l="-314" t="-172" r="-314" b="-172"/>
                    <a:stretch>
                      <a:fillRect/>
                    </a:stretch>
                  </pic:blipFill>
                  <pic:spPr bwMode="auto">
                    <a:xfrm>
                      <a:off x="0" y="0"/>
                      <a:ext cx="114300" cy="209550"/>
                    </a:xfrm>
                    <a:prstGeom prst="rect">
                      <a:avLst/>
                    </a:prstGeom>
                    <a:noFill/>
                    <a:ln>
                      <a:noFill/>
                    </a:ln>
                  </pic:spPr>
                </pic:pic>
              </a:graphicData>
            </a:graphic>
          </wp:inline>
        </w:drawing>
      </w:r>
      <w:r w:rsidRPr="00AA5368">
        <w:rPr>
          <w:rFonts w:ascii="Times New Roman" w:hAnsi="Times New Roman"/>
          <w:position w:val="-11"/>
        </w:rPr>
        <w:fldChar w:fldCharType="end"/>
      </w:r>
      <w:r w:rsidRPr="00AA5368">
        <w:rPr>
          <w:rFonts w:ascii="Times New Roman" w:hAnsi="Times New Roman"/>
          <w:bCs/>
          <w:color w:val="000000"/>
          <w:sz w:val="24"/>
          <w:szCs w:val="24"/>
        </w:rPr>
        <w:t xml:space="preserve"> stands for the total body weight of the prawn (g), while TL denotes the total length (cm). </w:t>
      </w:r>
    </w:p>
    <w:p w14:paraId="0CAC28D2" w14:textId="77777777" w:rsidR="00AA5368" w:rsidRPr="00AA5368" w:rsidRDefault="00AA5368" w:rsidP="00AA5368">
      <w:pPr>
        <w:spacing w:before="120" w:after="120" w:line="360" w:lineRule="auto"/>
        <w:jc w:val="both"/>
        <w:rPr>
          <w:rFonts w:ascii="Times New Roman" w:hAnsi="Times New Roman"/>
          <w:bCs/>
          <w:color w:val="000000"/>
          <w:sz w:val="24"/>
          <w:szCs w:val="24"/>
        </w:rPr>
      </w:pPr>
      <w:r>
        <w:rPr>
          <w:rFonts w:ascii="Times New Roman" w:hAnsi="Times New Roman"/>
          <w:b/>
          <w:color w:val="000000"/>
          <w:sz w:val="24"/>
          <w:szCs w:val="24"/>
        </w:rPr>
        <w:t>Note</w:t>
      </w:r>
      <w:r>
        <w:rPr>
          <w:rFonts w:ascii="Times New Roman" w:hAnsi="Times New Roman"/>
          <w:bCs/>
          <w:color w:val="000000"/>
          <w:sz w:val="24"/>
          <w:szCs w:val="24"/>
        </w:rPr>
        <w:t xml:space="preserve">: A multiplication factor of 100 is used to </w:t>
      </w:r>
      <w:proofErr w:type="spellStart"/>
      <w:r>
        <w:rPr>
          <w:rFonts w:ascii="Times New Roman" w:hAnsi="Times New Roman"/>
          <w:bCs/>
          <w:color w:val="000000"/>
          <w:sz w:val="24"/>
          <w:szCs w:val="24"/>
        </w:rPr>
        <w:t>standardi</w:t>
      </w:r>
      <w:r>
        <w:rPr>
          <w:rFonts w:ascii="Times New Roman" w:hAnsi="Times New Roman"/>
          <w:bCs/>
          <w:color w:val="000000"/>
          <w:sz w:val="24"/>
          <w:szCs w:val="24"/>
          <w:highlight w:val="yellow"/>
        </w:rPr>
        <w:t>s</w:t>
      </w:r>
      <w:r>
        <w:rPr>
          <w:rFonts w:ascii="Times New Roman" w:hAnsi="Times New Roman"/>
          <w:bCs/>
          <w:color w:val="000000"/>
          <w:sz w:val="24"/>
          <w:szCs w:val="24"/>
        </w:rPr>
        <w:t>e</w:t>
      </w:r>
      <w:proofErr w:type="spellEnd"/>
      <w:r>
        <w:rPr>
          <w:rFonts w:ascii="Times New Roman" w:hAnsi="Times New Roman"/>
          <w:bCs/>
          <w:color w:val="000000"/>
          <w:sz w:val="24"/>
          <w:szCs w:val="24"/>
        </w:rPr>
        <w:t xml:space="preserve"> the condition factor and bring it closer to 1.</w:t>
      </w:r>
    </w:p>
    <w:p w14:paraId="43A6B5CA" w14:textId="77777777" w:rsidR="00AA5368" w:rsidRPr="00AA5368" w:rsidRDefault="00AA5368" w:rsidP="00AA5368">
      <w:pPr>
        <w:spacing w:before="120" w:after="120" w:line="360" w:lineRule="auto"/>
        <w:jc w:val="both"/>
        <w:rPr>
          <w:rFonts w:ascii="Times New Roman" w:hAnsi="Times New Roman"/>
          <w:b/>
          <w:bCs/>
          <w:iCs/>
          <w:color w:val="000000"/>
          <w:sz w:val="24"/>
          <w:szCs w:val="24"/>
        </w:rPr>
      </w:pPr>
      <w:r w:rsidRPr="00AA5368">
        <w:rPr>
          <w:rFonts w:ascii="Times New Roman" w:hAnsi="Times New Roman"/>
          <w:b/>
          <w:bCs/>
          <w:iCs/>
          <w:color w:val="000000"/>
          <w:sz w:val="24"/>
          <w:szCs w:val="24"/>
        </w:rPr>
        <w:t>Data Analysis</w:t>
      </w:r>
    </w:p>
    <w:p w14:paraId="6D98D461" w14:textId="77777777" w:rsidR="00AA5368" w:rsidRPr="00AA5368" w:rsidRDefault="00AA5368" w:rsidP="00AA5368">
      <w:pPr>
        <w:spacing w:before="120" w:after="120" w:line="360" w:lineRule="auto"/>
        <w:jc w:val="both"/>
        <w:rPr>
          <w:rFonts w:ascii="Times New Roman" w:hAnsi="Times New Roman"/>
          <w:b/>
          <w:bCs/>
          <w:iCs/>
          <w:color w:val="000000"/>
          <w:sz w:val="24"/>
          <w:szCs w:val="24"/>
        </w:rPr>
      </w:pPr>
      <w:r>
        <w:rPr>
          <w:rFonts w:ascii="Times New Roman" w:hAnsi="Times New Roman"/>
        </w:rPr>
        <w:t xml:space="preserve">All calculations, including the length–weight relationship, </w:t>
      </w:r>
      <w:r>
        <w:rPr>
          <w:rFonts w:ascii="Times New Roman" w:hAnsi="Times New Roman"/>
          <w:highlight w:val="yellow"/>
        </w:rPr>
        <w:t>F</w:t>
      </w:r>
      <w:r>
        <w:rPr>
          <w:rFonts w:ascii="Times New Roman" w:hAnsi="Times New Roman"/>
        </w:rPr>
        <w:t>ulton's condition factor (K), and relative condition factor (</w:t>
      </w:r>
      <w:proofErr w:type="spellStart"/>
      <w:r>
        <w:rPr>
          <w:rFonts w:ascii="Times New Roman" w:hAnsi="Times New Roman"/>
        </w:rPr>
        <w:t>Kn</w:t>
      </w:r>
      <w:proofErr w:type="spellEnd"/>
      <w:r>
        <w:rPr>
          <w:rFonts w:ascii="Times New Roman" w:hAnsi="Times New Roman"/>
        </w:rPr>
        <w:t>), were performed using a scientific calculator. Statistical analyses, including descriptive statistics, regression analysis, and graphical presentations, were conducted using Microsoft Excel 2021 and R.</w:t>
      </w:r>
    </w:p>
    <w:p w14:paraId="1B1890D1" w14:textId="77777777" w:rsidR="00AA5368" w:rsidRDefault="00AA5368" w:rsidP="00AA5368">
      <w:pPr>
        <w:spacing w:before="240" w:line="360" w:lineRule="auto"/>
        <w:jc w:val="both"/>
        <w:rPr>
          <w:rFonts w:ascii="Times New Roman" w:hAnsi="Times New Roman"/>
          <w:b/>
          <w:bCs/>
          <w:sz w:val="24"/>
          <w:szCs w:val="24"/>
        </w:rPr>
      </w:pPr>
    </w:p>
    <w:p w14:paraId="187853E8" w14:textId="77777777" w:rsidR="00AA5368" w:rsidRDefault="00AA5368" w:rsidP="00AA5368">
      <w:pPr>
        <w:spacing w:before="240" w:line="360" w:lineRule="auto"/>
        <w:jc w:val="both"/>
        <w:rPr>
          <w:rFonts w:ascii="Times New Roman" w:hAnsi="Times New Roman"/>
          <w:b/>
          <w:bCs/>
          <w:sz w:val="24"/>
          <w:szCs w:val="24"/>
        </w:rPr>
      </w:pPr>
    </w:p>
    <w:p w14:paraId="5B37A4AD" w14:textId="77777777" w:rsidR="00AA5368" w:rsidRDefault="00AA5368" w:rsidP="00AA5368">
      <w:pPr>
        <w:spacing w:before="240" w:line="360" w:lineRule="auto"/>
        <w:jc w:val="both"/>
        <w:rPr>
          <w:rFonts w:ascii="Times New Roman" w:hAnsi="Times New Roman"/>
          <w:b/>
          <w:bCs/>
          <w:sz w:val="24"/>
          <w:szCs w:val="24"/>
        </w:rPr>
      </w:pPr>
    </w:p>
    <w:p w14:paraId="00B55FF0" w14:textId="77777777" w:rsidR="00AA5368" w:rsidRPr="00AA5368" w:rsidRDefault="00AA5368" w:rsidP="00AA5368">
      <w:pPr>
        <w:spacing w:before="240" w:line="360" w:lineRule="auto"/>
        <w:jc w:val="both"/>
        <w:rPr>
          <w:rFonts w:ascii="Times New Roman" w:hAnsi="Times New Roman"/>
          <w:b/>
          <w:bCs/>
          <w:sz w:val="24"/>
          <w:szCs w:val="24"/>
        </w:rPr>
      </w:pPr>
      <w:r w:rsidRPr="00AA5368">
        <w:rPr>
          <w:rFonts w:ascii="Times New Roman" w:hAnsi="Times New Roman"/>
          <w:b/>
          <w:bCs/>
          <w:sz w:val="24"/>
          <w:szCs w:val="24"/>
        </w:rPr>
        <w:t>Result and Discussion</w:t>
      </w:r>
    </w:p>
    <w:p w14:paraId="492E1A8E" w14:textId="77777777" w:rsidR="00AA5368" w:rsidRPr="00AA5368" w:rsidRDefault="00AA5368" w:rsidP="00AA5368">
      <w:pPr>
        <w:spacing w:before="240" w:line="360" w:lineRule="auto"/>
        <w:jc w:val="both"/>
        <w:rPr>
          <w:rFonts w:ascii="Times New Roman" w:hAnsi="Times New Roman"/>
          <w:b/>
          <w:bCs/>
          <w:sz w:val="24"/>
          <w:szCs w:val="24"/>
        </w:rPr>
      </w:pPr>
      <w:r w:rsidRPr="00AA5368">
        <w:rPr>
          <w:rFonts w:ascii="Times New Roman" w:hAnsi="Times New Roman"/>
          <w:b/>
          <w:bCs/>
          <w:sz w:val="24"/>
          <w:szCs w:val="24"/>
        </w:rPr>
        <w:t xml:space="preserve">Length-weight relationship </w:t>
      </w:r>
    </w:p>
    <w:p w14:paraId="08BDA56A" w14:textId="77777777" w:rsidR="00AA5368" w:rsidRPr="00AA5368" w:rsidRDefault="00AA5368" w:rsidP="00AA5368">
      <w:pPr>
        <w:spacing w:before="280" w:after="280" w:line="360" w:lineRule="auto"/>
        <w:jc w:val="both"/>
        <w:rPr>
          <w:rFonts w:ascii="Times New Roman" w:hAnsi="Times New Roman"/>
          <w:sz w:val="24"/>
          <w:szCs w:val="24"/>
        </w:rPr>
      </w:pPr>
      <w:r>
        <w:rPr>
          <w:rFonts w:ascii="Times New Roman" w:hAnsi="Times New Roman"/>
          <w:color w:val="000000"/>
          <w:sz w:val="24"/>
          <w:szCs w:val="24"/>
        </w:rPr>
        <w:t>The values corresponding to the length</w:t>
      </w:r>
      <w:r>
        <w:rPr>
          <w:rFonts w:ascii="Times New Roman" w:hAnsi="Times New Roman"/>
          <w:color w:val="000000"/>
          <w:sz w:val="24"/>
          <w:szCs w:val="24"/>
          <w:highlight w:val="yellow"/>
        </w:rPr>
        <w:t>–</w:t>
      </w:r>
      <w:r>
        <w:rPr>
          <w:rFonts w:ascii="Times New Roman" w:hAnsi="Times New Roman"/>
          <w:color w:val="000000"/>
          <w:sz w:val="24"/>
          <w:szCs w:val="24"/>
        </w:rPr>
        <w:t>weight relationship</w:t>
      </w:r>
      <w:r>
        <w:rPr>
          <w:rFonts w:ascii="Times New Roman" w:hAnsi="Times New Roman"/>
          <w:color w:val="000000"/>
          <w:sz w:val="24"/>
          <w:szCs w:val="24"/>
          <w:highlight w:val="yellow"/>
        </w:rPr>
        <w:t>s</w:t>
      </w:r>
      <w:r>
        <w:rPr>
          <w:rFonts w:ascii="Times New Roman" w:hAnsi="Times New Roman"/>
          <w:color w:val="000000"/>
          <w:sz w:val="24"/>
          <w:szCs w:val="24"/>
        </w:rPr>
        <w:t xml:space="preserve"> of male and female </w:t>
      </w:r>
      <w:r>
        <w:rPr>
          <w:rFonts w:ascii="Times New Roman" w:hAnsi="Times New Roman"/>
          <w:i/>
          <w:iCs/>
          <w:color w:val="000000"/>
          <w:sz w:val="24"/>
          <w:szCs w:val="24"/>
        </w:rPr>
        <w:t>Macrobrachium</w:t>
      </w:r>
      <w:r>
        <w:rPr>
          <w:rFonts w:ascii="Times New Roman" w:hAnsi="Times New Roman"/>
          <w:color w:val="000000"/>
          <w:sz w:val="24"/>
          <w:szCs w:val="24"/>
        </w:rPr>
        <w:t xml:space="preserve"> </w:t>
      </w:r>
      <w:proofErr w:type="spellStart"/>
      <w:r>
        <w:rPr>
          <w:rFonts w:ascii="Times New Roman" w:hAnsi="Times New Roman"/>
          <w:i/>
          <w:iCs/>
          <w:color w:val="000000"/>
          <w:sz w:val="24"/>
          <w:szCs w:val="24"/>
        </w:rPr>
        <w:t>lamarrei</w:t>
      </w:r>
      <w:proofErr w:type="spellEnd"/>
      <w:r>
        <w:rPr>
          <w:rFonts w:ascii="Times New Roman" w:hAnsi="Times New Roman"/>
          <w:color w:val="000000"/>
          <w:sz w:val="24"/>
          <w:szCs w:val="24"/>
        </w:rPr>
        <w:t xml:space="preserve"> are plotted in Figures 2 </w:t>
      </w:r>
      <w:r>
        <w:rPr>
          <w:rFonts w:ascii="Times New Roman" w:hAnsi="Times New Roman"/>
          <w:color w:val="000000"/>
          <w:sz w:val="24"/>
          <w:szCs w:val="24"/>
          <w:highlight w:val="yellow"/>
        </w:rPr>
        <w:t>and</w:t>
      </w:r>
      <w:r>
        <w:rPr>
          <w:rFonts w:ascii="Times New Roman" w:hAnsi="Times New Roman"/>
          <w:color w:val="000000"/>
          <w:sz w:val="24"/>
          <w:szCs w:val="24"/>
        </w:rPr>
        <w:t xml:space="preserve"> 3, respectively, while the pooled relationship data are shown in </w:t>
      </w:r>
      <w:r>
        <w:rPr>
          <w:rFonts w:ascii="Times New Roman" w:hAnsi="Times New Roman"/>
          <w:color w:val="000000"/>
          <w:sz w:val="24"/>
          <w:szCs w:val="24"/>
          <w:lang w:val="en-IN"/>
        </w:rPr>
        <w:t>Figure</w:t>
      </w:r>
      <w:r>
        <w:rPr>
          <w:rFonts w:ascii="Times New Roman" w:hAnsi="Times New Roman"/>
          <w:color w:val="000000"/>
          <w:sz w:val="24"/>
          <w:szCs w:val="24"/>
        </w:rPr>
        <w:t xml:space="preserve"> 4. </w:t>
      </w:r>
      <w:r>
        <w:rPr>
          <w:rFonts w:ascii="Times New Roman" w:hAnsi="Times New Roman"/>
          <w:sz w:val="24"/>
          <w:szCs w:val="24"/>
        </w:rPr>
        <w:t>The regression coefficient (</w:t>
      </w:r>
      <w:r>
        <w:rPr>
          <w:rStyle w:val="Strong"/>
          <w:rFonts w:ascii="Times New Roman" w:hAnsi="Times New Roman"/>
          <w:b w:val="0"/>
          <w:bCs w:val="0"/>
          <w:sz w:val="24"/>
          <w:szCs w:val="24"/>
        </w:rPr>
        <w:t>b</w:t>
      </w:r>
      <w:r>
        <w:rPr>
          <w:rFonts w:ascii="Times New Roman" w:hAnsi="Times New Roman"/>
          <w:sz w:val="24"/>
          <w:szCs w:val="24"/>
        </w:rPr>
        <w:t xml:space="preserve">) was </w:t>
      </w:r>
      <w:r>
        <w:rPr>
          <w:rStyle w:val="Strong"/>
          <w:rFonts w:ascii="Times New Roman" w:hAnsi="Times New Roman"/>
          <w:b w:val="0"/>
          <w:bCs w:val="0"/>
          <w:sz w:val="24"/>
          <w:szCs w:val="24"/>
        </w:rPr>
        <w:t>2.6154</w:t>
      </w:r>
      <w:r>
        <w:rPr>
          <w:rFonts w:ascii="Times New Roman" w:hAnsi="Times New Roman"/>
          <w:sz w:val="24"/>
          <w:szCs w:val="24"/>
        </w:rPr>
        <w:t xml:space="preserve"> for males, </w:t>
      </w:r>
      <w:r>
        <w:rPr>
          <w:rStyle w:val="Strong"/>
          <w:rFonts w:ascii="Times New Roman" w:hAnsi="Times New Roman"/>
          <w:b w:val="0"/>
          <w:bCs w:val="0"/>
          <w:sz w:val="24"/>
          <w:szCs w:val="24"/>
        </w:rPr>
        <w:t>2.7443</w:t>
      </w:r>
      <w:r>
        <w:rPr>
          <w:rFonts w:ascii="Times New Roman" w:hAnsi="Times New Roman"/>
          <w:sz w:val="24"/>
          <w:szCs w:val="24"/>
        </w:rPr>
        <w:t xml:space="preserve"> for females, and </w:t>
      </w:r>
      <w:r>
        <w:rPr>
          <w:rStyle w:val="Strong"/>
          <w:rFonts w:ascii="Times New Roman" w:hAnsi="Times New Roman"/>
          <w:b w:val="0"/>
          <w:bCs w:val="0"/>
          <w:sz w:val="24"/>
          <w:szCs w:val="24"/>
        </w:rPr>
        <w:t>2.6700</w:t>
      </w:r>
      <w:r>
        <w:rPr>
          <w:rFonts w:ascii="Times New Roman" w:hAnsi="Times New Roman"/>
          <w:sz w:val="24"/>
          <w:szCs w:val="24"/>
        </w:rPr>
        <w:t xml:space="preserve"> for the pooled population (Table 1), and </w:t>
      </w:r>
      <w:r>
        <w:rPr>
          <w:rFonts w:ascii="Times New Roman" w:hAnsi="Times New Roman"/>
          <w:sz w:val="24"/>
          <w:szCs w:val="24"/>
          <w:highlight w:val="yellow"/>
        </w:rPr>
        <w:t>all</w:t>
      </w:r>
      <w:r>
        <w:rPr>
          <w:rFonts w:ascii="Times New Roman" w:hAnsi="Times New Roman"/>
          <w:sz w:val="24"/>
          <w:szCs w:val="24"/>
        </w:rPr>
        <w:t xml:space="preserve"> estimated b value</w:t>
      </w:r>
      <w:r>
        <w:rPr>
          <w:rFonts w:ascii="Times New Roman" w:hAnsi="Times New Roman"/>
          <w:sz w:val="24"/>
          <w:szCs w:val="24"/>
          <w:highlight w:val="yellow"/>
        </w:rPr>
        <w:t>s</w:t>
      </w:r>
      <w:r>
        <w:rPr>
          <w:rFonts w:ascii="Times New Roman" w:hAnsi="Times New Roman"/>
          <w:sz w:val="24"/>
          <w:szCs w:val="24"/>
        </w:rPr>
        <w:t xml:space="preserve"> w</w:t>
      </w:r>
      <w:r>
        <w:rPr>
          <w:rFonts w:ascii="Times New Roman" w:hAnsi="Times New Roman"/>
          <w:sz w:val="24"/>
          <w:szCs w:val="24"/>
          <w:highlight w:val="yellow"/>
        </w:rPr>
        <w:t>ere</w:t>
      </w:r>
      <w:r>
        <w:rPr>
          <w:rFonts w:ascii="Times New Roman" w:hAnsi="Times New Roman"/>
          <w:sz w:val="24"/>
          <w:szCs w:val="24"/>
        </w:rPr>
        <w:t xml:space="preserve"> below 3, confirming negative allometric growth</w:t>
      </w:r>
      <w:r>
        <w:rPr>
          <w:rFonts w:ascii="Times New Roman" w:hAnsi="Times New Roman"/>
          <w:b/>
          <w:bCs/>
          <w:sz w:val="24"/>
          <w:szCs w:val="24"/>
        </w:rPr>
        <w:t xml:space="preserve">. </w:t>
      </w:r>
      <w:r>
        <w:rPr>
          <w:rFonts w:ascii="Times New Roman" w:hAnsi="Times New Roman"/>
          <w:sz w:val="24"/>
          <w:szCs w:val="24"/>
        </w:rPr>
        <w:t xml:space="preserve">Statistical testing at </w:t>
      </w:r>
      <w:r>
        <w:rPr>
          <w:rFonts w:ascii="Times New Roman" w:hAnsi="Times New Roman"/>
          <w:sz w:val="24"/>
          <w:szCs w:val="24"/>
          <w:highlight w:val="yellow"/>
        </w:rPr>
        <w:t xml:space="preserve">the </w:t>
      </w:r>
      <w:r>
        <w:rPr>
          <w:rFonts w:ascii="Times New Roman" w:hAnsi="Times New Roman"/>
          <w:sz w:val="24"/>
          <w:szCs w:val="24"/>
        </w:rPr>
        <w:t>95%</w:t>
      </w:r>
      <w:r>
        <w:rPr>
          <w:rFonts w:ascii="Times New Roman" w:hAnsi="Times New Roman"/>
          <w:sz w:val="24"/>
          <w:szCs w:val="24"/>
          <w:highlight w:val="yellow"/>
        </w:rPr>
        <w:t xml:space="preserve"> confidence level</w:t>
      </w:r>
      <w:r>
        <w:rPr>
          <w:rFonts w:ascii="Times New Roman" w:hAnsi="Times New Roman"/>
          <w:sz w:val="24"/>
          <w:szCs w:val="24"/>
        </w:rPr>
        <w:t xml:space="preserve"> against the theoretical value of 3 showed significant negative allometric growth in the male, female, and pooled data.</w:t>
      </w:r>
      <w:r>
        <w:rPr>
          <w:rFonts w:ascii="Times New Roman" w:hAnsi="Times New Roman"/>
          <w:b/>
          <w:bCs/>
          <w:sz w:val="24"/>
          <w:szCs w:val="24"/>
        </w:rPr>
        <w:t xml:space="preserve"> </w:t>
      </w:r>
      <w:r>
        <w:rPr>
          <w:rFonts w:ascii="Times New Roman" w:hAnsi="Times New Roman"/>
          <w:sz w:val="24"/>
          <w:szCs w:val="24"/>
        </w:rPr>
        <w:t>The coefficient of correlation (</w:t>
      </w:r>
      <w:r>
        <w:rPr>
          <w:rStyle w:val="Strong"/>
          <w:rFonts w:ascii="Times New Roman" w:hAnsi="Times New Roman"/>
          <w:b w:val="0"/>
          <w:bCs w:val="0"/>
          <w:sz w:val="24"/>
          <w:szCs w:val="24"/>
        </w:rPr>
        <w:t>r</w:t>
      </w:r>
      <w:r>
        <w:rPr>
          <w:rFonts w:ascii="Times New Roman" w:hAnsi="Times New Roman"/>
          <w:sz w:val="24"/>
          <w:szCs w:val="24"/>
        </w:rPr>
        <w:t>) was highest in males (</w:t>
      </w:r>
      <w:r>
        <w:rPr>
          <w:rStyle w:val="Strong"/>
          <w:rFonts w:ascii="Times New Roman" w:hAnsi="Times New Roman"/>
          <w:b w:val="0"/>
          <w:bCs w:val="0"/>
          <w:sz w:val="24"/>
          <w:szCs w:val="24"/>
        </w:rPr>
        <w:t>0.9131</w:t>
      </w:r>
      <w:r>
        <w:rPr>
          <w:rFonts w:ascii="Times New Roman" w:hAnsi="Times New Roman"/>
          <w:sz w:val="24"/>
          <w:szCs w:val="24"/>
        </w:rPr>
        <w:t>), followed by the pooled population (</w:t>
      </w:r>
      <w:r>
        <w:rPr>
          <w:rStyle w:val="Strong"/>
          <w:rFonts w:ascii="Times New Roman" w:hAnsi="Times New Roman"/>
          <w:b w:val="0"/>
          <w:bCs w:val="0"/>
          <w:sz w:val="24"/>
          <w:szCs w:val="24"/>
        </w:rPr>
        <w:t>0.9011</w:t>
      </w:r>
      <w:r>
        <w:rPr>
          <w:rFonts w:ascii="Times New Roman" w:hAnsi="Times New Roman"/>
          <w:sz w:val="24"/>
          <w:szCs w:val="24"/>
        </w:rPr>
        <w:t>) and females (</w:t>
      </w:r>
      <w:r>
        <w:rPr>
          <w:rStyle w:val="Strong"/>
          <w:rFonts w:ascii="Times New Roman" w:hAnsi="Times New Roman"/>
          <w:b w:val="0"/>
          <w:bCs w:val="0"/>
          <w:sz w:val="24"/>
          <w:szCs w:val="24"/>
        </w:rPr>
        <w:t>0.8757</w:t>
      </w:r>
      <w:r>
        <w:rPr>
          <w:rFonts w:ascii="Times New Roman" w:hAnsi="Times New Roman"/>
          <w:sz w:val="24"/>
          <w:szCs w:val="24"/>
        </w:rPr>
        <w:t>), suggesting a strong relationship between length and weight. Similarly, the coefficient of determination (</w:t>
      </w:r>
      <w:r>
        <w:rPr>
          <w:rStyle w:val="Strong"/>
          <w:rFonts w:ascii="Times New Roman" w:hAnsi="Times New Roman"/>
          <w:b w:val="0"/>
          <w:bCs w:val="0"/>
          <w:sz w:val="24"/>
          <w:szCs w:val="24"/>
        </w:rPr>
        <w:t>R</w:t>
      </w:r>
      <w:r>
        <w:rPr>
          <w:rStyle w:val="Strong"/>
          <w:rFonts w:ascii="Times New Roman" w:hAnsi="Times New Roman"/>
          <w:sz w:val="24"/>
          <w:szCs w:val="24"/>
        </w:rPr>
        <w:t>²</w:t>
      </w:r>
      <w:r>
        <w:rPr>
          <w:rFonts w:ascii="Times New Roman" w:hAnsi="Times New Roman"/>
          <w:sz w:val="24"/>
          <w:szCs w:val="24"/>
        </w:rPr>
        <w:t xml:space="preserve">) ranged from </w:t>
      </w:r>
      <w:r>
        <w:rPr>
          <w:rStyle w:val="Strong"/>
          <w:rFonts w:ascii="Times New Roman" w:hAnsi="Times New Roman"/>
          <w:b w:val="0"/>
          <w:bCs w:val="0"/>
          <w:sz w:val="24"/>
          <w:szCs w:val="24"/>
        </w:rPr>
        <w:t>0.7668</w:t>
      </w:r>
      <w:r>
        <w:rPr>
          <w:rFonts w:ascii="Times New Roman" w:hAnsi="Times New Roman"/>
          <w:sz w:val="24"/>
          <w:szCs w:val="24"/>
        </w:rPr>
        <w:t xml:space="preserve"> to </w:t>
      </w:r>
      <w:r>
        <w:rPr>
          <w:rStyle w:val="Strong"/>
          <w:rFonts w:ascii="Times New Roman" w:hAnsi="Times New Roman"/>
          <w:b w:val="0"/>
          <w:bCs w:val="0"/>
          <w:sz w:val="24"/>
          <w:szCs w:val="24"/>
        </w:rPr>
        <w:t>0.8338</w:t>
      </w:r>
      <w:r>
        <w:rPr>
          <w:rFonts w:ascii="Times New Roman" w:hAnsi="Times New Roman"/>
          <w:sz w:val="24"/>
          <w:szCs w:val="24"/>
        </w:rPr>
        <w:t>, with the highest value observed in males, indicating that individual body length explained more than 76% of the variation in body weight.</w:t>
      </w:r>
    </w:p>
    <w:p w14:paraId="6E7F7AB1" w14:textId="77777777" w:rsidR="00AA5368" w:rsidRPr="00AA5368" w:rsidRDefault="00AA5368" w:rsidP="00AA5368">
      <w:pPr>
        <w:spacing w:after="0" w:line="360" w:lineRule="auto"/>
        <w:jc w:val="both"/>
        <w:rPr>
          <w:rFonts w:ascii="Times New Roman" w:hAnsi="Times New Roman"/>
          <w:b/>
          <w:bCs/>
          <w:sz w:val="24"/>
          <w:szCs w:val="24"/>
          <w:lang w:val="en-IN"/>
        </w:rPr>
      </w:pPr>
      <w:r w:rsidRPr="00AA5368">
        <w:rPr>
          <w:rFonts w:ascii="Times New Roman" w:hAnsi="Times New Roman"/>
          <w:b/>
          <w:bCs/>
          <w:color w:val="000000"/>
          <w:sz w:val="24"/>
          <w:szCs w:val="24"/>
          <w:lang w:val="en-IN"/>
        </w:rPr>
        <w:t xml:space="preserve">Table 1: Parameters of the length-weight relationship </w:t>
      </w:r>
      <w:r w:rsidRPr="00AA5368">
        <w:rPr>
          <w:rFonts w:ascii="Times New Roman" w:hAnsi="Times New Roman"/>
          <w:b/>
          <w:bCs/>
          <w:sz w:val="24"/>
          <w:szCs w:val="24"/>
          <w:lang w:val="en-IN"/>
        </w:rPr>
        <w:t xml:space="preserve">of </w:t>
      </w:r>
      <w:r w:rsidRPr="00AA5368">
        <w:rPr>
          <w:rFonts w:ascii="Times New Roman" w:hAnsi="Times New Roman"/>
          <w:b/>
          <w:bCs/>
          <w:i/>
          <w:iCs/>
          <w:sz w:val="24"/>
          <w:szCs w:val="24"/>
          <w:lang w:val="en-IN"/>
        </w:rPr>
        <w:t xml:space="preserve">M. </w:t>
      </w:r>
      <w:proofErr w:type="spellStart"/>
      <w:proofErr w:type="gramStart"/>
      <w:r w:rsidR="009C6FA0" w:rsidRPr="009C6FA0">
        <w:rPr>
          <w:rFonts w:ascii="Times New Roman" w:hAnsi="Times New Roman"/>
          <w:b/>
          <w:bCs/>
          <w:i/>
          <w:iCs/>
          <w:sz w:val="24"/>
          <w:szCs w:val="24"/>
          <w:lang w:val="en-IN"/>
        </w:rPr>
        <w:t>lamarrei</w:t>
      </w:r>
      <w:proofErr w:type="spellEnd"/>
      <w:r w:rsidR="009C6FA0" w:rsidRPr="009C6FA0">
        <w:rPr>
          <w:rFonts w:ascii="Times New Roman" w:hAnsi="Times New Roman"/>
          <w:b/>
          <w:bCs/>
          <w:i/>
          <w:iCs/>
          <w:sz w:val="24"/>
          <w:szCs w:val="24"/>
          <w:lang w:val="en-IN"/>
        </w:rPr>
        <w:t xml:space="preserve">  </w:t>
      </w:r>
      <w:r w:rsidRPr="00AA5368">
        <w:rPr>
          <w:rFonts w:ascii="Times New Roman" w:hAnsi="Times New Roman"/>
          <w:b/>
          <w:bCs/>
          <w:sz w:val="24"/>
          <w:szCs w:val="24"/>
          <w:lang w:val="en-IN"/>
        </w:rPr>
        <w:t>.</w:t>
      </w:r>
      <w:proofErr w:type="gramEnd"/>
    </w:p>
    <w:tbl>
      <w:tblPr>
        <w:tblW w:w="9097" w:type="dxa"/>
        <w:tblInd w:w="113" w:type="dxa"/>
        <w:tblLayout w:type="fixed"/>
        <w:tblLook w:val="0000" w:firstRow="0" w:lastRow="0" w:firstColumn="0" w:lastColumn="0" w:noHBand="0" w:noVBand="0"/>
      </w:tblPr>
      <w:tblGrid>
        <w:gridCol w:w="1779"/>
        <w:gridCol w:w="1064"/>
        <w:gridCol w:w="1397"/>
        <w:gridCol w:w="1619"/>
        <w:gridCol w:w="1619"/>
        <w:gridCol w:w="1619"/>
      </w:tblGrid>
      <w:tr w:rsidR="00AA5368" w:rsidRPr="00AA5368" w14:paraId="19CFC281" w14:textId="77777777" w:rsidTr="003D52E1">
        <w:trPr>
          <w:trHeight w:val="341"/>
        </w:trPr>
        <w:tc>
          <w:tcPr>
            <w:tcW w:w="1779" w:type="dxa"/>
            <w:tcBorders>
              <w:top w:val="single" w:sz="4" w:space="0" w:color="666666"/>
              <w:left w:val="single" w:sz="4" w:space="0" w:color="666666"/>
              <w:bottom w:val="single" w:sz="12" w:space="0" w:color="666666"/>
              <w:right w:val="single" w:sz="4" w:space="0" w:color="666666"/>
            </w:tcBorders>
          </w:tcPr>
          <w:p w14:paraId="2B92D86E" w14:textId="77777777" w:rsidR="00AA5368" w:rsidRPr="00AA5368" w:rsidRDefault="00AA5368" w:rsidP="003D52E1">
            <w:pPr>
              <w:spacing w:after="0" w:line="240" w:lineRule="auto"/>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Sex</w:t>
            </w:r>
          </w:p>
        </w:tc>
        <w:tc>
          <w:tcPr>
            <w:tcW w:w="1064" w:type="dxa"/>
            <w:tcBorders>
              <w:top w:val="single" w:sz="4" w:space="0" w:color="666666"/>
              <w:left w:val="single" w:sz="4" w:space="0" w:color="666666"/>
              <w:bottom w:val="single" w:sz="12" w:space="0" w:color="666666"/>
              <w:right w:val="single" w:sz="4" w:space="0" w:color="666666"/>
            </w:tcBorders>
          </w:tcPr>
          <w:p w14:paraId="3B85BED1" w14:textId="77777777" w:rsidR="00AA5368" w:rsidRPr="00AA5368" w:rsidRDefault="00AA5368" w:rsidP="003D52E1">
            <w:pPr>
              <w:spacing w:after="0" w:line="240" w:lineRule="auto"/>
              <w:jc w:val="right"/>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N</w:t>
            </w:r>
          </w:p>
        </w:tc>
        <w:tc>
          <w:tcPr>
            <w:tcW w:w="1397" w:type="dxa"/>
            <w:tcBorders>
              <w:top w:val="single" w:sz="4" w:space="0" w:color="666666"/>
              <w:left w:val="single" w:sz="4" w:space="0" w:color="666666"/>
              <w:bottom w:val="single" w:sz="12" w:space="0" w:color="666666"/>
              <w:right w:val="single" w:sz="4" w:space="0" w:color="666666"/>
            </w:tcBorders>
          </w:tcPr>
          <w:p w14:paraId="14F61D03" w14:textId="77777777" w:rsidR="00AA5368" w:rsidRPr="00AA5368" w:rsidRDefault="00AA5368" w:rsidP="003D52E1">
            <w:pPr>
              <w:spacing w:after="0" w:line="240" w:lineRule="auto"/>
              <w:jc w:val="right"/>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a</w:t>
            </w:r>
          </w:p>
        </w:tc>
        <w:tc>
          <w:tcPr>
            <w:tcW w:w="1619" w:type="dxa"/>
            <w:tcBorders>
              <w:top w:val="single" w:sz="4" w:space="0" w:color="666666"/>
              <w:left w:val="single" w:sz="4" w:space="0" w:color="666666"/>
              <w:bottom w:val="single" w:sz="12" w:space="0" w:color="666666"/>
              <w:right w:val="single" w:sz="4" w:space="0" w:color="666666"/>
            </w:tcBorders>
          </w:tcPr>
          <w:p w14:paraId="40C3C1B3" w14:textId="77777777" w:rsidR="00AA5368" w:rsidRPr="00AA5368" w:rsidRDefault="00AA5368" w:rsidP="003D52E1">
            <w:pPr>
              <w:spacing w:after="0" w:line="240" w:lineRule="auto"/>
              <w:jc w:val="right"/>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b</w:t>
            </w:r>
          </w:p>
        </w:tc>
        <w:tc>
          <w:tcPr>
            <w:tcW w:w="1619" w:type="dxa"/>
            <w:tcBorders>
              <w:top w:val="single" w:sz="4" w:space="0" w:color="666666"/>
              <w:left w:val="single" w:sz="4" w:space="0" w:color="666666"/>
              <w:bottom w:val="single" w:sz="12" w:space="0" w:color="666666"/>
              <w:right w:val="single" w:sz="4" w:space="0" w:color="666666"/>
            </w:tcBorders>
          </w:tcPr>
          <w:p w14:paraId="30EAC00D" w14:textId="77777777" w:rsidR="00AA5368" w:rsidRPr="00AA5368" w:rsidRDefault="00AA5368" w:rsidP="003D52E1">
            <w:pPr>
              <w:spacing w:after="0" w:line="240" w:lineRule="auto"/>
              <w:jc w:val="right"/>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r</w:t>
            </w:r>
          </w:p>
        </w:tc>
        <w:tc>
          <w:tcPr>
            <w:tcW w:w="1619" w:type="dxa"/>
            <w:tcBorders>
              <w:top w:val="single" w:sz="4" w:space="0" w:color="666666"/>
              <w:left w:val="single" w:sz="4" w:space="0" w:color="666666"/>
              <w:bottom w:val="single" w:sz="12" w:space="0" w:color="666666"/>
              <w:right w:val="single" w:sz="4" w:space="0" w:color="666666"/>
            </w:tcBorders>
          </w:tcPr>
          <w:p w14:paraId="38D68C43" w14:textId="77777777" w:rsidR="00AA5368" w:rsidRPr="00AA5368" w:rsidRDefault="00AA5368" w:rsidP="003D52E1">
            <w:pPr>
              <w:spacing w:after="0" w:line="240" w:lineRule="auto"/>
              <w:jc w:val="right"/>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R²</w:t>
            </w:r>
          </w:p>
        </w:tc>
      </w:tr>
      <w:tr w:rsidR="00AA5368" w:rsidRPr="00AA5368" w14:paraId="202F13CC" w14:textId="77777777" w:rsidTr="003D52E1">
        <w:trPr>
          <w:trHeight w:val="341"/>
        </w:trPr>
        <w:tc>
          <w:tcPr>
            <w:tcW w:w="1779" w:type="dxa"/>
            <w:tcBorders>
              <w:top w:val="single" w:sz="4" w:space="0" w:color="666666"/>
              <w:left w:val="single" w:sz="4" w:space="0" w:color="666666"/>
              <w:bottom w:val="single" w:sz="4" w:space="0" w:color="666666"/>
              <w:right w:val="single" w:sz="4" w:space="0" w:color="666666"/>
            </w:tcBorders>
            <w:shd w:val="clear" w:color="auto" w:fill="CCCCCC"/>
          </w:tcPr>
          <w:p w14:paraId="5265925F" w14:textId="77777777" w:rsidR="00AA5368" w:rsidRPr="00AA5368" w:rsidRDefault="00AA5368" w:rsidP="003D52E1">
            <w:pPr>
              <w:spacing w:after="0" w:line="240" w:lineRule="auto"/>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Male</w:t>
            </w:r>
          </w:p>
        </w:tc>
        <w:tc>
          <w:tcPr>
            <w:tcW w:w="1064" w:type="dxa"/>
            <w:tcBorders>
              <w:top w:val="single" w:sz="4" w:space="0" w:color="666666"/>
              <w:left w:val="single" w:sz="4" w:space="0" w:color="666666"/>
              <w:bottom w:val="single" w:sz="4" w:space="0" w:color="666666"/>
              <w:right w:val="single" w:sz="4" w:space="0" w:color="666666"/>
            </w:tcBorders>
            <w:shd w:val="clear" w:color="auto" w:fill="CCCCCC"/>
          </w:tcPr>
          <w:p w14:paraId="1DAD399B"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64</w:t>
            </w:r>
          </w:p>
        </w:tc>
        <w:tc>
          <w:tcPr>
            <w:tcW w:w="1397" w:type="dxa"/>
            <w:tcBorders>
              <w:top w:val="single" w:sz="4" w:space="0" w:color="666666"/>
              <w:left w:val="single" w:sz="4" w:space="0" w:color="666666"/>
              <w:bottom w:val="single" w:sz="4" w:space="0" w:color="666666"/>
              <w:right w:val="single" w:sz="4" w:space="0" w:color="666666"/>
            </w:tcBorders>
            <w:shd w:val="clear" w:color="auto" w:fill="CCCCCC"/>
          </w:tcPr>
          <w:p w14:paraId="1987A2C9"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2.910</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037CCAB2"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2.6154</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6578C1B0"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0.9131</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64AB7186"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0.8338</w:t>
            </w:r>
          </w:p>
        </w:tc>
      </w:tr>
      <w:tr w:rsidR="00AA5368" w:rsidRPr="00AA5368" w14:paraId="0CBFB568" w14:textId="77777777" w:rsidTr="003D52E1">
        <w:trPr>
          <w:trHeight w:val="341"/>
        </w:trPr>
        <w:tc>
          <w:tcPr>
            <w:tcW w:w="1779" w:type="dxa"/>
            <w:tcBorders>
              <w:top w:val="single" w:sz="4" w:space="0" w:color="666666"/>
              <w:left w:val="single" w:sz="4" w:space="0" w:color="666666"/>
              <w:bottom w:val="single" w:sz="4" w:space="0" w:color="666666"/>
              <w:right w:val="single" w:sz="4" w:space="0" w:color="666666"/>
            </w:tcBorders>
          </w:tcPr>
          <w:p w14:paraId="49174516" w14:textId="77777777" w:rsidR="00AA5368" w:rsidRPr="00AA5368" w:rsidRDefault="00AA5368" w:rsidP="003D52E1">
            <w:pPr>
              <w:spacing w:after="0" w:line="240" w:lineRule="auto"/>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Female</w:t>
            </w:r>
          </w:p>
        </w:tc>
        <w:tc>
          <w:tcPr>
            <w:tcW w:w="1064" w:type="dxa"/>
            <w:tcBorders>
              <w:top w:val="single" w:sz="4" w:space="0" w:color="666666"/>
              <w:left w:val="single" w:sz="4" w:space="0" w:color="666666"/>
              <w:bottom w:val="single" w:sz="4" w:space="0" w:color="666666"/>
              <w:right w:val="single" w:sz="4" w:space="0" w:color="666666"/>
            </w:tcBorders>
          </w:tcPr>
          <w:p w14:paraId="1CC23DE0"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100</w:t>
            </w:r>
          </w:p>
        </w:tc>
        <w:tc>
          <w:tcPr>
            <w:tcW w:w="1397" w:type="dxa"/>
            <w:tcBorders>
              <w:top w:val="single" w:sz="4" w:space="0" w:color="666666"/>
              <w:left w:val="single" w:sz="4" w:space="0" w:color="666666"/>
              <w:bottom w:val="single" w:sz="4" w:space="0" w:color="666666"/>
              <w:right w:val="single" w:sz="4" w:space="0" w:color="666666"/>
            </w:tcBorders>
          </w:tcPr>
          <w:p w14:paraId="62CC8EE4"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2.867</w:t>
            </w:r>
          </w:p>
        </w:tc>
        <w:tc>
          <w:tcPr>
            <w:tcW w:w="1619" w:type="dxa"/>
            <w:tcBorders>
              <w:top w:val="single" w:sz="4" w:space="0" w:color="666666"/>
              <w:left w:val="single" w:sz="4" w:space="0" w:color="666666"/>
              <w:bottom w:val="single" w:sz="4" w:space="0" w:color="666666"/>
              <w:right w:val="single" w:sz="4" w:space="0" w:color="666666"/>
            </w:tcBorders>
          </w:tcPr>
          <w:p w14:paraId="5C92BCD5"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2.7443</w:t>
            </w:r>
          </w:p>
        </w:tc>
        <w:tc>
          <w:tcPr>
            <w:tcW w:w="1619" w:type="dxa"/>
            <w:tcBorders>
              <w:top w:val="single" w:sz="4" w:space="0" w:color="666666"/>
              <w:left w:val="single" w:sz="4" w:space="0" w:color="666666"/>
              <w:bottom w:val="single" w:sz="4" w:space="0" w:color="666666"/>
              <w:right w:val="single" w:sz="4" w:space="0" w:color="666666"/>
            </w:tcBorders>
          </w:tcPr>
          <w:p w14:paraId="046328D3"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0.8757</w:t>
            </w:r>
          </w:p>
        </w:tc>
        <w:tc>
          <w:tcPr>
            <w:tcW w:w="1619" w:type="dxa"/>
            <w:tcBorders>
              <w:top w:val="single" w:sz="4" w:space="0" w:color="666666"/>
              <w:left w:val="single" w:sz="4" w:space="0" w:color="666666"/>
              <w:bottom w:val="single" w:sz="4" w:space="0" w:color="666666"/>
              <w:right w:val="single" w:sz="4" w:space="0" w:color="666666"/>
            </w:tcBorders>
          </w:tcPr>
          <w:p w14:paraId="6B21DA47"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0.7668</w:t>
            </w:r>
          </w:p>
        </w:tc>
      </w:tr>
      <w:tr w:rsidR="00AA5368" w:rsidRPr="00AA5368" w14:paraId="639396C6" w14:textId="77777777" w:rsidTr="003D52E1">
        <w:trPr>
          <w:trHeight w:val="341"/>
        </w:trPr>
        <w:tc>
          <w:tcPr>
            <w:tcW w:w="1779" w:type="dxa"/>
            <w:tcBorders>
              <w:top w:val="single" w:sz="4" w:space="0" w:color="666666"/>
              <w:left w:val="single" w:sz="4" w:space="0" w:color="666666"/>
              <w:bottom w:val="single" w:sz="4" w:space="0" w:color="666666"/>
              <w:right w:val="single" w:sz="4" w:space="0" w:color="666666"/>
            </w:tcBorders>
            <w:shd w:val="clear" w:color="auto" w:fill="CCCCCC"/>
          </w:tcPr>
          <w:p w14:paraId="319F0191" w14:textId="77777777" w:rsidR="00AA5368" w:rsidRPr="00AA5368" w:rsidRDefault="00AA5368" w:rsidP="003D52E1">
            <w:pPr>
              <w:spacing w:after="0" w:line="240" w:lineRule="auto"/>
              <w:rPr>
                <w:rFonts w:ascii="Times New Roman" w:eastAsia="Times New Roman" w:hAnsi="Times New Roman"/>
                <w:b/>
                <w:bCs/>
                <w:color w:val="000000"/>
                <w:sz w:val="24"/>
                <w:szCs w:val="24"/>
                <w:lang w:val="en-IN" w:eastAsia="en-IN" w:bidi="hi-IN"/>
              </w:rPr>
            </w:pPr>
            <w:r w:rsidRPr="00AA5368">
              <w:rPr>
                <w:rFonts w:ascii="Times New Roman" w:eastAsia="Times New Roman" w:hAnsi="Times New Roman"/>
                <w:b/>
                <w:bCs/>
                <w:color w:val="000000"/>
                <w:sz w:val="24"/>
                <w:szCs w:val="24"/>
                <w:lang w:val="en-IN" w:eastAsia="en-IN" w:bidi="hi-IN"/>
              </w:rPr>
              <w:t>Pooled</w:t>
            </w:r>
          </w:p>
        </w:tc>
        <w:tc>
          <w:tcPr>
            <w:tcW w:w="1064" w:type="dxa"/>
            <w:tcBorders>
              <w:top w:val="single" w:sz="4" w:space="0" w:color="666666"/>
              <w:left w:val="single" w:sz="4" w:space="0" w:color="666666"/>
              <w:bottom w:val="single" w:sz="4" w:space="0" w:color="666666"/>
              <w:right w:val="single" w:sz="4" w:space="0" w:color="666666"/>
            </w:tcBorders>
            <w:shd w:val="clear" w:color="auto" w:fill="CCCCCC"/>
          </w:tcPr>
          <w:p w14:paraId="3C0BE6A7"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164</w:t>
            </w:r>
          </w:p>
        </w:tc>
        <w:tc>
          <w:tcPr>
            <w:tcW w:w="1397" w:type="dxa"/>
            <w:tcBorders>
              <w:top w:val="single" w:sz="4" w:space="0" w:color="666666"/>
              <w:left w:val="single" w:sz="4" w:space="0" w:color="666666"/>
              <w:bottom w:val="single" w:sz="4" w:space="0" w:color="666666"/>
              <w:right w:val="single" w:sz="4" w:space="0" w:color="666666"/>
            </w:tcBorders>
            <w:shd w:val="clear" w:color="auto" w:fill="CCCCCC"/>
          </w:tcPr>
          <w:p w14:paraId="2F9C5961"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2.886</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1C1DA75F"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2.6700</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38AAA5C7"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0.9011</w:t>
            </w:r>
          </w:p>
        </w:tc>
        <w:tc>
          <w:tcPr>
            <w:tcW w:w="1619" w:type="dxa"/>
            <w:tcBorders>
              <w:top w:val="single" w:sz="4" w:space="0" w:color="666666"/>
              <w:left w:val="single" w:sz="4" w:space="0" w:color="666666"/>
              <w:bottom w:val="single" w:sz="4" w:space="0" w:color="666666"/>
              <w:right w:val="single" w:sz="4" w:space="0" w:color="666666"/>
            </w:tcBorders>
            <w:shd w:val="clear" w:color="auto" w:fill="CCCCCC"/>
          </w:tcPr>
          <w:p w14:paraId="05A69AF7" w14:textId="77777777" w:rsidR="00AA5368" w:rsidRPr="00AA5368" w:rsidRDefault="00AA5368" w:rsidP="003D52E1">
            <w:pPr>
              <w:spacing w:after="0" w:line="240" w:lineRule="auto"/>
              <w:jc w:val="right"/>
              <w:rPr>
                <w:rFonts w:ascii="Times New Roman" w:eastAsia="Times New Roman" w:hAnsi="Times New Roman"/>
                <w:color w:val="000000"/>
                <w:sz w:val="24"/>
                <w:szCs w:val="24"/>
                <w:lang w:val="en-IN" w:eastAsia="en-IN" w:bidi="hi-IN"/>
              </w:rPr>
            </w:pPr>
            <w:r w:rsidRPr="00AA5368">
              <w:rPr>
                <w:rFonts w:ascii="Times New Roman" w:eastAsia="Times New Roman" w:hAnsi="Times New Roman"/>
                <w:color w:val="000000"/>
                <w:sz w:val="24"/>
                <w:szCs w:val="24"/>
                <w:lang w:val="en-IN" w:eastAsia="en-IN" w:bidi="hi-IN"/>
              </w:rPr>
              <w:t>0.8120</w:t>
            </w:r>
          </w:p>
        </w:tc>
      </w:tr>
    </w:tbl>
    <w:p w14:paraId="300C07BE" w14:textId="77777777" w:rsidR="00AA5368" w:rsidRPr="00AA5368" w:rsidRDefault="00AA5368" w:rsidP="00AA5368">
      <w:pPr>
        <w:spacing w:after="0" w:line="360" w:lineRule="auto"/>
        <w:jc w:val="both"/>
        <w:rPr>
          <w:rFonts w:ascii="Times New Roman" w:hAnsi="Times New Roman"/>
          <w:sz w:val="24"/>
          <w:szCs w:val="24"/>
        </w:rPr>
      </w:pPr>
      <w:r w:rsidRPr="00AA5368">
        <w:rPr>
          <w:rFonts w:ascii="Times New Roman" w:hAnsi="Times New Roman"/>
          <w:sz w:val="24"/>
          <w:szCs w:val="24"/>
        </w:rPr>
        <w:t>n=number of specimens, a=regression co-efficient, b=regression co-efficient, r=correlation co-efficient, r</w:t>
      </w:r>
      <w:r w:rsidRPr="00AA5368">
        <w:rPr>
          <w:rFonts w:ascii="Times New Roman" w:hAnsi="Times New Roman"/>
          <w:sz w:val="24"/>
          <w:szCs w:val="24"/>
          <w:vertAlign w:val="superscript"/>
        </w:rPr>
        <w:t>2</w:t>
      </w:r>
      <w:r w:rsidRPr="00AA5368">
        <w:rPr>
          <w:rFonts w:ascii="Times New Roman" w:hAnsi="Times New Roman"/>
          <w:sz w:val="24"/>
          <w:szCs w:val="24"/>
        </w:rPr>
        <w:t>=Coefficient of determination</w:t>
      </w:r>
    </w:p>
    <w:p w14:paraId="5891C762" w14:textId="77777777" w:rsidR="00AA5368" w:rsidRPr="00AA5368" w:rsidRDefault="00AA5368" w:rsidP="00AA5368">
      <w:pPr>
        <w:spacing w:after="0" w:line="360" w:lineRule="auto"/>
        <w:jc w:val="both"/>
        <w:rPr>
          <w:rFonts w:ascii="Times New Roman" w:eastAsia="Times New Roman" w:hAnsi="Times New Roman"/>
          <w:b/>
          <w:bCs/>
          <w:sz w:val="24"/>
          <w:szCs w:val="24"/>
          <w:lang w:val="en-IN" w:eastAsia="en-IN" w:bidi="hi-IN"/>
        </w:rPr>
      </w:pPr>
    </w:p>
    <w:p w14:paraId="6B9ADFC1" w14:textId="77777777" w:rsidR="00AA5368" w:rsidRPr="00AA5368" w:rsidRDefault="00AA5368" w:rsidP="00AA5368">
      <w:pPr>
        <w:spacing w:after="0" w:line="360" w:lineRule="auto"/>
        <w:jc w:val="both"/>
        <w:rPr>
          <w:rFonts w:ascii="Times New Roman" w:hAnsi="Times New Roman"/>
          <w:sz w:val="24"/>
          <w:szCs w:val="24"/>
        </w:rPr>
      </w:pPr>
      <w:r w:rsidRPr="00AA5368">
        <w:rPr>
          <w:rFonts w:ascii="Times New Roman" w:eastAsia="Times New Roman" w:hAnsi="Times New Roman"/>
          <w:b/>
          <w:bCs/>
          <w:sz w:val="24"/>
          <w:szCs w:val="24"/>
          <w:lang w:val="en-IN" w:eastAsia="en-IN" w:bidi="hi-IN"/>
        </w:rPr>
        <w:t xml:space="preserve">Table 2: Length–Weight Relationship, Condition Factors of Female </w:t>
      </w:r>
      <w:r w:rsidR="009C6FA0" w:rsidRPr="009C6FA0">
        <w:rPr>
          <w:rFonts w:ascii="Times New Roman" w:eastAsia="Times New Roman" w:hAnsi="Times New Roman"/>
          <w:b/>
          <w:bCs/>
          <w:i/>
          <w:iCs/>
          <w:sz w:val="24"/>
          <w:szCs w:val="24"/>
          <w:lang w:val="en-IN" w:eastAsia="en-IN" w:bidi="hi-IN"/>
        </w:rPr>
        <w:t>Macrobrachium</w:t>
      </w:r>
      <w:r w:rsidRPr="00AA5368">
        <w:rPr>
          <w:rFonts w:ascii="Times New Roman" w:eastAsia="Times New Roman" w:hAnsi="Times New Roman"/>
          <w:b/>
          <w:bCs/>
          <w:i/>
          <w:iCs/>
          <w:sz w:val="24"/>
          <w:szCs w:val="24"/>
          <w:lang w:val="en-IN" w:eastAsia="en-IN" w:bidi="hi-IN"/>
        </w:rPr>
        <w:t xml:space="preserve"> </w:t>
      </w:r>
      <w:proofErr w:type="spellStart"/>
      <w:r w:rsidR="009C6FA0" w:rsidRPr="009C6FA0">
        <w:rPr>
          <w:rFonts w:ascii="Times New Roman" w:eastAsia="Times New Roman" w:hAnsi="Times New Roman"/>
          <w:b/>
          <w:bCs/>
          <w:i/>
          <w:iCs/>
          <w:sz w:val="24"/>
          <w:szCs w:val="24"/>
          <w:lang w:val="en-IN" w:eastAsia="en-IN" w:bidi="hi-IN"/>
        </w:rPr>
        <w:t>lamarrei</w:t>
      </w:r>
      <w:proofErr w:type="spellEnd"/>
      <w:r w:rsidR="009C6FA0" w:rsidRPr="009C6FA0">
        <w:rPr>
          <w:rFonts w:ascii="Times New Roman" w:eastAsia="Times New Roman" w:hAnsi="Times New Roman"/>
          <w:b/>
          <w:bCs/>
          <w:i/>
          <w:iCs/>
          <w:sz w:val="24"/>
          <w:szCs w:val="24"/>
          <w:lang w:val="en-IN" w:eastAsia="en-IN" w:bidi="hi-IN"/>
        </w:rPr>
        <w:t xml:space="preserve">  </w:t>
      </w:r>
      <w:r w:rsidRPr="00AA5368">
        <w:rPr>
          <w:rFonts w:ascii="Times New Roman" w:eastAsia="Times New Roman" w:hAnsi="Times New Roman"/>
          <w:b/>
          <w:bCs/>
          <w:sz w:val="24"/>
          <w:szCs w:val="24"/>
          <w:lang w:val="en-IN" w:eastAsia="en-IN" w:bidi="hi-IN"/>
        </w:rPr>
        <w:t xml:space="preserve"> Based on Grouped Classes</w:t>
      </w:r>
    </w:p>
    <w:tbl>
      <w:tblPr>
        <w:tblW w:w="5000" w:type="pct"/>
        <w:tblInd w:w="113" w:type="dxa"/>
        <w:tblLayout w:type="fixed"/>
        <w:tblLook w:val="0000" w:firstRow="0" w:lastRow="0" w:firstColumn="0" w:lastColumn="0" w:noHBand="0" w:noVBand="0"/>
      </w:tblPr>
      <w:tblGrid>
        <w:gridCol w:w="975"/>
        <w:gridCol w:w="713"/>
        <w:gridCol w:w="699"/>
        <w:gridCol w:w="719"/>
        <w:gridCol w:w="719"/>
        <w:gridCol w:w="836"/>
        <w:gridCol w:w="836"/>
        <w:gridCol w:w="857"/>
        <w:gridCol w:w="1230"/>
        <w:gridCol w:w="720"/>
        <w:gridCol w:w="712"/>
      </w:tblGrid>
      <w:tr w:rsidR="00AA5368" w:rsidRPr="00AA5368" w14:paraId="1F36B1A1" w14:textId="77777777" w:rsidTr="003D52E1">
        <w:trPr>
          <w:trHeight w:val="900"/>
        </w:trPr>
        <w:tc>
          <w:tcPr>
            <w:tcW w:w="975" w:type="dxa"/>
            <w:tcBorders>
              <w:top w:val="single" w:sz="4" w:space="0" w:color="000000"/>
              <w:left w:val="single" w:sz="4" w:space="0" w:color="000000"/>
              <w:bottom w:val="single" w:sz="4" w:space="0" w:color="000000"/>
              <w:right w:val="single" w:sz="4" w:space="0" w:color="000000"/>
            </w:tcBorders>
          </w:tcPr>
          <w:p w14:paraId="2F86D132" w14:textId="77777777" w:rsidR="00AA5368" w:rsidRPr="00AA5368" w:rsidRDefault="00AA5368" w:rsidP="003D52E1">
            <w:pPr>
              <w:spacing w:after="0" w:line="360" w:lineRule="auto"/>
              <w:jc w:val="center"/>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Class Interval (cm)</w:t>
            </w:r>
          </w:p>
        </w:tc>
        <w:tc>
          <w:tcPr>
            <w:tcW w:w="713" w:type="dxa"/>
            <w:tcBorders>
              <w:top w:val="single" w:sz="4" w:space="0" w:color="000000"/>
              <w:left w:val="single" w:sz="4" w:space="0" w:color="000000"/>
              <w:bottom w:val="single" w:sz="4" w:space="0" w:color="000000"/>
              <w:right w:val="single" w:sz="4" w:space="0" w:color="000000"/>
            </w:tcBorders>
          </w:tcPr>
          <w:p w14:paraId="62143C29"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Mid L (cm)</w:t>
            </w:r>
          </w:p>
        </w:tc>
        <w:tc>
          <w:tcPr>
            <w:tcW w:w="700" w:type="dxa"/>
            <w:tcBorders>
              <w:top w:val="single" w:sz="4" w:space="0" w:color="000000"/>
              <w:left w:val="single" w:sz="4" w:space="0" w:color="000000"/>
              <w:bottom w:val="single" w:sz="4" w:space="0" w:color="000000"/>
              <w:right w:val="single" w:sz="4" w:space="0" w:color="000000"/>
            </w:tcBorders>
          </w:tcPr>
          <w:p w14:paraId="3D54D84C"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f</w:t>
            </w:r>
          </w:p>
        </w:tc>
        <w:tc>
          <w:tcPr>
            <w:tcW w:w="720" w:type="dxa"/>
            <w:tcBorders>
              <w:top w:val="single" w:sz="4" w:space="0" w:color="000000"/>
              <w:left w:val="single" w:sz="4" w:space="0" w:color="000000"/>
              <w:bottom w:val="single" w:sz="4" w:space="0" w:color="000000"/>
              <w:right w:val="single" w:sz="4" w:space="0" w:color="000000"/>
            </w:tcBorders>
          </w:tcPr>
          <w:p w14:paraId="7AFAA88F"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proofErr w:type="spellStart"/>
            <w:r w:rsidRPr="00AA5368">
              <w:rPr>
                <w:rFonts w:ascii="Times New Roman" w:eastAsia="Times New Roman" w:hAnsi="Times New Roman"/>
                <w:b/>
                <w:bCs/>
                <w:color w:val="000000"/>
                <w:lang w:val="en-IN" w:eastAsia="en-IN" w:bidi="hi-IN"/>
              </w:rPr>
              <w:t>Avg</w:t>
            </w:r>
            <w:proofErr w:type="spellEnd"/>
            <w:r w:rsidRPr="00AA5368">
              <w:rPr>
                <w:rFonts w:ascii="Times New Roman" w:eastAsia="Times New Roman" w:hAnsi="Times New Roman"/>
                <w:b/>
                <w:bCs/>
                <w:color w:val="000000"/>
                <w:lang w:val="en-IN" w:eastAsia="en-IN" w:bidi="hi-IN"/>
              </w:rPr>
              <w:t xml:space="preserve"> W (g)</w:t>
            </w:r>
          </w:p>
        </w:tc>
        <w:tc>
          <w:tcPr>
            <w:tcW w:w="720" w:type="dxa"/>
            <w:tcBorders>
              <w:top w:val="single" w:sz="4" w:space="0" w:color="000000"/>
              <w:left w:val="single" w:sz="4" w:space="0" w:color="000000"/>
              <w:bottom w:val="single" w:sz="4" w:space="0" w:color="000000"/>
              <w:right w:val="single" w:sz="4" w:space="0" w:color="000000"/>
            </w:tcBorders>
          </w:tcPr>
          <w:p w14:paraId="7D2164B1"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log L</w:t>
            </w:r>
          </w:p>
        </w:tc>
        <w:tc>
          <w:tcPr>
            <w:tcW w:w="837" w:type="dxa"/>
            <w:tcBorders>
              <w:top w:val="single" w:sz="4" w:space="0" w:color="000000"/>
              <w:left w:val="single" w:sz="4" w:space="0" w:color="000000"/>
              <w:bottom w:val="single" w:sz="4" w:space="0" w:color="000000"/>
              <w:right w:val="single" w:sz="4" w:space="0" w:color="000000"/>
            </w:tcBorders>
          </w:tcPr>
          <w:p w14:paraId="0520C620"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log W</w:t>
            </w:r>
          </w:p>
        </w:tc>
        <w:tc>
          <w:tcPr>
            <w:tcW w:w="837" w:type="dxa"/>
            <w:tcBorders>
              <w:top w:val="single" w:sz="4" w:space="0" w:color="000000"/>
              <w:left w:val="single" w:sz="4" w:space="0" w:color="000000"/>
              <w:bottom w:val="single" w:sz="4" w:space="0" w:color="000000"/>
              <w:right w:val="single" w:sz="4" w:space="0" w:color="000000"/>
            </w:tcBorders>
          </w:tcPr>
          <w:p w14:paraId="555D7BC9"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proofErr w:type="spellStart"/>
            <w:r w:rsidRPr="00AA5368">
              <w:rPr>
                <w:rFonts w:ascii="Times New Roman" w:eastAsia="Times New Roman" w:hAnsi="Times New Roman"/>
                <w:b/>
                <w:bCs/>
                <w:color w:val="000000"/>
                <w:lang w:val="en-IN" w:eastAsia="en-IN" w:bidi="hi-IN"/>
              </w:rPr>
              <w:t>logL</w:t>
            </w:r>
            <w:proofErr w:type="spellEnd"/>
            <w:r w:rsidRPr="00AA5368">
              <w:rPr>
                <w:rFonts w:ascii="Times New Roman" w:eastAsia="Times New Roman" w:hAnsi="Times New Roman"/>
                <w:b/>
                <w:bCs/>
                <w:color w:val="000000"/>
                <w:lang w:val="en-IN" w:eastAsia="en-IN" w:bidi="hi-IN"/>
              </w:rPr>
              <w:t xml:space="preserve"> × </w:t>
            </w:r>
            <w:proofErr w:type="spellStart"/>
            <w:r w:rsidRPr="00AA5368">
              <w:rPr>
                <w:rFonts w:ascii="Times New Roman" w:eastAsia="Times New Roman" w:hAnsi="Times New Roman"/>
                <w:b/>
                <w:bCs/>
                <w:color w:val="000000"/>
                <w:lang w:val="en-IN" w:eastAsia="en-IN" w:bidi="hi-IN"/>
              </w:rPr>
              <w:t>logW</w:t>
            </w:r>
            <w:proofErr w:type="spellEnd"/>
          </w:p>
        </w:tc>
        <w:tc>
          <w:tcPr>
            <w:tcW w:w="858" w:type="dxa"/>
            <w:tcBorders>
              <w:top w:val="single" w:sz="4" w:space="0" w:color="000000"/>
              <w:left w:val="single" w:sz="4" w:space="0" w:color="000000"/>
              <w:bottom w:val="single" w:sz="4" w:space="0" w:color="000000"/>
              <w:right w:val="single" w:sz="4" w:space="0" w:color="000000"/>
            </w:tcBorders>
          </w:tcPr>
          <w:p w14:paraId="7E62B6C4"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w:t>
            </w:r>
            <w:proofErr w:type="spellStart"/>
            <w:r w:rsidRPr="00AA5368">
              <w:rPr>
                <w:rFonts w:ascii="Times New Roman" w:eastAsia="Times New Roman" w:hAnsi="Times New Roman"/>
                <w:b/>
                <w:bCs/>
                <w:color w:val="000000"/>
                <w:lang w:val="en-IN" w:eastAsia="en-IN" w:bidi="hi-IN"/>
              </w:rPr>
              <w:t>logL</w:t>
            </w:r>
            <w:proofErr w:type="spellEnd"/>
            <w:r w:rsidRPr="00AA5368">
              <w:rPr>
                <w:rFonts w:ascii="Times New Roman" w:eastAsia="Times New Roman" w:hAnsi="Times New Roman"/>
                <w:b/>
                <w:bCs/>
                <w:color w:val="000000"/>
                <w:lang w:val="en-IN" w:eastAsia="en-IN" w:bidi="hi-IN"/>
              </w:rPr>
              <w:t>)²</w:t>
            </w:r>
          </w:p>
        </w:tc>
        <w:tc>
          <w:tcPr>
            <w:tcW w:w="1232" w:type="dxa"/>
            <w:tcBorders>
              <w:top w:val="single" w:sz="4" w:space="0" w:color="000000"/>
              <w:left w:val="single" w:sz="4" w:space="0" w:color="000000"/>
              <w:bottom w:val="single" w:sz="4" w:space="0" w:color="000000"/>
              <w:right w:val="single" w:sz="4" w:space="0" w:color="000000"/>
            </w:tcBorders>
          </w:tcPr>
          <w:p w14:paraId="2C0A7ADC"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Calculated W′ (g)</w:t>
            </w:r>
          </w:p>
        </w:tc>
        <w:tc>
          <w:tcPr>
            <w:tcW w:w="721" w:type="dxa"/>
            <w:tcBorders>
              <w:top w:val="single" w:sz="4" w:space="0" w:color="000000"/>
              <w:left w:val="single" w:sz="4" w:space="0" w:color="000000"/>
              <w:bottom w:val="single" w:sz="4" w:space="0" w:color="000000"/>
              <w:right w:val="single" w:sz="4" w:space="0" w:color="000000"/>
            </w:tcBorders>
          </w:tcPr>
          <w:p w14:paraId="291814ED"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r w:rsidRPr="00AA5368">
              <w:rPr>
                <w:rFonts w:ascii="Times New Roman" w:eastAsia="Times New Roman" w:hAnsi="Times New Roman"/>
                <w:b/>
                <w:bCs/>
                <w:color w:val="000000"/>
                <w:lang w:val="en-IN" w:eastAsia="en-IN" w:bidi="hi-IN"/>
              </w:rPr>
              <w:t>K</w:t>
            </w:r>
          </w:p>
        </w:tc>
        <w:tc>
          <w:tcPr>
            <w:tcW w:w="713" w:type="dxa"/>
            <w:tcBorders>
              <w:top w:val="single" w:sz="4" w:space="0" w:color="000000"/>
              <w:left w:val="single" w:sz="4" w:space="0" w:color="000000"/>
              <w:bottom w:val="single" w:sz="4" w:space="0" w:color="000000"/>
              <w:right w:val="single" w:sz="4" w:space="0" w:color="000000"/>
            </w:tcBorders>
          </w:tcPr>
          <w:p w14:paraId="1BE79B1F" w14:textId="77777777" w:rsidR="00AA5368" w:rsidRPr="00AA5368" w:rsidRDefault="00AA5368" w:rsidP="003D52E1">
            <w:pPr>
              <w:spacing w:after="0" w:line="360" w:lineRule="auto"/>
              <w:jc w:val="right"/>
              <w:rPr>
                <w:rFonts w:ascii="Times New Roman" w:eastAsia="Times New Roman" w:hAnsi="Times New Roman"/>
                <w:b/>
                <w:bCs/>
                <w:color w:val="000000"/>
                <w:lang w:val="en-IN" w:eastAsia="en-IN" w:bidi="hi-IN"/>
              </w:rPr>
            </w:pPr>
            <w:proofErr w:type="spellStart"/>
            <w:r w:rsidRPr="00AA5368">
              <w:rPr>
                <w:rFonts w:ascii="Times New Roman" w:eastAsia="Times New Roman" w:hAnsi="Times New Roman"/>
                <w:b/>
                <w:bCs/>
                <w:color w:val="000000"/>
                <w:lang w:val="en-IN" w:eastAsia="en-IN" w:bidi="hi-IN"/>
              </w:rPr>
              <w:t>Kn</w:t>
            </w:r>
            <w:proofErr w:type="spellEnd"/>
          </w:p>
        </w:tc>
      </w:tr>
      <w:tr w:rsidR="00AA5368" w:rsidRPr="00AA5368" w14:paraId="1AEF65CA"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10493E44"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2.5–2.9</w:t>
            </w:r>
          </w:p>
        </w:tc>
        <w:tc>
          <w:tcPr>
            <w:tcW w:w="713" w:type="dxa"/>
            <w:tcBorders>
              <w:top w:val="single" w:sz="4" w:space="0" w:color="000000"/>
              <w:left w:val="single" w:sz="4" w:space="0" w:color="000000"/>
              <w:bottom w:val="single" w:sz="4" w:space="0" w:color="000000"/>
              <w:right w:val="single" w:sz="4" w:space="0" w:color="000000"/>
            </w:tcBorders>
          </w:tcPr>
          <w:p w14:paraId="64E662D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2.7</w:t>
            </w:r>
          </w:p>
        </w:tc>
        <w:tc>
          <w:tcPr>
            <w:tcW w:w="700" w:type="dxa"/>
            <w:tcBorders>
              <w:top w:val="single" w:sz="4" w:space="0" w:color="000000"/>
              <w:left w:val="single" w:sz="4" w:space="0" w:color="000000"/>
              <w:bottom w:val="single" w:sz="4" w:space="0" w:color="000000"/>
              <w:right w:val="single" w:sz="4" w:space="0" w:color="000000"/>
            </w:tcBorders>
          </w:tcPr>
          <w:p w14:paraId="756A850E"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w:t>
            </w:r>
          </w:p>
        </w:tc>
        <w:tc>
          <w:tcPr>
            <w:tcW w:w="720" w:type="dxa"/>
            <w:tcBorders>
              <w:top w:val="single" w:sz="4" w:space="0" w:color="000000"/>
              <w:left w:val="single" w:sz="4" w:space="0" w:color="000000"/>
              <w:bottom w:val="single" w:sz="4" w:space="0" w:color="000000"/>
              <w:right w:val="single" w:sz="4" w:space="0" w:color="000000"/>
            </w:tcBorders>
          </w:tcPr>
          <w:p w14:paraId="127F57B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0.17</w:t>
            </w:r>
          </w:p>
        </w:tc>
        <w:tc>
          <w:tcPr>
            <w:tcW w:w="720" w:type="dxa"/>
            <w:tcBorders>
              <w:top w:val="single" w:sz="4" w:space="0" w:color="000000"/>
              <w:left w:val="single" w:sz="4" w:space="0" w:color="000000"/>
              <w:bottom w:val="single" w:sz="4" w:space="0" w:color="000000"/>
              <w:right w:val="single" w:sz="4" w:space="0" w:color="000000"/>
            </w:tcBorders>
          </w:tcPr>
          <w:p w14:paraId="3A548AB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0.431</w:t>
            </w:r>
          </w:p>
        </w:tc>
        <w:tc>
          <w:tcPr>
            <w:tcW w:w="837" w:type="dxa"/>
            <w:tcBorders>
              <w:top w:val="single" w:sz="4" w:space="0" w:color="000000"/>
              <w:left w:val="single" w:sz="4" w:space="0" w:color="000000"/>
              <w:bottom w:val="single" w:sz="4" w:space="0" w:color="000000"/>
              <w:right w:val="single" w:sz="4" w:space="0" w:color="000000"/>
            </w:tcBorders>
          </w:tcPr>
          <w:p w14:paraId="5859EDF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−0.770</w:t>
            </w:r>
          </w:p>
        </w:tc>
        <w:tc>
          <w:tcPr>
            <w:tcW w:w="837" w:type="dxa"/>
            <w:tcBorders>
              <w:top w:val="single" w:sz="4" w:space="0" w:color="000000"/>
              <w:left w:val="single" w:sz="4" w:space="0" w:color="000000"/>
              <w:bottom w:val="single" w:sz="4" w:space="0" w:color="000000"/>
              <w:right w:val="single" w:sz="4" w:space="0" w:color="000000"/>
            </w:tcBorders>
          </w:tcPr>
          <w:p w14:paraId="0D0AD6A7"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−0.332</w:t>
            </w:r>
          </w:p>
        </w:tc>
        <w:tc>
          <w:tcPr>
            <w:tcW w:w="858" w:type="dxa"/>
            <w:tcBorders>
              <w:top w:val="single" w:sz="4" w:space="0" w:color="000000"/>
              <w:left w:val="single" w:sz="4" w:space="0" w:color="000000"/>
              <w:bottom w:val="single" w:sz="4" w:space="0" w:color="000000"/>
              <w:right w:val="single" w:sz="4" w:space="0" w:color="000000"/>
            </w:tcBorders>
          </w:tcPr>
          <w:p w14:paraId="73D987CD"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0.186</w:t>
            </w:r>
          </w:p>
        </w:tc>
        <w:tc>
          <w:tcPr>
            <w:tcW w:w="1232" w:type="dxa"/>
            <w:tcBorders>
              <w:top w:val="single" w:sz="4" w:space="0" w:color="000000"/>
              <w:left w:val="single" w:sz="4" w:space="0" w:color="000000"/>
              <w:bottom w:val="single" w:sz="4" w:space="0" w:color="000000"/>
              <w:right w:val="single" w:sz="4" w:space="0" w:color="000000"/>
            </w:tcBorders>
          </w:tcPr>
          <w:p w14:paraId="7B3BBA1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0.091</w:t>
            </w:r>
          </w:p>
        </w:tc>
        <w:tc>
          <w:tcPr>
            <w:tcW w:w="721" w:type="dxa"/>
            <w:tcBorders>
              <w:top w:val="single" w:sz="4" w:space="0" w:color="000000"/>
              <w:left w:val="single" w:sz="4" w:space="0" w:color="000000"/>
              <w:bottom w:val="single" w:sz="4" w:space="0" w:color="000000"/>
              <w:right w:val="single" w:sz="4" w:space="0" w:color="000000"/>
            </w:tcBorders>
          </w:tcPr>
          <w:p w14:paraId="3D5EA62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0.864</w:t>
            </w:r>
          </w:p>
        </w:tc>
        <w:tc>
          <w:tcPr>
            <w:tcW w:w="713" w:type="dxa"/>
            <w:tcBorders>
              <w:top w:val="single" w:sz="4" w:space="0" w:color="000000"/>
              <w:left w:val="single" w:sz="4" w:space="0" w:color="000000"/>
              <w:bottom w:val="single" w:sz="4" w:space="0" w:color="000000"/>
              <w:right w:val="single" w:sz="4" w:space="0" w:color="000000"/>
            </w:tcBorders>
          </w:tcPr>
          <w:p w14:paraId="7318D6A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1.87</w:t>
            </w:r>
          </w:p>
        </w:tc>
      </w:tr>
      <w:tr w:rsidR="00AA5368" w:rsidRPr="00AA5368" w14:paraId="656B0859"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6D20B4F2"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3.0–3.4</w:t>
            </w:r>
          </w:p>
        </w:tc>
        <w:tc>
          <w:tcPr>
            <w:tcW w:w="713" w:type="dxa"/>
            <w:tcBorders>
              <w:top w:val="single" w:sz="4" w:space="0" w:color="000000"/>
              <w:left w:val="single" w:sz="4" w:space="0" w:color="000000"/>
              <w:bottom w:val="single" w:sz="4" w:space="0" w:color="000000"/>
              <w:right w:val="single" w:sz="4" w:space="0" w:color="000000"/>
            </w:tcBorders>
          </w:tcPr>
          <w:p w14:paraId="1ACA9B7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3.2</w:t>
            </w:r>
          </w:p>
        </w:tc>
        <w:tc>
          <w:tcPr>
            <w:tcW w:w="700" w:type="dxa"/>
            <w:tcBorders>
              <w:top w:val="single" w:sz="4" w:space="0" w:color="000000"/>
              <w:left w:val="single" w:sz="4" w:space="0" w:color="000000"/>
              <w:bottom w:val="single" w:sz="4" w:space="0" w:color="000000"/>
              <w:right w:val="single" w:sz="4" w:space="0" w:color="000000"/>
            </w:tcBorders>
          </w:tcPr>
          <w:p w14:paraId="69BA8E93"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w:t>
            </w:r>
          </w:p>
        </w:tc>
        <w:tc>
          <w:tcPr>
            <w:tcW w:w="720" w:type="dxa"/>
            <w:tcBorders>
              <w:top w:val="single" w:sz="4" w:space="0" w:color="000000"/>
              <w:left w:val="single" w:sz="4" w:space="0" w:color="000000"/>
              <w:bottom w:val="single" w:sz="4" w:space="0" w:color="000000"/>
              <w:right w:val="single" w:sz="4" w:space="0" w:color="000000"/>
            </w:tcBorders>
          </w:tcPr>
          <w:p w14:paraId="34FC8AA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0.333</w:t>
            </w:r>
          </w:p>
        </w:tc>
        <w:tc>
          <w:tcPr>
            <w:tcW w:w="720" w:type="dxa"/>
            <w:tcBorders>
              <w:top w:val="single" w:sz="4" w:space="0" w:color="000000"/>
              <w:left w:val="single" w:sz="4" w:space="0" w:color="000000"/>
              <w:bottom w:val="single" w:sz="4" w:space="0" w:color="000000"/>
              <w:right w:val="single" w:sz="4" w:space="0" w:color="000000"/>
            </w:tcBorders>
          </w:tcPr>
          <w:p w14:paraId="575FD5B3"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0.505</w:t>
            </w:r>
          </w:p>
        </w:tc>
        <w:tc>
          <w:tcPr>
            <w:tcW w:w="837" w:type="dxa"/>
            <w:tcBorders>
              <w:top w:val="single" w:sz="4" w:space="0" w:color="000000"/>
              <w:left w:val="single" w:sz="4" w:space="0" w:color="000000"/>
              <w:bottom w:val="single" w:sz="4" w:space="0" w:color="000000"/>
              <w:right w:val="single" w:sz="4" w:space="0" w:color="000000"/>
            </w:tcBorders>
          </w:tcPr>
          <w:p w14:paraId="1296143D"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−0.478</w:t>
            </w:r>
          </w:p>
        </w:tc>
        <w:tc>
          <w:tcPr>
            <w:tcW w:w="837" w:type="dxa"/>
            <w:tcBorders>
              <w:top w:val="single" w:sz="4" w:space="0" w:color="000000"/>
              <w:left w:val="single" w:sz="4" w:space="0" w:color="000000"/>
              <w:bottom w:val="single" w:sz="4" w:space="0" w:color="000000"/>
              <w:right w:val="single" w:sz="4" w:space="0" w:color="000000"/>
            </w:tcBorders>
          </w:tcPr>
          <w:p w14:paraId="2293245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−0.241</w:t>
            </w:r>
          </w:p>
        </w:tc>
        <w:tc>
          <w:tcPr>
            <w:tcW w:w="858" w:type="dxa"/>
            <w:tcBorders>
              <w:top w:val="single" w:sz="4" w:space="0" w:color="000000"/>
              <w:left w:val="single" w:sz="4" w:space="0" w:color="000000"/>
              <w:bottom w:val="single" w:sz="4" w:space="0" w:color="000000"/>
              <w:right w:val="single" w:sz="4" w:space="0" w:color="000000"/>
            </w:tcBorders>
          </w:tcPr>
          <w:p w14:paraId="01E57EE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0.255</w:t>
            </w:r>
          </w:p>
        </w:tc>
        <w:tc>
          <w:tcPr>
            <w:tcW w:w="1232" w:type="dxa"/>
            <w:tcBorders>
              <w:top w:val="single" w:sz="4" w:space="0" w:color="000000"/>
              <w:left w:val="single" w:sz="4" w:space="0" w:color="000000"/>
              <w:bottom w:val="single" w:sz="4" w:space="0" w:color="000000"/>
              <w:right w:val="single" w:sz="4" w:space="0" w:color="000000"/>
            </w:tcBorders>
          </w:tcPr>
          <w:p w14:paraId="5C41922B"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0.145</w:t>
            </w:r>
          </w:p>
        </w:tc>
        <w:tc>
          <w:tcPr>
            <w:tcW w:w="721" w:type="dxa"/>
            <w:tcBorders>
              <w:top w:val="single" w:sz="4" w:space="0" w:color="000000"/>
              <w:left w:val="single" w:sz="4" w:space="0" w:color="000000"/>
              <w:bottom w:val="single" w:sz="4" w:space="0" w:color="000000"/>
              <w:right w:val="single" w:sz="4" w:space="0" w:color="000000"/>
            </w:tcBorders>
          </w:tcPr>
          <w:p w14:paraId="5A91754E"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1.016</w:t>
            </w:r>
          </w:p>
        </w:tc>
        <w:tc>
          <w:tcPr>
            <w:tcW w:w="713" w:type="dxa"/>
            <w:tcBorders>
              <w:top w:val="single" w:sz="4" w:space="0" w:color="000000"/>
              <w:left w:val="single" w:sz="4" w:space="0" w:color="000000"/>
              <w:bottom w:val="single" w:sz="4" w:space="0" w:color="000000"/>
              <w:right w:val="single" w:sz="4" w:space="0" w:color="000000"/>
            </w:tcBorders>
          </w:tcPr>
          <w:p w14:paraId="194E219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2.29</w:t>
            </w:r>
          </w:p>
        </w:tc>
      </w:tr>
      <w:tr w:rsidR="00AA5368" w:rsidRPr="00AA5368" w14:paraId="73717AD4"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562C3983"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3.5–3.9</w:t>
            </w:r>
          </w:p>
        </w:tc>
        <w:tc>
          <w:tcPr>
            <w:tcW w:w="713" w:type="dxa"/>
            <w:tcBorders>
              <w:top w:val="single" w:sz="4" w:space="0" w:color="000000"/>
              <w:left w:val="single" w:sz="4" w:space="0" w:color="000000"/>
              <w:bottom w:val="single" w:sz="4" w:space="0" w:color="000000"/>
              <w:right w:val="single" w:sz="4" w:space="0" w:color="000000"/>
            </w:tcBorders>
          </w:tcPr>
          <w:p w14:paraId="79A7481A"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3.7</w:t>
            </w:r>
          </w:p>
        </w:tc>
        <w:tc>
          <w:tcPr>
            <w:tcW w:w="700" w:type="dxa"/>
            <w:tcBorders>
              <w:top w:val="single" w:sz="4" w:space="0" w:color="000000"/>
              <w:left w:val="single" w:sz="4" w:space="0" w:color="000000"/>
              <w:bottom w:val="single" w:sz="4" w:space="0" w:color="000000"/>
              <w:right w:val="single" w:sz="4" w:space="0" w:color="000000"/>
            </w:tcBorders>
          </w:tcPr>
          <w:p w14:paraId="218614C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24</w:t>
            </w:r>
          </w:p>
        </w:tc>
        <w:tc>
          <w:tcPr>
            <w:tcW w:w="720" w:type="dxa"/>
            <w:tcBorders>
              <w:top w:val="single" w:sz="4" w:space="0" w:color="000000"/>
              <w:left w:val="single" w:sz="4" w:space="0" w:color="000000"/>
              <w:bottom w:val="single" w:sz="4" w:space="0" w:color="000000"/>
              <w:right w:val="single" w:sz="4" w:space="0" w:color="000000"/>
            </w:tcBorders>
          </w:tcPr>
          <w:p w14:paraId="2FD77ED7"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0.336</w:t>
            </w:r>
          </w:p>
        </w:tc>
        <w:tc>
          <w:tcPr>
            <w:tcW w:w="720" w:type="dxa"/>
            <w:tcBorders>
              <w:top w:val="single" w:sz="4" w:space="0" w:color="000000"/>
              <w:left w:val="single" w:sz="4" w:space="0" w:color="000000"/>
              <w:bottom w:val="single" w:sz="4" w:space="0" w:color="000000"/>
              <w:right w:val="single" w:sz="4" w:space="0" w:color="000000"/>
            </w:tcBorders>
          </w:tcPr>
          <w:p w14:paraId="7929DD90"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0.568</w:t>
            </w:r>
          </w:p>
        </w:tc>
        <w:tc>
          <w:tcPr>
            <w:tcW w:w="837" w:type="dxa"/>
            <w:tcBorders>
              <w:top w:val="single" w:sz="4" w:space="0" w:color="000000"/>
              <w:left w:val="single" w:sz="4" w:space="0" w:color="000000"/>
              <w:bottom w:val="single" w:sz="4" w:space="0" w:color="000000"/>
              <w:right w:val="single" w:sz="4" w:space="0" w:color="000000"/>
            </w:tcBorders>
          </w:tcPr>
          <w:p w14:paraId="5625C6E3"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−0.474</w:t>
            </w:r>
          </w:p>
        </w:tc>
        <w:tc>
          <w:tcPr>
            <w:tcW w:w="837" w:type="dxa"/>
            <w:tcBorders>
              <w:top w:val="single" w:sz="4" w:space="0" w:color="000000"/>
              <w:left w:val="single" w:sz="4" w:space="0" w:color="000000"/>
              <w:bottom w:val="single" w:sz="4" w:space="0" w:color="000000"/>
              <w:right w:val="single" w:sz="4" w:space="0" w:color="000000"/>
            </w:tcBorders>
          </w:tcPr>
          <w:p w14:paraId="024BC9C3"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−0.269</w:t>
            </w:r>
          </w:p>
        </w:tc>
        <w:tc>
          <w:tcPr>
            <w:tcW w:w="858" w:type="dxa"/>
            <w:tcBorders>
              <w:top w:val="single" w:sz="4" w:space="0" w:color="000000"/>
              <w:left w:val="single" w:sz="4" w:space="0" w:color="000000"/>
              <w:bottom w:val="single" w:sz="4" w:space="0" w:color="000000"/>
              <w:right w:val="single" w:sz="4" w:space="0" w:color="000000"/>
            </w:tcBorders>
          </w:tcPr>
          <w:p w14:paraId="3087E268"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0.323</w:t>
            </w:r>
          </w:p>
        </w:tc>
        <w:tc>
          <w:tcPr>
            <w:tcW w:w="1232" w:type="dxa"/>
            <w:tcBorders>
              <w:top w:val="single" w:sz="4" w:space="0" w:color="000000"/>
              <w:left w:val="single" w:sz="4" w:space="0" w:color="000000"/>
              <w:bottom w:val="single" w:sz="4" w:space="0" w:color="000000"/>
              <w:right w:val="single" w:sz="4" w:space="0" w:color="000000"/>
            </w:tcBorders>
          </w:tcPr>
          <w:p w14:paraId="68057BD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0.216</w:t>
            </w:r>
          </w:p>
        </w:tc>
        <w:tc>
          <w:tcPr>
            <w:tcW w:w="721" w:type="dxa"/>
            <w:tcBorders>
              <w:top w:val="single" w:sz="4" w:space="0" w:color="000000"/>
              <w:left w:val="single" w:sz="4" w:space="0" w:color="000000"/>
              <w:bottom w:val="single" w:sz="4" w:space="0" w:color="000000"/>
              <w:right w:val="single" w:sz="4" w:space="0" w:color="000000"/>
            </w:tcBorders>
          </w:tcPr>
          <w:p w14:paraId="356C993C"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0.598</w:t>
            </w:r>
          </w:p>
        </w:tc>
        <w:tc>
          <w:tcPr>
            <w:tcW w:w="713" w:type="dxa"/>
            <w:tcBorders>
              <w:top w:val="single" w:sz="4" w:space="0" w:color="000000"/>
              <w:left w:val="single" w:sz="4" w:space="0" w:color="000000"/>
              <w:bottom w:val="single" w:sz="4" w:space="0" w:color="000000"/>
              <w:right w:val="single" w:sz="4" w:space="0" w:color="000000"/>
            </w:tcBorders>
          </w:tcPr>
          <w:p w14:paraId="223F5A21"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1.56</w:t>
            </w:r>
          </w:p>
        </w:tc>
      </w:tr>
      <w:tr w:rsidR="00AA5368" w:rsidRPr="00AA5368" w14:paraId="4AD875BA"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638204DC"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lastRenderedPageBreak/>
              <w:t>4.0–4.4</w:t>
            </w:r>
          </w:p>
        </w:tc>
        <w:tc>
          <w:tcPr>
            <w:tcW w:w="713" w:type="dxa"/>
            <w:tcBorders>
              <w:top w:val="single" w:sz="4" w:space="0" w:color="000000"/>
              <w:left w:val="single" w:sz="4" w:space="0" w:color="000000"/>
              <w:bottom w:val="single" w:sz="4" w:space="0" w:color="000000"/>
              <w:right w:val="single" w:sz="4" w:space="0" w:color="000000"/>
            </w:tcBorders>
          </w:tcPr>
          <w:p w14:paraId="0E0150DB"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4.2</w:t>
            </w:r>
          </w:p>
        </w:tc>
        <w:tc>
          <w:tcPr>
            <w:tcW w:w="700" w:type="dxa"/>
            <w:tcBorders>
              <w:top w:val="single" w:sz="4" w:space="0" w:color="000000"/>
              <w:left w:val="single" w:sz="4" w:space="0" w:color="000000"/>
              <w:bottom w:val="single" w:sz="4" w:space="0" w:color="000000"/>
              <w:right w:val="single" w:sz="4" w:space="0" w:color="000000"/>
            </w:tcBorders>
          </w:tcPr>
          <w:p w14:paraId="6387885F"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46</w:t>
            </w:r>
          </w:p>
        </w:tc>
        <w:tc>
          <w:tcPr>
            <w:tcW w:w="720" w:type="dxa"/>
            <w:tcBorders>
              <w:top w:val="single" w:sz="4" w:space="0" w:color="000000"/>
              <w:left w:val="single" w:sz="4" w:space="0" w:color="000000"/>
              <w:bottom w:val="single" w:sz="4" w:space="0" w:color="000000"/>
              <w:right w:val="single" w:sz="4" w:space="0" w:color="000000"/>
            </w:tcBorders>
          </w:tcPr>
          <w:p w14:paraId="618781CC"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0.485</w:t>
            </w:r>
          </w:p>
        </w:tc>
        <w:tc>
          <w:tcPr>
            <w:tcW w:w="720" w:type="dxa"/>
            <w:tcBorders>
              <w:top w:val="single" w:sz="4" w:space="0" w:color="000000"/>
              <w:left w:val="single" w:sz="4" w:space="0" w:color="000000"/>
              <w:bottom w:val="single" w:sz="4" w:space="0" w:color="000000"/>
              <w:right w:val="single" w:sz="4" w:space="0" w:color="000000"/>
            </w:tcBorders>
          </w:tcPr>
          <w:p w14:paraId="268B4E6C"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0.623</w:t>
            </w:r>
          </w:p>
        </w:tc>
        <w:tc>
          <w:tcPr>
            <w:tcW w:w="837" w:type="dxa"/>
            <w:tcBorders>
              <w:top w:val="single" w:sz="4" w:space="0" w:color="000000"/>
              <w:left w:val="single" w:sz="4" w:space="0" w:color="000000"/>
              <w:bottom w:val="single" w:sz="4" w:space="0" w:color="000000"/>
              <w:right w:val="single" w:sz="4" w:space="0" w:color="000000"/>
            </w:tcBorders>
          </w:tcPr>
          <w:p w14:paraId="494C3A82"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−0.314</w:t>
            </w:r>
          </w:p>
        </w:tc>
        <w:tc>
          <w:tcPr>
            <w:tcW w:w="837" w:type="dxa"/>
            <w:tcBorders>
              <w:top w:val="single" w:sz="4" w:space="0" w:color="000000"/>
              <w:left w:val="single" w:sz="4" w:space="0" w:color="000000"/>
              <w:bottom w:val="single" w:sz="4" w:space="0" w:color="000000"/>
              <w:right w:val="single" w:sz="4" w:space="0" w:color="000000"/>
            </w:tcBorders>
          </w:tcPr>
          <w:p w14:paraId="0C6D6CB0"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−0.196</w:t>
            </w:r>
          </w:p>
        </w:tc>
        <w:tc>
          <w:tcPr>
            <w:tcW w:w="858" w:type="dxa"/>
            <w:tcBorders>
              <w:top w:val="single" w:sz="4" w:space="0" w:color="000000"/>
              <w:left w:val="single" w:sz="4" w:space="0" w:color="000000"/>
              <w:bottom w:val="single" w:sz="4" w:space="0" w:color="000000"/>
              <w:right w:val="single" w:sz="4" w:space="0" w:color="000000"/>
            </w:tcBorders>
          </w:tcPr>
          <w:p w14:paraId="5CEF5F2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0.389</w:t>
            </w:r>
          </w:p>
        </w:tc>
        <w:tc>
          <w:tcPr>
            <w:tcW w:w="1232" w:type="dxa"/>
            <w:tcBorders>
              <w:top w:val="single" w:sz="4" w:space="0" w:color="000000"/>
              <w:left w:val="single" w:sz="4" w:space="0" w:color="000000"/>
              <w:bottom w:val="single" w:sz="4" w:space="0" w:color="000000"/>
              <w:right w:val="single" w:sz="4" w:space="0" w:color="000000"/>
            </w:tcBorders>
          </w:tcPr>
          <w:p w14:paraId="66220C0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0.306</w:t>
            </w:r>
          </w:p>
        </w:tc>
        <w:tc>
          <w:tcPr>
            <w:tcW w:w="721" w:type="dxa"/>
            <w:tcBorders>
              <w:top w:val="single" w:sz="4" w:space="0" w:color="000000"/>
              <w:left w:val="single" w:sz="4" w:space="0" w:color="000000"/>
              <w:bottom w:val="single" w:sz="4" w:space="0" w:color="000000"/>
              <w:right w:val="single" w:sz="4" w:space="0" w:color="000000"/>
            </w:tcBorders>
          </w:tcPr>
          <w:p w14:paraId="4334062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0.655</w:t>
            </w:r>
          </w:p>
        </w:tc>
        <w:tc>
          <w:tcPr>
            <w:tcW w:w="713" w:type="dxa"/>
            <w:tcBorders>
              <w:top w:val="single" w:sz="4" w:space="0" w:color="000000"/>
              <w:left w:val="single" w:sz="4" w:space="0" w:color="000000"/>
              <w:bottom w:val="single" w:sz="4" w:space="0" w:color="000000"/>
              <w:right w:val="single" w:sz="4" w:space="0" w:color="000000"/>
            </w:tcBorders>
          </w:tcPr>
          <w:p w14:paraId="3DDC6340"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1.59</w:t>
            </w:r>
          </w:p>
        </w:tc>
      </w:tr>
      <w:tr w:rsidR="00AA5368" w:rsidRPr="00AA5368" w14:paraId="309D73F0"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6D29347D"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4.5–4.9</w:t>
            </w:r>
          </w:p>
        </w:tc>
        <w:tc>
          <w:tcPr>
            <w:tcW w:w="713" w:type="dxa"/>
            <w:tcBorders>
              <w:top w:val="single" w:sz="4" w:space="0" w:color="000000"/>
              <w:left w:val="single" w:sz="4" w:space="0" w:color="000000"/>
              <w:bottom w:val="single" w:sz="4" w:space="0" w:color="000000"/>
              <w:right w:val="single" w:sz="4" w:space="0" w:color="000000"/>
            </w:tcBorders>
          </w:tcPr>
          <w:p w14:paraId="60CF8A08"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4.7</w:t>
            </w:r>
          </w:p>
        </w:tc>
        <w:tc>
          <w:tcPr>
            <w:tcW w:w="700" w:type="dxa"/>
            <w:tcBorders>
              <w:top w:val="single" w:sz="4" w:space="0" w:color="000000"/>
              <w:left w:val="single" w:sz="4" w:space="0" w:color="000000"/>
              <w:bottom w:val="single" w:sz="4" w:space="0" w:color="000000"/>
              <w:right w:val="single" w:sz="4" w:space="0" w:color="000000"/>
            </w:tcBorders>
          </w:tcPr>
          <w:p w14:paraId="14EF4108"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22</w:t>
            </w:r>
          </w:p>
        </w:tc>
        <w:tc>
          <w:tcPr>
            <w:tcW w:w="720" w:type="dxa"/>
            <w:tcBorders>
              <w:top w:val="single" w:sz="4" w:space="0" w:color="000000"/>
              <w:left w:val="single" w:sz="4" w:space="0" w:color="000000"/>
              <w:bottom w:val="single" w:sz="4" w:space="0" w:color="000000"/>
              <w:right w:val="single" w:sz="4" w:space="0" w:color="000000"/>
            </w:tcBorders>
          </w:tcPr>
          <w:p w14:paraId="399E8781"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0.609</w:t>
            </w:r>
          </w:p>
        </w:tc>
        <w:tc>
          <w:tcPr>
            <w:tcW w:w="720" w:type="dxa"/>
            <w:tcBorders>
              <w:top w:val="single" w:sz="4" w:space="0" w:color="000000"/>
              <w:left w:val="single" w:sz="4" w:space="0" w:color="000000"/>
              <w:bottom w:val="single" w:sz="4" w:space="0" w:color="000000"/>
              <w:right w:val="single" w:sz="4" w:space="0" w:color="000000"/>
            </w:tcBorders>
          </w:tcPr>
          <w:p w14:paraId="11C1312A"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0.672</w:t>
            </w:r>
          </w:p>
        </w:tc>
        <w:tc>
          <w:tcPr>
            <w:tcW w:w="837" w:type="dxa"/>
            <w:tcBorders>
              <w:top w:val="single" w:sz="4" w:space="0" w:color="000000"/>
              <w:left w:val="single" w:sz="4" w:space="0" w:color="000000"/>
              <w:bottom w:val="single" w:sz="4" w:space="0" w:color="000000"/>
              <w:right w:val="single" w:sz="4" w:space="0" w:color="000000"/>
            </w:tcBorders>
          </w:tcPr>
          <w:p w14:paraId="3B87CECE"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−0.215</w:t>
            </w:r>
          </w:p>
        </w:tc>
        <w:tc>
          <w:tcPr>
            <w:tcW w:w="837" w:type="dxa"/>
            <w:tcBorders>
              <w:top w:val="single" w:sz="4" w:space="0" w:color="000000"/>
              <w:left w:val="single" w:sz="4" w:space="0" w:color="000000"/>
              <w:bottom w:val="single" w:sz="4" w:space="0" w:color="000000"/>
              <w:right w:val="single" w:sz="4" w:space="0" w:color="000000"/>
            </w:tcBorders>
          </w:tcPr>
          <w:p w14:paraId="641597AA"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−0.145</w:t>
            </w:r>
          </w:p>
        </w:tc>
        <w:tc>
          <w:tcPr>
            <w:tcW w:w="858" w:type="dxa"/>
            <w:tcBorders>
              <w:top w:val="single" w:sz="4" w:space="0" w:color="000000"/>
              <w:left w:val="single" w:sz="4" w:space="0" w:color="000000"/>
              <w:bottom w:val="single" w:sz="4" w:space="0" w:color="000000"/>
              <w:right w:val="single" w:sz="4" w:space="0" w:color="000000"/>
            </w:tcBorders>
          </w:tcPr>
          <w:p w14:paraId="2B684501"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0.452</w:t>
            </w:r>
          </w:p>
        </w:tc>
        <w:tc>
          <w:tcPr>
            <w:tcW w:w="1232" w:type="dxa"/>
            <w:tcBorders>
              <w:top w:val="single" w:sz="4" w:space="0" w:color="000000"/>
              <w:left w:val="single" w:sz="4" w:space="0" w:color="000000"/>
              <w:bottom w:val="single" w:sz="4" w:space="0" w:color="000000"/>
              <w:right w:val="single" w:sz="4" w:space="0" w:color="000000"/>
            </w:tcBorders>
          </w:tcPr>
          <w:p w14:paraId="5A2BEE9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0.419</w:t>
            </w:r>
          </w:p>
        </w:tc>
        <w:tc>
          <w:tcPr>
            <w:tcW w:w="721" w:type="dxa"/>
            <w:tcBorders>
              <w:top w:val="single" w:sz="4" w:space="0" w:color="000000"/>
              <w:left w:val="single" w:sz="4" w:space="0" w:color="000000"/>
              <w:bottom w:val="single" w:sz="4" w:space="0" w:color="000000"/>
              <w:right w:val="single" w:sz="4" w:space="0" w:color="000000"/>
            </w:tcBorders>
          </w:tcPr>
          <w:p w14:paraId="626CC54F"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0.587</w:t>
            </w:r>
          </w:p>
        </w:tc>
        <w:tc>
          <w:tcPr>
            <w:tcW w:w="713" w:type="dxa"/>
            <w:tcBorders>
              <w:top w:val="single" w:sz="4" w:space="0" w:color="000000"/>
              <w:left w:val="single" w:sz="4" w:space="0" w:color="000000"/>
              <w:bottom w:val="single" w:sz="4" w:space="0" w:color="000000"/>
              <w:right w:val="single" w:sz="4" w:space="0" w:color="000000"/>
            </w:tcBorders>
          </w:tcPr>
          <w:p w14:paraId="01DA5938"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1.45</w:t>
            </w:r>
          </w:p>
        </w:tc>
      </w:tr>
      <w:tr w:rsidR="00AA5368" w:rsidRPr="00AA5368" w14:paraId="2D77E6D3" w14:textId="77777777" w:rsidTr="003D52E1">
        <w:trPr>
          <w:trHeight w:val="300"/>
        </w:trPr>
        <w:tc>
          <w:tcPr>
            <w:tcW w:w="975" w:type="dxa"/>
            <w:tcBorders>
              <w:top w:val="single" w:sz="4" w:space="0" w:color="000000"/>
              <w:left w:val="single" w:sz="4" w:space="0" w:color="000000"/>
              <w:bottom w:val="single" w:sz="4" w:space="0" w:color="000000"/>
              <w:right w:val="single" w:sz="4" w:space="0" w:color="000000"/>
            </w:tcBorders>
          </w:tcPr>
          <w:p w14:paraId="237599AE" w14:textId="77777777" w:rsidR="00AA5368" w:rsidRPr="00AA5368" w:rsidRDefault="00AA5368" w:rsidP="003D52E1">
            <w:pPr>
              <w:spacing w:after="0" w:line="360" w:lineRule="auto"/>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5.0–5.4</w:t>
            </w:r>
          </w:p>
        </w:tc>
        <w:tc>
          <w:tcPr>
            <w:tcW w:w="713" w:type="dxa"/>
            <w:tcBorders>
              <w:top w:val="single" w:sz="4" w:space="0" w:color="000000"/>
              <w:left w:val="single" w:sz="4" w:space="0" w:color="000000"/>
              <w:bottom w:val="single" w:sz="4" w:space="0" w:color="000000"/>
              <w:right w:val="single" w:sz="4" w:space="0" w:color="000000"/>
            </w:tcBorders>
          </w:tcPr>
          <w:p w14:paraId="71956A5F"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5.2</w:t>
            </w:r>
          </w:p>
        </w:tc>
        <w:tc>
          <w:tcPr>
            <w:tcW w:w="700" w:type="dxa"/>
            <w:tcBorders>
              <w:top w:val="single" w:sz="4" w:space="0" w:color="000000"/>
              <w:left w:val="single" w:sz="4" w:space="0" w:color="000000"/>
              <w:bottom w:val="single" w:sz="4" w:space="0" w:color="000000"/>
              <w:right w:val="single" w:sz="4" w:space="0" w:color="000000"/>
            </w:tcBorders>
          </w:tcPr>
          <w:p w14:paraId="0C1EA74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3</w:t>
            </w:r>
          </w:p>
        </w:tc>
        <w:tc>
          <w:tcPr>
            <w:tcW w:w="720" w:type="dxa"/>
            <w:tcBorders>
              <w:top w:val="single" w:sz="4" w:space="0" w:color="000000"/>
              <w:left w:val="single" w:sz="4" w:space="0" w:color="000000"/>
              <w:bottom w:val="single" w:sz="4" w:space="0" w:color="000000"/>
              <w:right w:val="single" w:sz="4" w:space="0" w:color="000000"/>
            </w:tcBorders>
          </w:tcPr>
          <w:p w14:paraId="0F038CC9"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0.817</w:t>
            </w:r>
          </w:p>
        </w:tc>
        <w:tc>
          <w:tcPr>
            <w:tcW w:w="720" w:type="dxa"/>
            <w:tcBorders>
              <w:top w:val="single" w:sz="4" w:space="0" w:color="000000"/>
              <w:left w:val="single" w:sz="4" w:space="0" w:color="000000"/>
              <w:bottom w:val="single" w:sz="4" w:space="0" w:color="000000"/>
              <w:right w:val="single" w:sz="4" w:space="0" w:color="000000"/>
            </w:tcBorders>
          </w:tcPr>
          <w:p w14:paraId="163CAD86"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0.716</w:t>
            </w:r>
          </w:p>
        </w:tc>
        <w:tc>
          <w:tcPr>
            <w:tcW w:w="837" w:type="dxa"/>
            <w:tcBorders>
              <w:top w:val="single" w:sz="4" w:space="0" w:color="000000"/>
              <w:left w:val="single" w:sz="4" w:space="0" w:color="000000"/>
              <w:bottom w:val="single" w:sz="4" w:space="0" w:color="000000"/>
              <w:right w:val="single" w:sz="4" w:space="0" w:color="000000"/>
            </w:tcBorders>
          </w:tcPr>
          <w:p w14:paraId="30D9B17E"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−0.088</w:t>
            </w:r>
          </w:p>
        </w:tc>
        <w:tc>
          <w:tcPr>
            <w:tcW w:w="837" w:type="dxa"/>
            <w:tcBorders>
              <w:top w:val="single" w:sz="4" w:space="0" w:color="000000"/>
              <w:left w:val="single" w:sz="4" w:space="0" w:color="000000"/>
              <w:bottom w:val="single" w:sz="4" w:space="0" w:color="000000"/>
              <w:right w:val="single" w:sz="4" w:space="0" w:color="000000"/>
            </w:tcBorders>
          </w:tcPr>
          <w:p w14:paraId="2A7AF103"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−0.063</w:t>
            </w:r>
          </w:p>
        </w:tc>
        <w:tc>
          <w:tcPr>
            <w:tcW w:w="858" w:type="dxa"/>
            <w:tcBorders>
              <w:top w:val="single" w:sz="4" w:space="0" w:color="000000"/>
              <w:left w:val="single" w:sz="4" w:space="0" w:color="000000"/>
              <w:bottom w:val="single" w:sz="4" w:space="0" w:color="000000"/>
              <w:right w:val="single" w:sz="4" w:space="0" w:color="000000"/>
            </w:tcBorders>
          </w:tcPr>
          <w:p w14:paraId="497CC972"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0.513</w:t>
            </w:r>
          </w:p>
        </w:tc>
        <w:tc>
          <w:tcPr>
            <w:tcW w:w="1232" w:type="dxa"/>
            <w:tcBorders>
              <w:top w:val="single" w:sz="4" w:space="0" w:color="000000"/>
              <w:left w:val="single" w:sz="4" w:space="0" w:color="000000"/>
              <w:bottom w:val="single" w:sz="4" w:space="0" w:color="000000"/>
              <w:right w:val="single" w:sz="4" w:space="0" w:color="000000"/>
            </w:tcBorders>
          </w:tcPr>
          <w:p w14:paraId="5348ED95"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0.558</w:t>
            </w:r>
          </w:p>
        </w:tc>
        <w:tc>
          <w:tcPr>
            <w:tcW w:w="721" w:type="dxa"/>
            <w:tcBorders>
              <w:top w:val="single" w:sz="4" w:space="0" w:color="000000"/>
              <w:left w:val="single" w:sz="4" w:space="0" w:color="000000"/>
              <w:bottom w:val="single" w:sz="4" w:space="0" w:color="000000"/>
              <w:right w:val="single" w:sz="4" w:space="0" w:color="000000"/>
            </w:tcBorders>
          </w:tcPr>
          <w:p w14:paraId="2FCF5ECC"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0.581</w:t>
            </w:r>
          </w:p>
        </w:tc>
        <w:tc>
          <w:tcPr>
            <w:tcW w:w="713" w:type="dxa"/>
            <w:tcBorders>
              <w:top w:val="single" w:sz="4" w:space="0" w:color="000000"/>
              <w:left w:val="single" w:sz="4" w:space="0" w:color="000000"/>
              <w:bottom w:val="single" w:sz="4" w:space="0" w:color="000000"/>
              <w:right w:val="single" w:sz="4" w:space="0" w:color="000000"/>
            </w:tcBorders>
          </w:tcPr>
          <w:p w14:paraId="417480A4" w14:textId="77777777" w:rsidR="00AA5368" w:rsidRPr="00AA5368" w:rsidRDefault="00AA5368" w:rsidP="003D52E1">
            <w:pPr>
              <w:spacing w:after="0" w:line="360" w:lineRule="auto"/>
              <w:jc w:val="right"/>
              <w:rPr>
                <w:rFonts w:ascii="Times New Roman" w:eastAsia="Times New Roman" w:hAnsi="Times New Roman"/>
                <w:color w:val="000000"/>
                <w:lang w:val="en-IN" w:eastAsia="en-IN" w:bidi="hi-IN"/>
              </w:rPr>
            </w:pPr>
            <w:r w:rsidRPr="00AA5368">
              <w:rPr>
                <w:rFonts w:ascii="Times New Roman" w:eastAsia="Times New Roman" w:hAnsi="Times New Roman"/>
                <w:color w:val="000000"/>
                <w:lang w:val="en-IN" w:eastAsia="en-IN" w:bidi="hi-IN"/>
              </w:rPr>
              <w:t>1.46</w:t>
            </w:r>
          </w:p>
        </w:tc>
      </w:tr>
    </w:tbl>
    <w:p w14:paraId="6BDEFEEC" w14:textId="77777777" w:rsidR="00AA5368" w:rsidRPr="00AA5368" w:rsidRDefault="00AA5368" w:rsidP="00AA5368">
      <w:pPr>
        <w:spacing w:before="280" w:after="280" w:line="360" w:lineRule="auto"/>
        <w:jc w:val="both"/>
        <w:rPr>
          <w:rFonts w:ascii="Times New Roman" w:eastAsia="Times New Roman" w:hAnsi="Times New Roman"/>
          <w:sz w:val="24"/>
          <w:szCs w:val="24"/>
          <w:lang w:val="en-IN" w:eastAsia="en-IN" w:bidi="hi-IN"/>
        </w:rPr>
      </w:pPr>
      <w:r>
        <w:rPr>
          <w:rFonts w:ascii="Times New Roman" w:eastAsia="Times New Roman" w:hAnsi="Times New Roman"/>
          <w:sz w:val="24"/>
          <w:szCs w:val="24"/>
          <w:lang w:val="en-IN" w:eastAsia="en-IN" w:bidi="hi-IN"/>
        </w:rPr>
        <w:t xml:space="preserve">The female </w:t>
      </w:r>
      <w:r>
        <w:rPr>
          <w:rFonts w:ascii="Times New Roman" w:eastAsia="Times New Roman" w:hAnsi="Times New Roman"/>
          <w:i/>
          <w:iCs/>
          <w:sz w:val="24"/>
          <w:szCs w:val="24"/>
          <w:lang w:val="en-IN" w:eastAsia="en-IN" w:bidi="hi-IN"/>
        </w:rPr>
        <w:t xml:space="preserve">M. </w:t>
      </w:r>
      <w:proofErr w:type="spellStart"/>
      <w:r>
        <w:rPr>
          <w:rFonts w:ascii="Times New Roman" w:eastAsia="Times New Roman" w:hAnsi="Times New Roman"/>
          <w:i/>
          <w:iCs/>
          <w:sz w:val="24"/>
          <w:szCs w:val="24"/>
          <w:lang w:val="en-IN" w:eastAsia="en-IN" w:bidi="hi-IN"/>
        </w:rPr>
        <w:t>lamarrei</w:t>
      </w:r>
      <w:proofErr w:type="spellEnd"/>
      <w:r>
        <w:rPr>
          <w:rFonts w:ascii="Times New Roman" w:eastAsia="Times New Roman" w:hAnsi="Times New Roman"/>
          <w:sz w:val="24"/>
          <w:szCs w:val="24"/>
          <w:lang w:val="en-IN" w:eastAsia="en-IN" w:bidi="hi-IN"/>
        </w:rPr>
        <w:t xml:space="preserve"> </w:t>
      </w:r>
      <w:r>
        <w:rPr>
          <w:rFonts w:ascii="Times New Roman" w:eastAsia="Times New Roman" w:hAnsi="Times New Roman"/>
          <w:sz w:val="24"/>
          <w:szCs w:val="24"/>
          <w:highlight w:val="yellow"/>
          <w:lang w:val="en-IN" w:eastAsia="en-IN" w:bidi="hi-IN"/>
        </w:rPr>
        <w:t>specimen</w:t>
      </w:r>
      <w:r>
        <w:rPr>
          <w:rFonts w:ascii="Times New Roman" w:eastAsia="Times New Roman" w:hAnsi="Times New Roman"/>
          <w:sz w:val="24"/>
          <w:szCs w:val="24"/>
          <w:lang w:val="en-IN" w:eastAsia="en-IN" w:bidi="hi-IN"/>
        </w:rPr>
        <w:t xml:space="preserve">s shown in </w:t>
      </w:r>
      <w:r>
        <w:rPr>
          <w:rFonts w:ascii="Times New Roman" w:eastAsia="Times New Roman" w:hAnsi="Times New Roman"/>
          <w:sz w:val="24"/>
          <w:szCs w:val="24"/>
          <w:highlight w:val="yellow"/>
          <w:lang w:val="en-IN" w:eastAsia="en-IN" w:bidi="hi-IN"/>
        </w:rPr>
        <w:t>T</w:t>
      </w:r>
      <w:r>
        <w:rPr>
          <w:rFonts w:ascii="Times New Roman" w:eastAsia="Times New Roman" w:hAnsi="Times New Roman"/>
          <w:sz w:val="24"/>
          <w:szCs w:val="24"/>
          <w:lang w:val="en-IN" w:eastAsia="en-IN" w:bidi="hi-IN"/>
        </w:rPr>
        <w:t xml:space="preserve">able 2 were distributed </w:t>
      </w:r>
      <w:r>
        <w:rPr>
          <w:rFonts w:ascii="Times New Roman" w:eastAsia="Times New Roman" w:hAnsi="Times New Roman"/>
          <w:sz w:val="24"/>
          <w:szCs w:val="24"/>
          <w:highlight w:val="yellow"/>
          <w:lang w:val="en-IN" w:eastAsia="en-IN" w:bidi="hi-IN"/>
        </w:rPr>
        <w:t>across</w:t>
      </w:r>
      <w:r>
        <w:rPr>
          <w:rFonts w:ascii="Times New Roman" w:eastAsia="Times New Roman" w:hAnsi="Times New Roman"/>
          <w:sz w:val="24"/>
          <w:szCs w:val="24"/>
          <w:lang w:val="en-IN" w:eastAsia="en-IN" w:bidi="hi-IN"/>
        </w:rPr>
        <w:t xml:space="preserve"> six size classes ranging from 2.5–2.9 cm to 5.0–5.4 cm</w:t>
      </w:r>
      <w:r>
        <w:rPr>
          <w:rFonts w:ascii="Times New Roman" w:eastAsia="Times New Roman" w:hAnsi="Times New Roman"/>
          <w:sz w:val="24"/>
          <w:szCs w:val="24"/>
          <w:highlight w:val="yellow"/>
          <w:lang w:val="en-IN" w:eastAsia="en-IN" w:bidi="hi-IN"/>
        </w:rPr>
        <w:t>.</w:t>
      </w:r>
      <w:r>
        <w:rPr>
          <w:rFonts w:ascii="Times New Roman" w:eastAsia="Times New Roman" w:hAnsi="Times New Roman"/>
          <w:sz w:val="24"/>
          <w:szCs w:val="24"/>
          <w:lang w:val="en-IN" w:eastAsia="en-IN" w:bidi="hi-IN"/>
        </w:rPr>
        <w:t xml:space="preserve"> </w:t>
      </w:r>
      <w:r>
        <w:rPr>
          <w:rFonts w:ascii="Times New Roman" w:eastAsia="Times New Roman" w:hAnsi="Times New Roman"/>
          <w:sz w:val="24"/>
          <w:szCs w:val="24"/>
          <w:highlight w:val="yellow"/>
          <w:lang w:val="en-IN" w:eastAsia="en-IN" w:bidi="hi-IN"/>
        </w:rPr>
        <w:t>The</w:t>
      </w:r>
      <w:r>
        <w:rPr>
          <w:rFonts w:ascii="Times New Roman" w:eastAsia="Times New Roman" w:hAnsi="Times New Roman"/>
          <w:sz w:val="24"/>
          <w:szCs w:val="24"/>
          <w:lang w:val="en-IN" w:eastAsia="en-IN" w:bidi="hi-IN"/>
        </w:rPr>
        <w:t xml:space="preserve"> 4.0–4.4 cm length class had the highest frequency, comprising 46 individuals, whereas the lowest </w:t>
      </w:r>
      <w:r>
        <w:rPr>
          <w:rFonts w:ascii="Times New Roman" w:eastAsia="Times New Roman" w:hAnsi="Times New Roman"/>
          <w:sz w:val="24"/>
          <w:szCs w:val="24"/>
          <w:highlight w:val="yellow"/>
          <w:lang w:val="en-IN" w:eastAsia="en-IN" w:bidi="hi-IN"/>
        </w:rPr>
        <w:t xml:space="preserve">frequencies occurred </w:t>
      </w:r>
      <w:r>
        <w:rPr>
          <w:rFonts w:ascii="Times New Roman" w:eastAsia="Times New Roman" w:hAnsi="Times New Roman"/>
          <w:sz w:val="24"/>
          <w:szCs w:val="24"/>
          <w:lang w:val="en-IN" w:eastAsia="en-IN" w:bidi="hi-IN"/>
        </w:rPr>
        <w:t xml:space="preserve">in the </w:t>
      </w:r>
      <w:r>
        <w:rPr>
          <w:rFonts w:ascii="Times New Roman" w:eastAsia="Times New Roman" w:hAnsi="Times New Roman"/>
          <w:sz w:val="24"/>
          <w:szCs w:val="24"/>
          <w:highlight w:val="yellow"/>
          <w:lang w:val="en-IN" w:eastAsia="en-IN" w:bidi="hi-IN"/>
        </w:rPr>
        <w:t xml:space="preserve">2.5–2.9 cm </w:t>
      </w:r>
      <w:r>
        <w:rPr>
          <w:rFonts w:ascii="Times New Roman" w:eastAsia="Times New Roman" w:hAnsi="Times New Roman"/>
          <w:sz w:val="24"/>
          <w:szCs w:val="24"/>
          <w:lang w:val="en-IN" w:eastAsia="en-IN" w:bidi="hi-IN"/>
        </w:rPr>
        <w:t>a</w:t>
      </w:r>
      <w:r>
        <w:rPr>
          <w:rFonts w:ascii="Times New Roman" w:eastAsia="Times New Roman" w:hAnsi="Times New Roman"/>
          <w:sz w:val="24"/>
          <w:szCs w:val="24"/>
          <w:highlight w:val="yellow"/>
          <w:lang w:val="en-IN" w:eastAsia="en-IN" w:bidi="hi-IN"/>
        </w:rPr>
        <w:t>nd</w:t>
      </w:r>
      <w:r>
        <w:rPr>
          <w:rFonts w:ascii="Times New Roman" w:eastAsia="Times New Roman" w:hAnsi="Times New Roman"/>
          <w:sz w:val="24"/>
          <w:szCs w:val="24"/>
          <w:lang w:val="en-IN" w:eastAsia="en-IN" w:bidi="hi-IN"/>
        </w:rPr>
        <w:t xml:space="preserve"> 5.0–5.4 cm size classes, represented by 2 and 3 individuals, respectively. </w:t>
      </w:r>
      <w:r>
        <w:rPr>
          <w:rFonts w:ascii="Times New Roman" w:eastAsia="Times New Roman" w:hAnsi="Times New Roman"/>
          <w:sz w:val="24"/>
          <w:szCs w:val="24"/>
          <w:highlight w:val="yellow"/>
          <w:lang w:val="en-IN" w:eastAsia="en-IN" w:bidi="hi-IN"/>
        </w:rPr>
        <w:t>M</w:t>
      </w:r>
      <w:r>
        <w:rPr>
          <w:rFonts w:ascii="Times New Roman" w:eastAsia="Times New Roman" w:hAnsi="Times New Roman"/>
          <w:sz w:val="24"/>
          <w:szCs w:val="24"/>
          <w:lang w:val="en-IN" w:eastAsia="en-IN" w:bidi="hi-IN"/>
        </w:rPr>
        <w:t>ean body weight increased progressively with increasing individual length, indicating a positive relationship between body length and weight. The calculated (predicted) weight (W′) also increased steadily from 0.091 g to 0.558 g across the respective length classes.</w:t>
      </w:r>
    </w:p>
    <w:p w14:paraId="64E68E81" w14:textId="77777777" w:rsidR="00AA5368" w:rsidRPr="00AA5368" w:rsidRDefault="00AA5368" w:rsidP="00AA5368">
      <w:pPr>
        <w:spacing w:after="120" w:line="360" w:lineRule="auto"/>
        <w:jc w:val="both"/>
        <w:rPr>
          <w:rFonts w:ascii="Times New Roman" w:hAnsi="Times New Roman"/>
          <w:sz w:val="24"/>
          <w:szCs w:val="24"/>
        </w:rPr>
      </w:pPr>
      <w:r w:rsidRPr="00AA5368">
        <w:rPr>
          <w:rFonts w:ascii="Times New Roman" w:hAnsi="Times New Roman"/>
          <w:noProof/>
          <w:sz w:val="24"/>
          <w:szCs w:val="24"/>
        </w:rPr>
        <w:drawing>
          <wp:inline distT="0" distB="0" distL="0" distR="0" wp14:anchorId="1ACC83EF" wp14:editId="0D738C25">
            <wp:extent cx="5553075" cy="3638550"/>
            <wp:effectExtent l="0" t="0" r="9525" b="0"/>
            <wp:docPr id="1112068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8" t="-11" r="-8" b="-11"/>
                    <a:stretch>
                      <a:fillRect/>
                    </a:stretch>
                  </pic:blipFill>
                  <pic:spPr bwMode="auto">
                    <a:xfrm>
                      <a:off x="0" y="0"/>
                      <a:ext cx="5553075" cy="3638550"/>
                    </a:xfrm>
                    <a:prstGeom prst="rect">
                      <a:avLst/>
                    </a:prstGeom>
                    <a:noFill/>
                    <a:ln>
                      <a:noFill/>
                    </a:ln>
                  </pic:spPr>
                </pic:pic>
              </a:graphicData>
            </a:graphic>
          </wp:inline>
        </w:drawing>
      </w:r>
    </w:p>
    <w:p w14:paraId="7BF5E4EB" w14:textId="77777777" w:rsidR="00AA5368" w:rsidRPr="00AA5368" w:rsidRDefault="00AA5368" w:rsidP="00AA5368">
      <w:pPr>
        <w:spacing w:after="0" w:line="360" w:lineRule="auto"/>
        <w:jc w:val="both"/>
        <w:rPr>
          <w:rFonts w:ascii="Times New Roman" w:hAnsi="Times New Roman"/>
          <w:b/>
          <w:bCs/>
          <w:sz w:val="24"/>
          <w:szCs w:val="24"/>
          <w:lang w:val="en-IN"/>
        </w:rPr>
      </w:pPr>
      <w:r w:rsidRPr="00AA5368">
        <w:rPr>
          <w:rFonts w:ascii="Times New Roman" w:hAnsi="Times New Roman"/>
          <w:b/>
          <w:bCs/>
          <w:sz w:val="24"/>
          <w:szCs w:val="24"/>
          <w:lang w:val="en-IN"/>
        </w:rPr>
        <w:t>Figure 2:</w:t>
      </w:r>
      <w:r w:rsidRPr="00AA5368">
        <w:rPr>
          <w:rFonts w:ascii="Times New Roman" w:hAnsi="Times New Roman"/>
          <w:b/>
          <w:bCs/>
          <w:sz w:val="24"/>
          <w:szCs w:val="24"/>
        </w:rPr>
        <w:t xml:space="preserve"> Regression analysis of Total Length vs Total weight of </w:t>
      </w:r>
      <w:r w:rsidRPr="00AA5368">
        <w:rPr>
          <w:rFonts w:ascii="Times New Roman" w:hAnsi="Times New Roman"/>
          <w:b/>
          <w:bCs/>
          <w:sz w:val="24"/>
          <w:szCs w:val="24"/>
          <w:lang w:val="en-IN"/>
        </w:rPr>
        <w:t>female</w:t>
      </w:r>
      <w:r w:rsidRPr="00AA5368">
        <w:rPr>
          <w:rFonts w:ascii="Times New Roman" w:hAnsi="Times New Roman"/>
          <w:b/>
          <w:bCs/>
          <w:sz w:val="24"/>
          <w:szCs w:val="24"/>
        </w:rPr>
        <w:t xml:space="preserve"> </w:t>
      </w:r>
      <w:r w:rsidRPr="00AA5368">
        <w:rPr>
          <w:rFonts w:ascii="Times New Roman" w:hAnsi="Times New Roman"/>
          <w:b/>
          <w:bCs/>
          <w:i/>
          <w:iCs/>
          <w:sz w:val="24"/>
          <w:szCs w:val="24"/>
        </w:rPr>
        <w:t xml:space="preserve">M. </w:t>
      </w:r>
      <w:proofErr w:type="spellStart"/>
      <w:r w:rsidR="009C6FA0" w:rsidRPr="009C6FA0">
        <w:rPr>
          <w:rFonts w:ascii="Times New Roman" w:hAnsi="Times New Roman"/>
          <w:b/>
          <w:bCs/>
          <w:i/>
          <w:iCs/>
          <w:sz w:val="24"/>
          <w:szCs w:val="24"/>
        </w:rPr>
        <w:t>lamarrei</w:t>
      </w:r>
      <w:proofErr w:type="spellEnd"/>
      <w:r w:rsidR="009C6FA0" w:rsidRPr="009C6FA0">
        <w:rPr>
          <w:rFonts w:ascii="Times New Roman" w:hAnsi="Times New Roman"/>
          <w:b/>
          <w:bCs/>
          <w:i/>
          <w:iCs/>
          <w:sz w:val="24"/>
          <w:szCs w:val="24"/>
        </w:rPr>
        <w:t xml:space="preserve">  </w:t>
      </w:r>
      <w:r w:rsidRPr="00AA5368">
        <w:rPr>
          <w:rFonts w:ascii="Times New Roman" w:hAnsi="Times New Roman"/>
          <w:b/>
          <w:bCs/>
          <w:sz w:val="24"/>
          <w:szCs w:val="24"/>
        </w:rPr>
        <w:t xml:space="preserve"> </w:t>
      </w:r>
    </w:p>
    <w:p w14:paraId="235C0774" w14:textId="77777777" w:rsidR="00AA5368" w:rsidRPr="00AA5368" w:rsidRDefault="00AA5368" w:rsidP="00AA5368">
      <w:pPr>
        <w:spacing w:after="0" w:line="360" w:lineRule="auto"/>
        <w:jc w:val="both"/>
        <w:rPr>
          <w:rFonts w:ascii="Times New Roman" w:hAnsi="Times New Roman"/>
          <w:sz w:val="24"/>
          <w:szCs w:val="24"/>
        </w:rPr>
      </w:pPr>
    </w:p>
    <w:p w14:paraId="1C96BF31" w14:textId="77777777" w:rsidR="00AA5368" w:rsidRPr="00AA5368" w:rsidRDefault="00AA5368" w:rsidP="00AA5368">
      <w:pPr>
        <w:spacing w:after="0" w:line="360" w:lineRule="auto"/>
        <w:jc w:val="both"/>
        <w:rPr>
          <w:rFonts w:ascii="Times New Roman" w:hAnsi="Times New Roman"/>
          <w:sz w:val="24"/>
          <w:szCs w:val="24"/>
        </w:rPr>
      </w:pPr>
      <w:r>
        <w:rPr>
          <w:rFonts w:ascii="Times New Roman" w:hAnsi="Times New Roman"/>
          <w:sz w:val="24"/>
          <w:szCs w:val="24"/>
        </w:rPr>
        <w:t>Figure 2</w:t>
      </w:r>
      <w:r>
        <w:rPr>
          <w:rFonts w:ascii="Times New Roman" w:hAnsi="Times New Roman"/>
          <w:sz w:val="24"/>
          <w:szCs w:val="24"/>
          <w:lang w:val="en-IN"/>
        </w:rPr>
        <w:t xml:space="preserve"> </w:t>
      </w:r>
      <w:r>
        <w:rPr>
          <w:rFonts w:ascii="Times New Roman" w:hAnsi="Times New Roman"/>
          <w:sz w:val="24"/>
          <w:szCs w:val="24"/>
        </w:rPr>
        <w:t xml:space="preserve">shows the relationship between </w:t>
      </w:r>
      <w:r>
        <w:rPr>
          <w:rStyle w:val="Strong"/>
          <w:rFonts w:ascii="Times New Roman" w:hAnsi="Times New Roman"/>
          <w:b w:val="0"/>
          <w:bCs w:val="0"/>
          <w:sz w:val="24"/>
          <w:szCs w:val="24"/>
        </w:rPr>
        <w:t>total weight (TW)</w:t>
      </w:r>
      <w:r>
        <w:rPr>
          <w:rFonts w:ascii="Times New Roman" w:hAnsi="Times New Roman"/>
          <w:sz w:val="24"/>
          <w:szCs w:val="24"/>
        </w:rPr>
        <w:t xml:space="preserve"> and </w:t>
      </w:r>
      <w:r>
        <w:rPr>
          <w:rStyle w:val="Strong"/>
          <w:rFonts w:ascii="Times New Roman" w:hAnsi="Times New Roman"/>
          <w:b w:val="0"/>
          <w:bCs w:val="0"/>
          <w:sz w:val="24"/>
          <w:szCs w:val="24"/>
        </w:rPr>
        <w:t>total length (TL)</w:t>
      </w:r>
      <w:r>
        <w:rPr>
          <w:rFonts w:ascii="Times New Roman" w:hAnsi="Times New Roman"/>
          <w:sz w:val="24"/>
          <w:szCs w:val="24"/>
        </w:rPr>
        <w:t xml:space="preserve"> of females, and the scatter plot exhibits a </w:t>
      </w:r>
      <w:r>
        <w:rPr>
          <w:rStyle w:val="Strong"/>
          <w:rFonts w:ascii="Times New Roman" w:hAnsi="Times New Roman"/>
          <w:b w:val="0"/>
          <w:bCs w:val="0"/>
          <w:sz w:val="24"/>
          <w:szCs w:val="24"/>
        </w:rPr>
        <w:t>positive linear relationship</w:t>
      </w:r>
      <w:r>
        <w:rPr>
          <w:rFonts w:ascii="Times New Roman" w:hAnsi="Times New Roman"/>
          <w:sz w:val="24"/>
          <w:szCs w:val="24"/>
        </w:rPr>
        <w:t xml:space="preserve">, with total weight ranging from </w:t>
      </w:r>
      <w:r>
        <w:rPr>
          <w:rStyle w:val="Strong"/>
          <w:rFonts w:ascii="Times New Roman" w:hAnsi="Times New Roman"/>
          <w:b w:val="0"/>
          <w:bCs w:val="0"/>
          <w:sz w:val="24"/>
          <w:szCs w:val="24"/>
        </w:rPr>
        <w:t>0.16 to 0.92 g</w:t>
      </w:r>
      <w:r>
        <w:rPr>
          <w:rFonts w:ascii="Times New Roman" w:hAnsi="Times New Roman"/>
          <w:sz w:val="24"/>
          <w:szCs w:val="24"/>
        </w:rPr>
        <w:t xml:space="preserve"> and total length ranging from </w:t>
      </w:r>
      <w:r>
        <w:rPr>
          <w:rStyle w:val="Strong"/>
          <w:rFonts w:ascii="Times New Roman" w:hAnsi="Times New Roman"/>
          <w:b w:val="0"/>
          <w:bCs w:val="0"/>
          <w:sz w:val="24"/>
          <w:szCs w:val="24"/>
        </w:rPr>
        <w:t>4.51 to 4.97 cm</w:t>
      </w:r>
      <w:r>
        <w:rPr>
          <w:rFonts w:ascii="Times New Roman" w:hAnsi="Times New Roman"/>
          <w:sz w:val="24"/>
          <w:szCs w:val="24"/>
        </w:rPr>
        <w:t xml:space="preserve">. </w:t>
      </w:r>
      <w:r>
        <w:rPr>
          <w:rFonts w:ascii="Times New Roman" w:hAnsi="Times New Roman"/>
          <w:sz w:val="24"/>
          <w:szCs w:val="24"/>
          <w:highlight w:val="yellow"/>
        </w:rPr>
        <w:t>M</w:t>
      </w:r>
      <w:r>
        <w:rPr>
          <w:rFonts w:ascii="Times New Roman" w:hAnsi="Times New Roman"/>
          <w:sz w:val="24"/>
          <w:szCs w:val="24"/>
        </w:rPr>
        <w:t>o</w:t>
      </w:r>
      <w:r>
        <w:rPr>
          <w:rFonts w:ascii="Times New Roman" w:hAnsi="Times New Roman"/>
          <w:sz w:val="24"/>
          <w:szCs w:val="24"/>
          <w:highlight w:val="yellow"/>
        </w:rPr>
        <w:t>s</w:t>
      </w:r>
      <w:r>
        <w:rPr>
          <w:rFonts w:ascii="Times New Roman" w:hAnsi="Times New Roman"/>
          <w:sz w:val="24"/>
          <w:szCs w:val="24"/>
        </w:rPr>
        <w:t xml:space="preserve">t observations are concentrated within the weight interval of </w:t>
      </w:r>
      <w:r>
        <w:rPr>
          <w:rStyle w:val="Strong"/>
          <w:rFonts w:ascii="Times New Roman" w:hAnsi="Times New Roman"/>
          <w:b w:val="0"/>
          <w:bCs w:val="0"/>
          <w:sz w:val="24"/>
          <w:szCs w:val="24"/>
        </w:rPr>
        <w:t>0.30–0.65 g</w:t>
      </w:r>
      <w:r>
        <w:rPr>
          <w:rFonts w:ascii="Times New Roman" w:hAnsi="Times New Roman"/>
          <w:sz w:val="24"/>
          <w:szCs w:val="24"/>
        </w:rPr>
        <w:t xml:space="preserve">, corresponding to total lengths of </w:t>
      </w:r>
      <w:r>
        <w:rPr>
          <w:rStyle w:val="Strong"/>
          <w:rFonts w:ascii="Times New Roman" w:hAnsi="Times New Roman"/>
          <w:b w:val="0"/>
          <w:bCs w:val="0"/>
          <w:sz w:val="24"/>
          <w:szCs w:val="24"/>
        </w:rPr>
        <w:t>4.66–4.85 cm</w:t>
      </w:r>
      <w:r>
        <w:rPr>
          <w:rFonts w:ascii="Times New Roman" w:hAnsi="Times New Roman"/>
          <w:sz w:val="24"/>
          <w:szCs w:val="24"/>
        </w:rPr>
        <w:t>, indicating that most specimens belonged to the intermediate size class. The positive regression coefficient (</w:t>
      </w:r>
      <w:r>
        <w:rPr>
          <w:rStyle w:val="Strong"/>
          <w:rFonts w:ascii="Times New Roman" w:hAnsi="Times New Roman"/>
          <w:b w:val="0"/>
          <w:bCs w:val="0"/>
          <w:sz w:val="24"/>
          <w:szCs w:val="24"/>
        </w:rPr>
        <w:t>2.7443</w:t>
      </w:r>
      <w:r>
        <w:rPr>
          <w:rFonts w:ascii="Times New Roman" w:hAnsi="Times New Roman"/>
          <w:sz w:val="24"/>
          <w:szCs w:val="24"/>
        </w:rPr>
        <w:t xml:space="preserve">) indicates that total length increases with increasing body weight. The </w:t>
      </w:r>
      <w:r>
        <w:rPr>
          <w:rFonts w:ascii="Times New Roman" w:hAnsi="Times New Roman"/>
          <w:sz w:val="24"/>
          <w:szCs w:val="24"/>
        </w:rPr>
        <w:lastRenderedPageBreak/>
        <w:t>regression model yielded R² = 0.7668, indicating that 76.68% of the variation in total length is explained by total body weight, with the remaining 23.32% unexplained.</w:t>
      </w:r>
    </w:p>
    <w:p w14:paraId="5E316A4E" w14:textId="77777777" w:rsidR="00AA5368" w:rsidRPr="00AA5368" w:rsidRDefault="00AA5368" w:rsidP="00AA5368">
      <w:pPr>
        <w:spacing w:after="0" w:line="360" w:lineRule="auto"/>
        <w:rPr>
          <w:rFonts w:ascii="Times New Roman" w:eastAsia="Times New Roman" w:hAnsi="Times New Roman"/>
          <w:b/>
          <w:bCs/>
          <w:sz w:val="24"/>
          <w:szCs w:val="24"/>
          <w:lang w:val="en-IN" w:eastAsia="en-IN" w:bidi="hi-IN"/>
        </w:rPr>
      </w:pPr>
    </w:p>
    <w:p w14:paraId="28C81252" w14:textId="77777777" w:rsidR="00AA5368" w:rsidRPr="00AA5368" w:rsidRDefault="00AA5368" w:rsidP="00AA5368">
      <w:pPr>
        <w:spacing w:after="0" w:line="360" w:lineRule="auto"/>
        <w:rPr>
          <w:rFonts w:ascii="Times New Roman" w:eastAsia="Times New Roman" w:hAnsi="Times New Roman"/>
          <w:sz w:val="24"/>
          <w:szCs w:val="24"/>
          <w:lang w:val="en-IN" w:eastAsia="en-IN" w:bidi="hi-IN"/>
        </w:rPr>
      </w:pPr>
      <w:r w:rsidRPr="00AA5368">
        <w:rPr>
          <w:rFonts w:ascii="Times New Roman" w:eastAsia="Times New Roman" w:hAnsi="Times New Roman"/>
          <w:b/>
          <w:bCs/>
          <w:sz w:val="24"/>
          <w:szCs w:val="24"/>
          <w:lang w:val="en-IN" w:eastAsia="en-IN" w:bidi="hi-IN"/>
        </w:rPr>
        <w:t xml:space="preserve">Table 3: Length–Weight Relationship, Condition Factors of male </w:t>
      </w:r>
      <w:r w:rsidR="009C6FA0" w:rsidRPr="009C6FA0">
        <w:rPr>
          <w:rFonts w:ascii="Times New Roman" w:eastAsia="Times New Roman" w:hAnsi="Times New Roman"/>
          <w:b/>
          <w:bCs/>
          <w:i/>
          <w:iCs/>
          <w:sz w:val="24"/>
          <w:szCs w:val="24"/>
          <w:lang w:val="en-IN" w:eastAsia="en-IN" w:bidi="hi-IN"/>
        </w:rPr>
        <w:t>Macrobrachium</w:t>
      </w:r>
      <w:r w:rsidRPr="00AA5368">
        <w:rPr>
          <w:rFonts w:ascii="Times New Roman" w:eastAsia="Times New Roman" w:hAnsi="Times New Roman"/>
          <w:b/>
          <w:bCs/>
          <w:i/>
          <w:iCs/>
          <w:sz w:val="24"/>
          <w:szCs w:val="24"/>
          <w:lang w:val="en-IN" w:eastAsia="en-IN" w:bidi="hi-IN"/>
        </w:rPr>
        <w:t xml:space="preserve"> </w:t>
      </w:r>
      <w:proofErr w:type="spellStart"/>
      <w:r w:rsidR="009C6FA0" w:rsidRPr="009C6FA0">
        <w:rPr>
          <w:rFonts w:ascii="Times New Roman" w:eastAsia="Times New Roman" w:hAnsi="Times New Roman"/>
          <w:b/>
          <w:bCs/>
          <w:i/>
          <w:iCs/>
          <w:sz w:val="24"/>
          <w:szCs w:val="24"/>
          <w:lang w:val="en-IN" w:eastAsia="en-IN" w:bidi="hi-IN"/>
        </w:rPr>
        <w:t>lamarrei</w:t>
      </w:r>
      <w:proofErr w:type="spellEnd"/>
      <w:r w:rsidR="009C6FA0" w:rsidRPr="009C6FA0">
        <w:rPr>
          <w:rFonts w:ascii="Times New Roman" w:eastAsia="Times New Roman" w:hAnsi="Times New Roman"/>
          <w:b/>
          <w:bCs/>
          <w:i/>
          <w:iCs/>
          <w:sz w:val="24"/>
          <w:szCs w:val="24"/>
          <w:lang w:val="en-IN" w:eastAsia="en-IN" w:bidi="hi-IN"/>
        </w:rPr>
        <w:t xml:space="preserve">  </w:t>
      </w:r>
      <w:r w:rsidRPr="00AA5368">
        <w:rPr>
          <w:rFonts w:ascii="Times New Roman" w:eastAsia="Times New Roman" w:hAnsi="Times New Roman"/>
          <w:b/>
          <w:bCs/>
          <w:sz w:val="24"/>
          <w:szCs w:val="24"/>
          <w:lang w:val="en-IN" w:eastAsia="en-IN" w:bidi="hi-IN"/>
        </w:rPr>
        <w:t xml:space="preserve"> Based on Grouped Classes</w:t>
      </w:r>
    </w:p>
    <w:p w14:paraId="1E73A16B" w14:textId="77777777" w:rsidR="00AA5368" w:rsidRPr="00AA5368" w:rsidRDefault="00AA5368" w:rsidP="00AA5368">
      <w:pPr>
        <w:spacing w:after="0" w:line="360" w:lineRule="auto"/>
        <w:jc w:val="both"/>
        <w:rPr>
          <w:rFonts w:ascii="Times New Roman" w:eastAsia="Times New Roman" w:hAnsi="Times New Roman"/>
          <w:sz w:val="24"/>
          <w:szCs w:val="24"/>
          <w:lang w:val="en-IN" w:eastAsia="en-IN" w:bidi="hi-IN"/>
        </w:rPr>
      </w:pPr>
    </w:p>
    <w:tbl>
      <w:tblPr>
        <w:tblW w:w="9016" w:type="dxa"/>
        <w:tblInd w:w="113" w:type="dxa"/>
        <w:tblLayout w:type="fixed"/>
        <w:tblLook w:val="0000" w:firstRow="0" w:lastRow="0" w:firstColumn="0" w:lastColumn="0" w:noHBand="0" w:noVBand="0"/>
      </w:tblPr>
      <w:tblGrid>
        <w:gridCol w:w="993"/>
        <w:gridCol w:w="653"/>
        <w:gridCol w:w="460"/>
        <w:gridCol w:w="756"/>
        <w:gridCol w:w="711"/>
        <w:gridCol w:w="836"/>
        <w:gridCol w:w="1038"/>
        <w:gridCol w:w="857"/>
        <w:gridCol w:w="1231"/>
        <w:gridCol w:w="770"/>
        <w:gridCol w:w="711"/>
      </w:tblGrid>
      <w:tr w:rsidR="00AA5368" w:rsidRPr="00AA5368" w14:paraId="065D016E" w14:textId="77777777" w:rsidTr="003D52E1">
        <w:tc>
          <w:tcPr>
            <w:tcW w:w="993" w:type="dxa"/>
            <w:tcBorders>
              <w:top w:val="single" w:sz="4" w:space="0" w:color="000000"/>
              <w:left w:val="single" w:sz="4" w:space="0" w:color="000000"/>
              <w:bottom w:val="single" w:sz="4" w:space="0" w:color="000000"/>
              <w:right w:val="single" w:sz="4" w:space="0" w:color="000000"/>
            </w:tcBorders>
          </w:tcPr>
          <w:p w14:paraId="5504403D"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Class Interval (cm)</w:t>
            </w:r>
          </w:p>
        </w:tc>
        <w:tc>
          <w:tcPr>
            <w:tcW w:w="653" w:type="dxa"/>
            <w:tcBorders>
              <w:top w:val="single" w:sz="4" w:space="0" w:color="000000"/>
              <w:left w:val="single" w:sz="4" w:space="0" w:color="000000"/>
              <w:bottom w:val="single" w:sz="4" w:space="0" w:color="000000"/>
              <w:right w:val="single" w:sz="4" w:space="0" w:color="000000"/>
            </w:tcBorders>
          </w:tcPr>
          <w:p w14:paraId="1F21511C"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Mid L (cm)</w:t>
            </w:r>
          </w:p>
        </w:tc>
        <w:tc>
          <w:tcPr>
            <w:tcW w:w="460" w:type="dxa"/>
            <w:tcBorders>
              <w:top w:val="single" w:sz="4" w:space="0" w:color="000000"/>
              <w:left w:val="single" w:sz="4" w:space="0" w:color="000000"/>
              <w:bottom w:val="single" w:sz="4" w:space="0" w:color="000000"/>
              <w:right w:val="single" w:sz="4" w:space="0" w:color="000000"/>
            </w:tcBorders>
          </w:tcPr>
          <w:p w14:paraId="5C3156B1"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f</w:t>
            </w:r>
          </w:p>
        </w:tc>
        <w:tc>
          <w:tcPr>
            <w:tcW w:w="756" w:type="dxa"/>
            <w:tcBorders>
              <w:top w:val="single" w:sz="4" w:space="0" w:color="000000"/>
              <w:left w:val="single" w:sz="4" w:space="0" w:color="000000"/>
              <w:bottom w:val="single" w:sz="4" w:space="0" w:color="000000"/>
              <w:right w:val="single" w:sz="4" w:space="0" w:color="000000"/>
            </w:tcBorders>
          </w:tcPr>
          <w:p w14:paraId="6BD7B4FE" w14:textId="77777777" w:rsidR="00AA5368" w:rsidRPr="00AA5368" w:rsidRDefault="00AA5368" w:rsidP="003D52E1">
            <w:pPr>
              <w:spacing w:after="0" w:line="360" w:lineRule="auto"/>
              <w:rPr>
                <w:rFonts w:ascii="Times New Roman" w:eastAsia="Times New Roman" w:hAnsi="Times New Roman"/>
                <w:b/>
                <w:bCs/>
                <w:lang w:val="en-IN" w:eastAsia="en-IN" w:bidi="hi-IN"/>
              </w:rPr>
            </w:pPr>
            <w:proofErr w:type="spellStart"/>
            <w:r w:rsidRPr="00AA5368">
              <w:rPr>
                <w:rFonts w:ascii="Times New Roman" w:eastAsia="Times New Roman" w:hAnsi="Times New Roman"/>
                <w:b/>
                <w:bCs/>
                <w:lang w:val="en-IN" w:eastAsia="en-IN" w:bidi="hi-IN"/>
              </w:rPr>
              <w:t>Avg</w:t>
            </w:r>
            <w:proofErr w:type="spellEnd"/>
            <w:r w:rsidRPr="00AA5368">
              <w:rPr>
                <w:rFonts w:ascii="Times New Roman" w:eastAsia="Times New Roman" w:hAnsi="Times New Roman"/>
                <w:b/>
                <w:bCs/>
                <w:lang w:val="en-IN" w:eastAsia="en-IN" w:bidi="hi-IN"/>
              </w:rPr>
              <w:t xml:space="preserve"> W (g)</w:t>
            </w:r>
          </w:p>
        </w:tc>
        <w:tc>
          <w:tcPr>
            <w:tcW w:w="711" w:type="dxa"/>
            <w:tcBorders>
              <w:top w:val="single" w:sz="4" w:space="0" w:color="000000"/>
              <w:left w:val="single" w:sz="4" w:space="0" w:color="000000"/>
              <w:bottom w:val="single" w:sz="4" w:space="0" w:color="000000"/>
              <w:right w:val="single" w:sz="4" w:space="0" w:color="000000"/>
            </w:tcBorders>
          </w:tcPr>
          <w:p w14:paraId="4D47554E"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log L</w:t>
            </w:r>
          </w:p>
        </w:tc>
        <w:tc>
          <w:tcPr>
            <w:tcW w:w="836" w:type="dxa"/>
            <w:tcBorders>
              <w:top w:val="single" w:sz="4" w:space="0" w:color="000000"/>
              <w:left w:val="single" w:sz="4" w:space="0" w:color="000000"/>
              <w:bottom w:val="single" w:sz="4" w:space="0" w:color="000000"/>
              <w:right w:val="single" w:sz="4" w:space="0" w:color="000000"/>
            </w:tcBorders>
          </w:tcPr>
          <w:p w14:paraId="44A073DE"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log W</w:t>
            </w:r>
          </w:p>
        </w:tc>
        <w:tc>
          <w:tcPr>
            <w:tcW w:w="1038" w:type="dxa"/>
            <w:tcBorders>
              <w:top w:val="single" w:sz="4" w:space="0" w:color="000000"/>
              <w:left w:val="single" w:sz="4" w:space="0" w:color="000000"/>
              <w:bottom w:val="single" w:sz="4" w:space="0" w:color="000000"/>
              <w:right w:val="single" w:sz="4" w:space="0" w:color="000000"/>
            </w:tcBorders>
          </w:tcPr>
          <w:p w14:paraId="5A89E004" w14:textId="77777777" w:rsidR="00AA5368" w:rsidRPr="00AA5368" w:rsidRDefault="00AA5368" w:rsidP="003D52E1">
            <w:pPr>
              <w:spacing w:after="0" w:line="360" w:lineRule="auto"/>
              <w:rPr>
                <w:rFonts w:ascii="Times New Roman" w:eastAsia="Times New Roman" w:hAnsi="Times New Roman"/>
                <w:b/>
                <w:bCs/>
                <w:lang w:val="en-IN" w:eastAsia="en-IN" w:bidi="hi-IN"/>
              </w:rPr>
            </w:pPr>
            <w:proofErr w:type="spellStart"/>
            <w:r w:rsidRPr="00AA5368">
              <w:rPr>
                <w:rFonts w:ascii="Times New Roman" w:eastAsia="Times New Roman" w:hAnsi="Times New Roman"/>
                <w:b/>
                <w:bCs/>
                <w:lang w:val="en-IN" w:eastAsia="en-IN" w:bidi="hi-IN"/>
              </w:rPr>
              <w:t>logL</w:t>
            </w:r>
            <w:proofErr w:type="spellEnd"/>
            <w:r w:rsidRPr="00AA5368">
              <w:rPr>
                <w:rFonts w:ascii="Times New Roman" w:eastAsia="Times New Roman" w:hAnsi="Times New Roman"/>
                <w:b/>
                <w:bCs/>
                <w:lang w:val="en-IN" w:eastAsia="en-IN" w:bidi="hi-IN"/>
              </w:rPr>
              <w:t xml:space="preserve"> × </w:t>
            </w:r>
            <w:proofErr w:type="spellStart"/>
            <w:r w:rsidRPr="00AA5368">
              <w:rPr>
                <w:rFonts w:ascii="Times New Roman" w:eastAsia="Times New Roman" w:hAnsi="Times New Roman"/>
                <w:b/>
                <w:bCs/>
                <w:lang w:val="en-IN" w:eastAsia="en-IN" w:bidi="hi-IN"/>
              </w:rPr>
              <w:t>logW</w:t>
            </w:r>
            <w:proofErr w:type="spellEnd"/>
          </w:p>
        </w:tc>
        <w:tc>
          <w:tcPr>
            <w:tcW w:w="857" w:type="dxa"/>
            <w:tcBorders>
              <w:top w:val="single" w:sz="4" w:space="0" w:color="000000"/>
              <w:left w:val="single" w:sz="4" w:space="0" w:color="000000"/>
              <w:bottom w:val="single" w:sz="4" w:space="0" w:color="000000"/>
              <w:right w:val="single" w:sz="4" w:space="0" w:color="000000"/>
            </w:tcBorders>
          </w:tcPr>
          <w:p w14:paraId="7663E785"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w:t>
            </w:r>
            <w:proofErr w:type="spellStart"/>
            <w:r w:rsidRPr="00AA5368">
              <w:rPr>
                <w:rFonts w:ascii="Times New Roman" w:eastAsia="Times New Roman" w:hAnsi="Times New Roman"/>
                <w:b/>
                <w:bCs/>
                <w:lang w:val="en-IN" w:eastAsia="en-IN" w:bidi="hi-IN"/>
              </w:rPr>
              <w:t>logL</w:t>
            </w:r>
            <w:proofErr w:type="spellEnd"/>
            <w:r w:rsidRPr="00AA5368">
              <w:rPr>
                <w:rFonts w:ascii="Times New Roman" w:eastAsia="Times New Roman" w:hAnsi="Times New Roman"/>
                <w:b/>
                <w:bCs/>
                <w:lang w:val="en-IN" w:eastAsia="en-IN" w:bidi="hi-IN"/>
              </w:rPr>
              <w:t>)²</w:t>
            </w:r>
          </w:p>
        </w:tc>
        <w:tc>
          <w:tcPr>
            <w:tcW w:w="1231" w:type="dxa"/>
            <w:tcBorders>
              <w:top w:val="single" w:sz="4" w:space="0" w:color="000000"/>
              <w:left w:val="single" w:sz="4" w:space="0" w:color="000000"/>
              <w:bottom w:val="single" w:sz="4" w:space="0" w:color="000000"/>
              <w:right w:val="single" w:sz="4" w:space="0" w:color="000000"/>
            </w:tcBorders>
          </w:tcPr>
          <w:p w14:paraId="71B5D2FF"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Calculated W′ (g)</w:t>
            </w:r>
          </w:p>
        </w:tc>
        <w:tc>
          <w:tcPr>
            <w:tcW w:w="770" w:type="dxa"/>
            <w:tcBorders>
              <w:top w:val="single" w:sz="4" w:space="0" w:color="000000"/>
              <w:left w:val="single" w:sz="4" w:space="0" w:color="000000"/>
              <w:bottom w:val="single" w:sz="4" w:space="0" w:color="000000"/>
              <w:right w:val="single" w:sz="4" w:space="0" w:color="000000"/>
            </w:tcBorders>
          </w:tcPr>
          <w:p w14:paraId="676C803D" w14:textId="77777777" w:rsidR="00AA5368" w:rsidRPr="00AA5368" w:rsidRDefault="00AA5368" w:rsidP="003D52E1">
            <w:pPr>
              <w:spacing w:after="0" w:line="360" w:lineRule="auto"/>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K</w:t>
            </w:r>
          </w:p>
        </w:tc>
        <w:tc>
          <w:tcPr>
            <w:tcW w:w="711" w:type="dxa"/>
            <w:tcBorders>
              <w:top w:val="single" w:sz="4" w:space="0" w:color="000000"/>
              <w:left w:val="single" w:sz="4" w:space="0" w:color="000000"/>
              <w:bottom w:val="single" w:sz="4" w:space="0" w:color="000000"/>
              <w:right w:val="single" w:sz="4" w:space="0" w:color="000000"/>
            </w:tcBorders>
          </w:tcPr>
          <w:p w14:paraId="48808AE3" w14:textId="77777777" w:rsidR="00AA5368" w:rsidRPr="00AA5368" w:rsidRDefault="00AA5368" w:rsidP="003D52E1">
            <w:pPr>
              <w:spacing w:after="0" w:line="360" w:lineRule="auto"/>
              <w:rPr>
                <w:rFonts w:ascii="Times New Roman" w:eastAsia="Times New Roman" w:hAnsi="Times New Roman"/>
                <w:b/>
                <w:bCs/>
                <w:lang w:val="en-IN" w:eastAsia="en-IN" w:bidi="hi-IN"/>
              </w:rPr>
            </w:pPr>
            <w:proofErr w:type="spellStart"/>
            <w:r w:rsidRPr="00AA5368">
              <w:rPr>
                <w:rFonts w:ascii="Times New Roman" w:eastAsia="Times New Roman" w:hAnsi="Times New Roman"/>
                <w:b/>
                <w:bCs/>
                <w:lang w:val="en-IN" w:eastAsia="en-IN" w:bidi="hi-IN"/>
              </w:rPr>
              <w:t>Kn</w:t>
            </w:r>
            <w:proofErr w:type="spellEnd"/>
          </w:p>
        </w:tc>
      </w:tr>
      <w:tr w:rsidR="00AA5368" w:rsidRPr="00AA5368" w14:paraId="349328BD" w14:textId="77777777" w:rsidTr="003D52E1">
        <w:tc>
          <w:tcPr>
            <w:tcW w:w="993" w:type="dxa"/>
            <w:tcBorders>
              <w:top w:val="single" w:sz="4" w:space="0" w:color="000000"/>
              <w:left w:val="single" w:sz="4" w:space="0" w:color="000000"/>
              <w:bottom w:val="single" w:sz="4" w:space="0" w:color="000000"/>
              <w:right w:val="single" w:sz="4" w:space="0" w:color="000000"/>
            </w:tcBorders>
          </w:tcPr>
          <w:p w14:paraId="390CA012"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2.5–2.9</w:t>
            </w:r>
          </w:p>
        </w:tc>
        <w:tc>
          <w:tcPr>
            <w:tcW w:w="653" w:type="dxa"/>
            <w:tcBorders>
              <w:top w:val="single" w:sz="4" w:space="0" w:color="000000"/>
              <w:left w:val="single" w:sz="4" w:space="0" w:color="000000"/>
              <w:bottom w:val="single" w:sz="4" w:space="0" w:color="000000"/>
              <w:right w:val="single" w:sz="4" w:space="0" w:color="000000"/>
            </w:tcBorders>
          </w:tcPr>
          <w:p w14:paraId="3465947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2.7</w:t>
            </w:r>
          </w:p>
        </w:tc>
        <w:tc>
          <w:tcPr>
            <w:tcW w:w="460" w:type="dxa"/>
            <w:tcBorders>
              <w:top w:val="single" w:sz="4" w:space="0" w:color="000000"/>
              <w:left w:val="single" w:sz="4" w:space="0" w:color="000000"/>
              <w:bottom w:val="single" w:sz="4" w:space="0" w:color="000000"/>
              <w:right w:val="single" w:sz="4" w:space="0" w:color="000000"/>
            </w:tcBorders>
          </w:tcPr>
          <w:p w14:paraId="37FDE02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w:t>
            </w:r>
          </w:p>
        </w:tc>
        <w:tc>
          <w:tcPr>
            <w:tcW w:w="756" w:type="dxa"/>
            <w:tcBorders>
              <w:top w:val="single" w:sz="4" w:space="0" w:color="000000"/>
              <w:left w:val="single" w:sz="4" w:space="0" w:color="000000"/>
              <w:bottom w:val="single" w:sz="4" w:space="0" w:color="000000"/>
              <w:right w:val="single" w:sz="4" w:space="0" w:color="000000"/>
            </w:tcBorders>
          </w:tcPr>
          <w:p w14:paraId="218D8EE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0.120</w:t>
            </w:r>
          </w:p>
        </w:tc>
        <w:tc>
          <w:tcPr>
            <w:tcW w:w="711" w:type="dxa"/>
            <w:tcBorders>
              <w:top w:val="single" w:sz="4" w:space="0" w:color="000000"/>
              <w:left w:val="single" w:sz="4" w:space="0" w:color="000000"/>
              <w:bottom w:val="single" w:sz="4" w:space="0" w:color="000000"/>
              <w:right w:val="single" w:sz="4" w:space="0" w:color="000000"/>
            </w:tcBorders>
          </w:tcPr>
          <w:p w14:paraId="4EB070D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0.431</w:t>
            </w:r>
          </w:p>
        </w:tc>
        <w:tc>
          <w:tcPr>
            <w:tcW w:w="836" w:type="dxa"/>
            <w:tcBorders>
              <w:top w:val="single" w:sz="4" w:space="0" w:color="000000"/>
              <w:left w:val="single" w:sz="4" w:space="0" w:color="000000"/>
              <w:bottom w:val="single" w:sz="4" w:space="0" w:color="000000"/>
              <w:right w:val="single" w:sz="4" w:space="0" w:color="000000"/>
            </w:tcBorders>
          </w:tcPr>
          <w:p w14:paraId="61E4B22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−0.921</w:t>
            </w:r>
          </w:p>
        </w:tc>
        <w:tc>
          <w:tcPr>
            <w:tcW w:w="1038" w:type="dxa"/>
            <w:tcBorders>
              <w:top w:val="single" w:sz="4" w:space="0" w:color="000000"/>
              <w:left w:val="single" w:sz="4" w:space="0" w:color="000000"/>
              <w:bottom w:val="single" w:sz="4" w:space="0" w:color="000000"/>
              <w:right w:val="single" w:sz="4" w:space="0" w:color="000000"/>
            </w:tcBorders>
          </w:tcPr>
          <w:p w14:paraId="1D9467A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−0.397</w:t>
            </w:r>
          </w:p>
        </w:tc>
        <w:tc>
          <w:tcPr>
            <w:tcW w:w="857" w:type="dxa"/>
            <w:tcBorders>
              <w:top w:val="single" w:sz="4" w:space="0" w:color="000000"/>
              <w:left w:val="single" w:sz="4" w:space="0" w:color="000000"/>
              <w:bottom w:val="single" w:sz="4" w:space="0" w:color="000000"/>
              <w:right w:val="single" w:sz="4" w:space="0" w:color="000000"/>
            </w:tcBorders>
          </w:tcPr>
          <w:p w14:paraId="61593C72"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0.186</w:t>
            </w:r>
          </w:p>
        </w:tc>
        <w:tc>
          <w:tcPr>
            <w:tcW w:w="1231" w:type="dxa"/>
            <w:tcBorders>
              <w:top w:val="single" w:sz="4" w:space="0" w:color="000000"/>
              <w:left w:val="single" w:sz="4" w:space="0" w:color="000000"/>
              <w:bottom w:val="single" w:sz="4" w:space="0" w:color="000000"/>
              <w:right w:val="single" w:sz="4" w:space="0" w:color="000000"/>
            </w:tcBorders>
          </w:tcPr>
          <w:p w14:paraId="3770C5E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0.070</w:t>
            </w:r>
          </w:p>
        </w:tc>
        <w:tc>
          <w:tcPr>
            <w:tcW w:w="770" w:type="dxa"/>
            <w:tcBorders>
              <w:top w:val="single" w:sz="4" w:space="0" w:color="000000"/>
              <w:left w:val="single" w:sz="4" w:space="0" w:color="000000"/>
              <w:bottom w:val="single" w:sz="4" w:space="0" w:color="000000"/>
              <w:right w:val="single" w:sz="4" w:space="0" w:color="000000"/>
            </w:tcBorders>
          </w:tcPr>
          <w:p w14:paraId="7C64ABEB"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0.610</w:t>
            </w:r>
          </w:p>
        </w:tc>
        <w:tc>
          <w:tcPr>
            <w:tcW w:w="711" w:type="dxa"/>
            <w:tcBorders>
              <w:top w:val="single" w:sz="4" w:space="0" w:color="000000"/>
              <w:left w:val="single" w:sz="4" w:space="0" w:color="000000"/>
              <w:bottom w:val="single" w:sz="4" w:space="0" w:color="000000"/>
              <w:right w:val="single" w:sz="4" w:space="0" w:color="000000"/>
            </w:tcBorders>
          </w:tcPr>
          <w:p w14:paraId="3D244C62"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1.714</w:t>
            </w:r>
          </w:p>
        </w:tc>
      </w:tr>
      <w:tr w:rsidR="00AA5368" w:rsidRPr="00AA5368" w14:paraId="7F6B44FF" w14:textId="77777777" w:rsidTr="003D52E1">
        <w:tc>
          <w:tcPr>
            <w:tcW w:w="993" w:type="dxa"/>
            <w:tcBorders>
              <w:top w:val="single" w:sz="4" w:space="0" w:color="000000"/>
              <w:left w:val="single" w:sz="4" w:space="0" w:color="000000"/>
              <w:bottom w:val="single" w:sz="4" w:space="0" w:color="000000"/>
              <w:right w:val="single" w:sz="4" w:space="0" w:color="000000"/>
            </w:tcBorders>
          </w:tcPr>
          <w:p w14:paraId="0C8EAC09"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3.0–3.4</w:t>
            </w:r>
          </w:p>
        </w:tc>
        <w:tc>
          <w:tcPr>
            <w:tcW w:w="653" w:type="dxa"/>
            <w:tcBorders>
              <w:top w:val="single" w:sz="4" w:space="0" w:color="000000"/>
              <w:left w:val="single" w:sz="4" w:space="0" w:color="000000"/>
              <w:bottom w:val="single" w:sz="4" w:space="0" w:color="000000"/>
              <w:right w:val="single" w:sz="4" w:space="0" w:color="000000"/>
            </w:tcBorders>
          </w:tcPr>
          <w:p w14:paraId="586A92C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3.2</w:t>
            </w:r>
          </w:p>
        </w:tc>
        <w:tc>
          <w:tcPr>
            <w:tcW w:w="460" w:type="dxa"/>
            <w:tcBorders>
              <w:top w:val="single" w:sz="4" w:space="0" w:color="000000"/>
              <w:left w:val="single" w:sz="4" w:space="0" w:color="000000"/>
              <w:bottom w:val="single" w:sz="4" w:space="0" w:color="000000"/>
              <w:right w:val="single" w:sz="4" w:space="0" w:color="000000"/>
            </w:tcBorders>
          </w:tcPr>
          <w:p w14:paraId="0B8E07BB"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9</w:t>
            </w:r>
          </w:p>
        </w:tc>
        <w:tc>
          <w:tcPr>
            <w:tcW w:w="756" w:type="dxa"/>
            <w:tcBorders>
              <w:top w:val="single" w:sz="4" w:space="0" w:color="000000"/>
              <w:left w:val="single" w:sz="4" w:space="0" w:color="000000"/>
              <w:bottom w:val="single" w:sz="4" w:space="0" w:color="000000"/>
              <w:right w:val="single" w:sz="4" w:space="0" w:color="000000"/>
            </w:tcBorders>
          </w:tcPr>
          <w:p w14:paraId="62CB5B3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0.198</w:t>
            </w:r>
          </w:p>
        </w:tc>
        <w:tc>
          <w:tcPr>
            <w:tcW w:w="711" w:type="dxa"/>
            <w:tcBorders>
              <w:top w:val="single" w:sz="4" w:space="0" w:color="000000"/>
              <w:left w:val="single" w:sz="4" w:space="0" w:color="000000"/>
              <w:bottom w:val="single" w:sz="4" w:space="0" w:color="000000"/>
              <w:right w:val="single" w:sz="4" w:space="0" w:color="000000"/>
            </w:tcBorders>
          </w:tcPr>
          <w:p w14:paraId="2E761A8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0.505</w:t>
            </w:r>
          </w:p>
        </w:tc>
        <w:tc>
          <w:tcPr>
            <w:tcW w:w="836" w:type="dxa"/>
            <w:tcBorders>
              <w:top w:val="single" w:sz="4" w:space="0" w:color="000000"/>
              <w:left w:val="single" w:sz="4" w:space="0" w:color="000000"/>
              <w:bottom w:val="single" w:sz="4" w:space="0" w:color="000000"/>
              <w:right w:val="single" w:sz="4" w:space="0" w:color="000000"/>
            </w:tcBorders>
          </w:tcPr>
          <w:p w14:paraId="03E3871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−0.703</w:t>
            </w:r>
          </w:p>
        </w:tc>
        <w:tc>
          <w:tcPr>
            <w:tcW w:w="1038" w:type="dxa"/>
            <w:tcBorders>
              <w:top w:val="single" w:sz="4" w:space="0" w:color="000000"/>
              <w:left w:val="single" w:sz="4" w:space="0" w:color="000000"/>
              <w:bottom w:val="single" w:sz="4" w:space="0" w:color="000000"/>
              <w:right w:val="single" w:sz="4" w:space="0" w:color="000000"/>
            </w:tcBorders>
          </w:tcPr>
          <w:p w14:paraId="4AC1D74B"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−0.355</w:t>
            </w:r>
          </w:p>
        </w:tc>
        <w:tc>
          <w:tcPr>
            <w:tcW w:w="857" w:type="dxa"/>
            <w:tcBorders>
              <w:top w:val="single" w:sz="4" w:space="0" w:color="000000"/>
              <w:left w:val="single" w:sz="4" w:space="0" w:color="000000"/>
              <w:bottom w:val="single" w:sz="4" w:space="0" w:color="000000"/>
              <w:right w:val="single" w:sz="4" w:space="0" w:color="000000"/>
            </w:tcBorders>
          </w:tcPr>
          <w:p w14:paraId="096D279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0.255</w:t>
            </w:r>
          </w:p>
        </w:tc>
        <w:tc>
          <w:tcPr>
            <w:tcW w:w="1231" w:type="dxa"/>
            <w:tcBorders>
              <w:top w:val="single" w:sz="4" w:space="0" w:color="000000"/>
              <w:left w:val="single" w:sz="4" w:space="0" w:color="000000"/>
              <w:bottom w:val="single" w:sz="4" w:space="0" w:color="000000"/>
              <w:right w:val="single" w:sz="4" w:space="0" w:color="000000"/>
            </w:tcBorders>
          </w:tcPr>
          <w:p w14:paraId="3B94D9C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0.116</w:t>
            </w:r>
          </w:p>
        </w:tc>
        <w:tc>
          <w:tcPr>
            <w:tcW w:w="770" w:type="dxa"/>
            <w:tcBorders>
              <w:top w:val="single" w:sz="4" w:space="0" w:color="000000"/>
              <w:left w:val="single" w:sz="4" w:space="0" w:color="000000"/>
              <w:bottom w:val="single" w:sz="4" w:space="0" w:color="000000"/>
              <w:right w:val="single" w:sz="4" w:space="0" w:color="000000"/>
            </w:tcBorders>
          </w:tcPr>
          <w:p w14:paraId="5873357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0.605</w:t>
            </w:r>
          </w:p>
        </w:tc>
        <w:tc>
          <w:tcPr>
            <w:tcW w:w="711" w:type="dxa"/>
            <w:tcBorders>
              <w:top w:val="single" w:sz="4" w:space="0" w:color="000000"/>
              <w:left w:val="single" w:sz="4" w:space="0" w:color="000000"/>
              <w:bottom w:val="single" w:sz="4" w:space="0" w:color="000000"/>
              <w:right w:val="single" w:sz="4" w:space="0" w:color="000000"/>
            </w:tcBorders>
          </w:tcPr>
          <w:p w14:paraId="56D689A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1.707</w:t>
            </w:r>
          </w:p>
        </w:tc>
      </w:tr>
      <w:tr w:rsidR="00AA5368" w:rsidRPr="00AA5368" w14:paraId="3EED66A4" w14:textId="77777777" w:rsidTr="003D52E1">
        <w:tc>
          <w:tcPr>
            <w:tcW w:w="993" w:type="dxa"/>
            <w:tcBorders>
              <w:top w:val="single" w:sz="4" w:space="0" w:color="000000"/>
              <w:left w:val="single" w:sz="4" w:space="0" w:color="000000"/>
              <w:bottom w:val="single" w:sz="4" w:space="0" w:color="000000"/>
              <w:right w:val="single" w:sz="4" w:space="0" w:color="000000"/>
            </w:tcBorders>
          </w:tcPr>
          <w:p w14:paraId="5142E478"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3.5–3.9</w:t>
            </w:r>
          </w:p>
        </w:tc>
        <w:tc>
          <w:tcPr>
            <w:tcW w:w="653" w:type="dxa"/>
            <w:tcBorders>
              <w:top w:val="single" w:sz="4" w:space="0" w:color="000000"/>
              <w:left w:val="single" w:sz="4" w:space="0" w:color="000000"/>
              <w:bottom w:val="single" w:sz="4" w:space="0" w:color="000000"/>
              <w:right w:val="single" w:sz="4" w:space="0" w:color="000000"/>
            </w:tcBorders>
          </w:tcPr>
          <w:p w14:paraId="0E43B6E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3.7</w:t>
            </w:r>
          </w:p>
        </w:tc>
        <w:tc>
          <w:tcPr>
            <w:tcW w:w="460" w:type="dxa"/>
            <w:tcBorders>
              <w:top w:val="single" w:sz="4" w:space="0" w:color="000000"/>
              <w:left w:val="single" w:sz="4" w:space="0" w:color="000000"/>
              <w:bottom w:val="single" w:sz="4" w:space="0" w:color="000000"/>
              <w:right w:val="single" w:sz="4" w:space="0" w:color="000000"/>
            </w:tcBorders>
          </w:tcPr>
          <w:p w14:paraId="56CD41B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10</w:t>
            </w:r>
          </w:p>
        </w:tc>
        <w:tc>
          <w:tcPr>
            <w:tcW w:w="756" w:type="dxa"/>
            <w:tcBorders>
              <w:top w:val="single" w:sz="4" w:space="0" w:color="000000"/>
              <w:left w:val="single" w:sz="4" w:space="0" w:color="000000"/>
              <w:bottom w:val="single" w:sz="4" w:space="0" w:color="000000"/>
              <w:right w:val="single" w:sz="4" w:space="0" w:color="000000"/>
            </w:tcBorders>
          </w:tcPr>
          <w:p w14:paraId="1B5EFC5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0.326</w:t>
            </w:r>
          </w:p>
        </w:tc>
        <w:tc>
          <w:tcPr>
            <w:tcW w:w="711" w:type="dxa"/>
            <w:tcBorders>
              <w:top w:val="single" w:sz="4" w:space="0" w:color="000000"/>
              <w:left w:val="single" w:sz="4" w:space="0" w:color="000000"/>
              <w:bottom w:val="single" w:sz="4" w:space="0" w:color="000000"/>
              <w:right w:val="single" w:sz="4" w:space="0" w:color="000000"/>
            </w:tcBorders>
          </w:tcPr>
          <w:p w14:paraId="2603A74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0.568</w:t>
            </w:r>
          </w:p>
        </w:tc>
        <w:tc>
          <w:tcPr>
            <w:tcW w:w="836" w:type="dxa"/>
            <w:tcBorders>
              <w:top w:val="single" w:sz="4" w:space="0" w:color="000000"/>
              <w:left w:val="single" w:sz="4" w:space="0" w:color="000000"/>
              <w:bottom w:val="single" w:sz="4" w:space="0" w:color="000000"/>
              <w:right w:val="single" w:sz="4" w:space="0" w:color="000000"/>
            </w:tcBorders>
          </w:tcPr>
          <w:p w14:paraId="7534B9B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−0.487</w:t>
            </w:r>
          </w:p>
        </w:tc>
        <w:tc>
          <w:tcPr>
            <w:tcW w:w="1038" w:type="dxa"/>
            <w:tcBorders>
              <w:top w:val="single" w:sz="4" w:space="0" w:color="000000"/>
              <w:left w:val="single" w:sz="4" w:space="0" w:color="000000"/>
              <w:bottom w:val="single" w:sz="4" w:space="0" w:color="000000"/>
              <w:right w:val="single" w:sz="4" w:space="0" w:color="000000"/>
            </w:tcBorders>
          </w:tcPr>
          <w:p w14:paraId="02C65FE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−0.277</w:t>
            </w:r>
          </w:p>
        </w:tc>
        <w:tc>
          <w:tcPr>
            <w:tcW w:w="857" w:type="dxa"/>
            <w:tcBorders>
              <w:top w:val="single" w:sz="4" w:space="0" w:color="000000"/>
              <w:left w:val="single" w:sz="4" w:space="0" w:color="000000"/>
              <w:bottom w:val="single" w:sz="4" w:space="0" w:color="000000"/>
              <w:right w:val="single" w:sz="4" w:space="0" w:color="000000"/>
            </w:tcBorders>
          </w:tcPr>
          <w:p w14:paraId="0F5AE00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0.323</w:t>
            </w:r>
          </w:p>
        </w:tc>
        <w:tc>
          <w:tcPr>
            <w:tcW w:w="1231" w:type="dxa"/>
            <w:tcBorders>
              <w:top w:val="single" w:sz="4" w:space="0" w:color="000000"/>
              <w:left w:val="single" w:sz="4" w:space="0" w:color="000000"/>
              <w:bottom w:val="single" w:sz="4" w:space="0" w:color="000000"/>
              <w:right w:val="single" w:sz="4" w:space="0" w:color="000000"/>
            </w:tcBorders>
          </w:tcPr>
          <w:p w14:paraId="2C51AA6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0.179</w:t>
            </w:r>
          </w:p>
        </w:tc>
        <w:tc>
          <w:tcPr>
            <w:tcW w:w="770" w:type="dxa"/>
            <w:tcBorders>
              <w:top w:val="single" w:sz="4" w:space="0" w:color="000000"/>
              <w:left w:val="single" w:sz="4" w:space="0" w:color="000000"/>
              <w:bottom w:val="single" w:sz="4" w:space="0" w:color="000000"/>
              <w:right w:val="single" w:sz="4" w:space="0" w:color="000000"/>
            </w:tcBorders>
          </w:tcPr>
          <w:p w14:paraId="540379A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0.644</w:t>
            </w:r>
          </w:p>
        </w:tc>
        <w:tc>
          <w:tcPr>
            <w:tcW w:w="711" w:type="dxa"/>
            <w:tcBorders>
              <w:top w:val="single" w:sz="4" w:space="0" w:color="000000"/>
              <w:left w:val="single" w:sz="4" w:space="0" w:color="000000"/>
              <w:bottom w:val="single" w:sz="4" w:space="0" w:color="000000"/>
              <w:right w:val="single" w:sz="4" w:space="0" w:color="000000"/>
            </w:tcBorders>
          </w:tcPr>
          <w:p w14:paraId="245DD62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1.821</w:t>
            </w:r>
          </w:p>
        </w:tc>
      </w:tr>
      <w:tr w:rsidR="00AA5368" w:rsidRPr="00AA5368" w14:paraId="5AA2D27F" w14:textId="77777777" w:rsidTr="003D52E1">
        <w:tc>
          <w:tcPr>
            <w:tcW w:w="993" w:type="dxa"/>
            <w:tcBorders>
              <w:top w:val="single" w:sz="4" w:space="0" w:color="000000"/>
              <w:left w:val="single" w:sz="4" w:space="0" w:color="000000"/>
              <w:bottom w:val="single" w:sz="4" w:space="0" w:color="000000"/>
              <w:right w:val="single" w:sz="4" w:space="0" w:color="000000"/>
            </w:tcBorders>
          </w:tcPr>
          <w:p w14:paraId="34877E91"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4.0–4.4</w:t>
            </w:r>
          </w:p>
        </w:tc>
        <w:tc>
          <w:tcPr>
            <w:tcW w:w="653" w:type="dxa"/>
            <w:tcBorders>
              <w:top w:val="single" w:sz="4" w:space="0" w:color="000000"/>
              <w:left w:val="single" w:sz="4" w:space="0" w:color="000000"/>
              <w:bottom w:val="single" w:sz="4" w:space="0" w:color="000000"/>
              <w:right w:val="single" w:sz="4" w:space="0" w:color="000000"/>
            </w:tcBorders>
          </w:tcPr>
          <w:p w14:paraId="4D0F441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4.2</w:t>
            </w:r>
          </w:p>
        </w:tc>
        <w:tc>
          <w:tcPr>
            <w:tcW w:w="460" w:type="dxa"/>
            <w:tcBorders>
              <w:top w:val="single" w:sz="4" w:space="0" w:color="000000"/>
              <w:left w:val="single" w:sz="4" w:space="0" w:color="000000"/>
              <w:bottom w:val="single" w:sz="4" w:space="0" w:color="000000"/>
              <w:right w:val="single" w:sz="4" w:space="0" w:color="000000"/>
            </w:tcBorders>
          </w:tcPr>
          <w:p w14:paraId="5DB4D24B"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31</w:t>
            </w:r>
          </w:p>
        </w:tc>
        <w:tc>
          <w:tcPr>
            <w:tcW w:w="756" w:type="dxa"/>
            <w:tcBorders>
              <w:top w:val="single" w:sz="4" w:space="0" w:color="000000"/>
              <w:left w:val="single" w:sz="4" w:space="0" w:color="000000"/>
              <w:bottom w:val="single" w:sz="4" w:space="0" w:color="000000"/>
              <w:right w:val="single" w:sz="4" w:space="0" w:color="000000"/>
            </w:tcBorders>
          </w:tcPr>
          <w:p w14:paraId="7CF4653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0.480</w:t>
            </w:r>
          </w:p>
        </w:tc>
        <w:tc>
          <w:tcPr>
            <w:tcW w:w="711" w:type="dxa"/>
            <w:tcBorders>
              <w:top w:val="single" w:sz="4" w:space="0" w:color="000000"/>
              <w:left w:val="single" w:sz="4" w:space="0" w:color="000000"/>
              <w:bottom w:val="single" w:sz="4" w:space="0" w:color="000000"/>
              <w:right w:val="single" w:sz="4" w:space="0" w:color="000000"/>
            </w:tcBorders>
          </w:tcPr>
          <w:p w14:paraId="46DB738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0.623</w:t>
            </w:r>
          </w:p>
        </w:tc>
        <w:tc>
          <w:tcPr>
            <w:tcW w:w="836" w:type="dxa"/>
            <w:tcBorders>
              <w:top w:val="single" w:sz="4" w:space="0" w:color="000000"/>
              <w:left w:val="single" w:sz="4" w:space="0" w:color="000000"/>
              <w:bottom w:val="single" w:sz="4" w:space="0" w:color="000000"/>
              <w:right w:val="single" w:sz="4" w:space="0" w:color="000000"/>
            </w:tcBorders>
          </w:tcPr>
          <w:p w14:paraId="6BECC53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−0.319</w:t>
            </w:r>
          </w:p>
        </w:tc>
        <w:tc>
          <w:tcPr>
            <w:tcW w:w="1038" w:type="dxa"/>
            <w:tcBorders>
              <w:top w:val="single" w:sz="4" w:space="0" w:color="000000"/>
              <w:left w:val="single" w:sz="4" w:space="0" w:color="000000"/>
              <w:bottom w:val="single" w:sz="4" w:space="0" w:color="000000"/>
              <w:right w:val="single" w:sz="4" w:space="0" w:color="000000"/>
            </w:tcBorders>
          </w:tcPr>
          <w:p w14:paraId="75566C0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−0.199</w:t>
            </w:r>
          </w:p>
        </w:tc>
        <w:tc>
          <w:tcPr>
            <w:tcW w:w="857" w:type="dxa"/>
            <w:tcBorders>
              <w:top w:val="single" w:sz="4" w:space="0" w:color="000000"/>
              <w:left w:val="single" w:sz="4" w:space="0" w:color="000000"/>
              <w:bottom w:val="single" w:sz="4" w:space="0" w:color="000000"/>
              <w:right w:val="single" w:sz="4" w:space="0" w:color="000000"/>
            </w:tcBorders>
          </w:tcPr>
          <w:p w14:paraId="0F7C1AD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0.389</w:t>
            </w:r>
          </w:p>
        </w:tc>
        <w:tc>
          <w:tcPr>
            <w:tcW w:w="1231" w:type="dxa"/>
            <w:tcBorders>
              <w:top w:val="single" w:sz="4" w:space="0" w:color="000000"/>
              <w:left w:val="single" w:sz="4" w:space="0" w:color="000000"/>
              <w:bottom w:val="single" w:sz="4" w:space="0" w:color="000000"/>
              <w:right w:val="single" w:sz="4" w:space="0" w:color="000000"/>
            </w:tcBorders>
          </w:tcPr>
          <w:p w14:paraId="271EAE8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0.258</w:t>
            </w:r>
          </w:p>
        </w:tc>
        <w:tc>
          <w:tcPr>
            <w:tcW w:w="770" w:type="dxa"/>
            <w:tcBorders>
              <w:top w:val="single" w:sz="4" w:space="0" w:color="000000"/>
              <w:left w:val="single" w:sz="4" w:space="0" w:color="000000"/>
              <w:bottom w:val="single" w:sz="4" w:space="0" w:color="000000"/>
              <w:right w:val="single" w:sz="4" w:space="0" w:color="000000"/>
            </w:tcBorders>
          </w:tcPr>
          <w:p w14:paraId="5F19632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0.648</w:t>
            </w:r>
          </w:p>
        </w:tc>
        <w:tc>
          <w:tcPr>
            <w:tcW w:w="711" w:type="dxa"/>
            <w:tcBorders>
              <w:top w:val="single" w:sz="4" w:space="0" w:color="000000"/>
              <w:left w:val="single" w:sz="4" w:space="0" w:color="000000"/>
              <w:bottom w:val="single" w:sz="4" w:space="0" w:color="000000"/>
              <w:right w:val="single" w:sz="4" w:space="0" w:color="000000"/>
            </w:tcBorders>
          </w:tcPr>
          <w:p w14:paraId="6BFCC1C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1.860</w:t>
            </w:r>
          </w:p>
        </w:tc>
      </w:tr>
      <w:tr w:rsidR="00AA5368" w:rsidRPr="00AA5368" w14:paraId="52506EB7" w14:textId="77777777" w:rsidTr="003D52E1">
        <w:tc>
          <w:tcPr>
            <w:tcW w:w="993" w:type="dxa"/>
            <w:tcBorders>
              <w:top w:val="single" w:sz="4" w:space="0" w:color="000000"/>
              <w:left w:val="single" w:sz="4" w:space="0" w:color="000000"/>
              <w:bottom w:val="single" w:sz="4" w:space="0" w:color="000000"/>
              <w:right w:val="single" w:sz="4" w:space="0" w:color="000000"/>
            </w:tcBorders>
          </w:tcPr>
          <w:p w14:paraId="33723EDC"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4.5–4.9</w:t>
            </w:r>
          </w:p>
        </w:tc>
        <w:tc>
          <w:tcPr>
            <w:tcW w:w="653" w:type="dxa"/>
            <w:tcBorders>
              <w:top w:val="single" w:sz="4" w:space="0" w:color="000000"/>
              <w:left w:val="single" w:sz="4" w:space="0" w:color="000000"/>
              <w:bottom w:val="single" w:sz="4" w:space="0" w:color="000000"/>
              <w:right w:val="single" w:sz="4" w:space="0" w:color="000000"/>
            </w:tcBorders>
          </w:tcPr>
          <w:p w14:paraId="40E246E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4.7</w:t>
            </w:r>
          </w:p>
        </w:tc>
        <w:tc>
          <w:tcPr>
            <w:tcW w:w="460" w:type="dxa"/>
            <w:tcBorders>
              <w:top w:val="single" w:sz="4" w:space="0" w:color="000000"/>
              <w:left w:val="single" w:sz="4" w:space="0" w:color="000000"/>
              <w:bottom w:val="single" w:sz="4" w:space="0" w:color="000000"/>
              <w:right w:val="single" w:sz="4" w:space="0" w:color="000000"/>
            </w:tcBorders>
          </w:tcPr>
          <w:p w14:paraId="43C6E29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9</w:t>
            </w:r>
          </w:p>
        </w:tc>
        <w:tc>
          <w:tcPr>
            <w:tcW w:w="756" w:type="dxa"/>
            <w:tcBorders>
              <w:top w:val="single" w:sz="4" w:space="0" w:color="000000"/>
              <w:left w:val="single" w:sz="4" w:space="0" w:color="000000"/>
              <w:bottom w:val="single" w:sz="4" w:space="0" w:color="000000"/>
              <w:right w:val="single" w:sz="4" w:space="0" w:color="000000"/>
            </w:tcBorders>
          </w:tcPr>
          <w:p w14:paraId="3FF05A9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0.676</w:t>
            </w:r>
          </w:p>
        </w:tc>
        <w:tc>
          <w:tcPr>
            <w:tcW w:w="711" w:type="dxa"/>
            <w:tcBorders>
              <w:top w:val="single" w:sz="4" w:space="0" w:color="000000"/>
              <w:left w:val="single" w:sz="4" w:space="0" w:color="000000"/>
              <w:bottom w:val="single" w:sz="4" w:space="0" w:color="000000"/>
              <w:right w:val="single" w:sz="4" w:space="0" w:color="000000"/>
            </w:tcBorders>
          </w:tcPr>
          <w:p w14:paraId="02CFCCC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0.672</w:t>
            </w:r>
          </w:p>
        </w:tc>
        <w:tc>
          <w:tcPr>
            <w:tcW w:w="836" w:type="dxa"/>
            <w:tcBorders>
              <w:top w:val="single" w:sz="4" w:space="0" w:color="000000"/>
              <w:left w:val="single" w:sz="4" w:space="0" w:color="000000"/>
              <w:bottom w:val="single" w:sz="4" w:space="0" w:color="000000"/>
              <w:right w:val="single" w:sz="4" w:space="0" w:color="000000"/>
            </w:tcBorders>
          </w:tcPr>
          <w:p w14:paraId="78F01FDF"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−0.170</w:t>
            </w:r>
          </w:p>
        </w:tc>
        <w:tc>
          <w:tcPr>
            <w:tcW w:w="1038" w:type="dxa"/>
            <w:tcBorders>
              <w:top w:val="single" w:sz="4" w:space="0" w:color="000000"/>
              <w:left w:val="single" w:sz="4" w:space="0" w:color="000000"/>
              <w:bottom w:val="single" w:sz="4" w:space="0" w:color="000000"/>
              <w:right w:val="single" w:sz="4" w:space="0" w:color="000000"/>
            </w:tcBorders>
          </w:tcPr>
          <w:p w14:paraId="2F039A96"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−0.114</w:t>
            </w:r>
          </w:p>
        </w:tc>
        <w:tc>
          <w:tcPr>
            <w:tcW w:w="857" w:type="dxa"/>
            <w:tcBorders>
              <w:top w:val="single" w:sz="4" w:space="0" w:color="000000"/>
              <w:left w:val="single" w:sz="4" w:space="0" w:color="000000"/>
              <w:bottom w:val="single" w:sz="4" w:space="0" w:color="000000"/>
              <w:right w:val="single" w:sz="4" w:space="0" w:color="000000"/>
            </w:tcBorders>
          </w:tcPr>
          <w:p w14:paraId="384E3E8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0.452</w:t>
            </w:r>
          </w:p>
        </w:tc>
        <w:tc>
          <w:tcPr>
            <w:tcW w:w="1231" w:type="dxa"/>
            <w:tcBorders>
              <w:top w:val="single" w:sz="4" w:space="0" w:color="000000"/>
              <w:left w:val="single" w:sz="4" w:space="0" w:color="000000"/>
              <w:bottom w:val="single" w:sz="4" w:space="0" w:color="000000"/>
              <w:right w:val="single" w:sz="4" w:space="0" w:color="000000"/>
            </w:tcBorders>
          </w:tcPr>
          <w:p w14:paraId="2CC20A0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0.361</w:t>
            </w:r>
          </w:p>
        </w:tc>
        <w:tc>
          <w:tcPr>
            <w:tcW w:w="770" w:type="dxa"/>
            <w:tcBorders>
              <w:top w:val="single" w:sz="4" w:space="0" w:color="000000"/>
              <w:left w:val="single" w:sz="4" w:space="0" w:color="000000"/>
              <w:bottom w:val="single" w:sz="4" w:space="0" w:color="000000"/>
              <w:right w:val="single" w:sz="4" w:space="0" w:color="000000"/>
            </w:tcBorders>
          </w:tcPr>
          <w:p w14:paraId="2B0681F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0.651</w:t>
            </w:r>
          </w:p>
        </w:tc>
        <w:tc>
          <w:tcPr>
            <w:tcW w:w="711" w:type="dxa"/>
            <w:tcBorders>
              <w:top w:val="single" w:sz="4" w:space="0" w:color="000000"/>
              <w:left w:val="single" w:sz="4" w:space="0" w:color="000000"/>
              <w:bottom w:val="single" w:sz="4" w:space="0" w:color="000000"/>
              <w:right w:val="single" w:sz="4" w:space="0" w:color="000000"/>
            </w:tcBorders>
          </w:tcPr>
          <w:p w14:paraId="33B56E2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1.873</w:t>
            </w:r>
          </w:p>
        </w:tc>
      </w:tr>
      <w:tr w:rsidR="00AA5368" w:rsidRPr="00AA5368" w14:paraId="71D00D94" w14:textId="77777777" w:rsidTr="003D52E1">
        <w:tc>
          <w:tcPr>
            <w:tcW w:w="993" w:type="dxa"/>
            <w:tcBorders>
              <w:top w:val="single" w:sz="4" w:space="0" w:color="000000"/>
              <w:left w:val="single" w:sz="4" w:space="0" w:color="000000"/>
              <w:bottom w:val="single" w:sz="4" w:space="0" w:color="000000"/>
              <w:right w:val="single" w:sz="4" w:space="0" w:color="000000"/>
            </w:tcBorders>
          </w:tcPr>
          <w:p w14:paraId="72B44F6C" w14:textId="77777777" w:rsidR="00AA5368" w:rsidRPr="00AA5368" w:rsidRDefault="00AA5368" w:rsidP="003D52E1">
            <w:pPr>
              <w:spacing w:after="0" w:line="360" w:lineRule="auto"/>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5.0–5.4</w:t>
            </w:r>
          </w:p>
        </w:tc>
        <w:tc>
          <w:tcPr>
            <w:tcW w:w="653" w:type="dxa"/>
            <w:tcBorders>
              <w:top w:val="single" w:sz="4" w:space="0" w:color="000000"/>
              <w:left w:val="single" w:sz="4" w:space="0" w:color="000000"/>
              <w:bottom w:val="single" w:sz="4" w:space="0" w:color="000000"/>
              <w:right w:val="single" w:sz="4" w:space="0" w:color="000000"/>
            </w:tcBorders>
          </w:tcPr>
          <w:p w14:paraId="0A57E67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5.2</w:t>
            </w:r>
          </w:p>
        </w:tc>
        <w:tc>
          <w:tcPr>
            <w:tcW w:w="460" w:type="dxa"/>
            <w:tcBorders>
              <w:top w:val="single" w:sz="4" w:space="0" w:color="000000"/>
              <w:left w:val="single" w:sz="4" w:space="0" w:color="000000"/>
              <w:bottom w:val="single" w:sz="4" w:space="0" w:color="000000"/>
              <w:right w:val="single" w:sz="4" w:space="0" w:color="000000"/>
            </w:tcBorders>
          </w:tcPr>
          <w:p w14:paraId="6931ED7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w:t>
            </w:r>
          </w:p>
        </w:tc>
        <w:tc>
          <w:tcPr>
            <w:tcW w:w="756" w:type="dxa"/>
            <w:tcBorders>
              <w:top w:val="single" w:sz="4" w:space="0" w:color="000000"/>
              <w:left w:val="single" w:sz="4" w:space="0" w:color="000000"/>
              <w:bottom w:val="single" w:sz="4" w:space="0" w:color="000000"/>
              <w:right w:val="single" w:sz="4" w:space="0" w:color="000000"/>
            </w:tcBorders>
          </w:tcPr>
          <w:p w14:paraId="3B6F3CC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0.905</w:t>
            </w:r>
          </w:p>
        </w:tc>
        <w:tc>
          <w:tcPr>
            <w:tcW w:w="711" w:type="dxa"/>
            <w:tcBorders>
              <w:top w:val="single" w:sz="4" w:space="0" w:color="000000"/>
              <w:left w:val="single" w:sz="4" w:space="0" w:color="000000"/>
              <w:bottom w:val="single" w:sz="4" w:space="0" w:color="000000"/>
              <w:right w:val="single" w:sz="4" w:space="0" w:color="000000"/>
            </w:tcBorders>
          </w:tcPr>
          <w:p w14:paraId="357B7CA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0.716</w:t>
            </w:r>
          </w:p>
        </w:tc>
        <w:tc>
          <w:tcPr>
            <w:tcW w:w="836" w:type="dxa"/>
            <w:tcBorders>
              <w:top w:val="single" w:sz="4" w:space="0" w:color="000000"/>
              <w:left w:val="single" w:sz="4" w:space="0" w:color="000000"/>
              <w:bottom w:val="single" w:sz="4" w:space="0" w:color="000000"/>
              <w:right w:val="single" w:sz="4" w:space="0" w:color="000000"/>
            </w:tcBorders>
          </w:tcPr>
          <w:p w14:paraId="5D68FA4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−0.043</w:t>
            </w:r>
          </w:p>
        </w:tc>
        <w:tc>
          <w:tcPr>
            <w:tcW w:w="1038" w:type="dxa"/>
            <w:tcBorders>
              <w:top w:val="single" w:sz="4" w:space="0" w:color="000000"/>
              <w:left w:val="single" w:sz="4" w:space="0" w:color="000000"/>
              <w:bottom w:val="single" w:sz="4" w:space="0" w:color="000000"/>
              <w:right w:val="single" w:sz="4" w:space="0" w:color="000000"/>
            </w:tcBorders>
          </w:tcPr>
          <w:p w14:paraId="1F55CB0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−0.031</w:t>
            </w:r>
          </w:p>
        </w:tc>
        <w:tc>
          <w:tcPr>
            <w:tcW w:w="857" w:type="dxa"/>
            <w:tcBorders>
              <w:top w:val="single" w:sz="4" w:space="0" w:color="000000"/>
              <w:left w:val="single" w:sz="4" w:space="0" w:color="000000"/>
              <w:bottom w:val="single" w:sz="4" w:space="0" w:color="000000"/>
              <w:right w:val="single" w:sz="4" w:space="0" w:color="000000"/>
            </w:tcBorders>
          </w:tcPr>
          <w:p w14:paraId="3959F06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0.513</w:t>
            </w:r>
          </w:p>
        </w:tc>
        <w:tc>
          <w:tcPr>
            <w:tcW w:w="1231" w:type="dxa"/>
            <w:tcBorders>
              <w:top w:val="single" w:sz="4" w:space="0" w:color="000000"/>
              <w:left w:val="single" w:sz="4" w:space="0" w:color="000000"/>
              <w:bottom w:val="single" w:sz="4" w:space="0" w:color="000000"/>
              <w:right w:val="single" w:sz="4" w:space="0" w:color="000000"/>
            </w:tcBorders>
          </w:tcPr>
          <w:p w14:paraId="4A698A98"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0.489</w:t>
            </w:r>
          </w:p>
        </w:tc>
        <w:tc>
          <w:tcPr>
            <w:tcW w:w="770" w:type="dxa"/>
            <w:tcBorders>
              <w:top w:val="single" w:sz="4" w:space="0" w:color="000000"/>
              <w:left w:val="single" w:sz="4" w:space="0" w:color="000000"/>
              <w:bottom w:val="single" w:sz="4" w:space="0" w:color="000000"/>
              <w:right w:val="single" w:sz="4" w:space="0" w:color="000000"/>
            </w:tcBorders>
          </w:tcPr>
          <w:p w14:paraId="4DF6D2D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0.644</w:t>
            </w:r>
          </w:p>
        </w:tc>
        <w:tc>
          <w:tcPr>
            <w:tcW w:w="711" w:type="dxa"/>
            <w:tcBorders>
              <w:top w:val="single" w:sz="4" w:space="0" w:color="000000"/>
              <w:left w:val="single" w:sz="4" w:space="0" w:color="000000"/>
              <w:bottom w:val="single" w:sz="4" w:space="0" w:color="000000"/>
              <w:right w:val="single" w:sz="4" w:space="0" w:color="000000"/>
            </w:tcBorders>
          </w:tcPr>
          <w:p w14:paraId="11046CD6"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1.851</w:t>
            </w:r>
          </w:p>
        </w:tc>
      </w:tr>
    </w:tbl>
    <w:p w14:paraId="55A5DDAD" w14:textId="77777777" w:rsidR="00AA5368" w:rsidRPr="00AA5368" w:rsidRDefault="00AA5368" w:rsidP="00AA5368">
      <w:pPr>
        <w:spacing w:after="0" w:line="360" w:lineRule="auto"/>
        <w:jc w:val="both"/>
        <w:rPr>
          <w:rFonts w:ascii="Times New Roman" w:hAnsi="Times New Roman"/>
          <w:sz w:val="24"/>
          <w:szCs w:val="24"/>
        </w:rPr>
      </w:pPr>
    </w:p>
    <w:p w14:paraId="573619E0" w14:textId="77777777" w:rsidR="00AA5368" w:rsidRPr="00AA5368" w:rsidRDefault="00AA5368" w:rsidP="00AA5368">
      <w:pPr>
        <w:spacing w:after="0" w:line="360" w:lineRule="auto"/>
        <w:jc w:val="both"/>
        <w:rPr>
          <w:rFonts w:ascii="Times New Roman" w:hAnsi="Times New Roman"/>
          <w:sz w:val="24"/>
          <w:szCs w:val="24"/>
        </w:rPr>
      </w:pPr>
      <w:r>
        <w:rPr>
          <w:rFonts w:ascii="Times New Roman" w:hAnsi="Times New Roman"/>
          <w:sz w:val="24"/>
          <w:szCs w:val="24"/>
          <w:highlight w:val="yellow"/>
        </w:rPr>
        <w:t>The l</w:t>
      </w:r>
      <w:r>
        <w:rPr>
          <w:rFonts w:ascii="Times New Roman" w:hAnsi="Times New Roman"/>
          <w:sz w:val="24"/>
          <w:szCs w:val="24"/>
        </w:rPr>
        <w:t xml:space="preserve">ength-class distribution of male </w:t>
      </w:r>
      <w:r>
        <w:rPr>
          <w:rStyle w:val="Emphasis"/>
          <w:rFonts w:ascii="Times New Roman" w:hAnsi="Times New Roman"/>
          <w:sz w:val="24"/>
          <w:szCs w:val="24"/>
        </w:rPr>
        <w:t xml:space="preserve">Macrobrachium </w:t>
      </w:r>
      <w:proofErr w:type="spellStart"/>
      <w:r>
        <w:rPr>
          <w:rStyle w:val="Emphasis"/>
          <w:rFonts w:ascii="Times New Roman" w:hAnsi="Times New Roman"/>
          <w:sz w:val="24"/>
          <w:szCs w:val="24"/>
        </w:rPr>
        <w:t>lamarrei</w:t>
      </w:r>
      <w:proofErr w:type="spellEnd"/>
      <w:r>
        <w:rPr>
          <w:rFonts w:ascii="Times New Roman" w:hAnsi="Times New Roman"/>
          <w:sz w:val="24"/>
          <w:szCs w:val="24"/>
        </w:rPr>
        <w:t xml:space="preserve"> show</w:t>
      </w:r>
      <w:r>
        <w:rPr>
          <w:rFonts w:ascii="Times New Roman" w:hAnsi="Times New Roman"/>
          <w:sz w:val="24"/>
          <w:szCs w:val="24"/>
          <w:highlight w:val="yellow"/>
        </w:rPr>
        <w:t>ed</w:t>
      </w:r>
      <w:r>
        <w:rPr>
          <w:rFonts w:ascii="Times New Roman" w:hAnsi="Times New Roman"/>
          <w:sz w:val="24"/>
          <w:szCs w:val="24"/>
        </w:rPr>
        <w:t xml:space="preserve"> a similar trend, with the highest frequency recorded in the </w:t>
      </w:r>
      <w:r>
        <w:rPr>
          <w:rStyle w:val="Strong"/>
          <w:rFonts w:ascii="Times New Roman" w:hAnsi="Times New Roman"/>
          <w:b w:val="0"/>
          <w:bCs w:val="0"/>
          <w:sz w:val="24"/>
          <w:szCs w:val="24"/>
        </w:rPr>
        <w:t>4.0–4.4 cm</w:t>
      </w:r>
      <w:r>
        <w:rPr>
          <w:rFonts w:ascii="Times New Roman" w:hAnsi="Times New Roman"/>
          <w:b/>
          <w:bCs/>
          <w:sz w:val="24"/>
          <w:szCs w:val="24"/>
        </w:rPr>
        <w:t xml:space="preserve"> </w:t>
      </w:r>
      <w:r>
        <w:rPr>
          <w:rFonts w:ascii="Times New Roman" w:hAnsi="Times New Roman"/>
          <w:sz w:val="24"/>
          <w:szCs w:val="24"/>
        </w:rPr>
        <w:t>class</w:t>
      </w:r>
      <w:r>
        <w:rPr>
          <w:rFonts w:ascii="Times New Roman" w:hAnsi="Times New Roman"/>
          <w:b/>
          <w:bCs/>
          <w:sz w:val="24"/>
          <w:szCs w:val="24"/>
        </w:rPr>
        <w:t xml:space="preserve"> (</w:t>
      </w:r>
      <w:r>
        <w:rPr>
          <w:rStyle w:val="Strong"/>
          <w:rFonts w:ascii="Times New Roman" w:hAnsi="Times New Roman"/>
          <w:b w:val="0"/>
          <w:bCs w:val="0"/>
          <w:sz w:val="24"/>
          <w:szCs w:val="24"/>
        </w:rPr>
        <w:t>31 individuals</w:t>
      </w:r>
      <w:r>
        <w:rPr>
          <w:rFonts w:ascii="Times New Roman" w:hAnsi="Times New Roman"/>
          <w:b/>
          <w:bCs/>
          <w:sz w:val="24"/>
          <w:szCs w:val="24"/>
        </w:rPr>
        <w:t>)</w:t>
      </w:r>
      <w:r>
        <w:rPr>
          <w:rFonts w:ascii="Times New Roman" w:hAnsi="Times New Roman"/>
          <w:b/>
          <w:bCs/>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M</w:t>
      </w:r>
      <w:r>
        <w:rPr>
          <w:rFonts w:ascii="Times New Roman" w:hAnsi="Times New Roman"/>
          <w:sz w:val="24"/>
          <w:szCs w:val="24"/>
        </w:rPr>
        <w:t xml:space="preserve">ean body weight increased steadily from 0.120 g to 0.905 g, indicating a positive length–weight relationship </w:t>
      </w:r>
      <w:r>
        <w:rPr>
          <w:rFonts w:ascii="Times New Roman" w:hAnsi="Times New Roman"/>
          <w:sz w:val="24"/>
          <w:szCs w:val="24"/>
          <w:highlight w:val="yellow"/>
        </w:rPr>
        <w:t>cons</w:t>
      </w:r>
      <w:r>
        <w:rPr>
          <w:rFonts w:ascii="Times New Roman" w:hAnsi="Times New Roman"/>
          <w:sz w:val="24"/>
          <w:szCs w:val="24"/>
        </w:rPr>
        <w:t>i</w:t>
      </w:r>
      <w:r>
        <w:rPr>
          <w:rFonts w:ascii="Times New Roman" w:hAnsi="Times New Roman"/>
          <w:sz w:val="24"/>
          <w:szCs w:val="24"/>
          <w:highlight w:val="yellow"/>
        </w:rPr>
        <w:t>ste</w:t>
      </w:r>
      <w:r>
        <w:rPr>
          <w:rFonts w:ascii="Times New Roman" w:hAnsi="Times New Roman"/>
          <w:sz w:val="24"/>
          <w:szCs w:val="24"/>
        </w:rPr>
        <w:t>n</w:t>
      </w:r>
      <w:r>
        <w:rPr>
          <w:rFonts w:ascii="Times New Roman" w:hAnsi="Times New Roman"/>
          <w:sz w:val="24"/>
          <w:szCs w:val="24"/>
          <w:highlight w:val="yellow"/>
        </w:rPr>
        <w:t>t</w:t>
      </w:r>
      <w:r>
        <w:rPr>
          <w:rFonts w:ascii="Times New Roman" w:hAnsi="Times New Roman"/>
          <w:sz w:val="24"/>
          <w:szCs w:val="24"/>
        </w:rPr>
        <w:t xml:space="preserve"> with the calculated weight data</w:t>
      </w:r>
      <w:r>
        <w:rPr>
          <w:rFonts w:ascii="Times New Roman" w:hAnsi="Times New Roman"/>
          <w:sz w:val="24"/>
          <w:szCs w:val="24"/>
          <w:highlight w:val="yellow"/>
        </w:rPr>
        <w:t xml:space="preserve"> (Table 3)</w:t>
      </w:r>
      <w:r>
        <w:rPr>
          <w:rFonts w:ascii="Times New Roman" w:hAnsi="Times New Roman"/>
          <w:sz w:val="24"/>
          <w:szCs w:val="24"/>
        </w:rPr>
        <w:t>.</w:t>
      </w:r>
    </w:p>
    <w:p w14:paraId="518B9305" w14:textId="77777777" w:rsidR="00AA5368" w:rsidRPr="00AA5368" w:rsidRDefault="00AA5368" w:rsidP="00AA5368">
      <w:pPr>
        <w:spacing w:after="0" w:line="360" w:lineRule="auto"/>
        <w:jc w:val="both"/>
        <w:rPr>
          <w:rFonts w:ascii="Times New Roman" w:hAnsi="Times New Roman"/>
          <w:sz w:val="24"/>
          <w:szCs w:val="24"/>
        </w:rPr>
      </w:pPr>
    </w:p>
    <w:p w14:paraId="72940F30" w14:textId="77777777" w:rsidR="00AA5368" w:rsidRPr="00AA5368" w:rsidRDefault="00AA5368" w:rsidP="00AA5368">
      <w:pPr>
        <w:tabs>
          <w:tab w:val="left" w:pos="1608"/>
        </w:tabs>
        <w:spacing w:before="120" w:after="120" w:line="360" w:lineRule="auto"/>
        <w:jc w:val="both"/>
        <w:rPr>
          <w:rFonts w:ascii="Times New Roman" w:hAnsi="Times New Roman"/>
          <w:sz w:val="24"/>
          <w:szCs w:val="24"/>
        </w:rPr>
      </w:pPr>
      <w:r w:rsidRPr="00AA5368">
        <w:rPr>
          <w:rFonts w:ascii="Times New Roman" w:hAnsi="Times New Roman"/>
          <w:noProof/>
          <w:sz w:val="24"/>
          <w:szCs w:val="24"/>
        </w:rPr>
        <w:lastRenderedPageBreak/>
        <w:drawing>
          <wp:inline distT="0" distB="0" distL="0" distR="0" wp14:anchorId="32EE3048" wp14:editId="5926B6C2">
            <wp:extent cx="5676900" cy="3552825"/>
            <wp:effectExtent l="0" t="0" r="0" b="9525"/>
            <wp:docPr id="1469739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2">
                      <a:extLst>
                        <a:ext uri="{28A0092B-C50C-407E-A947-70E740481C1C}">
                          <a14:useLocalDpi xmlns:a14="http://schemas.microsoft.com/office/drawing/2010/main" val="0"/>
                        </a:ext>
                      </a:extLst>
                    </a:blip>
                    <a:srcRect l="-8" t="-12" r="-8" b="-12"/>
                    <a:stretch>
                      <a:fillRect/>
                    </a:stretch>
                  </pic:blipFill>
                  <pic:spPr bwMode="auto">
                    <a:xfrm>
                      <a:off x="0" y="0"/>
                      <a:ext cx="5676900" cy="3552825"/>
                    </a:xfrm>
                    <a:prstGeom prst="rect">
                      <a:avLst/>
                    </a:prstGeom>
                    <a:noFill/>
                    <a:ln>
                      <a:noFill/>
                    </a:ln>
                  </pic:spPr>
                </pic:pic>
              </a:graphicData>
            </a:graphic>
          </wp:inline>
        </w:drawing>
      </w:r>
    </w:p>
    <w:p w14:paraId="3517A59D" w14:textId="77777777" w:rsidR="00AA5368" w:rsidRPr="00AA5368" w:rsidRDefault="00AA5368" w:rsidP="00AA5368">
      <w:pPr>
        <w:spacing w:after="0" w:line="360" w:lineRule="auto"/>
        <w:jc w:val="both"/>
        <w:rPr>
          <w:rFonts w:ascii="Times New Roman" w:hAnsi="Times New Roman"/>
          <w:b/>
          <w:bCs/>
          <w:sz w:val="24"/>
          <w:szCs w:val="24"/>
        </w:rPr>
      </w:pPr>
      <w:r w:rsidRPr="00AA5368">
        <w:rPr>
          <w:rFonts w:ascii="Times New Roman" w:hAnsi="Times New Roman"/>
          <w:b/>
          <w:bCs/>
          <w:sz w:val="24"/>
          <w:szCs w:val="24"/>
          <w:lang w:val="en-IN"/>
        </w:rPr>
        <w:t xml:space="preserve">Figure </w:t>
      </w:r>
      <w:r w:rsidRPr="00AA5368">
        <w:rPr>
          <w:rFonts w:ascii="Times New Roman" w:hAnsi="Times New Roman"/>
          <w:b/>
          <w:bCs/>
          <w:sz w:val="24"/>
          <w:szCs w:val="24"/>
        </w:rPr>
        <w:t xml:space="preserve">3: Regression analysis of Total Length vs Total weight of </w:t>
      </w:r>
      <w:r w:rsidRPr="00AA5368">
        <w:rPr>
          <w:rFonts w:ascii="Times New Roman" w:hAnsi="Times New Roman"/>
          <w:b/>
          <w:bCs/>
          <w:sz w:val="24"/>
          <w:szCs w:val="24"/>
          <w:lang w:val="en-IN"/>
        </w:rPr>
        <w:t>male</w:t>
      </w:r>
      <w:r w:rsidRPr="00AA5368">
        <w:rPr>
          <w:rFonts w:ascii="Times New Roman" w:hAnsi="Times New Roman"/>
          <w:b/>
          <w:bCs/>
          <w:sz w:val="24"/>
          <w:szCs w:val="24"/>
        </w:rPr>
        <w:t xml:space="preserve"> </w:t>
      </w:r>
      <w:r w:rsidRPr="00AA5368">
        <w:rPr>
          <w:rFonts w:ascii="Times New Roman" w:hAnsi="Times New Roman"/>
          <w:b/>
          <w:bCs/>
          <w:i/>
          <w:iCs/>
          <w:sz w:val="24"/>
          <w:szCs w:val="24"/>
        </w:rPr>
        <w:t xml:space="preserve">M. </w:t>
      </w:r>
      <w:proofErr w:type="spellStart"/>
      <w:r w:rsidR="009C6FA0" w:rsidRPr="009C6FA0">
        <w:rPr>
          <w:rFonts w:ascii="Times New Roman" w:hAnsi="Times New Roman"/>
          <w:b/>
          <w:bCs/>
          <w:i/>
          <w:iCs/>
          <w:sz w:val="24"/>
          <w:szCs w:val="24"/>
        </w:rPr>
        <w:t>lamarrei</w:t>
      </w:r>
      <w:proofErr w:type="spellEnd"/>
      <w:r w:rsidR="009C6FA0" w:rsidRPr="009C6FA0">
        <w:rPr>
          <w:rFonts w:ascii="Times New Roman" w:hAnsi="Times New Roman"/>
          <w:b/>
          <w:bCs/>
          <w:i/>
          <w:iCs/>
          <w:sz w:val="24"/>
          <w:szCs w:val="24"/>
        </w:rPr>
        <w:t xml:space="preserve">  </w:t>
      </w:r>
    </w:p>
    <w:p w14:paraId="67395791" w14:textId="77777777" w:rsidR="00AA5368" w:rsidRPr="00AA5368" w:rsidRDefault="00AA5368" w:rsidP="00AA5368">
      <w:pPr>
        <w:spacing w:after="0" w:line="360" w:lineRule="auto"/>
        <w:jc w:val="both"/>
        <w:rPr>
          <w:rFonts w:ascii="Times New Roman" w:hAnsi="Times New Roman"/>
          <w:sz w:val="24"/>
          <w:szCs w:val="24"/>
          <w:lang w:val="en-IN"/>
        </w:rPr>
      </w:pPr>
      <w:r>
        <w:rPr>
          <w:rFonts w:ascii="Times New Roman" w:hAnsi="Times New Roman"/>
          <w:sz w:val="24"/>
          <w:szCs w:val="24"/>
        </w:rPr>
        <w:t xml:space="preserve">Figure </w:t>
      </w:r>
      <w:r>
        <w:rPr>
          <w:rFonts w:ascii="Times New Roman" w:hAnsi="Times New Roman"/>
          <w:sz w:val="24"/>
          <w:szCs w:val="24"/>
          <w:lang w:val="en-IN"/>
        </w:rPr>
        <w:t xml:space="preserve">3 </w:t>
      </w:r>
      <w:r>
        <w:rPr>
          <w:rFonts w:ascii="Times New Roman" w:hAnsi="Times New Roman"/>
          <w:sz w:val="24"/>
          <w:szCs w:val="24"/>
        </w:rPr>
        <w:t>show</w:t>
      </w:r>
      <w:proofErr w:type="spellStart"/>
      <w:r>
        <w:rPr>
          <w:rFonts w:ascii="Times New Roman" w:hAnsi="Times New Roman"/>
          <w:sz w:val="24"/>
          <w:szCs w:val="24"/>
          <w:lang w:val="en-IN"/>
        </w:rPr>
        <w:t>s</w:t>
      </w:r>
      <w:proofErr w:type="spellEnd"/>
      <w:r>
        <w:rPr>
          <w:rFonts w:ascii="Times New Roman" w:hAnsi="Times New Roman"/>
          <w:sz w:val="24"/>
          <w:szCs w:val="24"/>
          <w:lang w:val="en-IN"/>
        </w:rPr>
        <w:t xml:space="preserve"> the relationship between total weight (TW) and total length (TL) for males,</w:t>
      </w:r>
      <w:r>
        <w:rPr>
          <w:rFonts w:ascii="Times New Roman" w:hAnsi="Times New Roman"/>
          <w:sz w:val="24"/>
          <w:szCs w:val="24"/>
        </w:rPr>
        <w:t xml:space="preserve"> </w:t>
      </w:r>
      <w:r>
        <w:rPr>
          <w:rFonts w:ascii="Times New Roman" w:hAnsi="Times New Roman"/>
          <w:sz w:val="24"/>
          <w:szCs w:val="24"/>
          <w:highlight w:val="yellow"/>
        </w:rPr>
        <w:t>demon</w:t>
      </w:r>
      <w:r>
        <w:rPr>
          <w:rFonts w:ascii="Times New Roman" w:hAnsi="Times New Roman"/>
          <w:sz w:val="24"/>
          <w:szCs w:val="24"/>
        </w:rPr>
        <w:t>s</w:t>
      </w:r>
      <w:r>
        <w:rPr>
          <w:rFonts w:ascii="Times New Roman" w:hAnsi="Times New Roman"/>
          <w:sz w:val="24"/>
          <w:szCs w:val="24"/>
          <w:highlight w:val="yellow"/>
        </w:rPr>
        <w:t>trating a</w:t>
      </w:r>
      <w:r>
        <w:rPr>
          <w:rFonts w:ascii="Times New Roman" w:hAnsi="Times New Roman"/>
          <w:sz w:val="24"/>
          <w:szCs w:val="24"/>
        </w:rPr>
        <w:t xml:space="preserve"> positive linear association between the two variables. The total weight of male individuals ranged from </w:t>
      </w:r>
      <w:r>
        <w:rPr>
          <w:rStyle w:val="Strong"/>
          <w:rFonts w:ascii="Times New Roman" w:hAnsi="Times New Roman"/>
          <w:b w:val="0"/>
          <w:bCs w:val="0"/>
          <w:sz w:val="24"/>
          <w:szCs w:val="24"/>
        </w:rPr>
        <w:t>0.10 to 0.98 g</w:t>
      </w:r>
      <w:r>
        <w:rPr>
          <w:rFonts w:ascii="Times New Roman" w:hAnsi="Times New Roman"/>
          <w:sz w:val="24"/>
          <w:szCs w:val="24"/>
        </w:rPr>
        <w:t xml:space="preserve">, while total length varied between </w:t>
      </w:r>
      <w:r>
        <w:rPr>
          <w:rStyle w:val="Strong"/>
          <w:rFonts w:ascii="Times New Roman" w:hAnsi="Times New Roman"/>
          <w:b w:val="0"/>
          <w:bCs w:val="0"/>
          <w:sz w:val="24"/>
          <w:szCs w:val="24"/>
        </w:rPr>
        <w:t>2.50 and 5.20 cm</w:t>
      </w:r>
      <w:r>
        <w:rPr>
          <w:rFonts w:ascii="Times New Roman" w:hAnsi="Times New Roman"/>
          <w:sz w:val="24"/>
          <w:szCs w:val="24"/>
        </w:rPr>
        <w:t xml:space="preserve">. The regression coefficient was positive, indicating a proportional increase in total length with increasing body weight. The regression model yielded a coefficient of determination (R² = 0.8338), indicating that 83.38% of the total variation in body length was explained by body weight. The model did not explain the remaining 16.62% of the variation, and the observed data points were closely clustered around the fitted regression line, indicating minimal dispersion and a high degree of linearity between the measured variables. The regression model provides a statistical description of the morphometric relationship between these two variables within the male </w:t>
      </w:r>
      <w:proofErr w:type="spellStart"/>
      <w:r>
        <w:rPr>
          <w:rFonts w:ascii="Times New Roman" w:hAnsi="Times New Roman"/>
          <w:sz w:val="24"/>
          <w:szCs w:val="24"/>
        </w:rPr>
        <w:t>populatio</w:t>
      </w:r>
      <w:proofErr w:type="spellEnd"/>
      <w:r>
        <w:rPr>
          <w:rFonts w:ascii="Times New Roman" w:hAnsi="Times New Roman"/>
          <w:sz w:val="24"/>
          <w:szCs w:val="24"/>
          <w:lang w:val="en-IN"/>
        </w:rPr>
        <w:t>n.</w:t>
      </w:r>
    </w:p>
    <w:p w14:paraId="1DE14638" w14:textId="77777777" w:rsidR="00AA5368" w:rsidRPr="00AA5368" w:rsidRDefault="00AA5368" w:rsidP="00AA5368">
      <w:pPr>
        <w:spacing w:after="0" w:line="360" w:lineRule="auto"/>
        <w:jc w:val="both"/>
        <w:rPr>
          <w:rFonts w:ascii="Times New Roman" w:hAnsi="Times New Roman"/>
          <w:sz w:val="24"/>
          <w:szCs w:val="24"/>
          <w:lang w:val="en-IN"/>
        </w:rPr>
      </w:pPr>
    </w:p>
    <w:p w14:paraId="664FA570" w14:textId="77777777" w:rsidR="00AA5368" w:rsidRPr="00AA5368" w:rsidRDefault="00AA5368" w:rsidP="00AA5368">
      <w:pPr>
        <w:spacing w:after="0" w:line="360" w:lineRule="auto"/>
        <w:jc w:val="both"/>
        <w:rPr>
          <w:rFonts w:ascii="Times New Roman" w:hAnsi="Times New Roman"/>
          <w:b/>
          <w:bCs/>
        </w:rPr>
      </w:pPr>
      <w:r w:rsidRPr="00AA5368">
        <w:rPr>
          <w:rFonts w:ascii="Times New Roman" w:hAnsi="Times New Roman"/>
          <w:sz w:val="24"/>
          <w:szCs w:val="24"/>
          <w:lang w:val="en-IN"/>
        </w:rPr>
        <w:t xml:space="preserve">Table 4. </w:t>
      </w:r>
      <w:r w:rsidRPr="00AA5368">
        <w:rPr>
          <w:rFonts w:ascii="Times New Roman" w:eastAsia="Times New Roman" w:hAnsi="Times New Roman"/>
          <w:b/>
          <w:bCs/>
          <w:sz w:val="24"/>
          <w:szCs w:val="24"/>
          <w:lang w:val="en-IN" w:eastAsia="en-IN" w:bidi="hi-IN"/>
        </w:rPr>
        <w:t xml:space="preserve">Length–Weight Relationship, Condition Factors of </w:t>
      </w:r>
      <w:r w:rsidRPr="00AA5368">
        <w:rPr>
          <w:rFonts w:ascii="Times New Roman" w:hAnsi="Times New Roman"/>
          <w:b/>
          <w:bCs/>
          <w:sz w:val="24"/>
          <w:szCs w:val="24"/>
          <w:lang w:val="en-IN"/>
        </w:rPr>
        <w:t xml:space="preserve">Pooled data of </w:t>
      </w:r>
      <w:r w:rsidR="009C6FA0" w:rsidRPr="009C6FA0">
        <w:rPr>
          <w:rStyle w:val="Emphasis"/>
          <w:rFonts w:ascii="Times New Roman" w:hAnsi="Times New Roman"/>
          <w:b/>
          <w:bCs/>
          <w:sz w:val="24"/>
          <w:szCs w:val="24"/>
          <w:lang w:val="en-IN"/>
        </w:rPr>
        <w:t>Macrobrachium</w:t>
      </w:r>
      <w:r w:rsidRPr="00AA5368">
        <w:rPr>
          <w:rStyle w:val="Emphasis"/>
          <w:rFonts w:ascii="Times New Roman" w:hAnsi="Times New Roman"/>
          <w:b/>
          <w:bCs/>
          <w:sz w:val="24"/>
          <w:szCs w:val="24"/>
          <w:lang w:val="en-IN"/>
        </w:rPr>
        <w:t xml:space="preserve"> </w:t>
      </w:r>
      <w:proofErr w:type="spellStart"/>
      <w:r w:rsidR="009C6FA0" w:rsidRPr="009C6FA0">
        <w:rPr>
          <w:rStyle w:val="Emphasis"/>
          <w:rFonts w:ascii="Times New Roman" w:hAnsi="Times New Roman"/>
          <w:b/>
          <w:bCs/>
          <w:sz w:val="24"/>
          <w:szCs w:val="24"/>
          <w:lang w:val="en-IN"/>
        </w:rPr>
        <w:t>lamarrei</w:t>
      </w:r>
      <w:proofErr w:type="spellEnd"/>
      <w:r w:rsidR="009C6FA0" w:rsidRPr="009C6FA0">
        <w:rPr>
          <w:rStyle w:val="Emphasis"/>
          <w:rFonts w:ascii="Times New Roman" w:hAnsi="Times New Roman"/>
          <w:b/>
          <w:bCs/>
          <w:sz w:val="24"/>
          <w:szCs w:val="24"/>
          <w:lang w:val="en-IN"/>
        </w:rPr>
        <w:t xml:space="preserve">  </w:t>
      </w:r>
      <w:r w:rsidRPr="00AA5368">
        <w:rPr>
          <w:rFonts w:ascii="Times New Roman" w:hAnsi="Times New Roman"/>
          <w:b/>
          <w:bCs/>
          <w:sz w:val="24"/>
          <w:szCs w:val="24"/>
          <w:lang w:val="en-IN"/>
        </w:rPr>
        <w:t xml:space="preserve"> Based on Grouped Classes</w:t>
      </w:r>
    </w:p>
    <w:tbl>
      <w:tblPr>
        <w:tblW w:w="9016" w:type="dxa"/>
        <w:tblInd w:w="113" w:type="dxa"/>
        <w:tblLayout w:type="fixed"/>
        <w:tblLook w:val="0000" w:firstRow="0" w:lastRow="0" w:firstColumn="0" w:lastColumn="0" w:noHBand="0" w:noVBand="0"/>
      </w:tblPr>
      <w:tblGrid>
        <w:gridCol w:w="1048"/>
        <w:gridCol w:w="689"/>
        <w:gridCol w:w="436"/>
        <w:gridCol w:w="1101"/>
        <w:gridCol w:w="711"/>
        <w:gridCol w:w="836"/>
        <w:gridCol w:w="882"/>
        <w:gridCol w:w="725"/>
        <w:gridCol w:w="1276"/>
        <w:gridCol w:w="711"/>
        <w:gridCol w:w="601"/>
      </w:tblGrid>
      <w:tr w:rsidR="00AA5368" w:rsidRPr="00AA5368" w14:paraId="27D77340"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188AA463" w14:textId="77777777" w:rsidR="00AA5368" w:rsidRPr="00AA5368" w:rsidRDefault="00AA5368" w:rsidP="003D52E1">
            <w:pPr>
              <w:spacing w:after="0" w:line="360" w:lineRule="auto"/>
              <w:jc w:val="center"/>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Class Interval (cm)</w:t>
            </w:r>
          </w:p>
        </w:tc>
        <w:tc>
          <w:tcPr>
            <w:tcW w:w="689" w:type="dxa"/>
            <w:tcBorders>
              <w:top w:val="single" w:sz="4" w:space="0" w:color="000000"/>
              <w:left w:val="single" w:sz="4" w:space="0" w:color="000000"/>
              <w:bottom w:val="single" w:sz="4" w:space="0" w:color="000000"/>
              <w:right w:val="single" w:sz="4" w:space="0" w:color="000000"/>
            </w:tcBorders>
          </w:tcPr>
          <w:p w14:paraId="19D1369F" w14:textId="77777777" w:rsidR="00AA5368" w:rsidRPr="00AA5368" w:rsidRDefault="00AA5368" w:rsidP="003D52E1">
            <w:pPr>
              <w:spacing w:after="0" w:line="360" w:lineRule="auto"/>
              <w:jc w:val="center"/>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Mid L (cm)</w:t>
            </w:r>
          </w:p>
        </w:tc>
        <w:tc>
          <w:tcPr>
            <w:tcW w:w="436" w:type="dxa"/>
            <w:tcBorders>
              <w:top w:val="single" w:sz="4" w:space="0" w:color="000000"/>
              <w:left w:val="single" w:sz="4" w:space="0" w:color="000000"/>
              <w:bottom w:val="single" w:sz="4" w:space="0" w:color="000000"/>
              <w:right w:val="single" w:sz="4" w:space="0" w:color="000000"/>
            </w:tcBorders>
          </w:tcPr>
          <w:p w14:paraId="0A291E46"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f</w:t>
            </w:r>
          </w:p>
        </w:tc>
        <w:tc>
          <w:tcPr>
            <w:tcW w:w="1101" w:type="dxa"/>
            <w:tcBorders>
              <w:top w:val="single" w:sz="4" w:space="0" w:color="000000"/>
              <w:left w:val="single" w:sz="4" w:space="0" w:color="000000"/>
              <w:bottom w:val="single" w:sz="4" w:space="0" w:color="000000"/>
              <w:right w:val="single" w:sz="4" w:space="0" w:color="000000"/>
            </w:tcBorders>
          </w:tcPr>
          <w:p w14:paraId="667B12DB"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Average Weight (W) (g)</w:t>
            </w:r>
          </w:p>
        </w:tc>
        <w:tc>
          <w:tcPr>
            <w:tcW w:w="711" w:type="dxa"/>
            <w:tcBorders>
              <w:top w:val="single" w:sz="4" w:space="0" w:color="000000"/>
              <w:left w:val="single" w:sz="4" w:space="0" w:color="000000"/>
              <w:bottom w:val="single" w:sz="4" w:space="0" w:color="000000"/>
              <w:right w:val="single" w:sz="4" w:space="0" w:color="000000"/>
            </w:tcBorders>
          </w:tcPr>
          <w:p w14:paraId="1A8F5AF0"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log L</w:t>
            </w:r>
          </w:p>
        </w:tc>
        <w:tc>
          <w:tcPr>
            <w:tcW w:w="836" w:type="dxa"/>
            <w:tcBorders>
              <w:top w:val="single" w:sz="4" w:space="0" w:color="000000"/>
              <w:left w:val="single" w:sz="4" w:space="0" w:color="000000"/>
              <w:bottom w:val="single" w:sz="4" w:space="0" w:color="000000"/>
              <w:right w:val="single" w:sz="4" w:space="0" w:color="000000"/>
            </w:tcBorders>
          </w:tcPr>
          <w:p w14:paraId="08A07AF0"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log W</w:t>
            </w:r>
          </w:p>
        </w:tc>
        <w:tc>
          <w:tcPr>
            <w:tcW w:w="882" w:type="dxa"/>
            <w:tcBorders>
              <w:top w:val="single" w:sz="4" w:space="0" w:color="000000"/>
              <w:left w:val="single" w:sz="4" w:space="0" w:color="000000"/>
              <w:bottom w:val="single" w:sz="4" w:space="0" w:color="000000"/>
              <w:right w:val="single" w:sz="4" w:space="0" w:color="000000"/>
            </w:tcBorders>
          </w:tcPr>
          <w:p w14:paraId="0F99032F"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log L × log W</w:t>
            </w:r>
          </w:p>
        </w:tc>
        <w:tc>
          <w:tcPr>
            <w:tcW w:w="725" w:type="dxa"/>
            <w:tcBorders>
              <w:top w:val="single" w:sz="4" w:space="0" w:color="000000"/>
              <w:left w:val="single" w:sz="4" w:space="0" w:color="000000"/>
              <w:bottom w:val="single" w:sz="4" w:space="0" w:color="000000"/>
              <w:right w:val="single" w:sz="4" w:space="0" w:color="000000"/>
            </w:tcBorders>
          </w:tcPr>
          <w:p w14:paraId="7C1BEC2D"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 xml:space="preserve">(log </w:t>
            </w:r>
            <w:proofErr w:type="gramStart"/>
            <w:r w:rsidRPr="00AA5368">
              <w:rPr>
                <w:rFonts w:ascii="Times New Roman" w:eastAsia="Times New Roman" w:hAnsi="Times New Roman"/>
                <w:b/>
                <w:bCs/>
                <w:lang w:val="en-IN" w:eastAsia="en-IN" w:bidi="hi-IN"/>
              </w:rPr>
              <w:t>L)²</w:t>
            </w:r>
            <w:proofErr w:type="gramEnd"/>
          </w:p>
        </w:tc>
        <w:tc>
          <w:tcPr>
            <w:tcW w:w="1276" w:type="dxa"/>
            <w:tcBorders>
              <w:top w:val="single" w:sz="4" w:space="0" w:color="000000"/>
              <w:left w:val="single" w:sz="4" w:space="0" w:color="000000"/>
              <w:bottom w:val="single" w:sz="4" w:space="0" w:color="000000"/>
              <w:right w:val="single" w:sz="4" w:space="0" w:color="000000"/>
            </w:tcBorders>
          </w:tcPr>
          <w:p w14:paraId="56406CD6"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Calculated W′ (g)</w:t>
            </w:r>
          </w:p>
        </w:tc>
        <w:tc>
          <w:tcPr>
            <w:tcW w:w="711" w:type="dxa"/>
            <w:tcBorders>
              <w:top w:val="single" w:sz="4" w:space="0" w:color="000000"/>
              <w:left w:val="single" w:sz="4" w:space="0" w:color="000000"/>
              <w:bottom w:val="single" w:sz="4" w:space="0" w:color="000000"/>
              <w:right w:val="single" w:sz="4" w:space="0" w:color="000000"/>
            </w:tcBorders>
          </w:tcPr>
          <w:p w14:paraId="009C3C91"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r w:rsidRPr="00AA5368">
              <w:rPr>
                <w:rFonts w:ascii="Times New Roman" w:eastAsia="Times New Roman" w:hAnsi="Times New Roman"/>
                <w:b/>
                <w:bCs/>
                <w:lang w:val="en-IN" w:eastAsia="en-IN" w:bidi="hi-IN"/>
              </w:rPr>
              <w:t>K</w:t>
            </w:r>
          </w:p>
        </w:tc>
        <w:tc>
          <w:tcPr>
            <w:tcW w:w="601" w:type="dxa"/>
            <w:tcBorders>
              <w:top w:val="single" w:sz="4" w:space="0" w:color="000000"/>
              <w:left w:val="single" w:sz="4" w:space="0" w:color="000000"/>
              <w:bottom w:val="single" w:sz="4" w:space="0" w:color="000000"/>
              <w:right w:val="single" w:sz="4" w:space="0" w:color="000000"/>
            </w:tcBorders>
          </w:tcPr>
          <w:p w14:paraId="04CC2C98" w14:textId="77777777" w:rsidR="00AA5368" w:rsidRPr="00AA5368" w:rsidRDefault="00AA5368" w:rsidP="003D52E1">
            <w:pPr>
              <w:spacing w:after="0" w:line="360" w:lineRule="auto"/>
              <w:jc w:val="right"/>
              <w:rPr>
                <w:rFonts w:ascii="Times New Roman" w:eastAsia="Times New Roman" w:hAnsi="Times New Roman"/>
                <w:b/>
                <w:bCs/>
                <w:lang w:val="en-IN" w:eastAsia="en-IN" w:bidi="hi-IN"/>
              </w:rPr>
            </w:pPr>
            <w:proofErr w:type="spellStart"/>
            <w:r w:rsidRPr="00AA5368">
              <w:rPr>
                <w:rFonts w:ascii="Times New Roman" w:eastAsia="Times New Roman" w:hAnsi="Times New Roman"/>
                <w:b/>
                <w:bCs/>
                <w:lang w:val="en-IN" w:eastAsia="en-IN" w:bidi="hi-IN"/>
              </w:rPr>
              <w:t>Kn</w:t>
            </w:r>
            <w:proofErr w:type="spellEnd"/>
          </w:p>
        </w:tc>
      </w:tr>
      <w:tr w:rsidR="00AA5368" w:rsidRPr="00AA5368" w14:paraId="7992B9F4"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0F6D2DC9"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2.5–2.9</w:t>
            </w:r>
          </w:p>
        </w:tc>
        <w:tc>
          <w:tcPr>
            <w:tcW w:w="689" w:type="dxa"/>
            <w:tcBorders>
              <w:top w:val="single" w:sz="4" w:space="0" w:color="000000"/>
              <w:left w:val="single" w:sz="4" w:space="0" w:color="000000"/>
              <w:bottom w:val="single" w:sz="4" w:space="0" w:color="000000"/>
              <w:right w:val="single" w:sz="4" w:space="0" w:color="000000"/>
            </w:tcBorders>
          </w:tcPr>
          <w:p w14:paraId="6A822FCD"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2.7</w:t>
            </w:r>
          </w:p>
        </w:tc>
        <w:tc>
          <w:tcPr>
            <w:tcW w:w="436" w:type="dxa"/>
            <w:tcBorders>
              <w:top w:val="single" w:sz="4" w:space="0" w:color="000000"/>
              <w:left w:val="single" w:sz="4" w:space="0" w:color="000000"/>
              <w:bottom w:val="single" w:sz="4" w:space="0" w:color="000000"/>
              <w:right w:val="single" w:sz="4" w:space="0" w:color="000000"/>
            </w:tcBorders>
          </w:tcPr>
          <w:p w14:paraId="1F70C16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w:t>
            </w:r>
          </w:p>
        </w:tc>
        <w:tc>
          <w:tcPr>
            <w:tcW w:w="1101" w:type="dxa"/>
            <w:tcBorders>
              <w:top w:val="single" w:sz="4" w:space="0" w:color="000000"/>
              <w:left w:val="single" w:sz="4" w:space="0" w:color="000000"/>
              <w:bottom w:val="single" w:sz="4" w:space="0" w:color="000000"/>
              <w:right w:val="single" w:sz="4" w:space="0" w:color="000000"/>
            </w:tcBorders>
          </w:tcPr>
          <w:p w14:paraId="43B73F4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0.150</w:t>
            </w:r>
          </w:p>
        </w:tc>
        <w:tc>
          <w:tcPr>
            <w:tcW w:w="711" w:type="dxa"/>
            <w:tcBorders>
              <w:top w:val="single" w:sz="4" w:space="0" w:color="000000"/>
              <w:left w:val="single" w:sz="4" w:space="0" w:color="000000"/>
              <w:bottom w:val="single" w:sz="4" w:space="0" w:color="000000"/>
              <w:right w:val="single" w:sz="4" w:space="0" w:color="000000"/>
            </w:tcBorders>
          </w:tcPr>
          <w:p w14:paraId="6802E0C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0.431</w:t>
            </w:r>
          </w:p>
        </w:tc>
        <w:tc>
          <w:tcPr>
            <w:tcW w:w="836" w:type="dxa"/>
            <w:tcBorders>
              <w:top w:val="single" w:sz="4" w:space="0" w:color="000000"/>
              <w:left w:val="single" w:sz="4" w:space="0" w:color="000000"/>
              <w:bottom w:val="single" w:sz="4" w:space="0" w:color="000000"/>
              <w:right w:val="single" w:sz="4" w:space="0" w:color="000000"/>
            </w:tcBorders>
          </w:tcPr>
          <w:p w14:paraId="5177152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−0.824</w:t>
            </w:r>
          </w:p>
        </w:tc>
        <w:tc>
          <w:tcPr>
            <w:tcW w:w="882" w:type="dxa"/>
            <w:tcBorders>
              <w:top w:val="single" w:sz="4" w:space="0" w:color="000000"/>
              <w:left w:val="single" w:sz="4" w:space="0" w:color="000000"/>
              <w:bottom w:val="single" w:sz="4" w:space="0" w:color="000000"/>
              <w:right w:val="single" w:sz="4" w:space="0" w:color="000000"/>
            </w:tcBorders>
          </w:tcPr>
          <w:p w14:paraId="60735C9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−0.355</w:t>
            </w:r>
          </w:p>
        </w:tc>
        <w:tc>
          <w:tcPr>
            <w:tcW w:w="725" w:type="dxa"/>
            <w:tcBorders>
              <w:top w:val="single" w:sz="4" w:space="0" w:color="000000"/>
              <w:left w:val="single" w:sz="4" w:space="0" w:color="000000"/>
              <w:bottom w:val="single" w:sz="4" w:space="0" w:color="000000"/>
              <w:right w:val="single" w:sz="4" w:space="0" w:color="000000"/>
            </w:tcBorders>
          </w:tcPr>
          <w:p w14:paraId="44B434D8"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0.186</w:t>
            </w:r>
          </w:p>
        </w:tc>
        <w:tc>
          <w:tcPr>
            <w:tcW w:w="1276" w:type="dxa"/>
            <w:tcBorders>
              <w:top w:val="single" w:sz="4" w:space="0" w:color="000000"/>
              <w:left w:val="single" w:sz="4" w:space="0" w:color="000000"/>
              <w:bottom w:val="single" w:sz="4" w:space="0" w:color="000000"/>
              <w:right w:val="single" w:sz="4" w:space="0" w:color="000000"/>
            </w:tcBorders>
          </w:tcPr>
          <w:p w14:paraId="505C257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0.082</w:t>
            </w:r>
          </w:p>
        </w:tc>
        <w:tc>
          <w:tcPr>
            <w:tcW w:w="711" w:type="dxa"/>
            <w:tcBorders>
              <w:top w:val="single" w:sz="4" w:space="0" w:color="000000"/>
              <w:left w:val="single" w:sz="4" w:space="0" w:color="000000"/>
              <w:bottom w:val="single" w:sz="4" w:space="0" w:color="000000"/>
              <w:right w:val="single" w:sz="4" w:space="0" w:color="000000"/>
            </w:tcBorders>
          </w:tcPr>
          <w:p w14:paraId="7A15849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0.762</w:t>
            </w:r>
          </w:p>
        </w:tc>
        <w:tc>
          <w:tcPr>
            <w:tcW w:w="601" w:type="dxa"/>
            <w:tcBorders>
              <w:top w:val="single" w:sz="4" w:space="0" w:color="000000"/>
              <w:left w:val="single" w:sz="4" w:space="0" w:color="000000"/>
              <w:bottom w:val="single" w:sz="4" w:space="0" w:color="000000"/>
              <w:right w:val="single" w:sz="4" w:space="0" w:color="000000"/>
            </w:tcBorders>
          </w:tcPr>
          <w:p w14:paraId="268C909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1.83</w:t>
            </w:r>
          </w:p>
        </w:tc>
      </w:tr>
      <w:tr w:rsidR="00AA5368" w:rsidRPr="00AA5368" w14:paraId="3542D215"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0CF4B716"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lastRenderedPageBreak/>
              <w:t>3.0–3.4</w:t>
            </w:r>
          </w:p>
        </w:tc>
        <w:tc>
          <w:tcPr>
            <w:tcW w:w="689" w:type="dxa"/>
            <w:tcBorders>
              <w:top w:val="single" w:sz="4" w:space="0" w:color="000000"/>
              <w:left w:val="single" w:sz="4" w:space="0" w:color="000000"/>
              <w:bottom w:val="single" w:sz="4" w:space="0" w:color="000000"/>
              <w:right w:val="single" w:sz="4" w:space="0" w:color="000000"/>
            </w:tcBorders>
          </w:tcPr>
          <w:p w14:paraId="23207AC5"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3.2</w:t>
            </w:r>
          </w:p>
        </w:tc>
        <w:tc>
          <w:tcPr>
            <w:tcW w:w="436" w:type="dxa"/>
            <w:tcBorders>
              <w:top w:val="single" w:sz="4" w:space="0" w:color="000000"/>
              <w:left w:val="single" w:sz="4" w:space="0" w:color="000000"/>
              <w:bottom w:val="single" w:sz="4" w:space="0" w:color="000000"/>
              <w:right w:val="single" w:sz="4" w:space="0" w:color="000000"/>
            </w:tcBorders>
          </w:tcPr>
          <w:p w14:paraId="30129EC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12</w:t>
            </w:r>
          </w:p>
        </w:tc>
        <w:tc>
          <w:tcPr>
            <w:tcW w:w="1101" w:type="dxa"/>
            <w:tcBorders>
              <w:top w:val="single" w:sz="4" w:space="0" w:color="000000"/>
              <w:left w:val="single" w:sz="4" w:space="0" w:color="000000"/>
              <w:bottom w:val="single" w:sz="4" w:space="0" w:color="000000"/>
              <w:right w:val="single" w:sz="4" w:space="0" w:color="000000"/>
            </w:tcBorders>
          </w:tcPr>
          <w:p w14:paraId="5560F4A7"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0.267</w:t>
            </w:r>
          </w:p>
        </w:tc>
        <w:tc>
          <w:tcPr>
            <w:tcW w:w="711" w:type="dxa"/>
            <w:tcBorders>
              <w:top w:val="single" w:sz="4" w:space="0" w:color="000000"/>
              <w:left w:val="single" w:sz="4" w:space="0" w:color="000000"/>
              <w:bottom w:val="single" w:sz="4" w:space="0" w:color="000000"/>
              <w:right w:val="single" w:sz="4" w:space="0" w:color="000000"/>
            </w:tcBorders>
          </w:tcPr>
          <w:p w14:paraId="0396A0C2"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0.505</w:t>
            </w:r>
          </w:p>
        </w:tc>
        <w:tc>
          <w:tcPr>
            <w:tcW w:w="836" w:type="dxa"/>
            <w:tcBorders>
              <w:top w:val="single" w:sz="4" w:space="0" w:color="000000"/>
              <w:left w:val="single" w:sz="4" w:space="0" w:color="000000"/>
              <w:bottom w:val="single" w:sz="4" w:space="0" w:color="000000"/>
              <w:right w:val="single" w:sz="4" w:space="0" w:color="000000"/>
            </w:tcBorders>
          </w:tcPr>
          <w:p w14:paraId="44A1F02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−0.574</w:t>
            </w:r>
          </w:p>
        </w:tc>
        <w:tc>
          <w:tcPr>
            <w:tcW w:w="882" w:type="dxa"/>
            <w:tcBorders>
              <w:top w:val="single" w:sz="4" w:space="0" w:color="000000"/>
              <w:left w:val="single" w:sz="4" w:space="0" w:color="000000"/>
              <w:bottom w:val="single" w:sz="4" w:space="0" w:color="000000"/>
              <w:right w:val="single" w:sz="4" w:space="0" w:color="000000"/>
            </w:tcBorders>
          </w:tcPr>
          <w:p w14:paraId="138681B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−0.290</w:t>
            </w:r>
          </w:p>
        </w:tc>
        <w:tc>
          <w:tcPr>
            <w:tcW w:w="725" w:type="dxa"/>
            <w:tcBorders>
              <w:top w:val="single" w:sz="4" w:space="0" w:color="000000"/>
              <w:left w:val="single" w:sz="4" w:space="0" w:color="000000"/>
              <w:bottom w:val="single" w:sz="4" w:space="0" w:color="000000"/>
              <w:right w:val="single" w:sz="4" w:space="0" w:color="000000"/>
            </w:tcBorders>
          </w:tcPr>
          <w:p w14:paraId="2A2B7E9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0.255</w:t>
            </w:r>
          </w:p>
        </w:tc>
        <w:tc>
          <w:tcPr>
            <w:tcW w:w="1276" w:type="dxa"/>
            <w:tcBorders>
              <w:top w:val="single" w:sz="4" w:space="0" w:color="000000"/>
              <w:left w:val="single" w:sz="4" w:space="0" w:color="000000"/>
              <w:bottom w:val="single" w:sz="4" w:space="0" w:color="000000"/>
              <w:right w:val="single" w:sz="4" w:space="0" w:color="000000"/>
            </w:tcBorders>
          </w:tcPr>
          <w:p w14:paraId="61A3F4F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0.131</w:t>
            </w:r>
          </w:p>
        </w:tc>
        <w:tc>
          <w:tcPr>
            <w:tcW w:w="711" w:type="dxa"/>
            <w:tcBorders>
              <w:top w:val="single" w:sz="4" w:space="0" w:color="000000"/>
              <w:left w:val="single" w:sz="4" w:space="0" w:color="000000"/>
              <w:bottom w:val="single" w:sz="4" w:space="0" w:color="000000"/>
              <w:right w:val="single" w:sz="4" w:space="0" w:color="000000"/>
            </w:tcBorders>
          </w:tcPr>
          <w:p w14:paraId="69F8A11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0.815</w:t>
            </w:r>
          </w:p>
        </w:tc>
        <w:tc>
          <w:tcPr>
            <w:tcW w:w="601" w:type="dxa"/>
            <w:tcBorders>
              <w:top w:val="single" w:sz="4" w:space="0" w:color="000000"/>
              <w:left w:val="single" w:sz="4" w:space="0" w:color="000000"/>
              <w:bottom w:val="single" w:sz="4" w:space="0" w:color="000000"/>
              <w:right w:val="single" w:sz="4" w:space="0" w:color="000000"/>
            </w:tcBorders>
          </w:tcPr>
          <w:p w14:paraId="0248932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2.04</w:t>
            </w:r>
          </w:p>
        </w:tc>
      </w:tr>
      <w:tr w:rsidR="00AA5368" w:rsidRPr="00AA5368" w14:paraId="1FC9AC87"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5F8233F7"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3.5–3.9</w:t>
            </w:r>
          </w:p>
        </w:tc>
        <w:tc>
          <w:tcPr>
            <w:tcW w:w="689" w:type="dxa"/>
            <w:tcBorders>
              <w:top w:val="single" w:sz="4" w:space="0" w:color="000000"/>
              <w:left w:val="single" w:sz="4" w:space="0" w:color="000000"/>
              <w:bottom w:val="single" w:sz="4" w:space="0" w:color="000000"/>
              <w:right w:val="single" w:sz="4" w:space="0" w:color="000000"/>
            </w:tcBorders>
          </w:tcPr>
          <w:p w14:paraId="21106E63"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3.7</w:t>
            </w:r>
          </w:p>
        </w:tc>
        <w:tc>
          <w:tcPr>
            <w:tcW w:w="436" w:type="dxa"/>
            <w:tcBorders>
              <w:top w:val="single" w:sz="4" w:space="0" w:color="000000"/>
              <w:left w:val="single" w:sz="4" w:space="0" w:color="000000"/>
              <w:bottom w:val="single" w:sz="4" w:space="0" w:color="000000"/>
              <w:right w:val="single" w:sz="4" w:space="0" w:color="000000"/>
            </w:tcBorders>
          </w:tcPr>
          <w:p w14:paraId="0E6795C6"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34</w:t>
            </w:r>
          </w:p>
        </w:tc>
        <w:tc>
          <w:tcPr>
            <w:tcW w:w="1101" w:type="dxa"/>
            <w:tcBorders>
              <w:top w:val="single" w:sz="4" w:space="0" w:color="000000"/>
              <w:left w:val="single" w:sz="4" w:space="0" w:color="000000"/>
              <w:bottom w:val="single" w:sz="4" w:space="0" w:color="000000"/>
              <w:right w:val="single" w:sz="4" w:space="0" w:color="000000"/>
            </w:tcBorders>
          </w:tcPr>
          <w:p w14:paraId="36E97D2F"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0.333</w:t>
            </w:r>
          </w:p>
        </w:tc>
        <w:tc>
          <w:tcPr>
            <w:tcW w:w="711" w:type="dxa"/>
            <w:tcBorders>
              <w:top w:val="single" w:sz="4" w:space="0" w:color="000000"/>
              <w:left w:val="single" w:sz="4" w:space="0" w:color="000000"/>
              <w:bottom w:val="single" w:sz="4" w:space="0" w:color="000000"/>
              <w:right w:val="single" w:sz="4" w:space="0" w:color="000000"/>
            </w:tcBorders>
          </w:tcPr>
          <w:p w14:paraId="36744D0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0.568</w:t>
            </w:r>
          </w:p>
        </w:tc>
        <w:tc>
          <w:tcPr>
            <w:tcW w:w="836" w:type="dxa"/>
            <w:tcBorders>
              <w:top w:val="single" w:sz="4" w:space="0" w:color="000000"/>
              <w:left w:val="single" w:sz="4" w:space="0" w:color="000000"/>
              <w:bottom w:val="single" w:sz="4" w:space="0" w:color="000000"/>
              <w:right w:val="single" w:sz="4" w:space="0" w:color="000000"/>
            </w:tcBorders>
          </w:tcPr>
          <w:p w14:paraId="26BB5D3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−0.478</w:t>
            </w:r>
          </w:p>
        </w:tc>
        <w:tc>
          <w:tcPr>
            <w:tcW w:w="882" w:type="dxa"/>
            <w:tcBorders>
              <w:top w:val="single" w:sz="4" w:space="0" w:color="000000"/>
              <w:left w:val="single" w:sz="4" w:space="0" w:color="000000"/>
              <w:bottom w:val="single" w:sz="4" w:space="0" w:color="000000"/>
              <w:right w:val="single" w:sz="4" w:space="0" w:color="000000"/>
            </w:tcBorders>
          </w:tcPr>
          <w:p w14:paraId="7CF484E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−0.271</w:t>
            </w:r>
          </w:p>
        </w:tc>
        <w:tc>
          <w:tcPr>
            <w:tcW w:w="725" w:type="dxa"/>
            <w:tcBorders>
              <w:top w:val="single" w:sz="4" w:space="0" w:color="000000"/>
              <w:left w:val="single" w:sz="4" w:space="0" w:color="000000"/>
              <w:bottom w:val="single" w:sz="4" w:space="0" w:color="000000"/>
              <w:right w:val="single" w:sz="4" w:space="0" w:color="000000"/>
            </w:tcBorders>
          </w:tcPr>
          <w:p w14:paraId="4B9BCEB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0.323</w:t>
            </w:r>
          </w:p>
        </w:tc>
        <w:tc>
          <w:tcPr>
            <w:tcW w:w="1276" w:type="dxa"/>
            <w:tcBorders>
              <w:top w:val="single" w:sz="4" w:space="0" w:color="000000"/>
              <w:left w:val="single" w:sz="4" w:space="0" w:color="000000"/>
              <w:bottom w:val="single" w:sz="4" w:space="0" w:color="000000"/>
              <w:right w:val="single" w:sz="4" w:space="0" w:color="000000"/>
            </w:tcBorders>
          </w:tcPr>
          <w:p w14:paraId="3356F84F"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0.197</w:t>
            </w:r>
          </w:p>
        </w:tc>
        <w:tc>
          <w:tcPr>
            <w:tcW w:w="711" w:type="dxa"/>
            <w:tcBorders>
              <w:top w:val="single" w:sz="4" w:space="0" w:color="000000"/>
              <w:left w:val="single" w:sz="4" w:space="0" w:color="000000"/>
              <w:bottom w:val="single" w:sz="4" w:space="0" w:color="000000"/>
              <w:right w:val="single" w:sz="4" w:space="0" w:color="000000"/>
            </w:tcBorders>
          </w:tcPr>
          <w:p w14:paraId="2A80CBC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0.621</w:t>
            </w:r>
          </w:p>
        </w:tc>
        <w:tc>
          <w:tcPr>
            <w:tcW w:w="601" w:type="dxa"/>
            <w:tcBorders>
              <w:top w:val="single" w:sz="4" w:space="0" w:color="000000"/>
              <w:left w:val="single" w:sz="4" w:space="0" w:color="000000"/>
              <w:bottom w:val="single" w:sz="4" w:space="0" w:color="000000"/>
              <w:right w:val="single" w:sz="4" w:space="0" w:color="000000"/>
            </w:tcBorders>
          </w:tcPr>
          <w:p w14:paraId="2A15C23F"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1.69</w:t>
            </w:r>
          </w:p>
        </w:tc>
      </w:tr>
      <w:tr w:rsidR="00AA5368" w:rsidRPr="00AA5368" w14:paraId="674DD69B"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16EC6F04"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4.0–4.4</w:t>
            </w:r>
          </w:p>
        </w:tc>
        <w:tc>
          <w:tcPr>
            <w:tcW w:w="689" w:type="dxa"/>
            <w:tcBorders>
              <w:top w:val="single" w:sz="4" w:space="0" w:color="000000"/>
              <w:left w:val="single" w:sz="4" w:space="0" w:color="000000"/>
              <w:bottom w:val="single" w:sz="4" w:space="0" w:color="000000"/>
              <w:right w:val="single" w:sz="4" w:space="0" w:color="000000"/>
            </w:tcBorders>
          </w:tcPr>
          <w:p w14:paraId="076BBA3C"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4.2</w:t>
            </w:r>
          </w:p>
        </w:tc>
        <w:tc>
          <w:tcPr>
            <w:tcW w:w="436" w:type="dxa"/>
            <w:tcBorders>
              <w:top w:val="single" w:sz="4" w:space="0" w:color="000000"/>
              <w:left w:val="single" w:sz="4" w:space="0" w:color="000000"/>
              <w:bottom w:val="single" w:sz="4" w:space="0" w:color="000000"/>
              <w:right w:val="single" w:sz="4" w:space="0" w:color="000000"/>
            </w:tcBorders>
          </w:tcPr>
          <w:p w14:paraId="4AD431B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77</w:t>
            </w:r>
          </w:p>
        </w:tc>
        <w:tc>
          <w:tcPr>
            <w:tcW w:w="1101" w:type="dxa"/>
            <w:tcBorders>
              <w:top w:val="single" w:sz="4" w:space="0" w:color="000000"/>
              <w:left w:val="single" w:sz="4" w:space="0" w:color="000000"/>
              <w:bottom w:val="single" w:sz="4" w:space="0" w:color="000000"/>
              <w:right w:val="single" w:sz="4" w:space="0" w:color="000000"/>
            </w:tcBorders>
          </w:tcPr>
          <w:p w14:paraId="4985045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0.483</w:t>
            </w:r>
          </w:p>
        </w:tc>
        <w:tc>
          <w:tcPr>
            <w:tcW w:w="711" w:type="dxa"/>
            <w:tcBorders>
              <w:top w:val="single" w:sz="4" w:space="0" w:color="000000"/>
              <w:left w:val="single" w:sz="4" w:space="0" w:color="000000"/>
              <w:bottom w:val="single" w:sz="4" w:space="0" w:color="000000"/>
              <w:right w:val="single" w:sz="4" w:space="0" w:color="000000"/>
            </w:tcBorders>
          </w:tcPr>
          <w:p w14:paraId="0F05426C"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0.623</w:t>
            </w:r>
          </w:p>
        </w:tc>
        <w:tc>
          <w:tcPr>
            <w:tcW w:w="836" w:type="dxa"/>
            <w:tcBorders>
              <w:top w:val="single" w:sz="4" w:space="0" w:color="000000"/>
              <w:left w:val="single" w:sz="4" w:space="0" w:color="000000"/>
              <w:bottom w:val="single" w:sz="4" w:space="0" w:color="000000"/>
              <w:right w:val="single" w:sz="4" w:space="0" w:color="000000"/>
            </w:tcBorders>
          </w:tcPr>
          <w:p w14:paraId="57D1EC85"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−0.316</w:t>
            </w:r>
          </w:p>
        </w:tc>
        <w:tc>
          <w:tcPr>
            <w:tcW w:w="882" w:type="dxa"/>
            <w:tcBorders>
              <w:top w:val="single" w:sz="4" w:space="0" w:color="000000"/>
              <w:left w:val="single" w:sz="4" w:space="0" w:color="000000"/>
              <w:bottom w:val="single" w:sz="4" w:space="0" w:color="000000"/>
              <w:right w:val="single" w:sz="4" w:space="0" w:color="000000"/>
            </w:tcBorders>
          </w:tcPr>
          <w:p w14:paraId="2B6B888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−0.197</w:t>
            </w:r>
          </w:p>
        </w:tc>
        <w:tc>
          <w:tcPr>
            <w:tcW w:w="725" w:type="dxa"/>
            <w:tcBorders>
              <w:top w:val="single" w:sz="4" w:space="0" w:color="000000"/>
              <w:left w:val="single" w:sz="4" w:space="0" w:color="000000"/>
              <w:bottom w:val="single" w:sz="4" w:space="0" w:color="000000"/>
              <w:right w:val="single" w:sz="4" w:space="0" w:color="000000"/>
            </w:tcBorders>
          </w:tcPr>
          <w:p w14:paraId="57607CB3"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0.389</w:t>
            </w:r>
          </w:p>
        </w:tc>
        <w:tc>
          <w:tcPr>
            <w:tcW w:w="1276" w:type="dxa"/>
            <w:tcBorders>
              <w:top w:val="single" w:sz="4" w:space="0" w:color="000000"/>
              <w:left w:val="single" w:sz="4" w:space="0" w:color="000000"/>
              <w:bottom w:val="single" w:sz="4" w:space="0" w:color="000000"/>
              <w:right w:val="single" w:sz="4" w:space="0" w:color="000000"/>
            </w:tcBorders>
          </w:tcPr>
          <w:p w14:paraId="2B9CD5F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0.282</w:t>
            </w:r>
          </w:p>
        </w:tc>
        <w:tc>
          <w:tcPr>
            <w:tcW w:w="711" w:type="dxa"/>
            <w:tcBorders>
              <w:top w:val="single" w:sz="4" w:space="0" w:color="000000"/>
              <w:left w:val="single" w:sz="4" w:space="0" w:color="000000"/>
              <w:bottom w:val="single" w:sz="4" w:space="0" w:color="000000"/>
              <w:right w:val="single" w:sz="4" w:space="0" w:color="000000"/>
            </w:tcBorders>
          </w:tcPr>
          <w:p w14:paraId="3AC83C24"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0.651</w:t>
            </w:r>
          </w:p>
        </w:tc>
        <w:tc>
          <w:tcPr>
            <w:tcW w:w="601" w:type="dxa"/>
            <w:tcBorders>
              <w:top w:val="single" w:sz="4" w:space="0" w:color="000000"/>
              <w:left w:val="single" w:sz="4" w:space="0" w:color="000000"/>
              <w:bottom w:val="single" w:sz="4" w:space="0" w:color="000000"/>
              <w:right w:val="single" w:sz="4" w:space="0" w:color="000000"/>
            </w:tcBorders>
          </w:tcPr>
          <w:p w14:paraId="2EB816C2"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1.71</w:t>
            </w:r>
          </w:p>
        </w:tc>
      </w:tr>
      <w:tr w:rsidR="00AA5368" w:rsidRPr="00AA5368" w14:paraId="6730D1E5"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302EF91D"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4.5–4.9</w:t>
            </w:r>
          </w:p>
        </w:tc>
        <w:tc>
          <w:tcPr>
            <w:tcW w:w="689" w:type="dxa"/>
            <w:tcBorders>
              <w:top w:val="single" w:sz="4" w:space="0" w:color="000000"/>
              <w:left w:val="single" w:sz="4" w:space="0" w:color="000000"/>
              <w:bottom w:val="single" w:sz="4" w:space="0" w:color="000000"/>
              <w:right w:val="single" w:sz="4" w:space="0" w:color="000000"/>
            </w:tcBorders>
          </w:tcPr>
          <w:p w14:paraId="15178A3B"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4.7</w:t>
            </w:r>
          </w:p>
        </w:tc>
        <w:tc>
          <w:tcPr>
            <w:tcW w:w="436" w:type="dxa"/>
            <w:tcBorders>
              <w:top w:val="single" w:sz="4" w:space="0" w:color="000000"/>
              <w:left w:val="single" w:sz="4" w:space="0" w:color="000000"/>
              <w:bottom w:val="single" w:sz="4" w:space="0" w:color="000000"/>
              <w:right w:val="single" w:sz="4" w:space="0" w:color="000000"/>
            </w:tcBorders>
          </w:tcPr>
          <w:p w14:paraId="431EB1DB"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31</w:t>
            </w:r>
          </w:p>
        </w:tc>
        <w:tc>
          <w:tcPr>
            <w:tcW w:w="1101" w:type="dxa"/>
            <w:tcBorders>
              <w:top w:val="single" w:sz="4" w:space="0" w:color="000000"/>
              <w:left w:val="single" w:sz="4" w:space="0" w:color="000000"/>
              <w:bottom w:val="single" w:sz="4" w:space="0" w:color="000000"/>
              <w:right w:val="single" w:sz="4" w:space="0" w:color="000000"/>
            </w:tcBorders>
          </w:tcPr>
          <w:p w14:paraId="0B99EFC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0.629</w:t>
            </w:r>
          </w:p>
        </w:tc>
        <w:tc>
          <w:tcPr>
            <w:tcW w:w="711" w:type="dxa"/>
            <w:tcBorders>
              <w:top w:val="single" w:sz="4" w:space="0" w:color="000000"/>
              <w:left w:val="single" w:sz="4" w:space="0" w:color="000000"/>
              <w:bottom w:val="single" w:sz="4" w:space="0" w:color="000000"/>
              <w:right w:val="single" w:sz="4" w:space="0" w:color="000000"/>
            </w:tcBorders>
          </w:tcPr>
          <w:p w14:paraId="2B90A19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0.672</w:t>
            </w:r>
          </w:p>
        </w:tc>
        <w:tc>
          <w:tcPr>
            <w:tcW w:w="836" w:type="dxa"/>
            <w:tcBorders>
              <w:top w:val="single" w:sz="4" w:space="0" w:color="000000"/>
              <w:left w:val="single" w:sz="4" w:space="0" w:color="000000"/>
              <w:bottom w:val="single" w:sz="4" w:space="0" w:color="000000"/>
              <w:right w:val="single" w:sz="4" w:space="0" w:color="000000"/>
            </w:tcBorders>
          </w:tcPr>
          <w:p w14:paraId="66945188"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−0.201</w:t>
            </w:r>
          </w:p>
        </w:tc>
        <w:tc>
          <w:tcPr>
            <w:tcW w:w="882" w:type="dxa"/>
            <w:tcBorders>
              <w:top w:val="single" w:sz="4" w:space="0" w:color="000000"/>
              <w:left w:val="single" w:sz="4" w:space="0" w:color="000000"/>
              <w:bottom w:val="single" w:sz="4" w:space="0" w:color="000000"/>
              <w:right w:val="single" w:sz="4" w:space="0" w:color="000000"/>
            </w:tcBorders>
          </w:tcPr>
          <w:p w14:paraId="6308BE46"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−0.135</w:t>
            </w:r>
          </w:p>
        </w:tc>
        <w:tc>
          <w:tcPr>
            <w:tcW w:w="725" w:type="dxa"/>
            <w:tcBorders>
              <w:top w:val="single" w:sz="4" w:space="0" w:color="000000"/>
              <w:left w:val="single" w:sz="4" w:space="0" w:color="000000"/>
              <w:bottom w:val="single" w:sz="4" w:space="0" w:color="000000"/>
              <w:right w:val="single" w:sz="4" w:space="0" w:color="000000"/>
            </w:tcBorders>
          </w:tcPr>
          <w:p w14:paraId="6178648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0.452</w:t>
            </w:r>
          </w:p>
        </w:tc>
        <w:tc>
          <w:tcPr>
            <w:tcW w:w="1276" w:type="dxa"/>
            <w:tcBorders>
              <w:top w:val="single" w:sz="4" w:space="0" w:color="000000"/>
              <w:left w:val="single" w:sz="4" w:space="0" w:color="000000"/>
              <w:bottom w:val="single" w:sz="4" w:space="0" w:color="000000"/>
              <w:right w:val="single" w:sz="4" w:space="0" w:color="000000"/>
            </w:tcBorders>
          </w:tcPr>
          <w:p w14:paraId="62B5C53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0.391</w:t>
            </w:r>
          </w:p>
        </w:tc>
        <w:tc>
          <w:tcPr>
            <w:tcW w:w="711" w:type="dxa"/>
            <w:tcBorders>
              <w:top w:val="single" w:sz="4" w:space="0" w:color="000000"/>
              <w:left w:val="single" w:sz="4" w:space="0" w:color="000000"/>
              <w:bottom w:val="single" w:sz="4" w:space="0" w:color="000000"/>
              <w:right w:val="single" w:sz="4" w:space="0" w:color="000000"/>
            </w:tcBorders>
          </w:tcPr>
          <w:p w14:paraId="725AD87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0.605</w:t>
            </w:r>
          </w:p>
        </w:tc>
        <w:tc>
          <w:tcPr>
            <w:tcW w:w="601" w:type="dxa"/>
            <w:tcBorders>
              <w:top w:val="single" w:sz="4" w:space="0" w:color="000000"/>
              <w:left w:val="single" w:sz="4" w:space="0" w:color="000000"/>
              <w:bottom w:val="single" w:sz="4" w:space="0" w:color="000000"/>
              <w:right w:val="single" w:sz="4" w:space="0" w:color="000000"/>
            </w:tcBorders>
          </w:tcPr>
          <w:p w14:paraId="222E599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1.61</w:t>
            </w:r>
          </w:p>
        </w:tc>
      </w:tr>
      <w:tr w:rsidR="00AA5368" w:rsidRPr="00AA5368" w14:paraId="244DA053" w14:textId="77777777" w:rsidTr="003D52E1">
        <w:tc>
          <w:tcPr>
            <w:tcW w:w="1048" w:type="dxa"/>
            <w:tcBorders>
              <w:top w:val="single" w:sz="4" w:space="0" w:color="000000"/>
              <w:left w:val="single" w:sz="4" w:space="0" w:color="000000"/>
              <w:bottom w:val="single" w:sz="4" w:space="0" w:color="000000"/>
              <w:right w:val="single" w:sz="4" w:space="0" w:color="000000"/>
            </w:tcBorders>
          </w:tcPr>
          <w:p w14:paraId="56F133AE"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5.0–5.4</w:t>
            </w:r>
          </w:p>
        </w:tc>
        <w:tc>
          <w:tcPr>
            <w:tcW w:w="689" w:type="dxa"/>
            <w:tcBorders>
              <w:top w:val="single" w:sz="4" w:space="0" w:color="000000"/>
              <w:left w:val="single" w:sz="4" w:space="0" w:color="000000"/>
              <w:bottom w:val="single" w:sz="4" w:space="0" w:color="000000"/>
              <w:right w:val="single" w:sz="4" w:space="0" w:color="000000"/>
            </w:tcBorders>
          </w:tcPr>
          <w:p w14:paraId="7E586CDA" w14:textId="77777777" w:rsidR="00AA5368" w:rsidRPr="00AA5368" w:rsidRDefault="00AA5368" w:rsidP="003D52E1">
            <w:pPr>
              <w:spacing w:after="0" w:line="360" w:lineRule="auto"/>
              <w:jc w:val="center"/>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5.2</w:t>
            </w:r>
          </w:p>
        </w:tc>
        <w:tc>
          <w:tcPr>
            <w:tcW w:w="436" w:type="dxa"/>
            <w:tcBorders>
              <w:top w:val="single" w:sz="4" w:space="0" w:color="000000"/>
              <w:left w:val="single" w:sz="4" w:space="0" w:color="000000"/>
              <w:bottom w:val="single" w:sz="4" w:space="0" w:color="000000"/>
              <w:right w:val="single" w:sz="4" w:space="0" w:color="000000"/>
            </w:tcBorders>
          </w:tcPr>
          <w:p w14:paraId="2154F4D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5</w:t>
            </w:r>
          </w:p>
        </w:tc>
        <w:tc>
          <w:tcPr>
            <w:tcW w:w="1101" w:type="dxa"/>
            <w:tcBorders>
              <w:top w:val="single" w:sz="4" w:space="0" w:color="000000"/>
              <w:left w:val="single" w:sz="4" w:space="0" w:color="000000"/>
              <w:bottom w:val="single" w:sz="4" w:space="0" w:color="000000"/>
              <w:right w:val="single" w:sz="4" w:space="0" w:color="000000"/>
            </w:tcBorders>
          </w:tcPr>
          <w:p w14:paraId="53408EB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0.852</w:t>
            </w:r>
          </w:p>
        </w:tc>
        <w:tc>
          <w:tcPr>
            <w:tcW w:w="711" w:type="dxa"/>
            <w:tcBorders>
              <w:top w:val="single" w:sz="4" w:space="0" w:color="000000"/>
              <w:left w:val="single" w:sz="4" w:space="0" w:color="000000"/>
              <w:bottom w:val="single" w:sz="4" w:space="0" w:color="000000"/>
              <w:right w:val="single" w:sz="4" w:space="0" w:color="000000"/>
            </w:tcBorders>
          </w:tcPr>
          <w:p w14:paraId="6EB05421"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0.716</w:t>
            </w:r>
          </w:p>
        </w:tc>
        <w:tc>
          <w:tcPr>
            <w:tcW w:w="836" w:type="dxa"/>
            <w:tcBorders>
              <w:top w:val="single" w:sz="4" w:space="0" w:color="000000"/>
              <w:left w:val="single" w:sz="4" w:space="0" w:color="000000"/>
              <w:bottom w:val="single" w:sz="4" w:space="0" w:color="000000"/>
              <w:right w:val="single" w:sz="4" w:space="0" w:color="000000"/>
            </w:tcBorders>
          </w:tcPr>
          <w:p w14:paraId="7D9858AA"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−0.070</w:t>
            </w:r>
          </w:p>
        </w:tc>
        <w:tc>
          <w:tcPr>
            <w:tcW w:w="882" w:type="dxa"/>
            <w:tcBorders>
              <w:top w:val="single" w:sz="4" w:space="0" w:color="000000"/>
              <w:left w:val="single" w:sz="4" w:space="0" w:color="000000"/>
              <w:bottom w:val="single" w:sz="4" w:space="0" w:color="000000"/>
              <w:right w:val="single" w:sz="4" w:space="0" w:color="000000"/>
            </w:tcBorders>
          </w:tcPr>
          <w:p w14:paraId="588E7A8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−0.050</w:t>
            </w:r>
          </w:p>
        </w:tc>
        <w:tc>
          <w:tcPr>
            <w:tcW w:w="725" w:type="dxa"/>
            <w:tcBorders>
              <w:top w:val="single" w:sz="4" w:space="0" w:color="000000"/>
              <w:left w:val="single" w:sz="4" w:space="0" w:color="000000"/>
              <w:bottom w:val="single" w:sz="4" w:space="0" w:color="000000"/>
              <w:right w:val="single" w:sz="4" w:space="0" w:color="000000"/>
            </w:tcBorders>
          </w:tcPr>
          <w:p w14:paraId="6CFE6D5E"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0.513</w:t>
            </w:r>
          </w:p>
        </w:tc>
        <w:tc>
          <w:tcPr>
            <w:tcW w:w="1276" w:type="dxa"/>
            <w:tcBorders>
              <w:top w:val="single" w:sz="4" w:space="0" w:color="000000"/>
              <w:left w:val="single" w:sz="4" w:space="0" w:color="000000"/>
              <w:bottom w:val="single" w:sz="4" w:space="0" w:color="000000"/>
              <w:right w:val="single" w:sz="4" w:space="0" w:color="000000"/>
            </w:tcBorders>
          </w:tcPr>
          <w:p w14:paraId="77B6AC6D"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0.523</w:t>
            </w:r>
          </w:p>
        </w:tc>
        <w:tc>
          <w:tcPr>
            <w:tcW w:w="711" w:type="dxa"/>
            <w:tcBorders>
              <w:top w:val="single" w:sz="4" w:space="0" w:color="000000"/>
              <w:left w:val="single" w:sz="4" w:space="0" w:color="000000"/>
              <w:bottom w:val="single" w:sz="4" w:space="0" w:color="000000"/>
              <w:right w:val="single" w:sz="4" w:space="0" w:color="000000"/>
            </w:tcBorders>
          </w:tcPr>
          <w:p w14:paraId="3601C669"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0.606</w:t>
            </w:r>
          </w:p>
        </w:tc>
        <w:tc>
          <w:tcPr>
            <w:tcW w:w="601" w:type="dxa"/>
            <w:tcBorders>
              <w:top w:val="single" w:sz="4" w:space="0" w:color="000000"/>
              <w:left w:val="single" w:sz="4" w:space="0" w:color="000000"/>
              <w:bottom w:val="single" w:sz="4" w:space="0" w:color="000000"/>
              <w:right w:val="single" w:sz="4" w:space="0" w:color="000000"/>
            </w:tcBorders>
          </w:tcPr>
          <w:p w14:paraId="7D258AE0" w14:textId="77777777" w:rsidR="00AA5368" w:rsidRPr="00AA5368" w:rsidRDefault="00AA5368" w:rsidP="003D52E1">
            <w:pPr>
              <w:spacing w:after="0" w:line="360" w:lineRule="auto"/>
              <w:jc w:val="right"/>
              <w:rPr>
                <w:rFonts w:ascii="Times New Roman" w:eastAsia="Times New Roman" w:hAnsi="Times New Roman"/>
                <w:lang w:val="en-IN" w:eastAsia="en-IN" w:bidi="hi-IN"/>
              </w:rPr>
            </w:pPr>
            <w:r w:rsidRPr="00AA5368">
              <w:rPr>
                <w:rFonts w:ascii="Times New Roman" w:eastAsia="Times New Roman" w:hAnsi="Times New Roman"/>
                <w:lang w:val="en-IN" w:eastAsia="en-IN" w:bidi="hi-IN"/>
              </w:rPr>
              <w:t>1.63</w:t>
            </w:r>
          </w:p>
        </w:tc>
      </w:tr>
    </w:tbl>
    <w:p w14:paraId="510C47D3" w14:textId="77777777" w:rsidR="00AA5368" w:rsidRPr="00AA5368" w:rsidRDefault="00AA5368" w:rsidP="00AA5368">
      <w:pPr>
        <w:pStyle w:val="NormalWeb"/>
        <w:spacing w:line="360" w:lineRule="auto"/>
        <w:rPr>
          <w:rFonts w:cs="Times New Roman"/>
        </w:rPr>
      </w:pPr>
      <w:r>
        <w:rPr>
          <w:rFonts w:cs="Times New Roman"/>
        </w:rPr>
        <w:t xml:space="preserve">In the pooled data for both sexes, the length-class distribution of </w:t>
      </w:r>
      <w:r>
        <w:rPr>
          <w:rFonts w:cs="Times New Roman"/>
          <w:i/>
          <w:iCs/>
        </w:rPr>
        <w:t xml:space="preserve">Macrobrachium </w:t>
      </w:r>
      <w:proofErr w:type="spellStart"/>
      <w:r>
        <w:rPr>
          <w:rFonts w:cs="Times New Roman"/>
          <w:i/>
          <w:iCs/>
        </w:rPr>
        <w:t>lamarrei</w:t>
      </w:r>
      <w:proofErr w:type="spellEnd"/>
      <w:r>
        <w:rPr>
          <w:rFonts w:cs="Times New Roman"/>
        </w:rPr>
        <w:t xml:space="preserve"> show</w:t>
      </w:r>
      <w:r>
        <w:rPr>
          <w:rFonts w:cs="Times New Roman"/>
          <w:highlight w:val="yellow"/>
        </w:rPr>
        <w:t>ed</w:t>
      </w:r>
      <w:r>
        <w:rPr>
          <w:rFonts w:cs="Times New Roman"/>
        </w:rPr>
        <w:t xml:space="preserve"> similar trends in frequency and proportion</w:t>
      </w:r>
      <w:r>
        <w:rPr>
          <w:rFonts w:cs="Times New Roman"/>
          <w:highlight w:val="yellow"/>
        </w:rPr>
        <w:t>al increases in length and weight</w:t>
      </w:r>
      <w:r>
        <w:rPr>
          <w:rFonts w:cs="Times New Roman"/>
        </w:rPr>
        <w:t>, demonstrating a positive length–weight relationship (Table 4).</w:t>
      </w:r>
    </w:p>
    <w:p w14:paraId="5F2C41EB" w14:textId="77777777" w:rsidR="00AA5368" w:rsidRPr="00AA5368" w:rsidRDefault="00AA5368" w:rsidP="00AA5368">
      <w:pPr>
        <w:spacing w:after="0" w:line="360" w:lineRule="auto"/>
        <w:jc w:val="both"/>
        <w:rPr>
          <w:rFonts w:ascii="Times New Roman" w:hAnsi="Times New Roman"/>
          <w:sz w:val="24"/>
          <w:szCs w:val="24"/>
        </w:rPr>
      </w:pPr>
    </w:p>
    <w:p w14:paraId="3FE9AD29" w14:textId="77777777" w:rsidR="00AA5368" w:rsidRPr="00AA5368" w:rsidRDefault="00AA5368" w:rsidP="00AA5368">
      <w:pPr>
        <w:spacing w:line="360" w:lineRule="auto"/>
        <w:jc w:val="both"/>
        <w:rPr>
          <w:rFonts w:ascii="Times New Roman" w:hAnsi="Times New Roman"/>
          <w:b/>
          <w:bCs/>
          <w:sz w:val="24"/>
          <w:szCs w:val="24"/>
        </w:rPr>
      </w:pPr>
      <w:r w:rsidRPr="00AA5368">
        <w:rPr>
          <w:rFonts w:ascii="Times New Roman" w:hAnsi="Times New Roman"/>
          <w:noProof/>
          <w:sz w:val="24"/>
          <w:szCs w:val="24"/>
        </w:rPr>
        <w:drawing>
          <wp:inline distT="0" distB="0" distL="0" distR="0" wp14:anchorId="76BF066E" wp14:editId="072D251F">
            <wp:extent cx="5731510" cy="4007485"/>
            <wp:effectExtent l="0" t="0" r="2540" b="0"/>
            <wp:docPr id="1038665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3">
                      <a:extLst>
                        <a:ext uri="{28A0092B-C50C-407E-A947-70E740481C1C}">
                          <a14:useLocalDpi xmlns:a14="http://schemas.microsoft.com/office/drawing/2010/main" val="0"/>
                        </a:ext>
                      </a:extLst>
                    </a:blip>
                    <a:srcRect l="-8" t="-11" r="-8" b="-11"/>
                    <a:stretch>
                      <a:fillRect/>
                    </a:stretch>
                  </pic:blipFill>
                  <pic:spPr bwMode="auto">
                    <a:xfrm>
                      <a:off x="0" y="0"/>
                      <a:ext cx="5731510" cy="4007485"/>
                    </a:xfrm>
                    <a:prstGeom prst="rect">
                      <a:avLst/>
                    </a:prstGeom>
                    <a:noFill/>
                    <a:ln>
                      <a:noFill/>
                    </a:ln>
                  </pic:spPr>
                </pic:pic>
              </a:graphicData>
            </a:graphic>
          </wp:inline>
        </w:drawing>
      </w:r>
    </w:p>
    <w:p w14:paraId="02A4E11B" w14:textId="77777777" w:rsidR="00AA5368" w:rsidRPr="00AA5368" w:rsidRDefault="00AA5368" w:rsidP="00AA5368">
      <w:pPr>
        <w:spacing w:line="360" w:lineRule="auto"/>
        <w:jc w:val="both"/>
        <w:rPr>
          <w:rFonts w:ascii="Times New Roman" w:hAnsi="Times New Roman"/>
          <w:b/>
          <w:bCs/>
          <w:sz w:val="24"/>
          <w:szCs w:val="24"/>
          <w:lang w:val="en-IN"/>
        </w:rPr>
      </w:pPr>
      <w:r w:rsidRPr="00AA5368">
        <w:rPr>
          <w:rFonts w:ascii="Times New Roman" w:hAnsi="Times New Roman"/>
          <w:b/>
          <w:bCs/>
          <w:sz w:val="24"/>
          <w:szCs w:val="24"/>
        </w:rPr>
        <w:t xml:space="preserve">Figure 4: Regression analysis between Total length vs body weight in the pooled data of </w:t>
      </w:r>
      <w:r w:rsidRPr="00AA5368">
        <w:rPr>
          <w:rFonts w:ascii="Times New Roman" w:hAnsi="Times New Roman"/>
          <w:b/>
          <w:bCs/>
          <w:i/>
          <w:iCs/>
          <w:sz w:val="24"/>
          <w:szCs w:val="24"/>
        </w:rPr>
        <w:t xml:space="preserve">M. </w:t>
      </w:r>
      <w:proofErr w:type="spellStart"/>
      <w:r w:rsidR="009C6FA0" w:rsidRPr="009C6FA0">
        <w:rPr>
          <w:rFonts w:ascii="Times New Roman" w:hAnsi="Times New Roman"/>
          <w:b/>
          <w:bCs/>
          <w:i/>
          <w:iCs/>
          <w:sz w:val="24"/>
          <w:szCs w:val="24"/>
        </w:rPr>
        <w:t>lamarrei</w:t>
      </w:r>
      <w:proofErr w:type="spellEnd"/>
      <w:r w:rsidR="009C6FA0" w:rsidRPr="009C6FA0">
        <w:rPr>
          <w:rFonts w:ascii="Times New Roman" w:hAnsi="Times New Roman"/>
          <w:b/>
          <w:bCs/>
          <w:i/>
          <w:iCs/>
          <w:sz w:val="24"/>
          <w:szCs w:val="24"/>
        </w:rPr>
        <w:t xml:space="preserve">  </w:t>
      </w:r>
    </w:p>
    <w:p w14:paraId="0A5C68CE" w14:textId="77777777" w:rsidR="00AA5368" w:rsidRPr="00AA5368" w:rsidRDefault="00AA5368" w:rsidP="00AA5368">
      <w:pPr>
        <w:pStyle w:val="NormalWeb"/>
        <w:spacing w:before="280" w:after="280" w:line="360" w:lineRule="auto"/>
        <w:jc w:val="both"/>
        <w:rPr>
          <w:rFonts w:cs="Times New Roman"/>
        </w:rPr>
      </w:pPr>
      <w:r>
        <w:rPr>
          <w:rFonts w:cs="Times New Roman"/>
        </w:rPr>
        <w:t xml:space="preserve">Figure 4 shows the pooled data for both sexes, and the scatter plot illustrates the relationship between total weight (g) and </w:t>
      </w:r>
      <w:r>
        <w:rPr>
          <w:rFonts w:cs="Times New Roman"/>
          <w:highlight w:val="yellow"/>
        </w:rPr>
        <w:t>t</w:t>
      </w:r>
      <w:r>
        <w:rPr>
          <w:rFonts w:cs="Times New Roman"/>
        </w:rPr>
        <w:t xml:space="preserve">otal length (cm) of </w:t>
      </w:r>
      <w:r>
        <w:rPr>
          <w:rFonts w:cs="Times New Roman"/>
          <w:i/>
          <w:iCs/>
        </w:rPr>
        <w:t>Macrobrachium</w:t>
      </w:r>
      <w:r>
        <w:rPr>
          <w:rFonts w:cs="Times New Roman"/>
        </w:rPr>
        <w:t xml:space="preserve"> </w:t>
      </w:r>
      <w:proofErr w:type="spellStart"/>
      <w:r>
        <w:rPr>
          <w:rFonts w:cs="Times New Roman"/>
          <w:i/>
          <w:iCs/>
        </w:rPr>
        <w:t>lamarrei</w:t>
      </w:r>
      <w:proofErr w:type="spellEnd"/>
      <w:r>
        <w:rPr>
          <w:rFonts w:cs="Times New Roman"/>
          <w:highlight w:val="yellow"/>
        </w:rPr>
        <w:t>.</w:t>
      </w:r>
      <w:r>
        <w:rPr>
          <w:rFonts w:cs="Times New Roman"/>
        </w:rPr>
        <w:t xml:space="preserve"> </w:t>
      </w:r>
      <w:r>
        <w:rPr>
          <w:rFonts w:cs="Times New Roman"/>
          <w:highlight w:val="yellow"/>
        </w:rPr>
        <w:t>A</w:t>
      </w:r>
      <w:r>
        <w:rPr>
          <w:rFonts w:cs="Times New Roman"/>
        </w:rPr>
        <w:t xml:space="preserve"> total of 164 specimens were examined, including 64 males (blue diamonds) and 100 </w:t>
      </w:r>
      <w:r>
        <w:rPr>
          <w:rFonts w:cs="Times New Roman"/>
          <w:highlight w:val="yellow"/>
        </w:rPr>
        <w:t>f</w:t>
      </w:r>
      <w:r>
        <w:rPr>
          <w:rFonts w:cs="Times New Roman"/>
        </w:rPr>
        <w:t xml:space="preserve">emales (red circles). The regression equation (y = 2.670x + 2.886) indicates a strong positive linear relationship between weight and length. Overall, the graph shows that total length increases in proportion to body weight in both sexes, and the positive regression coefficient (2.670) indicates that total </w:t>
      </w:r>
      <w:r>
        <w:rPr>
          <w:rFonts w:cs="Times New Roman"/>
        </w:rPr>
        <w:lastRenderedPageBreak/>
        <w:t>length increases linearly with body weight. The regression model yielded R² = 0.812, indicating that 81.2% of the variation in total length is explained by total body weight, with the remaining 18.8% unexplained.</w:t>
      </w:r>
    </w:p>
    <w:p w14:paraId="162D6FD2" w14:textId="77777777" w:rsidR="00AA5368" w:rsidRPr="00AA5368" w:rsidRDefault="00AA5368" w:rsidP="00AA5368">
      <w:pPr>
        <w:pStyle w:val="NormalWeb"/>
        <w:spacing w:line="360" w:lineRule="auto"/>
        <w:jc w:val="both"/>
        <w:rPr>
          <w:rFonts w:cs="Times New Roman"/>
          <w:b/>
          <w:bCs/>
          <w:lang w:val="en-IN"/>
        </w:rPr>
      </w:pPr>
      <w:r w:rsidRPr="00AA5368">
        <w:rPr>
          <w:rFonts w:cs="Times New Roman"/>
          <w:b/>
          <w:bCs/>
        </w:rPr>
        <w:t>Condition Factors</w:t>
      </w:r>
    </w:p>
    <w:p w14:paraId="6827929C" w14:textId="77777777" w:rsidR="00AA5368" w:rsidRPr="00AA5368" w:rsidRDefault="00AA5368" w:rsidP="00AA5368">
      <w:pPr>
        <w:spacing w:line="360" w:lineRule="auto"/>
        <w:jc w:val="both"/>
        <w:rPr>
          <w:rFonts w:ascii="Times New Roman" w:hAnsi="Times New Roman"/>
          <w:sz w:val="24"/>
          <w:szCs w:val="24"/>
          <w:lang w:val="en-IN"/>
        </w:rPr>
      </w:pPr>
      <w:r>
        <w:rPr>
          <w:rFonts w:ascii="Times New Roman" w:hAnsi="Times New Roman"/>
          <w:sz w:val="24"/>
          <w:szCs w:val="24"/>
          <w:highlight w:val="yellow"/>
          <w:lang w:val="en-IN"/>
        </w:rPr>
        <w:t>As shown in Figure 5, the c</w:t>
      </w:r>
      <w:r>
        <w:rPr>
          <w:rFonts w:ascii="Times New Roman" w:hAnsi="Times New Roman"/>
          <w:sz w:val="24"/>
          <w:szCs w:val="24"/>
          <w:lang w:val="en-IN"/>
        </w:rPr>
        <w:t xml:space="preserve">ondition factors of female </w:t>
      </w:r>
      <w:r>
        <w:rPr>
          <w:rFonts w:ascii="Times New Roman" w:hAnsi="Times New Roman"/>
          <w:i/>
          <w:iCs/>
          <w:sz w:val="24"/>
          <w:szCs w:val="24"/>
          <w:lang w:val="en-IN"/>
        </w:rPr>
        <w:t xml:space="preserve">Macrobrachium </w:t>
      </w:r>
      <w:proofErr w:type="spellStart"/>
      <w:r>
        <w:rPr>
          <w:rFonts w:ascii="Times New Roman" w:hAnsi="Times New Roman"/>
          <w:i/>
          <w:iCs/>
          <w:sz w:val="24"/>
          <w:szCs w:val="24"/>
          <w:lang w:val="en-IN"/>
        </w:rPr>
        <w:t>lamarrei</w:t>
      </w:r>
      <w:proofErr w:type="spellEnd"/>
      <w:r>
        <w:rPr>
          <w:rFonts w:ascii="Times New Roman" w:hAnsi="Times New Roman"/>
          <w:sz w:val="24"/>
          <w:szCs w:val="24"/>
          <w:lang w:val="en-IN"/>
        </w:rPr>
        <w:t xml:space="preserve"> were evaluated across six length classes (2.5–2.9 to 5.0–5.4 cm). The number of individuals in each class was 2, 3, 26, 45, 22, and 2, respectively. The r</w:t>
      </w:r>
      <w:r>
        <w:rPr>
          <w:rFonts w:ascii="Times New Roman" w:eastAsia="SimSun;宋体" w:hAnsi="Times New Roman"/>
          <w:sz w:val="24"/>
          <w:szCs w:val="24"/>
        </w:rPr>
        <w:t>elative condition factor (</w:t>
      </w:r>
      <w:proofErr w:type="spellStart"/>
      <w:r>
        <w:rPr>
          <w:rFonts w:ascii="Times New Roman" w:eastAsia="SimSun;宋体" w:hAnsi="Times New Roman"/>
          <w:sz w:val="24"/>
          <w:szCs w:val="24"/>
        </w:rPr>
        <w:t>Kn</w:t>
      </w:r>
      <w:proofErr w:type="spellEnd"/>
      <w:r>
        <w:rPr>
          <w:rFonts w:ascii="Times New Roman" w:eastAsia="SimSun;宋体" w:hAnsi="Times New Roman"/>
          <w:sz w:val="24"/>
          <w:szCs w:val="24"/>
        </w:rPr>
        <w:t>) generally remained close to 1.0, reaching a maximum of 1.11 in the 5.0–5.4 cm class, indicating that the observed body weight was nearly equal to, or</w:t>
      </w:r>
      <w:r>
        <w:rPr>
          <w:rFonts w:ascii="Times New Roman" w:hAnsi="Times New Roman"/>
          <w:sz w:val="24"/>
          <w:szCs w:val="24"/>
          <w:lang w:val="en-IN"/>
        </w:rPr>
        <w:t xml:space="preserve"> slightly greater than, the expected weight. </w:t>
      </w:r>
      <w:r>
        <w:rPr>
          <w:rFonts w:ascii="Times New Roman" w:eastAsia="SimSun;宋体" w:hAnsi="Times New Roman"/>
          <w:sz w:val="24"/>
          <w:szCs w:val="24"/>
        </w:rPr>
        <w:t>Fulton</w:t>
      </w:r>
      <w:r>
        <w:rPr>
          <w:rFonts w:ascii="Times New Roman" w:eastAsia="SimSun;宋体" w:hAnsi="Times New Roman"/>
          <w:sz w:val="24"/>
          <w:szCs w:val="24"/>
          <w:highlight w:val="yellow"/>
        </w:rPr>
        <w:t>'s</w:t>
      </w:r>
      <w:r>
        <w:rPr>
          <w:rFonts w:ascii="Times New Roman" w:eastAsia="SimSun;宋体" w:hAnsi="Times New Roman"/>
          <w:sz w:val="24"/>
          <w:szCs w:val="24"/>
        </w:rPr>
        <w:t xml:space="preserve"> </w:t>
      </w:r>
      <w:r>
        <w:rPr>
          <w:rFonts w:ascii="Times New Roman" w:eastAsia="SimSun;宋体" w:hAnsi="Times New Roman"/>
          <w:sz w:val="24"/>
          <w:szCs w:val="24"/>
          <w:highlight w:val="yellow"/>
        </w:rPr>
        <w:t>c</w:t>
      </w:r>
      <w:r>
        <w:rPr>
          <w:rFonts w:ascii="Times New Roman" w:eastAsia="SimSun;宋体" w:hAnsi="Times New Roman"/>
          <w:sz w:val="24"/>
          <w:szCs w:val="24"/>
        </w:rPr>
        <w:t xml:space="preserve">ondition </w:t>
      </w:r>
      <w:r>
        <w:rPr>
          <w:rFonts w:ascii="Times New Roman" w:eastAsia="SimSun;宋体" w:hAnsi="Times New Roman"/>
          <w:sz w:val="24"/>
          <w:szCs w:val="24"/>
          <w:highlight w:val="yellow"/>
        </w:rPr>
        <w:t>f</w:t>
      </w:r>
      <w:r>
        <w:rPr>
          <w:rFonts w:ascii="Times New Roman" w:eastAsia="SimSun;宋体" w:hAnsi="Times New Roman"/>
          <w:sz w:val="24"/>
          <w:szCs w:val="24"/>
        </w:rPr>
        <w:t>actor (K)</w:t>
      </w:r>
      <w:r>
        <w:rPr>
          <w:rFonts w:ascii="Times New Roman" w:hAnsi="Times New Roman"/>
          <w:sz w:val="24"/>
          <w:szCs w:val="24"/>
          <w:lang w:val="en-IN"/>
        </w:rPr>
        <w:t xml:space="preserve"> varied among length classes, </w:t>
      </w:r>
      <w:r>
        <w:rPr>
          <w:rFonts w:ascii="Times New Roman" w:hAnsi="Times New Roman"/>
          <w:sz w:val="24"/>
          <w:szCs w:val="24"/>
          <w:highlight w:val="yellow"/>
          <w:lang w:val="en-IN"/>
        </w:rPr>
        <w:t>incre</w:t>
      </w:r>
      <w:r>
        <w:rPr>
          <w:rFonts w:ascii="Times New Roman" w:hAnsi="Times New Roman"/>
          <w:sz w:val="24"/>
          <w:szCs w:val="24"/>
          <w:lang w:val="en-IN"/>
        </w:rPr>
        <w:t>a</w:t>
      </w:r>
      <w:r>
        <w:rPr>
          <w:rFonts w:ascii="Times New Roman" w:hAnsi="Times New Roman"/>
          <w:sz w:val="24"/>
          <w:szCs w:val="24"/>
          <w:highlight w:val="yellow"/>
          <w:lang w:val="en-IN"/>
        </w:rPr>
        <w:t>sing</w:t>
      </w:r>
      <w:r>
        <w:rPr>
          <w:rFonts w:ascii="Times New Roman" w:hAnsi="Times New Roman"/>
          <w:sz w:val="24"/>
          <w:szCs w:val="24"/>
          <w:lang w:val="en-IN"/>
        </w:rPr>
        <w:t xml:space="preserve"> gradual</w:t>
      </w:r>
      <w:r>
        <w:rPr>
          <w:rFonts w:ascii="Times New Roman" w:hAnsi="Times New Roman"/>
          <w:sz w:val="24"/>
          <w:szCs w:val="24"/>
          <w:highlight w:val="yellow"/>
          <w:lang w:val="en-IN"/>
        </w:rPr>
        <w:t>ly</w:t>
      </w:r>
      <w:r>
        <w:rPr>
          <w:rFonts w:ascii="Times New Roman" w:hAnsi="Times New Roman"/>
          <w:sz w:val="24"/>
          <w:szCs w:val="24"/>
          <w:lang w:val="en-IN"/>
        </w:rPr>
        <w:t xml:space="preserve"> from 0.57 (2.5–2.9 cm) to 0.65 (3.0–3.4 cm), fluctuatin</w:t>
      </w:r>
      <w:r>
        <w:rPr>
          <w:rFonts w:ascii="Times New Roman" w:hAnsi="Times New Roman"/>
          <w:sz w:val="24"/>
          <w:szCs w:val="24"/>
          <w:highlight w:val="yellow"/>
          <w:lang w:val="en-IN"/>
        </w:rPr>
        <w:t>g slightly</w:t>
      </w:r>
      <w:r>
        <w:rPr>
          <w:rFonts w:ascii="Times New Roman" w:hAnsi="Times New Roman"/>
          <w:sz w:val="24"/>
          <w:szCs w:val="24"/>
          <w:lang w:val="en-IN"/>
        </w:rPr>
        <w:t xml:space="preserve"> in the </w:t>
      </w:r>
      <w:r>
        <w:rPr>
          <w:rFonts w:ascii="Times New Roman" w:hAnsi="Times New Roman"/>
          <w:sz w:val="24"/>
          <w:szCs w:val="24"/>
          <w:highlight w:val="yellow"/>
          <w:lang w:val="en-IN"/>
        </w:rPr>
        <w:t xml:space="preserve">two </w:t>
      </w:r>
      <w:r>
        <w:rPr>
          <w:rFonts w:ascii="Times New Roman" w:hAnsi="Times New Roman"/>
          <w:sz w:val="24"/>
          <w:szCs w:val="24"/>
          <w:lang w:val="en-IN"/>
        </w:rPr>
        <w:t>middle classes (0.62</w:t>
      </w:r>
      <w:r>
        <w:rPr>
          <w:rFonts w:ascii="Times New Roman" w:hAnsi="Times New Roman"/>
          <w:sz w:val="24"/>
          <w:szCs w:val="24"/>
          <w:highlight w:val="yellow"/>
          <w:lang w:val="en-IN"/>
        </w:rPr>
        <w:t>–</w:t>
      </w:r>
      <w:r>
        <w:rPr>
          <w:rFonts w:ascii="Times New Roman" w:hAnsi="Times New Roman"/>
          <w:sz w:val="24"/>
          <w:szCs w:val="24"/>
          <w:lang w:val="en-IN"/>
        </w:rPr>
        <w:t>0.64)</w:t>
      </w:r>
      <w:r>
        <w:rPr>
          <w:rFonts w:ascii="Times New Roman" w:hAnsi="Times New Roman"/>
          <w:sz w:val="24"/>
          <w:szCs w:val="24"/>
          <w:highlight w:val="yellow"/>
          <w:lang w:val="en-IN"/>
        </w:rPr>
        <w:t>,</w:t>
      </w:r>
      <w:r>
        <w:rPr>
          <w:rFonts w:ascii="Times New Roman" w:hAnsi="Times New Roman"/>
          <w:sz w:val="24"/>
          <w:szCs w:val="24"/>
          <w:lang w:val="en-IN"/>
        </w:rPr>
        <w:t xml:space="preserve"> and then decreas</w:t>
      </w:r>
      <w:r>
        <w:rPr>
          <w:rFonts w:ascii="Times New Roman" w:hAnsi="Times New Roman"/>
          <w:sz w:val="24"/>
          <w:szCs w:val="24"/>
          <w:highlight w:val="yellow"/>
          <w:lang w:val="en-IN"/>
        </w:rPr>
        <w:t>ing</w:t>
      </w:r>
      <w:r>
        <w:rPr>
          <w:rFonts w:ascii="Times New Roman" w:hAnsi="Times New Roman"/>
          <w:sz w:val="24"/>
          <w:szCs w:val="24"/>
          <w:lang w:val="en-IN"/>
        </w:rPr>
        <w:t xml:space="preserve"> to 0.56 in the largest length class (5.0–5.4 cm)</w:t>
      </w:r>
      <w:r>
        <w:rPr>
          <w:rFonts w:ascii="Times New Roman" w:hAnsi="Times New Roman"/>
          <w:sz w:val="24"/>
          <w:szCs w:val="24"/>
          <w:highlight w:val="yellow"/>
          <w:lang w:val="en-IN"/>
        </w:rPr>
        <w:t>.</w:t>
      </w:r>
      <w:r>
        <w:rPr>
          <w:rFonts w:ascii="Times New Roman" w:hAnsi="Times New Roman"/>
          <w:sz w:val="24"/>
          <w:szCs w:val="24"/>
          <w:lang w:val="en-IN"/>
        </w:rPr>
        <w:t xml:space="preserve"> </w:t>
      </w:r>
      <w:r>
        <w:rPr>
          <w:rFonts w:ascii="Times New Roman" w:hAnsi="Times New Roman"/>
          <w:sz w:val="24"/>
          <w:szCs w:val="24"/>
          <w:highlight w:val="yellow"/>
          <w:lang w:val="en-IN"/>
        </w:rPr>
        <w:t>The</w:t>
      </w:r>
      <w:r>
        <w:rPr>
          <w:rFonts w:ascii="Times New Roman" w:hAnsi="Times New Roman"/>
          <w:sz w:val="24"/>
          <w:szCs w:val="24"/>
          <w:lang w:val="en-IN"/>
        </w:rPr>
        <w:t>se variations indicate differences in body condition among size groups.</w:t>
      </w:r>
    </w:p>
    <w:p w14:paraId="513058A1" w14:textId="77777777" w:rsidR="00AA5368" w:rsidRPr="00AA5368" w:rsidRDefault="00AA5368" w:rsidP="00AA5368">
      <w:pPr>
        <w:pStyle w:val="NormalWeb"/>
        <w:rPr>
          <w:rFonts w:eastAsia="Times New Roman" w:cs="Times New Roman"/>
          <w:lang w:val="en-IN"/>
        </w:rPr>
      </w:pPr>
      <w:r w:rsidRPr="00AA5368">
        <w:rPr>
          <w:rFonts w:eastAsia="Times New Roman" w:cs="Times New Roman"/>
          <w:noProof/>
          <w:lang w:val="en-IN" w:eastAsia="en-US"/>
        </w:rPr>
        <w:drawing>
          <wp:inline distT="0" distB="0" distL="0" distR="0" wp14:anchorId="1966A6B8" wp14:editId="4D91F9F3">
            <wp:extent cx="5731510" cy="3342005"/>
            <wp:effectExtent l="0" t="0" r="2540" b="0"/>
            <wp:docPr id="843404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6" t="-11" r="-6" b="-11"/>
                    <a:stretch>
                      <a:fillRect/>
                    </a:stretch>
                  </pic:blipFill>
                  <pic:spPr bwMode="auto">
                    <a:xfrm>
                      <a:off x="0" y="0"/>
                      <a:ext cx="5731510" cy="3342005"/>
                    </a:xfrm>
                    <a:prstGeom prst="rect">
                      <a:avLst/>
                    </a:prstGeom>
                    <a:noFill/>
                    <a:ln>
                      <a:noFill/>
                    </a:ln>
                  </pic:spPr>
                </pic:pic>
              </a:graphicData>
            </a:graphic>
          </wp:inline>
        </w:drawing>
      </w:r>
    </w:p>
    <w:p w14:paraId="46C4F480" w14:textId="77777777" w:rsidR="00AA5368" w:rsidRPr="00AA5368" w:rsidRDefault="00AA5368" w:rsidP="00AA5368">
      <w:pPr>
        <w:spacing w:after="0" w:line="360" w:lineRule="auto"/>
        <w:jc w:val="both"/>
        <w:rPr>
          <w:rFonts w:ascii="Times New Roman" w:eastAsia="SimSun;宋体" w:hAnsi="Times New Roman"/>
          <w:b/>
          <w:bCs/>
          <w:sz w:val="24"/>
          <w:szCs w:val="24"/>
        </w:rPr>
      </w:pPr>
      <w:r w:rsidRPr="00AA5368">
        <w:rPr>
          <w:rFonts w:ascii="Times New Roman" w:eastAsia="SimSun;宋体" w:hAnsi="Times New Roman"/>
          <w:b/>
          <w:bCs/>
          <w:sz w:val="24"/>
          <w:szCs w:val="24"/>
          <w:lang w:val="en-IN"/>
        </w:rPr>
        <w:t xml:space="preserve">Figure 5: </w:t>
      </w:r>
      <w:r w:rsidRPr="00AA5368">
        <w:rPr>
          <w:rFonts w:ascii="Times New Roman" w:eastAsia="SimSun;宋体" w:hAnsi="Times New Roman"/>
          <w:b/>
          <w:bCs/>
          <w:sz w:val="24"/>
          <w:szCs w:val="24"/>
        </w:rPr>
        <w:t>Relative Condition Factor (</w:t>
      </w:r>
      <w:proofErr w:type="spellStart"/>
      <w:r w:rsidRPr="00AA5368">
        <w:rPr>
          <w:rFonts w:ascii="Times New Roman" w:eastAsia="SimSun;宋体" w:hAnsi="Times New Roman"/>
          <w:b/>
          <w:bCs/>
          <w:sz w:val="24"/>
          <w:szCs w:val="24"/>
        </w:rPr>
        <w:t>Kn</w:t>
      </w:r>
      <w:proofErr w:type="spellEnd"/>
      <w:r w:rsidRPr="00AA5368">
        <w:rPr>
          <w:rFonts w:ascii="Times New Roman" w:eastAsia="SimSun;宋体" w:hAnsi="Times New Roman"/>
          <w:b/>
          <w:bCs/>
          <w:sz w:val="24"/>
          <w:szCs w:val="24"/>
        </w:rPr>
        <w:t>) and Fulton Condition Factor (K) in Female</w:t>
      </w:r>
    </w:p>
    <w:p w14:paraId="0CE4AE71" w14:textId="77777777" w:rsidR="00AA5368" w:rsidRPr="00AA5368" w:rsidRDefault="00AA5368" w:rsidP="00AA5368">
      <w:pPr>
        <w:spacing w:after="0" w:line="360" w:lineRule="auto"/>
        <w:jc w:val="both"/>
        <w:rPr>
          <w:rStyle w:val="Emphasis"/>
          <w:rFonts w:ascii="Times New Roman" w:eastAsia="SimSun;宋体" w:hAnsi="Times New Roman"/>
          <w:b/>
          <w:bCs/>
          <w:sz w:val="24"/>
          <w:szCs w:val="24"/>
        </w:rPr>
      </w:pPr>
      <w:r w:rsidRPr="00AA5368">
        <w:rPr>
          <w:rFonts w:ascii="Times New Roman" w:eastAsia="Times New Roman" w:hAnsi="Times New Roman"/>
          <w:b/>
          <w:bCs/>
          <w:sz w:val="24"/>
          <w:szCs w:val="24"/>
        </w:rPr>
        <w:t xml:space="preserve"> </w:t>
      </w:r>
      <w:r w:rsidR="009C6FA0" w:rsidRPr="009C6FA0">
        <w:rPr>
          <w:rStyle w:val="Emphasis"/>
          <w:rFonts w:ascii="Times New Roman" w:eastAsia="SimSun;宋体" w:hAnsi="Times New Roman"/>
          <w:b/>
          <w:bCs/>
          <w:sz w:val="24"/>
          <w:szCs w:val="24"/>
        </w:rPr>
        <w:t>Macrobrachium</w:t>
      </w:r>
      <w:r w:rsidRPr="00AA5368">
        <w:rPr>
          <w:rStyle w:val="Emphasis"/>
          <w:rFonts w:ascii="Times New Roman" w:eastAsia="SimSun;宋体" w:hAnsi="Times New Roman"/>
          <w:b/>
          <w:bCs/>
          <w:sz w:val="24"/>
          <w:szCs w:val="24"/>
        </w:rPr>
        <w:t xml:space="preserve"> </w:t>
      </w:r>
      <w:proofErr w:type="spellStart"/>
      <w:r w:rsidR="009C6FA0" w:rsidRPr="009C6FA0">
        <w:rPr>
          <w:rStyle w:val="Emphasis"/>
          <w:rFonts w:ascii="Times New Roman" w:eastAsia="SimSun;宋体" w:hAnsi="Times New Roman"/>
          <w:b/>
          <w:bCs/>
          <w:sz w:val="24"/>
          <w:szCs w:val="24"/>
        </w:rPr>
        <w:t>lamarrei</w:t>
      </w:r>
      <w:proofErr w:type="spellEnd"/>
      <w:r w:rsidR="009C6FA0" w:rsidRPr="009C6FA0">
        <w:rPr>
          <w:rStyle w:val="Emphasis"/>
          <w:rFonts w:ascii="Times New Roman" w:eastAsia="SimSun;宋体" w:hAnsi="Times New Roman"/>
          <w:b/>
          <w:bCs/>
          <w:sz w:val="24"/>
          <w:szCs w:val="24"/>
        </w:rPr>
        <w:t xml:space="preserve">  </w:t>
      </w:r>
      <w:r w:rsidRPr="00AA5368">
        <w:rPr>
          <w:rStyle w:val="Emphasis"/>
          <w:rFonts w:ascii="Times New Roman" w:eastAsia="SimSun;宋体" w:hAnsi="Times New Roman"/>
          <w:b/>
          <w:bCs/>
          <w:sz w:val="24"/>
          <w:szCs w:val="24"/>
        </w:rPr>
        <w:t xml:space="preserve"> </w:t>
      </w:r>
    </w:p>
    <w:p w14:paraId="3C04D3A8" w14:textId="77777777" w:rsidR="00AA5368" w:rsidRPr="00AA5368" w:rsidRDefault="00AA5368" w:rsidP="00AA5368">
      <w:pPr>
        <w:spacing w:after="0" w:line="360" w:lineRule="auto"/>
        <w:jc w:val="both"/>
        <w:rPr>
          <w:rStyle w:val="Emphasis"/>
          <w:rFonts w:ascii="Times New Roman" w:eastAsia="SimSun;宋体" w:hAnsi="Times New Roman"/>
          <w:sz w:val="24"/>
          <w:szCs w:val="24"/>
        </w:rPr>
      </w:pPr>
    </w:p>
    <w:p w14:paraId="2038AD20" w14:textId="77777777" w:rsidR="00AA5368" w:rsidRPr="00AA5368" w:rsidRDefault="00AA5368" w:rsidP="00AA5368">
      <w:pPr>
        <w:spacing w:line="360" w:lineRule="auto"/>
        <w:jc w:val="both"/>
        <w:rPr>
          <w:rFonts w:ascii="Times New Roman" w:hAnsi="Times New Roman"/>
          <w:sz w:val="24"/>
          <w:szCs w:val="24"/>
        </w:rPr>
      </w:pPr>
      <w:r>
        <w:rPr>
          <w:rFonts w:ascii="Times New Roman" w:hAnsi="Times New Roman"/>
          <w:sz w:val="24"/>
          <w:szCs w:val="24"/>
        </w:rPr>
        <w:t>Similarly</w:t>
      </w:r>
      <w:r>
        <w:rPr>
          <w:rFonts w:ascii="Times New Roman" w:hAnsi="Times New Roman"/>
          <w:sz w:val="24"/>
          <w:szCs w:val="24"/>
          <w:highlight w:val="yellow"/>
        </w:rPr>
        <w:t>, as shown in Figure 6</w:t>
      </w:r>
      <w:r>
        <w:rPr>
          <w:rFonts w:ascii="Times New Roman" w:hAnsi="Times New Roman"/>
          <w:sz w:val="24"/>
          <w:szCs w:val="24"/>
        </w:rPr>
        <w:t xml:space="preserve">, the condition factors of male </w:t>
      </w:r>
      <w:r>
        <w:rPr>
          <w:rStyle w:val="zlae0wtextbase"/>
          <w:rFonts w:ascii="Times New Roman" w:hAnsi="Times New Roman"/>
          <w:i/>
          <w:iCs/>
          <w:sz w:val="24"/>
          <w:szCs w:val="24"/>
        </w:rPr>
        <w:t xml:space="preserve">Macrobrachium </w:t>
      </w:r>
      <w:proofErr w:type="spellStart"/>
      <w:r>
        <w:rPr>
          <w:rStyle w:val="zlae0wtextbase"/>
          <w:rFonts w:ascii="Times New Roman" w:hAnsi="Times New Roman"/>
          <w:i/>
          <w:iCs/>
          <w:sz w:val="24"/>
          <w:szCs w:val="24"/>
        </w:rPr>
        <w:t>lamarrei</w:t>
      </w:r>
      <w:proofErr w:type="spellEnd"/>
      <w:r>
        <w:rPr>
          <w:rFonts w:ascii="Times New Roman" w:hAnsi="Times New Roman"/>
          <w:sz w:val="24"/>
          <w:szCs w:val="24"/>
        </w:rPr>
        <w:t xml:space="preserve"> were </w:t>
      </w:r>
      <w:proofErr w:type="spellStart"/>
      <w:r>
        <w:rPr>
          <w:rFonts w:ascii="Times New Roman" w:hAnsi="Times New Roman"/>
          <w:sz w:val="24"/>
          <w:szCs w:val="24"/>
        </w:rPr>
        <w:t>analy</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across six length classes (2.5–2.9 to 5.0–5.4 cm). The number of individuals in the respective classes was 2, 8, 10, 34, 8,</w:t>
      </w:r>
      <w:r>
        <w:rPr>
          <w:rFonts w:ascii="Times New Roman" w:hAnsi="Times New Roman"/>
          <w:sz w:val="24"/>
          <w:szCs w:val="24"/>
          <w:highlight w:val="yellow"/>
        </w:rPr>
        <w:t xml:space="preserve"> and</w:t>
      </w:r>
      <w:r>
        <w:rPr>
          <w:rFonts w:ascii="Times New Roman" w:hAnsi="Times New Roman"/>
          <w:sz w:val="24"/>
          <w:szCs w:val="24"/>
        </w:rPr>
        <w:t xml:space="preserve"> 2. The relative condition factor (</w:t>
      </w:r>
      <w:proofErr w:type="spellStart"/>
      <w:r>
        <w:rPr>
          <w:rFonts w:ascii="Times New Roman" w:hAnsi="Times New Roman"/>
          <w:sz w:val="24"/>
          <w:szCs w:val="24"/>
        </w:rPr>
        <w:t>Kn</w:t>
      </w:r>
      <w:proofErr w:type="spellEnd"/>
      <w:r>
        <w:rPr>
          <w:rFonts w:ascii="Times New Roman" w:hAnsi="Times New Roman"/>
          <w:sz w:val="24"/>
          <w:szCs w:val="24"/>
        </w:rPr>
        <w:t xml:space="preserve">) remained close </w:t>
      </w:r>
      <w:r>
        <w:rPr>
          <w:rFonts w:ascii="Times New Roman" w:hAnsi="Times New Roman"/>
          <w:sz w:val="24"/>
          <w:szCs w:val="24"/>
        </w:rPr>
        <w:lastRenderedPageBreak/>
        <w:t>to unity across all length classes and attained its highest value (1.04) in the 2.5–2.9 cm length class, indicating that the observed body weight was nearly equal to the expected weight. Fulton's condition factor (K) varied among length classes, reaching a maximum of 0.69 in the 4.5–4.9 cm class and a minimum of 0.57 in the 2.5–2.9 cm class, suggesting generally good physiological condition in male individuals throughout the study period.</w:t>
      </w:r>
    </w:p>
    <w:p w14:paraId="395656FA" w14:textId="77777777" w:rsidR="00AA5368" w:rsidRPr="00AA5368" w:rsidRDefault="00AA5368" w:rsidP="00AA5368">
      <w:pPr>
        <w:spacing w:before="280" w:after="280" w:line="240" w:lineRule="auto"/>
        <w:rPr>
          <w:rFonts w:ascii="Times New Roman" w:eastAsia="Times New Roman" w:hAnsi="Times New Roman"/>
          <w:sz w:val="24"/>
          <w:szCs w:val="24"/>
          <w:lang w:val="en-IN" w:eastAsia="en-IN" w:bidi="hi-IN"/>
        </w:rPr>
      </w:pPr>
      <w:r w:rsidRPr="00AA5368">
        <w:rPr>
          <w:rFonts w:ascii="Times New Roman" w:eastAsia="Times New Roman" w:hAnsi="Times New Roman"/>
          <w:noProof/>
          <w:sz w:val="24"/>
          <w:szCs w:val="24"/>
          <w:lang w:val="en-IN" w:bidi="hi-IN"/>
        </w:rPr>
        <w:drawing>
          <wp:inline distT="0" distB="0" distL="0" distR="0" wp14:anchorId="1216A4F5" wp14:editId="79D2E455">
            <wp:extent cx="5731510" cy="3237230"/>
            <wp:effectExtent l="0" t="0" r="2540" b="1270"/>
            <wp:docPr id="142075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l="-6" t="-11" r="-6" b="-11"/>
                    <a:stretch>
                      <a:fillRect/>
                    </a:stretch>
                  </pic:blipFill>
                  <pic:spPr bwMode="auto">
                    <a:xfrm>
                      <a:off x="0" y="0"/>
                      <a:ext cx="5731510" cy="3237230"/>
                    </a:xfrm>
                    <a:prstGeom prst="rect">
                      <a:avLst/>
                    </a:prstGeom>
                    <a:noFill/>
                    <a:ln>
                      <a:noFill/>
                    </a:ln>
                  </pic:spPr>
                </pic:pic>
              </a:graphicData>
            </a:graphic>
          </wp:inline>
        </w:drawing>
      </w:r>
    </w:p>
    <w:p w14:paraId="4053910F" w14:textId="77777777" w:rsidR="00AA5368" w:rsidRPr="00AA5368" w:rsidRDefault="00AA5368" w:rsidP="00AA5368">
      <w:pPr>
        <w:spacing w:line="360" w:lineRule="auto"/>
        <w:jc w:val="both"/>
        <w:rPr>
          <w:rStyle w:val="Emphasis"/>
          <w:rFonts w:ascii="Times New Roman" w:eastAsia="SimSun;宋体" w:hAnsi="Times New Roman"/>
          <w:b/>
          <w:bCs/>
          <w:sz w:val="24"/>
          <w:szCs w:val="24"/>
        </w:rPr>
      </w:pPr>
      <w:r w:rsidRPr="00AA5368">
        <w:rPr>
          <w:rFonts w:ascii="Times New Roman" w:eastAsia="SimSun;宋体" w:hAnsi="Times New Roman"/>
          <w:b/>
          <w:bCs/>
          <w:sz w:val="24"/>
          <w:szCs w:val="24"/>
          <w:lang w:val="en-IN"/>
        </w:rPr>
        <w:t xml:space="preserve">Figure 6: </w:t>
      </w:r>
      <w:r w:rsidRPr="00AA5368">
        <w:rPr>
          <w:rFonts w:ascii="Times New Roman" w:eastAsia="SimSun;宋体" w:hAnsi="Times New Roman"/>
          <w:b/>
          <w:bCs/>
          <w:sz w:val="24"/>
          <w:szCs w:val="24"/>
        </w:rPr>
        <w:t>Relative Condition Factor (</w:t>
      </w:r>
      <w:proofErr w:type="spellStart"/>
      <w:r w:rsidRPr="00AA5368">
        <w:rPr>
          <w:rFonts w:ascii="Times New Roman" w:eastAsia="SimSun;宋体" w:hAnsi="Times New Roman"/>
          <w:b/>
          <w:bCs/>
          <w:sz w:val="24"/>
          <w:szCs w:val="24"/>
        </w:rPr>
        <w:t>Kn</w:t>
      </w:r>
      <w:proofErr w:type="spellEnd"/>
      <w:r w:rsidRPr="00AA5368">
        <w:rPr>
          <w:rFonts w:ascii="Times New Roman" w:eastAsia="SimSun;宋体" w:hAnsi="Times New Roman"/>
          <w:b/>
          <w:bCs/>
          <w:sz w:val="24"/>
          <w:szCs w:val="24"/>
        </w:rPr>
        <w:t xml:space="preserve">) and </w:t>
      </w:r>
      <w:r w:rsidRPr="00AA5368">
        <w:rPr>
          <w:rFonts w:ascii="Times New Roman" w:hAnsi="Times New Roman"/>
          <w:b/>
          <w:bCs/>
          <w:sz w:val="24"/>
          <w:szCs w:val="24"/>
        </w:rPr>
        <w:t xml:space="preserve">Fulton's </w:t>
      </w:r>
      <w:r w:rsidRPr="00AA5368">
        <w:rPr>
          <w:rFonts w:ascii="Times New Roman" w:eastAsia="SimSun;宋体" w:hAnsi="Times New Roman"/>
          <w:b/>
          <w:bCs/>
          <w:sz w:val="24"/>
          <w:szCs w:val="24"/>
        </w:rPr>
        <w:t xml:space="preserve">Condition Factor (K) in male </w:t>
      </w:r>
      <w:r w:rsidR="009C6FA0" w:rsidRPr="009C6FA0">
        <w:rPr>
          <w:rStyle w:val="Emphasis"/>
          <w:rFonts w:ascii="Times New Roman" w:eastAsia="SimSun;宋体" w:hAnsi="Times New Roman"/>
          <w:b/>
          <w:bCs/>
          <w:sz w:val="24"/>
          <w:szCs w:val="24"/>
        </w:rPr>
        <w:t>Macrobrachium</w:t>
      </w:r>
      <w:r w:rsidRPr="00AA5368">
        <w:rPr>
          <w:rStyle w:val="Emphasis"/>
          <w:rFonts w:ascii="Times New Roman" w:eastAsia="SimSun;宋体" w:hAnsi="Times New Roman"/>
          <w:b/>
          <w:bCs/>
          <w:sz w:val="24"/>
          <w:szCs w:val="24"/>
        </w:rPr>
        <w:t xml:space="preserve"> </w:t>
      </w:r>
      <w:proofErr w:type="spellStart"/>
      <w:r w:rsidR="009C6FA0" w:rsidRPr="009C6FA0">
        <w:rPr>
          <w:rStyle w:val="Emphasis"/>
          <w:rFonts w:ascii="Times New Roman" w:eastAsia="SimSun;宋体" w:hAnsi="Times New Roman"/>
          <w:b/>
          <w:bCs/>
          <w:sz w:val="24"/>
          <w:szCs w:val="24"/>
        </w:rPr>
        <w:t>lamarrei</w:t>
      </w:r>
      <w:proofErr w:type="spellEnd"/>
      <w:r w:rsidR="009C6FA0" w:rsidRPr="009C6FA0">
        <w:rPr>
          <w:rStyle w:val="Emphasis"/>
          <w:rFonts w:ascii="Times New Roman" w:eastAsia="SimSun;宋体" w:hAnsi="Times New Roman"/>
          <w:b/>
          <w:bCs/>
          <w:sz w:val="24"/>
          <w:szCs w:val="24"/>
        </w:rPr>
        <w:t xml:space="preserve">  </w:t>
      </w:r>
      <w:r w:rsidRPr="00AA5368">
        <w:rPr>
          <w:rStyle w:val="Emphasis"/>
          <w:rFonts w:ascii="Times New Roman" w:eastAsia="SimSun;宋体" w:hAnsi="Times New Roman"/>
          <w:b/>
          <w:bCs/>
          <w:sz w:val="24"/>
          <w:szCs w:val="24"/>
        </w:rPr>
        <w:t xml:space="preserve"> </w:t>
      </w:r>
    </w:p>
    <w:p w14:paraId="60F0B6ED" w14:textId="77777777" w:rsidR="00AA5368" w:rsidRPr="00AA5368" w:rsidRDefault="00AA5368" w:rsidP="00AA5368">
      <w:pPr>
        <w:pStyle w:val="NormalWeb"/>
        <w:spacing w:line="360" w:lineRule="auto"/>
        <w:jc w:val="both"/>
        <w:rPr>
          <w:rFonts w:cs="Times New Roman"/>
        </w:rPr>
      </w:pPr>
      <w:r>
        <w:rPr>
          <w:rFonts w:cs="Times New Roman"/>
        </w:rPr>
        <w:t xml:space="preserve">The present study showed </w:t>
      </w:r>
      <w:r>
        <w:rPr>
          <w:rFonts w:cs="Times New Roman"/>
          <w:highlight w:val="yellow"/>
        </w:rPr>
        <w:t>th</w:t>
      </w:r>
      <w:r>
        <w:rPr>
          <w:rFonts w:cs="Times New Roman"/>
        </w:rPr>
        <w:t>at body weight</w:t>
      </w:r>
      <w:r>
        <w:rPr>
          <w:rFonts w:cs="Times New Roman"/>
          <w:highlight w:val="yellow"/>
        </w:rPr>
        <w:t xml:space="preserve"> increased</w:t>
      </w:r>
      <w:r>
        <w:rPr>
          <w:rFonts w:cs="Times New Roman"/>
        </w:rPr>
        <w:t xml:space="preserve"> with increasing length </w:t>
      </w:r>
      <w:r>
        <w:rPr>
          <w:rFonts w:cs="Times New Roman"/>
          <w:highlight w:val="yellow"/>
        </w:rPr>
        <w:t>in</w:t>
      </w:r>
      <w:r>
        <w:rPr>
          <w:rFonts w:cs="Times New Roman"/>
        </w:rPr>
        <w:t xml:space="preserve"> </w:t>
      </w:r>
      <w:r>
        <w:rPr>
          <w:rStyle w:val="Emphasis"/>
          <w:rFonts w:cs="Times New Roman"/>
        </w:rPr>
        <w:t xml:space="preserve">Macrobrachium </w:t>
      </w:r>
      <w:proofErr w:type="spellStart"/>
      <w:r>
        <w:rPr>
          <w:rStyle w:val="Emphasis"/>
          <w:rFonts w:cs="Times New Roman"/>
        </w:rPr>
        <w:t>lamarrei</w:t>
      </w:r>
      <w:proofErr w:type="spellEnd"/>
      <w:r>
        <w:rPr>
          <w:rFonts w:cs="Times New Roman"/>
        </w:rPr>
        <w:t>, indicating a significant positive length–weight relationship (LWR), meaning that an individual's body weight increase</w:t>
      </w:r>
      <w:r>
        <w:rPr>
          <w:rFonts w:cs="Times New Roman"/>
          <w:highlight w:val="yellow"/>
        </w:rPr>
        <w:t>d</w:t>
      </w:r>
      <w:r>
        <w:rPr>
          <w:rFonts w:cs="Times New Roman"/>
        </w:rPr>
        <w:t xml:space="preserve"> consistently with total length. This growth relationship confirms the expected length–weight relationship commonly observed in freshwater prawns. The relatively high coefficients of determination (R² = 0.8338 for males, 0.7668 for females, and 0.812 for both sexes pooled) indicate a strong relationship between total length and body weight, suggesting that body length is a reliable predictor of body weight in the studied population. The comparatively higher R² value observed in males indicates a stronger length–weight relationship than in females. In contrast, the relatively lower R² value in females may be associated with greater variability arising from reproductive development and gonadal maturation.</w:t>
      </w:r>
    </w:p>
    <w:p w14:paraId="0DA69112" w14:textId="77777777" w:rsidR="00AA5368" w:rsidRPr="00AA5368" w:rsidRDefault="00AA5368" w:rsidP="00AA5368">
      <w:pPr>
        <w:pStyle w:val="NormalWeb"/>
        <w:spacing w:line="360" w:lineRule="auto"/>
        <w:jc w:val="both"/>
        <w:rPr>
          <w:rFonts w:cs="Times New Roman"/>
        </w:rPr>
      </w:pPr>
      <w:r>
        <w:rPr>
          <w:rFonts w:cs="Times New Roman"/>
        </w:rPr>
        <w:lastRenderedPageBreak/>
        <w:t xml:space="preserve">Overall, the regression analysis confirms a </w:t>
      </w:r>
      <w:r>
        <w:rPr>
          <w:rStyle w:val="Strong"/>
          <w:rFonts w:cs="Times New Roman"/>
          <w:b w:val="0"/>
          <w:bCs w:val="0"/>
        </w:rPr>
        <w:t>strong positive association</w:t>
      </w:r>
      <w:r>
        <w:rPr>
          <w:rFonts w:cs="Times New Roman"/>
        </w:rPr>
        <w:t xml:space="preserve"> between total weight and total length in female </w:t>
      </w:r>
      <w:r>
        <w:rPr>
          <w:rStyle w:val="Emphasis"/>
          <w:rFonts w:cs="Times New Roman"/>
        </w:rPr>
        <w:t xml:space="preserve">Macrobrachium </w:t>
      </w:r>
      <w:proofErr w:type="spellStart"/>
      <w:r>
        <w:rPr>
          <w:rStyle w:val="Emphasis"/>
          <w:rFonts w:cs="Times New Roman"/>
        </w:rPr>
        <w:t>lamarrei</w:t>
      </w:r>
      <w:proofErr w:type="spellEnd"/>
      <w:r>
        <w:rPr>
          <w:rFonts w:cs="Times New Roman"/>
        </w:rPr>
        <w:t xml:space="preserve">. The relatively high coefficient of determination and the close clustering of observations around the fitted regression line indicate that </w:t>
      </w:r>
      <w:r>
        <w:rPr>
          <w:rStyle w:val="Strong"/>
          <w:rFonts w:cs="Times New Roman"/>
          <w:b w:val="0"/>
          <w:bCs w:val="0"/>
        </w:rPr>
        <w:t>body weight is a reliable predictor of total length</w:t>
      </w:r>
      <w:r>
        <w:rPr>
          <w:rFonts w:cs="Times New Roman"/>
        </w:rPr>
        <w:t xml:space="preserve"> in the studied population. </w:t>
      </w:r>
      <w:r>
        <w:rPr>
          <w:rFonts w:cs="Times New Roman"/>
          <w:lang w:val="en-IN"/>
        </w:rPr>
        <w:t xml:space="preserve">Thus, for both sexes, the consistency in </w:t>
      </w:r>
      <w:proofErr w:type="spellStart"/>
      <w:r>
        <w:rPr>
          <w:rFonts w:cs="Times New Roman"/>
          <w:lang w:val="en-IN"/>
        </w:rPr>
        <w:t>Kn</w:t>
      </w:r>
      <w:proofErr w:type="spellEnd"/>
      <w:r>
        <w:rPr>
          <w:rFonts w:cs="Times New Roman"/>
          <w:lang w:val="en-IN"/>
        </w:rPr>
        <w:t xml:space="preserve"> values and fluctuations in K values indicat</w:t>
      </w:r>
      <w:r>
        <w:rPr>
          <w:rFonts w:cs="Times New Roman"/>
          <w:highlight w:val="yellow"/>
          <w:lang w:val="en-IN"/>
        </w:rPr>
        <w:t>ed</w:t>
      </w:r>
      <w:r>
        <w:rPr>
          <w:rFonts w:cs="Times New Roman"/>
          <w:lang w:val="en-IN"/>
        </w:rPr>
        <w:t xml:space="preserve"> normal physiological conditions and growth under the prevailing environmental conditions of the Sone River.</w:t>
      </w:r>
    </w:p>
    <w:p w14:paraId="4A181364" w14:textId="77777777" w:rsidR="00AA5368" w:rsidRPr="00AA5368" w:rsidRDefault="00AA5368" w:rsidP="00AA5368">
      <w:pPr>
        <w:pStyle w:val="NormalWeb"/>
        <w:spacing w:line="360" w:lineRule="auto"/>
        <w:jc w:val="both"/>
        <w:rPr>
          <w:rFonts w:cs="Times New Roman"/>
          <w:b/>
          <w:bCs/>
          <w:sz w:val="26"/>
          <w:szCs w:val="26"/>
        </w:rPr>
      </w:pPr>
      <w:r w:rsidRPr="00AA5368">
        <w:rPr>
          <w:rFonts w:cs="Times New Roman"/>
          <w:b/>
          <w:bCs/>
          <w:sz w:val="26"/>
          <w:szCs w:val="26"/>
        </w:rPr>
        <w:t>Discussion</w:t>
      </w:r>
    </w:p>
    <w:p w14:paraId="18ACB17B" w14:textId="77777777" w:rsidR="00AA5368" w:rsidRPr="00AA5368" w:rsidRDefault="00AA5368" w:rsidP="00AA5368">
      <w:pPr>
        <w:pStyle w:val="NormalWeb"/>
        <w:spacing w:line="360" w:lineRule="auto"/>
        <w:jc w:val="both"/>
        <w:rPr>
          <w:rFonts w:cs="Times New Roman"/>
        </w:rPr>
      </w:pPr>
      <w:r>
        <w:rPr>
          <w:rFonts w:cs="Times New Roman"/>
        </w:rPr>
        <w:t xml:space="preserve">The present study revealed a negative allometric growth pattern in </w:t>
      </w:r>
      <w:r>
        <w:rPr>
          <w:rFonts w:cs="Times New Roman"/>
          <w:i/>
          <w:iCs/>
        </w:rPr>
        <w:t xml:space="preserve">Macrobrachium </w:t>
      </w:r>
      <w:proofErr w:type="spellStart"/>
      <w:r>
        <w:rPr>
          <w:rFonts w:cs="Times New Roman"/>
          <w:i/>
          <w:iCs/>
        </w:rPr>
        <w:t>lamarrei</w:t>
      </w:r>
      <w:proofErr w:type="spellEnd"/>
      <w:r>
        <w:rPr>
          <w:rFonts w:cs="Times New Roman"/>
        </w:rPr>
        <w:t>, particularly in females, indicating that body weight increased at a slower rate than total length. This pattern is compar</w:t>
      </w:r>
      <w:r>
        <w:rPr>
          <w:rFonts w:cs="Times New Roman"/>
          <w:highlight w:val="yellow"/>
        </w:rPr>
        <w:t>abl</w:t>
      </w:r>
      <w:r>
        <w:rPr>
          <w:rFonts w:cs="Times New Roman"/>
        </w:rPr>
        <w:t>e with the findings of Ara et al. (201</w:t>
      </w:r>
      <w:r>
        <w:rPr>
          <w:rFonts w:cs="Times New Roman"/>
          <w:highlight w:val="yellow"/>
        </w:rPr>
        <w:t>4</w:t>
      </w:r>
      <w:r>
        <w:rPr>
          <w:rFonts w:cs="Times New Roman"/>
        </w:rPr>
        <w:t xml:space="preserve">), who documented negative allometric growth in </w:t>
      </w:r>
      <w:r>
        <w:rPr>
          <w:rFonts w:cs="Times New Roman"/>
          <w:i/>
          <w:iCs/>
        </w:rPr>
        <w:t xml:space="preserve">Macrobrachium </w:t>
      </w:r>
      <w:proofErr w:type="spellStart"/>
      <w:r>
        <w:rPr>
          <w:rFonts w:cs="Times New Roman"/>
          <w:i/>
          <w:iCs/>
        </w:rPr>
        <w:t>lamarrei</w:t>
      </w:r>
      <w:proofErr w:type="spellEnd"/>
      <w:r>
        <w:rPr>
          <w:rFonts w:cs="Times New Roman"/>
        </w:rPr>
        <w:t xml:space="preserve"> from Bangladesh, and Lodhi et al. (2024), who reported negative allometric growth in prawn populations from northern India. However, the similarity in growth patterns should not be interpreted as evidence of identical ecological conditions, and the observed growth pattern in the Son</w:t>
      </w:r>
      <w:r>
        <w:rPr>
          <w:rFonts w:cs="Times New Roman"/>
          <w:highlight w:val="yellow"/>
        </w:rPr>
        <w:t>e</w:t>
      </w:r>
      <w:r>
        <w:rPr>
          <w:rFonts w:cs="Times New Roman"/>
        </w:rPr>
        <w:t xml:space="preserve"> </w:t>
      </w:r>
      <w:r>
        <w:rPr>
          <w:rFonts w:cs="Times New Roman"/>
          <w:highlight w:val="yellow"/>
        </w:rPr>
        <w:t>R</w:t>
      </w:r>
      <w:r>
        <w:rPr>
          <w:rFonts w:cs="Times New Roman"/>
        </w:rPr>
        <w:t>iver prawn population may reflect the combined effects of local food availability, variability, habitat characteristics, and seasonal conditions. Ara et al. (201</w:t>
      </w:r>
      <w:r>
        <w:rPr>
          <w:rFonts w:cs="Times New Roman"/>
          <w:highlight w:val="yellow"/>
        </w:rPr>
        <w:t>4)</w:t>
      </w:r>
      <w:r>
        <w:rPr>
          <w:rFonts w:cs="Times New Roman"/>
        </w:rPr>
        <w:t xml:space="preserve"> and Lodhi et al. (2024) suggested that seasonal variation, food availability, reproductive status, and habitat characteristics are among the major factors influencing the growth pattern of freshwater prawns.</w:t>
      </w:r>
    </w:p>
    <w:p w14:paraId="34218078" w14:textId="77777777" w:rsidR="00AA5368" w:rsidRPr="00AA5368" w:rsidRDefault="00AA5368" w:rsidP="00AA5368">
      <w:pPr>
        <w:pStyle w:val="NormalWeb"/>
        <w:spacing w:line="360" w:lineRule="auto"/>
        <w:jc w:val="both"/>
        <w:rPr>
          <w:rFonts w:cs="Times New Roman"/>
        </w:rPr>
      </w:pPr>
      <w:r>
        <w:rPr>
          <w:rFonts w:cs="Times New Roman"/>
          <w:highlight w:val="yellow"/>
        </w:rPr>
        <w:t>D</w:t>
      </w:r>
      <w:r>
        <w:rPr>
          <w:rFonts w:cs="Times New Roman"/>
        </w:rPr>
        <w:t>ifferences in length–weight relationship</w:t>
      </w:r>
      <w:r>
        <w:rPr>
          <w:rFonts w:cs="Times New Roman"/>
          <w:highlight w:val="yellow"/>
        </w:rPr>
        <w:t>s</w:t>
      </w:r>
      <w:r>
        <w:rPr>
          <w:rFonts w:cs="Times New Roman"/>
        </w:rPr>
        <w:t xml:space="preserve"> among populations </w:t>
      </w:r>
      <w:r>
        <w:rPr>
          <w:rFonts w:cs="Times New Roman"/>
          <w:highlight w:val="yellow"/>
        </w:rPr>
        <w:t>are</w:t>
      </w:r>
      <w:r>
        <w:rPr>
          <w:rFonts w:cs="Times New Roman"/>
        </w:rPr>
        <w:t xml:space="preserve"> expected because several biological and environmental factors influence individual growth. Froese (2006) </w:t>
      </w:r>
      <w:proofErr w:type="spellStart"/>
      <w:r>
        <w:rPr>
          <w:rFonts w:cs="Times New Roman"/>
        </w:rPr>
        <w:t>emphasi</w:t>
      </w:r>
      <w:r>
        <w:rPr>
          <w:rFonts w:cs="Times New Roman"/>
          <w:highlight w:val="yellow"/>
        </w:rPr>
        <w:t>s</w:t>
      </w:r>
      <w:r>
        <w:rPr>
          <w:rFonts w:cs="Times New Roman"/>
        </w:rPr>
        <w:t>ed</w:t>
      </w:r>
      <w:proofErr w:type="spellEnd"/>
      <w:r>
        <w:rPr>
          <w:rFonts w:cs="Times New Roman"/>
        </w:rPr>
        <w:t xml:space="preserve"> that length–weight relationship parameters are population-specific and may vary with sex, maturity stage, season, habitat quality, food availability, and geographical location. Therefore, slight variations in regression parameters among different studies are considered normal and reflect differences in ecological conditions and population characteristics rather than inconsistencies in growth.</w:t>
      </w:r>
    </w:p>
    <w:p w14:paraId="044A4BB2" w14:textId="77777777" w:rsidR="00AA5368" w:rsidRPr="00AA5368" w:rsidRDefault="00AA5368" w:rsidP="00AA5368">
      <w:pPr>
        <w:pStyle w:val="NormalWeb"/>
        <w:spacing w:line="360" w:lineRule="auto"/>
        <w:jc w:val="both"/>
        <w:rPr>
          <w:rFonts w:cs="Times New Roman"/>
        </w:rPr>
      </w:pPr>
      <w:r>
        <w:rPr>
          <w:rFonts w:cs="Times New Roman"/>
        </w:rPr>
        <w:t xml:space="preserve">Negative allometric growth was observed in </w:t>
      </w:r>
      <w:r>
        <w:rPr>
          <w:rFonts w:cs="Times New Roman"/>
          <w:highlight w:val="yellow"/>
        </w:rPr>
        <w:t>the p</w:t>
      </w:r>
      <w:r>
        <w:rPr>
          <w:rFonts w:cs="Times New Roman"/>
        </w:rPr>
        <w:t>r</w:t>
      </w:r>
      <w:r>
        <w:rPr>
          <w:rFonts w:cs="Times New Roman"/>
          <w:highlight w:val="yellow"/>
        </w:rPr>
        <w:t>esent</w:t>
      </w:r>
      <w:r>
        <w:rPr>
          <w:rFonts w:cs="Times New Roman"/>
        </w:rPr>
        <w:t xml:space="preserve"> study, and during juvenile stages, a considerable proportion of assimilated energy is allocated to rapid linear growth. In contrast, mature individuals divert more energy towards gonadal development, reproduction, and maintenance metabolism, resulting in comparatively slower weight gain. </w:t>
      </w:r>
      <w:proofErr w:type="spellStart"/>
      <w:r>
        <w:rPr>
          <w:rFonts w:cs="Times New Roman"/>
        </w:rPr>
        <w:t>Hartnoll</w:t>
      </w:r>
      <w:proofErr w:type="spellEnd"/>
      <w:r>
        <w:rPr>
          <w:rFonts w:cs="Times New Roman"/>
        </w:rPr>
        <w:t xml:space="preserve"> (1982) reported that </w:t>
      </w:r>
      <w:proofErr w:type="spellStart"/>
      <w:r>
        <w:rPr>
          <w:rFonts w:cs="Times New Roman"/>
        </w:rPr>
        <w:t>moulting</w:t>
      </w:r>
      <w:proofErr w:type="spellEnd"/>
      <w:r>
        <w:rPr>
          <w:rFonts w:cs="Times New Roman"/>
        </w:rPr>
        <w:t xml:space="preserve"> and reproductive cycles are the principal biological processes regulating growth in decapod crustaceans. Similarly, Mariappan and Balasundaram (2004) observed that </w:t>
      </w:r>
      <w:proofErr w:type="spellStart"/>
      <w:r>
        <w:rPr>
          <w:rFonts w:cs="Times New Roman"/>
        </w:rPr>
        <w:t>moulting</w:t>
      </w:r>
      <w:proofErr w:type="spellEnd"/>
      <w:r>
        <w:rPr>
          <w:rFonts w:cs="Times New Roman"/>
        </w:rPr>
        <w:t xml:space="preserve"> frequency and reproductive maturity significantly influence growth patterns in freshwater prawns. Chang (1995) further explained that immediately after ecdysis, the </w:t>
      </w:r>
      <w:r>
        <w:rPr>
          <w:rFonts w:cs="Times New Roman"/>
        </w:rPr>
        <w:lastRenderedPageBreak/>
        <w:t>exoskeleton expands rapidly, increasing body length, while tissue growth and biomass accumulation occur more gradually, contributing to negative allometric growth.</w:t>
      </w:r>
    </w:p>
    <w:p w14:paraId="3146A5CF" w14:textId="77777777" w:rsidR="00AA5368" w:rsidRPr="00AA5368" w:rsidRDefault="00AA5368" w:rsidP="00AA5368">
      <w:pPr>
        <w:pStyle w:val="NormalWeb"/>
        <w:spacing w:line="360" w:lineRule="auto"/>
        <w:jc w:val="both"/>
        <w:rPr>
          <w:rFonts w:cs="Times New Roman"/>
        </w:rPr>
      </w:pPr>
      <w:r>
        <w:rPr>
          <w:rFonts w:cs="Times New Roman"/>
        </w:rPr>
        <w:t xml:space="preserve">In the pooled regression analysis of 164 </w:t>
      </w:r>
      <w:r>
        <w:rPr>
          <w:rFonts w:cs="Times New Roman"/>
          <w:i/>
          <w:iCs/>
        </w:rPr>
        <w:t xml:space="preserve">M. </w:t>
      </w:r>
      <w:proofErr w:type="spellStart"/>
      <w:r>
        <w:rPr>
          <w:rFonts w:cs="Times New Roman"/>
          <w:i/>
          <w:iCs/>
        </w:rPr>
        <w:t>lamarrei</w:t>
      </w:r>
      <w:proofErr w:type="spellEnd"/>
      <w:r>
        <w:rPr>
          <w:rFonts w:cs="Times New Roman"/>
        </w:rPr>
        <w:t xml:space="preserve"> s</w:t>
      </w:r>
      <w:r>
        <w:rPr>
          <w:rFonts w:cs="Times New Roman"/>
          <w:highlight w:val="yellow"/>
        </w:rPr>
        <w:t>peci</w:t>
      </w:r>
      <w:r>
        <w:rPr>
          <w:rFonts w:cs="Times New Roman"/>
        </w:rPr>
        <w:t>me</w:t>
      </w:r>
      <w:r>
        <w:rPr>
          <w:rFonts w:cs="Times New Roman"/>
          <w:highlight w:val="yellow"/>
        </w:rPr>
        <w:t>n</w:t>
      </w:r>
      <w:r>
        <w:rPr>
          <w:rFonts w:cs="Times New Roman"/>
        </w:rPr>
        <w:t>s (64 male</w:t>
      </w:r>
      <w:r>
        <w:rPr>
          <w:rFonts w:cs="Times New Roman"/>
          <w:highlight w:val="yellow"/>
        </w:rPr>
        <w:t>s</w:t>
      </w:r>
      <w:r>
        <w:rPr>
          <w:rFonts w:cs="Times New Roman"/>
        </w:rPr>
        <w:t xml:space="preserve"> and 100 female</w:t>
      </w:r>
      <w:r>
        <w:rPr>
          <w:rFonts w:cs="Times New Roman"/>
          <w:highlight w:val="yellow"/>
        </w:rPr>
        <w:t>s</w:t>
      </w:r>
      <w:r>
        <w:rPr>
          <w:rFonts w:cs="Times New Roman"/>
        </w:rPr>
        <w:t>), there was a strong positive linear correlation between body weight and body length</w:t>
      </w:r>
      <w:r>
        <w:rPr>
          <w:rFonts w:cs="Times New Roman"/>
          <w:highlight w:val="yellow"/>
        </w:rPr>
        <w:t>.</w:t>
      </w:r>
      <w:r>
        <w:rPr>
          <w:rFonts w:cs="Times New Roman"/>
        </w:rPr>
        <w:t xml:space="preserve"> </w:t>
      </w:r>
      <w:r>
        <w:rPr>
          <w:rFonts w:cs="Times New Roman"/>
          <w:highlight w:val="yellow"/>
        </w:rPr>
        <w:t>T</w:t>
      </w:r>
      <w:r>
        <w:rPr>
          <w:rFonts w:cs="Times New Roman"/>
        </w:rPr>
        <w:t>h</w:t>
      </w:r>
      <w:r>
        <w:rPr>
          <w:rFonts w:cs="Times New Roman"/>
          <w:highlight w:val="yellow"/>
        </w:rPr>
        <w:t>e</w:t>
      </w:r>
      <w:r>
        <w:rPr>
          <w:rFonts w:cs="Times New Roman"/>
        </w:rPr>
        <w:t xml:space="preserve"> high coefficient of determination (R² = 0.812) implies that 81.2% of the variation in body length can be explained by body weight</w:t>
      </w:r>
      <w:r>
        <w:rPr>
          <w:rFonts w:cs="Times New Roman"/>
          <w:highlight w:val="yellow"/>
        </w:rPr>
        <w:t>;</w:t>
      </w:r>
      <w:r>
        <w:rPr>
          <w:rFonts w:cs="Times New Roman"/>
        </w:rPr>
        <w:t xml:space="preserve"> therefore, body weight is a dependable predictor of body length in the pooled population. The remaining 18.8% of the variation may be attributable to biological parameters such as </w:t>
      </w:r>
      <w:r>
        <w:rPr>
          <w:rFonts w:cs="Times New Roman"/>
          <w:highlight w:val="yellow"/>
        </w:rPr>
        <w:t>s</w:t>
      </w:r>
      <w:r>
        <w:rPr>
          <w:rFonts w:cs="Times New Roman"/>
        </w:rPr>
        <w:t>e</w:t>
      </w:r>
      <w:r>
        <w:rPr>
          <w:rFonts w:cs="Times New Roman"/>
          <w:highlight w:val="yellow"/>
        </w:rPr>
        <w:t>x</w:t>
      </w:r>
      <w:r>
        <w:rPr>
          <w:rFonts w:cs="Times New Roman"/>
        </w:rPr>
        <w:t>, age, maturity, and nutritional status, as well as environmental factors.</w:t>
      </w:r>
    </w:p>
    <w:p w14:paraId="7E53CE3D" w14:textId="77777777" w:rsidR="00AA5368" w:rsidRPr="00AA5368" w:rsidRDefault="00AA5368" w:rsidP="00AA5368">
      <w:pPr>
        <w:pStyle w:val="NormalWeb"/>
        <w:spacing w:line="360" w:lineRule="auto"/>
        <w:jc w:val="both"/>
        <w:rPr>
          <w:rFonts w:cs="Times New Roman"/>
        </w:rPr>
      </w:pPr>
      <w:r>
        <w:rPr>
          <w:rFonts w:cs="Times New Roman"/>
        </w:rPr>
        <w:t xml:space="preserve">Overall, the present study demonstrates that </w:t>
      </w:r>
      <w:r>
        <w:rPr>
          <w:rStyle w:val="Emphasis"/>
          <w:rFonts w:cs="Times New Roman"/>
        </w:rPr>
        <w:t xml:space="preserve">Macrobrachium </w:t>
      </w:r>
      <w:proofErr w:type="spellStart"/>
      <w:r>
        <w:rPr>
          <w:rStyle w:val="Emphasis"/>
          <w:rFonts w:cs="Times New Roman"/>
        </w:rPr>
        <w:t>lamarrei</w:t>
      </w:r>
      <w:proofErr w:type="spellEnd"/>
      <w:r>
        <w:rPr>
          <w:rFonts w:cs="Times New Roman"/>
        </w:rPr>
        <w:t xml:space="preserve"> from the Sone River exhibits a significant length–weight relationship with negative allometric growth</w:t>
      </w:r>
      <w:r>
        <w:rPr>
          <w:rFonts w:cs="Times New Roman"/>
          <w:highlight w:val="yellow"/>
        </w:rPr>
        <w:t>.</w:t>
      </w:r>
      <w:r>
        <w:rPr>
          <w:rFonts w:cs="Times New Roman"/>
        </w:rPr>
        <w:t xml:space="preserve"> </w:t>
      </w:r>
      <w:r>
        <w:rPr>
          <w:rFonts w:cs="Times New Roman"/>
          <w:highlight w:val="yellow"/>
        </w:rPr>
        <w:t>The</w:t>
      </w:r>
      <w:r>
        <w:rPr>
          <w:rFonts w:cs="Times New Roman"/>
        </w:rPr>
        <w:t xml:space="preserve"> findings provide important baseline information on the biology of </w:t>
      </w:r>
      <w:r>
        <w:rPr>
          <w:rStyle w:val="Emphasis"/>
          <w:rFonts w:cs="Times New Roman"/>
        </w:rPr>
        <w:t xml:space="preserve">M. </w:t>
      </w:r>
      <w:proofErr w:type="spellStart"/>
      <w:r>
        <w:rPr>
          <w:rStyle w:val="Emphasis"/>
          <w:rFonts w:cs="Times New Roman"/>
        </w:rPr>
        <w:t>lamarrei</w:t>
      </w:r>
      <w:proofErr w:type="spellEnd"/>
      <w:r>
        <w:rPr>
          <w:rStyle w:val="Emphasis"/>
          <w:rFonts w:cs="Times New Roman"/>
        </w:rPr>
        <w:t xml:space="preserve"> </w:t>
      </w:r>
      <w:r>
        <w:rPr>
          <w:rFonts w:cs="Times New Roman"/>
        </w:rPr>
        <w:t xml:space="preserve">and </w:t>
      </w:r>
      <w:r>
        <w:rPr>
          <w:rFonts w:cs="Times New Roman"/>
          <w:highlight w:val="yellow"/>
        </w:rPr>
        <w:t>may</w:t>
      </w:r>
      <w:r>
        <w:rPr>
          <w:rFonts w:cs="Times New Roman"/>
        </w:rPr>
        <w:t xml:space="preserve"> be valuable for future studies on population dynamics, ecological monitoring, fisheries management, and conservation of freshwater prawn resources in the Sone River ecosystem.</w:t>
      </w:r>
    </w:p>
    <w:p w14:paraId="701BE468" w14:textId="77777777" w:rsidR="00AA5368" w:rsidRPr="00AA5368" w:rsidRDefault="00AA5368" w:rsidP="00AA5368">
      <w:pPr>
        <w:pStyle w:val="NormalWeb"/>
        <w:spacing w:line="360" w:lineRule="auto"/>
        <w:jc w:val="both"/>
        <w:rPr>
          <w:rFonts w:cs="Times New Roman"/>
        </w:rPr>
      </w:pPr>
      <w:r>
        <w:rPr>
          <w:rFonts w:cs="Times New Roman"/>
        </w:rPr>
        <w:t xml:space="preserve">Fulton's </w:t>
      </w:r>
      <w:r>
        <w:rPr>
          <w:rFonts w:cs="Times New Roman"/>
          <w:highlight w:val="yellow"/>
        </w:rPr>
        <w:t>c</w:t>
      </w:r>
      <w:r>
        <w:rPr>
          <w:rFonts w:cs="Times New Roman"/>
        </w:rPr>
        <w:t xml:space="preserve">ondition </w:t>
      </w:r>
      <w:r>
        <w:rPr>
          <w:rFonts w:cs="Times New Roman"/>
          <w:highlight w:val="yellow"/>
        </w:rPr>
        <w:t>f</w:t>
      </w:r>
      <w:r>
        <w:rPr>
          <w:rFonts w:cs="Times New Roman"/>
        </w:rPr>
        <w:t xml:space="preserve">actor (K) is widely used as an index of body condition and reflects the balance between body weight and body length </w:t>
      </w:r>
      <w:r>
        <w:rPr>
          <w:rFonts w:cs="Times New Roman"/>
          <w:highlight w:val="yellow"/>
        </w:rPr>
        <w:t>in</w:t>
      </w:r>
      <w:r>
        <w:rPr>
          <w:rFonts w:cs="Times New Roman"/>
        </w:rPr>
        <w:t xml:space="preserve"> aquatic organisms. In the present study, the observed K values indicated that the population of </w:t>
      </w:r>
      <w:r>
        <w:rPr>
          <w:rStyle w:val="Emphasis"/>
          <w:rFonts w:cs="Times New Roman"/>
        </w:rPr>
        <w:t xml:space="preserve">Macrobrachium </w:t>
      </w:r>
      <w:proofErr w:type="spellStart"/>
      <w:r>
        <w:rPr>
          <w:rStyle w:val="Emphasis"/>
          <w:rFonts w:cs="Times New Roman"/>
        </w:rPr>
        <w:t>lamarrei</w:t>
      </w:r>
      <w:proofErr w:type="spellEnd"/>
      <w:r>
        <w:rPr>
          <w:rFonts w:cs="Times New Roman"/>
        </w:rPr>
        <w:t xml:space="preserve"> maintained a stable body condition throughout the study period. Variations in K among different length groups and between sexes were within the expected range for natural populations and are likely associated with differences in growth, </w:t>
      </w:r>
      <w:proofErr w:type="spellStart"/>
      <w:r>
        <w:rPr>
          <w:rFonts w:cs="Times New Roman"/>
        </w:rPr>
        <w:t>moulting</w:t>
      </w:r>
      <w:proofErr w:type="spellEnd"/>
      <w:r>
        <w:rPr>
          <w:rFonts w:cs="Times New Roman"/>
        </w:rPr>
        <w:t>, and reproductive status.</w:t>
      </w:r>
    </w:p>
    <w:p w14:paraId="7916597F" w14:textId="77777777" w:rsidR="00AA5368" w:rsidRPr="00AA5368" w:rsidRDefault="00AA5368" w:rsidP="00AA5368">
      <w:pPr>
        <w:pStyle w:val="NormalWeb"/>
        <w:spacing w:line="360" w:lineRule="auto"/>
        <w:jc w:val="both"/>
        <w:rPr>
          <w:rFonts w:cs="Times New Roman"/>
        </w:rPr>
      </w:pPr>
      <w:r w:rsidRPr="00AA5368">
        <w:rPr>
          <w:rFonts w:cs="Times New Roman"/>
        </w:rPr>
        <w:t xml:space="preserve">The comparatively lower K values observed in smaller individuals may be associated with rapid somatic growth and frequent </w:t>
      </w:r>
      <w:proofErr w:type="spellStart"/>
      <w:r w:rsidRPr="00AA5368">
        <w:rPr>
          <w:rFonts w:cs="Times New Roman"/>
        </w:rPr>
        <w:t>moulting</w:t>
      </w:r>
      <w:proofErr w:type="spellEnd"/>
      <w:r w:rsidRPr="00AA5368">
        <w:rPr>
          <w:rFonts w:cs="Times New Roman"/>
        </w:rPr>
        <w:t xml:space="preserve"> during the juvenile stage. As body size increased, K values also increased, suggesting improved tissue development and energy storage with growth. Similar observations have been reported by Mariappan and Balasundaram (2004), who showed that </w:t>
      </w:r>
      <w:proofErr w:type="spellStart"/>
      <w:r w:rsidRPr="00AA5368">
        <w:rPr>
          <w:rFonts w:cs="Times New Roman"/>
        </w:rPr>
        <w:t>moulting</w:t>
      </w:r>
      <w:proofErr w:type="spellEnd"/>
      <w:r w:rsidRPr="00AA5368">
        <w:rPr>
          <w:rFonts w:cs="Times New Roman"/>
        </w:rPr>
        <w:t xml:space="preserve"> frequency and growth significantly influence the body condition of freshwater prawns.</w:t>
      </w:r>
    </w:p>
    <w:p w14:paraId="697456BE" w14:textId="77777777" w:rsidR="00AA5368" w:rsidRPr="00AA5368" w:rsidRDefault="00AA5368" w:rsidP="00AA5368">
      <w:pPr>
        <w:pStyle w:val="NormalWeb"/>
        <w:spacing w:line="360" w:lineRule="auto"/>
        <w:jc w:val="both"/>
        <w:rPr>
          <w:rFonts w:cs="Times New Roman"/>
        </w:rPr>
      </w:pPr>
      <w:r>
        <w:rPr>
          <w:rFonts w:cs="Times New Roman"/>
        </w:rPr>
        <w:t xml:space="preserve">A slight decline in K in the larger size groups may be associated with sexual maturation and reproductive activity. </w:t>
      </w:r>
      <w:proofErr w:type="spellStart"/>
      <w:r>
        <w:rPr>
          <w:rFonts w:cs="Times New Roman"/>
        </w:rPr>
        <w:t>Hartnoll</w:t>
      </w:r>
      <w:proofErr w:type="spellEnd"/>
      <w:r>
        <w:rPr>
          <w:rFonts w:cs="Times New Roman"/>
        </w:rPr>
        <w:t xml:space="preserve"> (1982) reported that seasonal reproductive cycles and energy allocation are major factors influencing condition in decapod crustaceans. Comparable trends have also been reported by Lodhi et al. (2024), who observed variation in the condition factor of </w:t>
      </w:r>
      <w:r>
        <w:rPr>
          <w:rStyle w:val="Emphasis"/>
          <w:rFonts w:cs="Times New Roman"/>
        </w:rPr>
        <w:t xml:space="preserve">Macrobrachium </w:t>
      </w:r>
      <w:proofErr w:type="spellStart"/>
      <w:r>
        <w:rPr>
          <w:rStyle w:val="Emphasis"/>
          <w:rFonts w:cs="Times New Roman"/>
        </w:rPr>
        <w:t>lamarrei</w:t>
      </w:r>
      <w:proofErr w:type="spellEnd"/>
      <w:r>
        <w:rPr>
          <w:rStyle w:val="Emphasis"/>
          <w:rFonts w:cs="Times New Roman"/>
        </w:rPr>
        <w:t xml:space="preserve"> </w:t>
      </w:r>
      <w:r>
        <w:rPr>
          <w:rFonts w:cs="Times New Roman"/>
        </w:rPr>
        <w:t>with reproductive development.</w:t>
      </w:r>
    </w:p>
    <w:p w14:paraId="2F30AFBC" w14:textId="77777777" w:rsidR="00AA5368" w:rsidRPr="00AA5368" w:rsidRDefault="00AA5368" w:rsidP="00AA5368">
      <w:pPr>
        <w:pStyle w:val="NormalWeb"/>
        <w:spacing w:line="360" w:lineRule="auto"/>
        <w:jc w:val="both"/>
        <w:rPr>
          <w:rFonts w:cs="Times New Roman"/>
        </w:rPr>
      </w:pPr>
      <w:r>
        <w:rPr>
          <w:rFonts w:cs="Times New Roman"/>
        </w:rPr>
        <w:lastRenderedPageBreak/>
        <w:t xml:space="preserve">The observed variation in K is also consistent with the negative allometric growth pattern recorded in the present study. Because </w:t>
      </w:r>
      <w:r>
        <w:rPr>
          <w:rStyle w:val="Emphasis"/>
          <w:rFonts w:cs="Times New Roman"/>
        </w:rPr>
        <w:t xml:space="preserve">M. </w:t>
      </w:r>
      <w:proofErr w:type="spellStart"/>
      <w:r>
        <w:rPr>
          <w:rStyle w:val="Emphasis"/>
          <w:rFonts w:cs="Times New Roman"/>
        </w:rPr>
        <w:t>lamarrei</w:t>
      </w:r>
      <w:proofErr w:type="spellEnd"/>
      <w:r>
        <w:rPr>
          <w:rFonts w:cs="Times New Roman"/>
        </w:rPr>
        <w:t xml:space="preserve"> exhibited </w:t>
      </w:r>
      <w:r>
        <w:rPr>
          <w:rStyle w:val="Strong"/>
          <w:rFonts w:cs="Times New Roman"/>
          <w:b w:val="0"/>
          <w:bCs w:val="0"/>
        </w:rPr>
        <w:t>b &lt; 3</w:t>
      </w:r>
      <w:r>
        <w:rPr>
          <w:rFonts w:cs="Times New Roman"/>
        </w:rPr>
        <w:t xml:space="preserve">, body length increased faster than body weight, which may contribute to lower condition values in some size groups. Froese (2006) </w:t>
      </w:r>
      <w:proofErr w:type="spellStart"/>
      <w:r>
        <w:rPr>
          <w:rFonts w:cs="Times New Roman"/>
        </w:rPr>
        <w:t>emphasi</w:t>
      </w:r>
      <w:r>
        <w:rPr>
          <w:rFonts w:cs="Times New Roman"/>
          <w:highlight w:val="yellow"/>
        </w:rPr>
        <w:t>s</w:t>
      </w:r>
      <w:r>
        <w:rPr>
          <w:rFonts w:cs="Times New Roman"/>
        </w:rPr>
        <w:t>ed</w:t>
      </w:r>
      <w:proofErr w:type="spellEnd"/>
      <w:r>
        <w:rPr>
          <w:rFonts w:cs="Times New Roman"/>
        </w:rPr>
        <w:t xml:space="preserve"> that Fulton's </w:t>
      </w:r>
      <w:r>
        <w:rPr>
          <w:rFonts w:cs="Times New Roman"/>
          <w:highlight w:val="yellow"/>
        </w:rPr>
        <w:t>c</w:t>
      </w:r>
      <w:r>
        <w:rPr>
          <w:rFonts w:cs="Times New Roman"/>
        </w:rPr>
        <w:t xml:space="preserve">ondition </w:t>
      </w:r>
      <w:r>
        <w:rPr>
          <w:rFonts w:cs="Times New Roman"/>
          <w:highlight w:val="yellow"/>
        </w:rPr>
        <w:t>f</w:t>
      </w:r>
      <w:r>
        <w:rPr>
          <w:rFonts w:cs="Times New Roman"/>
        </w:rPr>
        <w:t>actor assumes isometric growth and should therefore be interpreted alongside the length–weight relationship, particularly when growth deviates from isometry.</w:t>
      </w:r>
    </w:p>
    <w:p w14:paraId="79D28AAC" w14:textId="77777777" w:rsidR="00AA5368" w:rsidRPr="00AA5368" w:rsidRDefault="00AA5368" w:rsidP="00AA5368">
      <w:pPr>
        <w:pStyle w:val="NormalWeb"/>
        <w:spacing w:line="360" w:lineRule="auto"/>
        <w:jc w:val="both"/>
        <w:rPr>
          <w:rFonts w:cs="Times New Roman"/>
        </w:rPr>
      </w:pPr>
      <w:r>
        <w:rPr>
          <w:rFonts w:cs="Times New Roman"/>
        </w:rPr>
        <w:t xml:space="preserve">Overall, the present findings indicate that the population of </w:t>
      </w:r>
      <w:r>
        <w:rPr>
          <w:rStyle w:val="Emphasis"/>
          <w:rFonts w:cs="Times New Roman"/>
        </w:rPr>
        <w:t xml:space="preserve">Macrobrachium </w:t>
      </w:r>
      <w:proofErr w:type="spellStart"/>
      <w:r>
        <w:rPr>
          <w:rStyle w:val="Emphasis"/>
          <w:rFonts w:cs="Times New Roman"/>
        </w:rPr>
        <w:t>lamarrei</w:t>
      </w:r>
      <w:proofErr w:type="spellEnd"/>
      <w:r>
        <w:rPr>
          <w:rFonts w:cs="Times New Roman"/>
        </w:rPr>
        <w:t xml:space="preserve"> maintained satisfactory body condition during the study period despite exhibiting negative allometric growth. The observed pattern is consistent with previous studies on freshwater prawns and suggests that normal biological processes such as growth, </w:t>
      </w:r>
      <w:proofErr w:type="spellStart"/>
      <w:r>
        <w:rPr>
          <w:rFonts w:cs="Times New Roman"/>
        </w:rPr>
        <w:t>moulting</w:t>
      </w:r>
      <w:proofErr w:type="spellEnd"/>
      <w:r>
        <w:rPr>
          <w:rFonts w:cs="Times New Roman"/>
        </w:rPr>
        <w:t>, and reproduction were the principal factors influencing body condition.</w:t>
      </w:r>
    </w:p>
    <w:p w14:paraId="1D1EDE59" w14:textId="77777777" w:rsidR="00AA5368" w:rsidRPr="00AA5368" w:rsidRDefault="00AA5368" w:rsidP="00AA5368">
      <w:pPr>
        <w:pStyle w:val="NormalWeb"/>
        <w:spacing w:line="360" w:lineRule="auto"/>
        <w:jc w:val="both"/>
        <w:rPr>
          <w:rFonts w:cs="Times New Roman"/>
        </w:rPr>
      </w:pPr>
      <w:r>
        <w:rPr>
          <w:rFonts w:cs="Times New Roman"/>
        </w:rPr>
        <w:t xml:space="preserve">The </w:t>
      </w:r>
      <w:r>
        <w:rPr>
          <w:rFonts w:cs="Times New Roman"/>
          <w:highlight w:val="yellow"/>
        </w:rPr>
        <w:t>r</w:t>
      </w:r>
      <w:r>
        <w:rPr>
          <w:rFonts w:cs="Times New Roman"/>
        </w:rPr>
        <w:t xml:space="preserve">elative </w:t>
      </w:r>
      <w:r>
        <w:rPr>
          <w:rFonts w:cs="Times New Roman"/>
          <w:highlight w:val="yellow"/>
        </w:rPr>
        <w:t>c</w:t>
      </w:r>
      <w:r>
        <w:rPr>
          <w:rFonts w:cs="Times New Roman"/>
        </w:rPr>
        <w:t xml:space="preserve">ondition </w:t>
      </w:r>
      <w:r>
        <w:rPr>
          <w:rFonts w:cs="Times New Roman"/>
          <w:highlight w:val="yellow"/>
        </w:rPr>
        <w:t>f</w:t>
      </w:r>
      <w:r>
        <w:rPr>
          <w:rFonts w:cs="Times New Roman"/>
        </w:rPr>
        <w:t>actor (</w:t>
      </w:r>
      <w:proofErr w:type="spellStart"/>
      <w:r>
        <w:rPr>
          <w:rFonts w:cs="Times New Roman"/>
        </w:rPr>
        <w:t>Kn</w:t>
      </w:r>
      <w:proofErr w:type="spellEnd"/>
      <w:r>
        <w:rPr>
          <w:rFonts w:cs="Times New Roman"/>
        </w:rPr>
        <w:t xml:space="preserve">) is a widely accepted indicator of the physiological condition of aquatic organisms because it compares observed body weight with expected body weight derived from the length–weight relationship (Le </w:t>
      </w:r>
      <w:proofErr w:type="spellStart"/>
      <w:r>
        <w:rPr>
          <w:rFonts w:cs="Times New Roman"/>
        </w:rPr>
        <w:t>Cren</w:t>
      </w:r>
      <w:proofErr w:type="spellEnd"/>
      <w:r>
        <w:rPr>
          <w:rFonts w:cs="Times New Roman"/>
        </w:rPr>
        <w:t xml:space="preserve">, 1951). In the present study, the </w:t>
      </w:r>
      <w:proofErr w:type="spellStart"/>
      <w:r>
        <w:rPr>
          <w:rFonts w:cs="Times New Roman"/>
        </w:rPr>
        <w:t>Kn</w:t>
      </w:r>
      <w:proofErr w:type="spellEnd"/>
      <w:r>
        <w:rPr>
          <w:rFonts w:cs="Times New Roman"/>
        </w:rPr>
        <w:t xml:space="preserve"> values of </w:t>
      </w:r>
      <w:r>
        <w:rPr>
          <w:rStyle w:val="Emphasis"/>
          <w:rFonts w:cs="Times New Roman"/>
        </w:rPr>
        <w:t xml:space="preserve">Macrobrachium </w:t>
      </w:r>
      <w:proofErr w:type="spellStart"/>
      <w:r>
        <w:rPr>
          <w:rStyle w:val="Emphasis"/>
          <w:rFonts w:cs="Times New Roman"/>
        </w:rPr>
        <w:t>lamarrei</w:t>
      </w:r>
      <w:proofErr w:type="spellEnd"/>
      <w:r>
        <w:rPr>
          <w:rStyle w:val="Emphasis"/>
          <w:rFonts w:cs="Times New Roman"/>
        </w:rPr>
        <w:t xml:space="preserve"> </w:t>
      </w:r>
      <w:r>
        <w:rPr>
          <w:rFonts w:cs="Times New Roman"/>
        </w:rPr>
        <w:t xml:space="preserve">remained close to unity in both males and females, indicating that the sampled </w:t>
      </w:r>
      <w:proofErr w:type="gramStart"/>
      <w:r>
        <w:rPr>
          <w:rFonts w:cs="Times New Roman"/>
        </w:rPr>
        <w:t>population maintained</w:t>
      </w:r>
      <w:proofErr w:type="gramEnd"/>
      <w:r>
        <w:rPr>
          <w:rFonts w:cs="Times New Roman"/>
        </w:rPr>
        <w:t xml:space="preserve"> body weights appropriate for their respective lengths and was in satisfactory physiological condition throughout the study period.</w:t>
      </w:r>
    </w:p>
    <w:p w14:paraId="4444CB88" w14:textId="77777777" w:rsidR="00AA5368" w:rsidRPr="00AA5368" w:rsidRDefault="00AA5368" w:rsidP="00AA5368">
      <w:pPr>
        <w:pStyle w:val="NormalWeb"/>
        <w:spacing w:line="360" w:lineRule="auto"/>
        <w:jc w:val="both"/>
        <w:rPr>
          <w:rFonts w:cs="Times New Roman"/>
        </w:rPr>
      </w:pPr>
      <w:proofErr w:type="spellStart"/>
      <w:r>
        <w:rPr>
          <w:rFonts w:cs="Times New Roman"/>
          <w:lang w:val="en-IN"/>
        </w:rPr>
        <w:t>Kn</w:t>
      </w:r>
      <w:proofErr w:type="spellEnd"/>
      <w:r>
        <w:rPr>
          <w:rFonts w:cs="Times New Roman"/>
          <w:lang w:val="en-IN"/>
        </w:rPr>
        <w:t xml:space="preserve"> in freshwater prawns is affected by age, sex, reproductive stage, moulting, nutrition</w:t>
      </w:r>
      <w:r>
        <w:rPr>
          <w:rFonts w:cs="Times New Roman"/>
          <w:highlight w:val="yellow"/>
          <w:lang w:val="en-IN"/>
        </w:rPr>
        <w:t>al</w:t>
      </w:r>
      <w:r>
        <w:rPr>
          <w:rFonts w:cs="Times New Roman"/>
          <w:lang w:val="en-IN"/>
        </w:rPr>
        <w:t xml:space="preserve"> status, and environmental conditions. In general, young prawns have low </w:t>
      </w:r>
      <w:proofErr w:type="spellStart"/>
      <w:r>
        <w:rPr>
          <w:rFonts w:cs="Times New Roman"/>
          <w:lang w:val="en-IN"/>
        </w:rPr>
        <w:t>Kn</w:t>
      </w:r>
      <w:proofErr w:type="spellEnd"/>
      <w:r>
        <w:rPr>
          <w:rFonts w:cs="Times New Roman"/>
          <w:lang w:val="en-IN"/>
        </w:rPr>
        <w:t xml:space="preserve"> </w:t>
      </w:r>
      <w:r>
        <w:rPr>
          <w:rFonts w:cs="Times New Roman"/>
          <w:highlight w:val="yellow"/>
          <w:lang w:val="en-IN"/>
        </w:rPr>
        <w:t>v</w:t>
      </w:r>
      <w:r>
        <w:rPr>
          <w:rFonts w:cs="Times New Roman"/>
          <w:lang w:val="en-IN"/>
        </w:rPr>
        <w:t>a</w:t>
      </w:r>
      <w:r>
        <w:rPr>
          <w:rFonts w:cs="Times New Roman"/>
          <w:highlight w:val="yellow"/>
          <w:lang w:val="en-IN"/>
        </w:rPr>
        <w:t>lue</w:t>
      </w:r>
      <w:r>
        <w:rPr>
          <w:rFonts w:cs="Times New Roman"/>
          <w:lang w:val="en-IN"/>
        </w:rPr>
        <w:t>s</w:t>
      </w:r>
      <w:r>
        <w:rPr>
          <w:rFonts w:cs="Times New Roman"/>
          <w:highlight w:val="yellow"/>
          <w:lang w:val="en-IN"/>
        </w:rPr>
        <w:t xml:space="preserve"> because</w:t>
      </w:r>
      <w:r>
        <w:rPr>
          <w:rFonts w:cs="Times New Roman"/>
          <w:lang w:val="en-IN"/>
        </w:rPr>
        <w:t xml:space="preserve"> a considerable amount of energy is used for somatic growth and exoskelet</w:t>
      </w:r>
      <w:r>
        <w:rPr>
          <w:rFonts w:cs="Times New Roman"/>
          <w:highlight w:val="yellow"/>
          <w:lang w:val="en-IN"/>
        </w:rPr>
        <w:t>on producti</w:t>
      </w:r>
      <w:r>
        <w:rPr>
          <w:rFonts w:cs="Times New Roman"/>
          <w:lang w:val="en-IN"/>
        </w:rPr>
        <w:t xml:space="preserve">on; intermediate-sized prawns have high </w:t>
      </w:r>
      <w:proofErr w:type="spellStart"/>
      <w:r>
        <w:rPr>
          <w:rFonts w:cs="Times New Roman"/>
          <w:lang w:val="en-IN"/>
        </w:rPr>
        <w:t>Kn</w:t>
      </w:r>
      <w:proofErr w:type="spellEnd"/>
      <w:r>
        <w:rPr>
          <w:rFonts w:cs="Times New Roman"/>
          <w:lang w:val="en-IN"/>
        </w:rPr>
        <w:t xml:space="preserve"> value</w:t>
      </w:r>
      <w:r>
        <w:rPr>
          <w:rFonts w:cs="Times New Roman"/>
          <w:highlight w:val="yellow"/>
          <w:lang w:val="en-IN"/>
        </w:rPr>
        <w:t>s</w:t>
      </w:r>
      <w:r>
        <w:rPr>
          <w:rFonts w:cs="Times New Roman"/>
          <w:lang w:val="en-IN"/>
        </w:rPr>
        <w:t xml:space="preserve">, </w:t>
      </w:r>
      <w:r>
        <w:rPr>
          <w:rFonts w:cs="Times New Roman"/>
          <w:highlight w:val="yellow"/>
          <w:lang w:val="en-IN"/>
        </w:rPr>
        <w:t>indicat</w:t>
      </w:r>
      <w:r>
        <w:rPr>
          <w:rFonts w:cs="Times New Roman"/>
          <w:lang w:val="en-IN"/>
        </w:rPr>
        <w:t>ing good feeding and physiolog</w:t>
      </w:r>
      <w:r>
        <w:rPr>
          <w:rFonts w:cs="Times New Roman"/>
          <w:highlight w:val="yellow"/>
          <w:lang w:val="en-IN"/>
        </w:rPr>
        <w:t>ical condition</w:t>
      </w:r>
      <w:r>
        <w:rPr>
          <w:rFonts w:cs="Times New Roman"/>
          <w:lang w:val="en-IN"/>
        </w:rPr>
        <w:t xml:space="preserve">, while adult prawns have relatively low </w:t>
      </w:r>
      <w:proofErr w:type="spellStart"/>
      <w:r>
        <w:rPr>
          <w:rFonts w:cs="Times New Roman"/>
          <w:lang w:val="en-IN"/>
        </w:rPr>
        <w:t>Kn</w:t>
      </w:r>
      <w:proofErr w:type="spellEnd"/>
      <w:r>
        <w:rPr>
          <w:rFonts w:cs="Times New Roman"/>
          <w:lang w:val="en-IN"/>
        </w:rPr>
        <w:t xml:space="preserve"> </w:t>
      </w:r>
      <w:r>
        <w:rPr>
          <w:rFonts w:cs="Times New Roman"/>
          <w:highlight w:val="yellow"/>
          <w:lang w:val="en-IN"/>
        </w:rPr>
        <w:t>v</w:t>
      </w:r>
      <w:r>
        <w:rPr>
          <w:rFonts w:cs="Times New Roman"/>
          <w:lang w:val="en-IN"/>
        </w:rPr>
        <w:t>a</w:t>
      </w:r>
      <w:r>
        <w:rPr>
          <w:rFonts w:cs="Times New Roman"/>
          <w:highlight w:val="yellow"/>
          <w:lang w:val="en-IN"/>
        </w:rPr>
        <w:t>lue</w:t>
      </w:r>
      <w:r>
        <w:rPr>
          <w:rFonts w:cs="Times New Roman"/>
          <w:lang w:val="en-IN"/>
        </w:rPr>
        <w:t>s</w:t>
      </w:r>
      <w:r>
        <w:rPr>
          <w:rFonts w:cs="Times New Roman"/>
          <w:highlight w:val="yellow"/>
          <w:lang w:val="en-IN"/>
        </w:rPr>
        <w:t xml:space="preserve"> because</w:t>
      </w:r>
      <w:r>
        <w:rPr>
          <w:rFonts w:cs="Times New Roman"/>
          <w:lang w:val="en-IN"/>
        </w:rPr>
        <w:t xml:space="preserve"> more energy is utilised for gonad</w:t>
      </w:r>
      <w:r>
        <w:rPr>
          <w:rFonts w:cs="Times New Roman"/>
          <w:highlight w:val="yellow"/>
          <w:lang w:val="en-IN"/>
        </w:rPr>
        <w:t>al</w:t>
      </w:r>
      <w:r>
        <w:rPr>
          <w:rFonts w:cs="Times New Roman"/>
          <w:lang w:val="en-IN"/>
        </w:rPr>
        <w:t xml:space="preserve"> development, reproduction, and metabolism. Females generally have higher </w:t>
      </w:r>
      <w:proofErr w:type="spellStart"/>
      <w:r>
        <w:rPr>
          <w:rFonts w:cs="Times New Roman"/>
          <w:lang w:val="en-IN"/>
        </w:rPr>
        <w:t>Kn</w:t>
      </w:r>
      <w:proofErr w:type="spellEnd"/>
      <w:r>
        <w:rPr>
          <w:rFonts w:cs="Times New Roman"/>
          <w:lang w:val="en-IN"/>
        </w:rPr>
        <w:t xml:space="preserve"> </w:t>
      </w:r>
      <w:r>
        <w:rPr>
          <w:rFonts w:cs="Times New Roman"/>
          <w:highlight w:val="yellow"/>
          <w:lang w:val="en-IN"/>
        </w:rPr>
        <w:t xml:space="preserve">values </w:t>
      </w:r>
      <w:r>
        <w:rPr>
          <w:rFonts w:cs="Times New Roman"/>
          <w:lang w:val="en-IN"/>
        </w:rPr>
        <w:t xml:space="preserve">than males, primarily </w:t>
      </w:r>
      <w:r>
        <w:rPr>
          <w:rFonts w:cs="Times New Roman"/>
          <w:highlight w:val="yellow"/>
          <w:lang w:val="en-IN"/>
        </w:rPr>
        <w:t>beca</w:t>
      </w:r>
      <w:r>
        <w:rPr>
          <w:rFonts w:cs="Times New Roman"/>
          <w:lang w:val="en-IN"/>
        </w:rPr>
        <w:t>u</w:t>
      </w:r>
      <w:r>
        <w:rPr>
          <w:rFonts w:cs="Times New Roman"/>
          <w:highlight w:val="yellow"/>
          <w:lang w:val="en-IN"/>
        </w:rPr>
        <w:t>s</w:t>
      </w:r>
      <w:r>
        <w:rPr>
          <w:rFonts w:cs="Times New Roman"/>
          <w:lang w:val="en-IN"/>
        </w:rPr>
        <w:t>e o</w:t>
      </w:r>
      <w:r>
        <w:rPr>
          <w:rFonts w:cs="Times New Roman"/>
          <w:highlight w:val="yellow"/>
          <w:lang w:val="en-IN"/>
        </w:rPr>
        <w:t>f</w:t>
      </w:r>
      <w:r>
        <w:rPr>
          <w:rFonts w:cs="Times New Roman"/>
          <w:lang w:val="en-IN"/>
        </w:rPr>
        <w:t xml:space="preserve"> greater energy demands during ovarian development. </w:t>
      </w:r>
      <w:r>
        <w:rPr>
          <w:rFonts w:cs="Times New Roman"/>
        </w:rPr>
        <w:t xml:space="preserve">The variation in </w:t>
      </w:r>
      <w:proofErr w:type="spellStart"/>
      <w:r>
        <w:rPr>
          <w:rFonts w:cs="Times New Roman"/>
        </w:rPr>
        <w:t>Kn</w:t>
      </w:r>
      <w:proofErr w:type="spellEnd"/>
      <w:r>
        <w:rPr>
          <w:rFonts w:cs="Times New Roman"/>
        </w:rPr>
        <w:t xml:space="preserve"> observed between males and females may be associated with differences in energy allocation for growth and reproduction. Similar sex-related variation in condition has been reported in freshwater prawns, where reproductive activity influences body weight relative to body length (Lodhi et al., 2024). However, the magnitude of this variation depends on the reproductive stage and sampling season.</w:t>
      </w:r>
    </w:p>
    <w:p w14:paraId="1E40FA06" w14:textId="77777777" w:rsidR="00AA5368" w:rsidRPr="00AA5368" w:rsidRDefault="00AA5368" w:rsidP="00AA5368">
      <w:pPr>
        <w:pStyle w:val="NormalWeb"/>
        <w:spacing w:line="360" w:lineRule="auto"/>
        <w:jc w:val="both"/>
        <w:rPr>
          <w:rFonts w:cs="Times New Roman"/>
        </w:rPr>
      </w:pPr>
      <w:r>
        <w:rPr>
          <w:rFonts w:cs="Times New Roman"/>
        </w:rPr>
        <w:t xml:space="preserve">The </w:t>
      </w:r>
      <w:r>
        <w:rPr>
          <w:rFonts w:cs="Times New Roman"/>
          <w:highlight w:val="yellow"/>
        </w:rPr>
        <w:t>r</w:t>
      </w:r>
      <w:r>
        <w:rPr>
          <w:rFonts w:cs="Times New Roman"/>
        </w:rPr>
        <w:t xml:space="preserve">elative </w:t>
      </w:r>
      <w:r>
        <w:rPr>
          <w:rFonts w:cs="Times New Roman"/>
          <w:highlight w:val="yellow"/>
        </w:rPr>
        <w:t>c</w:t>
      </w:r>
      <w:r>
        <w:rPr>
          <w:rFonts w:cs="Times New Roman"/>
        </w:rPr>
        <w:t xml:space="preserve">ondition </w:t>
      </w:r>
      <w:r>
        <w:rPr>
          <w:rFonts w:cs="Times New Roman"/>
          <w:highlight w:val="yellow"/>
        </w:rPr>
        <w:t>f</w:t>
      </w:r>
      <w:r>
        <w:rPr>
          <w:rFonts w:cs="Times New Roman"/>
        </w:rPr>
        <w:t xml:space="preserve">actor is directly related to the length–weight relationship because the expected body weight used in its calculation is estimated from the length–weight regression. Le </w:t>
      </w:r>
      <w:proofErr w:type="spellStart"/>
      <w:r>
        <w:rPr>
          <w:rFonts w:cs="Times New Roman"/>
        </w:rPr>
        <w:t>Cren</w:t>
      </w:r>
      <w:proofErr w:type="spellEnd"/>
      <w:r>
        <w:rPr>
          <w:rFonts w:cs="Times New Roman"/>
        </w:rPr>
        <w:t xml:space="preserve"> (1951) proposed </w:t>
      </w:r>
      <w:proofErr w:type="spellStart"/>
      <w:r>
        <w:rPr>
          <w:rFonts w:cs="Times New Roman"/>
        </w:rPr>
        <w:t>Kn</w:t>
      </w:r>
      <w:proofErr w:type="spellEnd"/>
      <w:r>
        <w:rPr>
          <w:rFonts w:cs="Times New Roman"/>
        </w:rPr>
        <w:t xml:space="preserve"> as a more reliable measure of body condition than Fulton's </w:t>
      </w:r>
      <w:r>
        <w:rPr>
          <w:rFonts w:cs="Times New Roman"/>
          <w:highlight w:val="yellow"/>
        </w:rPr>
        <w:t>c</w:t>
      </w:r>
      <w:r>
        <w:rPr>
          <w:rFonts w:cs="Times New Roman"/>
        </w:rPr>
        <w:t xml:space="preserve">ondition </w:t>
      </w:r>
      <w:r>
        <w:rPr>
          <w:rFonts w:cs="Times New Roman"/>
          <w:highlight w:val="yellow"/>
        </w:rPr>
        <w:t>f</w:t>
      </w:r>
      <w:r>
        <w:rPr>
          <w:rFonts w:cs="Times New Roman"/>
        </w:rPr>
        <w:t xml:space="preserve">actor (K), particularly when growth deviates from isometric conditions. Since the </w:t>
      </w:r>
      <w:r>
        <w:rPr>
          <w:rFonts w:cs="Times New Roman"/>
        </w:rPr>
        <w:lastRenderedPageBreak/>
        <w:t>present study demonstrated negative allometric growth (</w:t>
      </w:r>
      <w:r>
        <w:rPr>
          <w:rStyle w:val="Strong"/>
          <w:rFonts w:cs="Times New Roman"/>
          <w:b w:val="0"/>
          <w:bCs w:val="0"/>
        </w:rPr>
        <w:t>b &lt; 3</w:t>
      </w:r>
      <w:r>
        <w:rPr>
          <w:rFonts w:cs="Times New Roman"/>
        </w:rPr>
        <w:t xml:space="preserve">), using </w:t>
      </w:r>
      <w:proofErr w:type="spellStart"/>
      <w:r>
        <w:rPr>
          <w:rFonts w:cs="Times New Roman"/>
        </w:rPr>
        <w:t>Kn</w:t>
      </w:r>
      <w:proofErr w:type="spellEnd"/>
      <w:r>
        <w:rPr>
          <w:rFonts w:cs="Times New Roman"/>
        </w:rPr>
        <w:t xml:space="preserve"> provides a more appropriate assessment of body condition, as it accounts for the species' actual growth pattern rather than assuming isometric growth. Froese (2006) report</w:t>
      </w:r>
      <w:r>
        <w:rPr>
          <w:rFonts w:cs="Times New Roman"/>
          <w:highlight w:val="yellow"/>
        </w:rPr>
        <w:t>ed</w:t>
      </w:r>
      <w:r>
        <w:rPr>
          <w:rFonts w:cs="Times New Roman"/>
        </w:rPr>
        <w:t xml:space="preserve"> that condition indices should be interpreted alongside the length–weight relationship to obtain a reliable assessment of the biological condition of aquatic organisms.</w:t>
      </w:r>
    </w:p>
    <w:p w14:paraId="3DC474F2" w14:textId="77777777" w:rsidR="00AA5368" w:rsidRPr="00AA5368" w:rsidRDefault="00AA5368" w:rsidP="00AA5368">
      <w:pPr>
        <w:pStyle w:val="NormalWeb"/>
        <w:spacing w:line="360" w:lineRule="auto"/>
        <w:jc w:val="both"/>
        <w:rPr>
          <w:rFonts w:cs="Times New Roman"/>
        </w:rPr>
      </w:pPr>
      <w:r>
        <w:rPr>
          <w:rFonts w:cs="Times New Roman"/>
        </w:rPr>
        <w:t xml:space="preserve">Although minor variations in </w:t>
      </w:r>
      <w:proofErr w:type="spellStart"/>
      <w:r>
        <w:rPr>
          <w:rFonts w:cs="Times New Roman"/>
        </w:rPr>
        <w:t>Kn</w:t>
      </w:r>
      <w:proofErr w:type="spellEnd"/>
      <w:r>
        <w:rPr>
          <w:rFonts w:cs="Times New Roman"/>
        </w:rPr>
        <w:t xml:space="preserve"> have been reported among different populations, such differences are expected because body condition is influenced by several biological and ecological factors, including reproductive status, food availability, season, size composition, and habitat characteristics (</w:t>
      </w:r>
      <w:r>
        <w:rPr>
          <w:rFonts w:cs="Times New Roman"/>
          <w:highlight w:val="yellow"/>
        </w:rPr>
        <w:t xml:space="preserve">Froese, 2006; </w:t>
      </w:r>
      <w:r>
        <w:rPr>
          <w:rFonts w:cs="Times New Roman"/>
        </w:rPr>
        <w:t xml:space="preserve">Le </w:t>
      </w:r>
      <w:proofErr w:type="spellStart"/>
      <w:r>
        <w:rPr>
          <w:rFonts w:cs="Times New Roman"/>
        </w:rPr>
        <w:t>Cren</w:t>
      </w:r>
      <w:proofErr w:type="spellEnd"/>
      <w:r>
        <w:rPr>
          <w:rFonts w:cs="Times New Roman"/>
        </w:rPr>
        <w:t xml:space="preserve">, 1951). Therefore, slight differences in </w:t>
      </w:r>
      <w:proofErr w:type="spellStart"/>
      <w:r>
        <w:rPr>
          <w:rFonts w:cs="Times New Roman"/>
        </w:rPr>
        <w:t>Kn</w:t>
      </w:r>
      <w:proofErr w:type="spellEnd"/>
      <w:r>
        <w:rPr>
          <w:rFonts w:cs="Times New Roman"/>
        </w:rPr>
        <w:t xml:space="preserve"> among studies reflect natural population variability rather than differences in overall population health.</w:t>
      </w:r>
    </w:p>
    <w:p w14:paraId="34C74DAB" w14:textId="77777777" w:rsidR="00AA5368" w:rsidRPr="00AA5368" w:rsidRDefault="00AA5368" w:rsidP="00AA5368">
      <w:pPr>
        <w:pStyle w:val="NormalWeb"/>
        <w:spacing w:line="360" w:lineRule="auto"/>
        <w:jc w:val="both"/>
        <w:rPr>
          <w:rFonts w:cs="Times New Roman"/>
        </w:rPr>
      </w:pPr>
      <w:r>
        <w:rPr>
          <w:rFonts w:cs="Times New Roman"/>
        </w:rPr>
        <w:t xml:space="preserve">Overall, the </w:t>
      </w:r>
      <w:r>
        <w:rPr>
          <w:rFonts w:cs="Times New Roman"/>
          <w:highlight w:val="yellow"/>
        </w:rPr>
        <w:t>r</w:t>
      </w:r>
      <w:r>
        <w:rPr>
          <w:rFonts w:cs="Times New Roman"/>
        </w:rPr>
        <w:t xml:space="preserve">elative </w:t>
      </w:r>
      <w:r>
        <w:rPr>
          <w:rFonts w:cs="Times New Roman"/>
          <w:highlight w:val="yellow"/>
        </w:rPr>
        <w:t>c</w:t>
      </w:r>
      <w:r>
        <w:rPr>
          <w:rFonts w:cs="Times New Roman"/>
        </w:rPr>
        <w:t xml:space="preserve">ondition </w:t>
      </w:r>
      <w:r>
        <w:rPr>
          <w:rFonts w:cs="Times New Roman"/>
          <w:highlight w:val="yellow"/>
        </w:rPr>
        <w:t>f</w:t>
      </w:r>
      <w:r>
        <w:rPr>
          <w:rFonts w:cs="Times New Roman"/>
        </w:rPr>
        <w:t xml:space="preserve">actor recorded in the present study indicates that the population of </w:t>
      </w:r>
      <w:r>
        <w:rPr>
          <w:rStyle w:val="Emphasis"/>
          <w:rFonts w:cs="Times New Roman"/>
        </w:rPr>
        <w:t xml:space="preserve">Macrobrachium </w:t>
      </w:r>
      <w:proofErr w:type="spellStart"/>
      <w:r>
        <w:rPr>
          <w:rStyle w:val="Emphasis"/>
          <w:rFonts w:cs="Times New Roman"/>
        </w:rPr>
        <w:t>lamarrei</w:t>
      </w:r>
      <w:proofErr w:type="spellEnd"/>
      <w:r>
        <w:rPr>
          <w:rStyle w:val="Emphasis"/>
          <w:rFonts w:cs="Times New Roman"/>
        </w:rPr>
        <w:t xml:space="preserve"> </w:t>
      </w:r>
      <w:r>
        <w:rPr>
          <w:rFonts w:cs="Times New Roman"/>
        </w:rPr>
        <w:t xml:space="preserve">maintained satisfactory physiological condition and body weights consistent with those expected from the length–weight relationship. These results provide valuable baseline information on the health and growth status of </w:t>
      </w:r>
      <w:r>
        <w:rPr>
          <w:rStyle w:val="Emphasis"/>
          <w:rFonts w:cs="Times New Roman"/>
        </w:rPr>
        <w:t xml:space="preserve">M. </w:t>
      </w:r>
      <w:proofErr w:type="spellStart"/>
      <w:r>
        <w:rPr>
          <w:rStyle w:val="Emphasis"/>
          <w:rFonts w:cs="Times New Roman"/>
        </w:rPr>
        <w:t>lamarrei</w:t>
      </w:r>
      <w:proofErr w:type="spellEnd"/>
      <w:r>
        <w:rPr>
          <w:rStyle w:val="Emphasis"/>
          <w:rFonts w:cs="Times New Roman"/>
        </w:rPr>
        <w:t xml:space="preserve"> </w:t>
      </w:r>
      <w:r>
        <w:rPr>
          <w:rFonts w:cs="Times New Roman"/>
        </w:rPr>
        <w:t>and contribute to future studies on population dynamics, ecological monitoring, and sustainable management of freshwater prawn resources.</w:t>
      </w:r>
    </w:p>
    <w:p w14:paraId="5CFB6639" w14:textId="77777777" w:rsidR="00AA5368" w:rsidRPr="00AA5368" w:rsidRDefault="00AA5368" w:rsidP="00AA5368">
      <w:pPr>
        <w:pStyle w:val="NormalWeb"/>
        <w:spacing w:line="360" w:lineRule="auto"/>
        <w:jc w:val="both"/>
        <w:rPr>
          <w:rFonts w:eastAsia="SimSun;宋体" w:cs="Times New Roman"/>
          <w:b/>
          <w:bCs/>
        </w:rPr>
      </w:pPr>
      <w:r w:rsidRPr="00AA5368">
        <w:rPr>
          <w:rFonts w:eastAsia="SimSun;宋体" w:cs="Times New Roman"/>
          <w:b/>
          <w:bCs/>
        </w:rPr>
        <w:t>Conclusion</w:t>
      </w:r>
    </w:p>
    <w:p w14:paraId="338D6F07" w14:textId="77777777" w:rsidR="00AA5368" w:rsidRPr="00AA5368" w:rsidRDefault="00AA5368" w:rsidP="00AA5368">
      <w:pPr>
        <w:spacing w:before="120" w:after="120" w:line="360" w:lineRule="auto"/>
        <w:jc w:val="both"/>
        <w:rPr>
          <w:rFonts w:ascii="Times New Roman" w:hAnsi="Times New Roman"/>
          <w:sz w:val="24"/>
          <w:szCs w:val="24"/>
        </w:rPr>
      </w:pPr>
      <w:r>
        <w:rPr>
          <w:rFonts w:ascii="Times New Roman" w:hAnsi="Times New Roman"/>
          <w:sz w:val="24"/>
          <w:szCs w:val="24"/>
        </w:rPr>
        <w:t xml:space="preserve">The present study provided baseline information on the growth pattern and body characteristics of </w:t>
      </w:r>
      <w:r>
        <w:rPr>
          <w:rFonts w:ascii="Times New Roman" w:hAnsi="Times New Roman"/>
          <w:i/>
          <w:iCs/>
          <w:sz w:val="24"/>
          <w:szCs w:val="24"/>
        </w:rPr>
        <w:t xml:space="preserve">M. </w:t>
      </w:r>
      <w:proofErr w:type="spellStart"/>
      <w:r>
        <w:rPr>
          <w:rFonts w:ascii="Times New Roman" w:hAnsi="Times New Roman"/>
          <w:i/>
          <w:iCs/>
          <w:sz w:val="24"/>
          <w:szCs w:val="24"/>
          <w:highlight w:val="yellow"/>
        </w:rPr>
        <w:t>l</w:t>
      </w:r>
      <w:r>
        <w:rPr>
          <w:rFonts w:ascii="Times New Roman" w:hAnsi="Times New Roman"/>
          <w:i/>
          <w:iCs/>
          <w:sz w:val="24"/>
          <w:szCs w:val="24"/>
        </w:rPr>
        <w:t>amarrei</w:t>
      </w:r>
      <w:proofErr w:type="spellEnd"/>
      <w:r>
        <w:rPr>
          <w:rFonts w:ascii="Times New Roman" w:hAnsi="Times New Roman"/>
          <w:sz w:val="24"/>
          <w:szCs w:val="24"/>
        </w:rPr>
        <w:t xml:space="preserve"> in the Sone River, showing that the length</w:t>
      </w:r>
      <w:r>
        <w:rPr>
          <w:rFonts w:ascii="Times New Roman" w:hAnsi="Times New Roman"/>
          <w:sz w:val="24"/>
          <w:szCs w:val="24"/>
          <w:highlight w:val="yellow"/>
        </w:rPr>
        <w:t>–</w:t>
      </w:r>
      <w:r>
        <w:rPr>
          <w:rFonts w:ascii="Times New Roman" w:hAnsi="Times New Roman"/>
          <w:sz w:val="24"/>
          <w:szCs w:val="24"/>
        </w:rPr>
        <w:t>weight relationship was strongly associated with body weight and total length and that growth patterns differed by sex.</w:t>
      </w:r>
    </w:p>
    <w:p w14:paraId="53E91C9C" w14:textId="77777777" w:rsidR="00AA5368" w:rsidRDefault="00AA5368" w:rsidP="00AA5368">
      <w:pPr>
        <w:spacing w:before="120" w:after="120" w:line="360" w:lineRule="auto"/>
        <w:jc w:val="both"/>
        <w:rPr>
          <w:rFonts w:ascii="Times New Roman" w:hAnsi="Times New Roman"/>
          <w:sz w:val="24"/>
          <w:szCs w:val="24"/>
        </w:rPr>
      </w:pPr>
      <w:r>
        <w:rPr>
          <w:rFonts w:ascii="Times New Roman" w:hAnsi="Times New Roman"/>
          <w:sz w:val="24"/>
          <w:szCs w:val="24"/>
        </w:rPr>
        <w:t xml:space="preserve">The condition indices generally indicated a </w:t>
      </w:r>
      <w:proofErr w:type="spellStart"/>
      <w:r>
        <w:rPr>
          <w:rFonts w:ascii="Times New Roman" w:hAnsi="Times New Roman"/>
          <w:sz w:val="24"/>
          <w:szCs w:val="24"/>
        </w:rPr>
        <w:t>favourable</w:t>
      </w:r>
      <w:proofErr w:type="spellEnd"/>
      <w:r>
        <w:rPr>
          <w:rFonts w:ascii="Times New Roman" w:hAnsi="Times New Roman"/>
          <w:sz w:val="24"/>
          <w:szCs w:val="24"/>
        </w:rPr>
        <w:t xml:space="preserve"> body condition </w:t>
      </w:r>
      <w:r>
        <w:rPr>
          <w:rFonts w:ascii="Times New Roman" w:hAnsi="Times New Roman"/>
          <w:sz w:val="24"/>
          <w:szCs w:val="24"/>
          <w:highlight w:val="yellow"/>
        </w:rPr>
        <w:t>in</w:t>
      </w:r>
      <w:r>
        <w:rPr>
          <w:rFonts w:ascii="Times New Roman" w:hAnsi="Times New Roman"/>
          <w:sz w:val="24"/>
          <w:szCs w:val="24"/>
        </w:rPr>
        <w:t xml:space="preserve"> the sample</w:t>
      </w:r>
      <w:r>
        <w:rPr>
          <w:rFonts w:ascii="Times New Roman" w:hAnsi="Times New Roman"/>
          <w:sz w:val="24"/>
          <w:szCs w:val="24"/>
          <w:highlight w:val="yellow"/>
        </w:rPr>
        <w:t>d</w:t>
      </w:r>
      <w:r>
        <w:rPr>
          <w:rFonts w:ascii="Times New Roman" w:hAnsi="Times New Roman"/>
          <w:sz w:val="24"/>
          <w:szCs w:val="24"/>
        </w:rPr>
        <w:t xml:space="preserve"> populations across the examined size range</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T</w:t>
      </w:r>
      <w:r>
        <w:rPr>
          <w:rFonts w:ascii="Times New Roman" w:hAnsi="Times New Roman"/>
          <w:sz w:val="24"/>
          <w:szCs w:val="24"/>
        </w:rPr>
        <w:t xml:space="preserve">hese findings provide useful biometric information for further population monitoring of M. </w:t>
      </w:r>
      <w:proofErr w:type="spellStart"/>
      <w:r>
        <w:rPr>
          <w:rFonts w:ascii="Times New Roman" w:hAnsi="Times New Roman"/>
          <w:i/>
          <w:iCs/>
          <w:sz w:val="24"/>
          <w:szCs w:val="24"/>
        </w:rPr>
        <w:t>lamarrei</w:t>
      </w:r>
      <w:proofErr w:type="spellEnd"/>
      <w:r>
        <w:rPr>
          <w:rFonts w:ascii="Times New Roman" w:hAnsi="Times New Roman"/>
          <w:sz w:val="24"/>
          <w:szCs w:val="24"/>
        </w:rPr>
        <w:t xml:space="preserve"> in the Sone River and contribute to the conservation of these freshwater resources. Further studies will be needed on freshwater prawn populations across sections of the Sone River during different seasons, using environmental and reproductive variables as indicators to assess growth and condition.</w:t>
      </w:r>
    </w:p>
    <w:p w14:paraId="45C40F63" w14:textId="4450F934" w:rsidR="00C72BE1" w:rsidRDefault="00C72BE1" w:rsidP="00AA5368">
      <w:pPr>
        <w:spacing w:before="120" w:after="120" w:line="360" w:lineRule="auto"/>
        <w:jc w:val="both"/>
        <w:rPr>
          <w:rFonts w:ascii="Times New Roman" w:hAnsi="Times New Roman"/>
          <w:b/>
          <w:bCs/>
          <w:sz w:val="24"/>
          <w:szCs w:val="24"/>
        </w:rPr>
      </w:pPr>
      <w:r w:rsidRPr="00C72BE1">
        <w:rPr>
          <w:rFonts w:ascii="Times New Roman" w:hAnsi="Times New Roman"/>
          <w:b/>
          <w:bCs/>
          <w:sz w:val="24"/>
          <w:szCs w:val="24"/>
        </w:rPr>
        <w:t>Limitation</w:t>
      </w:r>
    </w:p>
    <w:p w14:paraId="0B07C3F0" w14:textId="6587580F" w:rsidR="00C72BE1" w:rsidRPr="00C72BE1" w:rsidRDefault="00C72BE1" w:rsidP="00AA5368">
      <w:pPr>
        <w:spacing w:before="120" w:after="120" w:line="360" w:lineRule="auto"/>
        <w:jc w:val="both"/>
        <w:rPr>
          <w:rFonts w:ascii="Times New Roman" w:hAnsi="Times New Roman"/>
          <w:b/>
          <w:bCs/>
          <w:sz w:val="24"/>
          <w:szCs w:val="24"/>
        </w:rPr>
      </w:pPr>
      <w:r>
        <w:t xml:space="preserve">The study represents specimens collected from a single locality at </w:t>
      </w:r>
      <w:proofErr w:type="spellStart"/>
      <w:r>
        <w:t>Makrain</w:t>
      </w:r>
      <w:proofErr w:type="spellEnd"/>
      <w:r>
        <w:t xml:space="preserve"> during November 2025–January 2026; therefore, interpretation should remain specific to the sampled population and period. The analysis focused on total length, body weight, and derived condition indices across the recorded size classes. Broader spatial and seasonal </w:t>
      </w:r>
      <w:proofErr w:type="spellStart"/>
      <w:r>
        <w:t>generalisation</w:t>
      </w:r>
      <w:proofErr w:type="spellEnd"/>
      <w:r>
        <w:t xml:space="preserve"> will require sampling from additional sections </w:t>
      </w:r>
      <w:r>
        <w:lastRenderedPageBreak/>
        <w:t>of the Sone River and during other seasons, together with the environmental and reproductive variables proposed for future investigation. These limitations define the scope within which the reported biometric relationships should be interpreted.</w:t>
      </w:r>
    </w:p>
    <w:p w14:paraId="30FB67F0" w14:textId="77777777" w:rsidR="00AA5368" w:rsidRPr="00AA5368" w:rsidRDefault="00AA5368" w:rsidP="00AA5368">
      <w:pPr>
        <w:spacing w:before="120" w:after="120" w:line="360" w:lineRule="auto"/>
        <w:jc w:val="both"/>
        <w:rPr>
          <w:rFonts w:ascii="Times New Roman" w:hAnsi="Times New Roman"/>
          <w:b/>
          <w:bCs/>
          <w:sz w:val="24"/>
          <w:szCs w:val="24"/>
        </w:rPr>
      </w:pPr>
      <w:r w:rsidRPr="00AA5368">
        <w:rPr>
          <w:rFonts w:ascii="Times New Roman" w:hAnsi="Times New Roman"/>
          <w:b/>
          <w:bCs/>
          <w:sz w:val="24"/>
          <w:szCs w:val="24"/>
        </w:rPr>
        <w:t xml:space="preserve">Author Contribution  </w:t>
      </w:r>
    </w:p>
    <w:p w14:paraId="37CF1ECE" w14:textId="77777777" w:rsidR="00AA5368" w:rsidRPr="00AA5368" w:rsidRDefault="00AA5368" w:rsidP="00AA5368">
      <w:pPr>
        <w:spacing w:before="120" w:after="120" w:line="360" w:lineRule="auto"/>
        <w:jc w:val="both"/>
        <w:rPr>
          <w:rFonts w:ascii="Times New Roman" w:hAnsi="Times New Roman"/>
          <w:sz w:val="24"/>
          <w:szCs w:val="24"/>
        </w:rPr>
      </w:pPr>
      <w:r>
        <w:rPr>
          <w:rFonts w:ascii="Times New Roman" w:hAnsi="Times New Roman"/>
          <w:sz w:val="24"/>
          <w:szCs w:val="24"/>
        </w:rPr>
        <w:t xml:space="preserve">Aditi S. </w:t>
      </w:r>
      <w:r>
        <w:rPr>
          <w:rFonts w:ascii="Times New Roman" w:hAnsi="Times New Roman"/>
          <w:sz w:val="24"/>
          <w:szCs w:val="24"/>
          <w:highlight w:val="yellow"/>
        </w:rPr>
        <w:t>con</w:t>
      </w:r>
      <w:r>
        <w:rPr>
          <w:rFonts w:ascii="Times New Roman" w:hAnsi="Times New Roman"/>
          <w:sz w:val="24"/>
          <w:szCs w:val="24"/>
        </w:rPr>
        <w:t>d</w:t>
      </w:r>
      <w:r>
        <w:rPr>
          <w:rFonts w:ascii="Times New Roman" w:hAnsi="Times New Roman"/>
          <w:sz w:val="24"/>
          <w:szCs w:val="24"/>
          <w:highlight w:val="yellow"/>
        </w:rPr>
        <w:t>ucte</w:t>
      </w:r>
      <w:r>
        <w:rPr>
          <w:rFonts w:ascii="Times New Roman" w:hAnsi="Times New Roman"/>
          <w:sz w:val="24"/>
          <w:szCs w:val="24"/>
        </w:rPr>
        <w:t xml:space="preserve">d data collection and manuscript writing. Nikita </w:t>
      </w:r>
      <w:r>
        <w:rPr>
          <w:rFonts w:ascii="Times New Roman" w:hAnsi="Times New Roman"/>
          <w:sz w:val="24"/>
          <w:szCs w:val="24"/>
          <w:highlight w:val="yellow"/>
        </w:rPr>
        <w:t>assist</w:t>
      </w:r>
      <w:r>
        <w:rPr>
          <w:rFonts w:ascii="Times New Roman" w:hAnsi="Times New Roman"/>
          <w:sz w:val="24"/>
          <w:szCs w:val="24"/>
        </w:rPr>
        <w:t>ed with data analysis and manuscript preparation; Koshal K provided scientific supervision, critically reviewed and revised the manuscript, and oversaw the overall study. All authors reviewed and approved the final manuscript.</w:t>
      </w:r>
    </w:p>
    <w:p w14:paraId="25030782" w14:textId="77777777" w:rsidR="00AA5368" w:rsidRPr="00AA5368" w:rsidRDefault="00AA5368" w:rsidP="00AA5368">
      <w:pPr>
        <w:spacing w:after="0" w:line="240" w:lineRule="auto"/>
        <w:jc w:val="both"/>
        <w:rPr>
          <w:rFonts w:ascii="Times New Roman" w:hAnsi="Times New Roman"/>
        </w:rPr>
      </w:pPr>
    </w:p>
    <w:p w14:paraId="0043BDFA" w14:textId="77777777" w:rsidR="00AA5368" w:rsidRPr="00AA5368" w:rsidRDefault="00AA5368" w:rsidP="00AA5368">
      <w:pPr>
        <w:rPr>
          <w:rFonts w:ascii="Times New Roman" w:eastAsia="Times New Roman" w:hAnsi="Times New Roman"/>
          <w:b/>
          <w:bCs/>
          <w:lang w:val="en-GB" w:eastAsia="en-GB"/>
        </w:rPr>
      </w:pPr>
      <w:r w:rsidRPr="00AA5368">
        <w:rPr>
          <w:rFonts w:ascii="Times New Roman" w:eastAsia="Times New Roman" w:hAnsi="Times New Roman"/>
          <w:b/>
          <w:bCs/>
          <w:lang w:val="en-GB" w:eastAsia="en-GB"/>
        </w:rPr>
        <w:t>COMPETING INTERESTS DISCLAIMER:</w:t>
      </w:r>
    </w:p>
    <w:p w14:paraId="41DBD8B1" w14:textId="77777777" w:rsidR="00AA5368" w:rsidRPr="00AA5368" w:rsidRDefault="00AA5368" w:rsidP="00AA5368">
      <w:pPr>
        <w:rPr>
          <w:rFonts w:ascii="Times New Roman" w:eastAsia="Times New Roman" w:hAnsi="Times New Roman"/>
          <w:lang w:val="en-GB" w:eastAsia="en-GB"/>
        </w:rPr>
      </w:pPr>
      <w:r w:rsidRPr="00AA5368">
        <w:rPr>
          <w:rFonts w:ascii="Times New Roman" w:eastAsia="Times New Roman" w:hAnsi="Times New Roman"/>
          <w:lang w:val="en-GB" w:eastAsia="en-GB"/>
        </w:rPr>
        <w:t>Authors have declared that they have no known competing financial interests OR non-financial interests OR personal relationships that could have appeared to influence the work reported in this paper.</w:t>
      </w:r>
    </w:p>
    <w:p w14:paraId="2A14D2F9" w14:textId="77777777" w:rsidR="00AA5368" w:rsidRPr="00AA5368" w:rsidRDefault="00AA5368" w:rsidP="00AA5368">
      <w:pPr>
        <w:spacing w:before="280" w:after="280" w:line="360" w:lineRule="auto"/>
        <w:jc w:val="both"/>
        <w:rPr>
          <w:rFonts w:ascii="Times New Roman" w:eastAsia="Times New Roman" w:hAnsi="Times New Roman"/>
          <w:b/>
          <w:bCs/>
          <w:sz w:val="24"/>
          <w:szCs w:val="24"/>
          <w:lang w:val="en-IN" w:eastAsia="en-IN" w:bidi="hi-IN"/>
        </w:rPr>
      </w:pPr>
      <w:r w:rsidRPr="00AA5368">
        <w:rPr>
          <w:rFonts w:ascii="Times New Roman" w:eastAsia="Times New Roman" w:hAnsi="Times New Roman"/>
          <w:b/>
          <w:bCs/>
          <w:sz w:val="24"/>
          <w:szCs w:val="24"/>
          <w:lang w:val="en-IN" w:eastAsia="en-IN" w:bidi="hi-IN"/>
        </w:rPr>
        <w:t>Funding Declaration:</w:t>
      </w:r>
    </w:p>
    <w:p w14:paraId="7BEE660E" w14:textId="77777777" w:rsidR="00AA5368" w:rsidRDefault="00AA5368" w:rsidP="00AA5368">
      <w:pPr>
        <w:spacing w:before="280" w:after="280" w:line="360" w:lineRule="auto"/>
        <w:jc w:val="both"/>
        <w:rPr>
          <w:rFonts w:ascii="Times New Roman" w:eastAsia="Times New Roman" w:hAnsi="Times New Roman"/>
          <w:sz w:val="24"/>
          <w:szCs w:val="24"/>
          <w:lang w:val="en-IN" w:eastAsia="en-IN" w:bidi="hi-IN"/>
        </w:rPr>
      </w:pPr>
      <w:r w:rsidRPr="00AA5368">
        <w:rPr>
          <w:rFonts w:ascii="Times New Roman" w:eastAsia="Times New Roman" w:hAnsi="Times New Roman"/>
          <w:sz w:val="24"/>
          <w:szCs w:val="24"/>
          <w:lang w:val="en-IN" w:eastAsia="en-IN" w:bidi="hi-IN"/>
        </w:rPr>
        <w:t>The authors declare that no specific financial grant from any funding agency in the public, commercial, or not-for-profit sectors was received for the research, authorship, and/or publication of this article.</w:t>
      </w:r>
    </w:p>
    <w:p w14:paraId="010307C1" w14:textId="77777777" w:rsidR="00664432" w:rsidRDefault="00664432" w:rsidP="00AA5368">
      <w:pPr>
        <w:spacing w:before="280" w:after="280" w:line="360" w:lineRule="auto"/>
        <w:jc w:val="both"/>
        <w:rPr>
          <w:rFonts w:ascii="Times New Roman" w:eastAsia="Times New Roman" w:hAnsi="Times New Roman"/>
          <w:sz w:val="24"/>
          <w:szCs w:val="24"/>
          <w:lang w:val="en-IN" w:eastAsia="en-IN" w:bidi="hi-IN"/>
        </w:rPr>
      </w:pPr>
    </w:p>
    <w:p w14:paraId="0E066BAC" w14:textId="77777777" w:rsidR="00664432" w:rsidRPr="00AA5368" w:rsidRDefault="00664432" w:rsidP="00664432">
      <w:pPr>
        <w:spacing w:after="0" w:line="240" w:lineRule="auto"/>
        <w:rPr>
          <w:rFonts w:ascii="Times New Roman" w:hAnsi="Times New Roman"/>
          <w:b/>
        </w:rPr>
      </w:pPr>
      <w:r w:rsidRPr="00AA5368">
        <w:rPr>
          <w:rFonts w:ascii="Times New Roman" w:hAnsi="Times New Roman"/>
          <w:b/>
        </w:rPr>
        <w:t>Declaration of AI Use</w:t>
      </w:r>
    </w:p>
    <w:p w14:paraId="275D57FD" w14:textId="77777777" w:rsidR="00664432" w:rsidRPr="00AA5368" w:rsidRDefault="00664432" w:rsidP="00664432">
      <w:pPr>
        <w:spacing w:after="0" w:line="240" w:lineRule="auto"/>
        <w:rPr>
          <w:rFonts w:ascii="Times New Roman" w:hAnsi="Times New Roman"/>
        </w:rPr>
      </w:pPr>
    </w:p>
    <w:p w14:paraId="430548B8" w14:textId="77777777" w:rsidR="00664432" w:rsidRPr="00AA5368" w:rsidRDefault="00664432" w:rsidP="00664432">
      <w:pPr>
        <w:spacing w:after="0" w:line="240" w:lineRule="auto"/>
        <w:jc w:val="both"/>
        <w:rPr>
          <w:rFonts w:ascii="Times New Roman" w:hAnsi="Times New Roman"/>
        </w:rPr>
      </w:pPr>
      <w:r w:rsidRPr="00AA5368">
        <w:rPr>
          <w:rFonts w:ascii="Times New Roman" w:hAnsi="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D1E43B" w14:textId="77777777" w:rsidR="00664432" w:rsidRPr="00AA5368" w:rsidRDefault="00664432" w:rsidP="00AA5368">
      <w:pPr>
        <w:spacing w:before="280" w:after="280" w:line="360" w:lineRule="auto"/>
        <w:jc w:val="both"/>
        <w:rPr>
          <w:rFonts w:ascii="Times New Roman" w:eastAsia="Times New Roman" w:hAnsi="Times New Roman"/>
          <w:sz w:val="24"/>
          <w:szCs w:val="24"/>
          <w:lang w:val="en-IN" w:eastAsia="en-IN" w:bidi="hi-IN"/>
        </w:rPr>
      </w:pPr>
    </w:p>
    <w:p w14:paraId="03CE31DB" w14:textId="77777777" w:rsidR="00AA5368" w:rsidRPr="00AA5368" w:rsidRDefault="00AA5368" w:rsidP="00AA5368">
      <w:pPr>
        <w:pStyle w:val="NormalWeb"/>
        <w:spacing w:line="360" w:lineRule="auto"/>
        <w:jc w:val="both"/>
        <w:rPr>
          <w:rFonts w:eastAsia="SimSun;宋体" w:cs="Times New Roman"/>
          <w:b/>
          <w:bCs/>
          <w:lang w:val="en-IN"/>
        </w:rPr>
      </w:pPr>
    </w:p>
    <w:p w14:paraId="185B6153" w14:textId="77777777" w:rsidR="00AA5368" w:rsidRPr="00AA5368" w:rsidRDefault="00AA5368" w:rsidP="00AA5368">
      <w:pPr>
        <w:pStyle w:val="NormalWeb"/>
        <w:spacing w:line="360" w:lineRule="auto"/>
        <w:jc w:val="both"/>
        <w:rPr>
          <w:rFonts w:cs="Times New Roman"/>
        </w:rPr>
      </w:pPr>
      <w:r w:rsidRPr="00AA5368">
        <w:rPr>
          <w:rFonts w:eastAsia="SimSun;宋体" w:cs="Times New Roman"/>
          <w:b/>
          <w:bCs/>
        </w:rPr>
        <w:t xml:space="preserve">References </w:t>
      </w:r>
    </w:p>
    <w:p w14:paraId="7A1514EE"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sidRPr="00641D58">
        <w:rPr>
          <w:rFonts w:ascii="Times New Roman" w:eastAsia="Times New Roman" w:hAnsi="Times New Roman"/>
          <w:sz w:val="24"/>
          <w:szCs w:val="24"/>
        </w:rPr>
        <w:t>Abohweyere</w:t>
      </w:r>
      <w:proofErr w:type="spellEnd"/>
      <w:r w:rsidRPr="00641D58">
        <w:rPr>
          <w:rFonts w:ascii="Times New Roman" w:eastAsia="Times New Roman" w:hAnsi="Times New Roman"/>
          <w:sz w:val="24"/>
          <w:szCs w:val="24"/>
        </w:rPr>
        <w:t xml:space="preserve">, P. O., &amp; Williams, A. B. (2008). Length-weight relationship and condition factor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macrobrachion</w:t>
      </w:r>
      <w:proofErr w:type="spellEnd"/>
      <w:r w:rsidRPr="00641D58">
        <w:rPr>
          <w:rFonts w:ascii="Times New Roman" w:eastAsia="Times New Roman" w:hAnsi="Times New Roman"/>
          <w:sz w:val="24"/>
          <w:szCs w:val="24"/>
        </w:rPr>
        <w:t xml:space="preserve"> in the Lagos-Lekki Lagoon system, Nigeria. </w:t>
      </w:r>
      <w:r w:rsidRPr="00641D58">
        <w:rPr>
          <w:rFonts w:ascii="Times New Roman" w:eastAsia="Times New Roman" w:hAnsi="Times New Roman"/>
          <w:i/>
          <w:iCs/>
          <w:sz w:val="24"/>
          <w:szCs w:val="24"/>
        </w:rPr>
        <w:t>Research Journal of Biological Sciences, 3</w:t>
      </w:r>
      <w:r w:rsidRPr="00641D58">
        <w:rPr>
          <w:rFonts w:ascii="Times New Roman" w:eastAsia="Times New Roman" w:hAnsi="Times New Roman"/>
          <w:sz w:val="24"/>
          <w:szCs w:val="24"/>
        </w:rPr>
        <w:t xml:space="preserve">(11), 1333–1336. </w:t>
      </w:r>
      <w:hyperlink r:id="rId16" w:history="1">
        <w:r w:rsidRPr="00641D58">
          <w:rPr>
            <w:rFonts w:ascii="Times New Roman" w:eastAsia="Times New Roman" w:hAnsi="Times New Roman"/>
            <w:color w:val="0000FF"/>
            <w:sz w:val="24"/>
            <w:szCs w:val="24"/>
            <w:u w:val="single"/>
          </w:rPr>
          <w:t>https://doi.org/10.36478/rjbsci.2008.1333.1336</w:t>
        </w:r>
      </w:hyperlink>
    </w:p>
    <w:p w14:paraId="15D0D723"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lastRenderedPageBreak/>
        <w:t xml:space="preserve">Ara, M. G., Nabi, M. N., Ahmed, Z. F., &amp; Fatema, M. K. (2014). Length-weight relationship and growth pattern inference of a small indigenous freshwater prawn,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lamarrei</w:t>
      </w:r>
      <w:proofErr w:type="spellEnd"/>
      <w:r w:rsidRPr="00641D58">
        <w:rPr>
          <w:rFonts w:ascii="Times New Roman" w:eastAsia="Times New Roman" w:hAnsi="Times New Roman"/>
          <w:sz w:val="24"/>
          <w:szCs w:val="24"/>
        </w:rPr>
        <w:t xml:space="preserve"> (H. Milne-Edwards, 1837) in Bangladesh. </w:t>
      </w:r>
      <w:r w:rsidRPr="00641D58">
        <w:rPr>
          <w:rFonts w:ascii="Times New Roman" w:eastAsia="Times New Roman" w:hAnsi="Times New Roman"/>
          <w:i/>
          <w:iCs/>
          <w:sz w:val="24"/>
          <w:szCs w:val="24"/>
        </w:rPr>
        <w:t>Research in Agriculture, Livestock and Fisheries, 1</w:t>
      </w:r>
      <w:r w:rsidRPr="00641D58">
        <w:rPr>
          <w:rFonts w:ascii="Times New Roman" w:eastAsia="Times New Roman" w:hAnsi="Times New Roman"/>
          <w:sz w:val="24"/>
          <w:szCs w:val="24"/>
        </w:rPr>
        <w:t xml:space="preserve">(1), 137–145. </w:t>
      </w:r>
      <w:hyperlink r:id="rId17" w:history="1">
        <w:r w:rsidRPr="00641D58">
          <w:rPr>
            <w:rFonts w:ascii="Times New Roman" w:eastAsia="Times New Roman" w:hAnsi="Times New Roman"/>
            <w:color w:val="0000FF"/>
            <w:sz w:val="24"/>
            <w:szCs w:val="24"/>
            <w:u w:val="single"/>
          </w:rPr>
          <w:t>https://doi.org/10.3329/ralf.v1i1.22377</w:t>
        </w:r>
      </w:hyperlink>
    </w:p>
    <w:p w14:paraId="07DA2A1E"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Chang, E. S. (1995). Physiological and biochemical changes during the molt cycle in decapod crustaceans: An overview. </w:t>
      </w:r>
      <w:r w:rsidRPr="00641D58">
        <w:rPr>
          <w:rFonts w:ascii="Times New Roman" w:eastAsia="Times New Roman" w:hAnsi="Times New Roman"/>
          <w:i/>
          <w:iCs/>
          <w:sz w:val="24"/>
          <w:szCs w:val="24"/>
        </w:rPr>
        <w:t>Journal of Experimental Marine Biology and Ecology, 193</w:t>
      </w:r>
      <w:r w:rsidRPr="00641D58">
        <w:rPr>
          <w:rFonts w:ascii="Times New Roman" w:eastAsia="Times New Roman" w:hAnsi="Times New Roman"/>
          <w:sz w:val="24"/>
          <w:szCs w:val="24"/>
        </w:rPr>
        <w:t xml:space="preserve">(1–2), 1–14. </w:t>
      </w:r>
      <w:hyperlink r:id="rId18" w:history="1">
        <w:r w:rsidRPr="00641D58">
          <w:rPr>
            <w:rFonts w:ascii="Times New Roman" w:eastAsia="Times New Roman" w:hAnsi="Times New Roman"/>
            <w:color w:val="0000FF"/>
            <w:sz w:val="24"/>
            <w:szCs w:val="24"/>
            <w:u w:val="single"/>
          </w:rPr>
          <w:t>https://doi.org/10.1016/0022-0981(95)00106-9</w:t>
        </w:r>
      </w:hyperlink>
    </w:p>
    <w:p w14:paraId="578E708D"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lang w:val="nl-BE"/>
        </w:rPr>
        <w:t xml:space="preserve">de Carvalho-Souza, G. F., Medeiros, D. V., Silva, R. de A., &amp; González-Ortegón, E. (2023). </w:t>
      </w:r>
      <w:r w:rsidRPr="00641D58">
        <w:rPr>
          <w:rFonts w:ascii="Times New Roman" w:eastAsia="Times New Roman" w:hAnsi="Times New Roman"/>
          <w:sz w:val="24"/>
          <w:szCs w:val="24"/>
        </w:rPr>
        <w:t xml:space="preserve">Width/length–weight relationships and condition factor of seven decapod crustaceans in a Brazilian tropical estuary. </w:t>
      </w:r>
      <w:r w:rsidRPr="00641D58">
        <w:rPr>
          <w:rFonts w:ascii="Times New Roman" w:eastAsia="Times New Roman" w:hAnsi="Times New Roman"/>
          <w:i/>
          <w:iCs/>
          <w:sz w:val="24"/>
          <w:szCs w:val="24"/>
        </w:rPr>
        <w:t>Regional Studies in Marine Science, 60</w:t>
      </w:r>
      <w:r w:rsidRPr="00641D58">
        <w:rPr>
          <w:rFonts w:ascii="Times New Roman" w:eastAsia="Times New Roman" w:hAnsi="Times New Roman"/>
          <w:sz w:val="24"/>
          <w:szCs w:val="24"/>
        </w:rPr>
        <w:t xml:space="preserve">, 102880. </w:t>
      </w:r>
      <w:hyperlink r:id="rId19" w:history="1">
        <w:r w:rsidRPr="00641D58">
          <w:rPr>
            <w:rFonts w:ascii="Times New Roman" w:eastAsia="Times New Roman" w:hAnsi="Times New Roman"/>
            <w:color w:val="0000FF"/>
            <w:sz w:val="24"/>
            <w:szCs w:val="24"/>
            <w:u w:val="single"/>
          </w:rPr>
          <w:t>https://doi.org/10.1016/j.rsma.2023.102880</w:t>
        </w:r>
      </w:hyperlink>
    </w:p>
    <w:p w14:paraId="0E80BF25"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Froese, R. (2006). Cube law, condition factor and weight–length relationships: History, meta-analysis and recommendations. </w:t>
      </w:r>
      <w:r w:rsidRPr="00641D58">
        <w:rPr>
          <w:rFonts w:ascii="Times New Roman" w:eastAsia="Times New Roman" w:hAnsi="Times New Roman"/>
          <w:i/>
          <w:iCs/>
          <w:sz w:val="24"/>
          <w:szCs w:val="24"/>
        </w:rPr>
        <w:t>Journal of Applied Ichthyology, 22</w:t>
      </w:r>
      <w:r w:rsidRPr="00641D58">
        <w:rPr>
          <w:rFonts w:ascii="Times New Roman" w:eastAsia="Times New Roman" w:hAnsi="Times New Roman"/>
          <w:sz w:val="24"/>
          <w:szCs w:val="24"/>
        </w:rPr>
        <w:t xml:space="preserve">(4), 241–253. </w:t>
      </w:r>
      <w:hyperlink r:id="rId20" w:history="1">
        <w:r w:rsidRPr="00641D58">
          <w:rPr>
            <w:rFonts w:ascii="Times New Roman" w:eastAsia="Times New Roman" w:hAnsi="Times New Roman"/>
            <w:color w:val="0000FF"/>
            <w:sz w:val="24"/>
            <w:szCs w:val="24"/>
            <w:u w:val="single"/>
          </w:rPr>
          <w:t>https://doi.org/10.1111/j.1439-0426.2006.00805.x</w:t>
        </w:r>
      </w:hyperlink>
    </w:p>
    <w:p w14:paraId="7C31B3D2"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Fulton, T. W. (1904). The rate of growth of fishes. In </w:t>
      </w:r>
      <w:r w:rsidRPr="00641D58">
        <w:rPr>
          <w:rFonts w:ascii="Times New Roman" w:eastAsia="Times New Roman" w:hAnsi="Times New Roman"/>
          <w:i/>
          <w:iCs/>
          <w:sz w:val="24"/>
          <w:szCs w:val="24"/>
        </w:rPr>
        <w:t>Twenty-second annual report of the Fishery Board for Scotland</w:t>
      </w:r>
      <w:r w:rsidRPr="00641D58">
        <w:rPr>
          <w:rFonts w:ascii="Times New Roman" w:eastAsia="Times New Roman" w:hAnsi="Times New Roman"/>
          <w:sz w:val="24"/>
          <w:szCs w:val="24"/>
        </w:rPr>
        <w:t xml:space="preserve"> (Part III, pp. 141–241). Fishery Board for Scotland. </w:t>
      </w:r>
      <w:hyperlink r:id="rId21" w:history="1">
        <w:r w:rsidRPr="00641D58">
          <w:rPr>
            <w:rFonts w:ascii="Times New Roman" w:eastAsia="Times New Roman" w:hAnsi="Times New Roman"/>
            <w:color w:val="0000FF"/>
            <w:sz w:val="24"/>
            <w:szCs w:val="24"/>
            <w:u w:val="single"/>
          </w:rPr>
          <w:t>https://www.fishbase.se/references/FBRefSummary.php?ID=1282</w:t>
        </w:r>
      </w:hyperlink>
    </w:p>
    <w:p w14:paraId="19CC8723"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sidRPr="00641D58">
        <w:rPr>
          <w:rFonts w:ascii="Times New Roman" w:eastAsia="Times New Roman" w:hAnsi="Times New Roman"/>
          <w:sz w:val="24"/>
          <w:szCs w:val="24"/>
        </w:rPr>
        <w:t>Hartnoll</w:t>
      </w:r>
      <w:proofErr w:type="spellEnd"/>
      <w:r w:rsidRPr="00641D58">
        <w:rPr>
          <w:rFonts w:ascii="Times New Roman" w:eastAsia="Times New Roman" w:hAnsi="Times New Roman"/>
          <w:sz w:val="24"/>
          <w:szCs w:val="24"/>
        </w:rPr>
        <w:t xml:space="preserve">, R. G. (1982). Growth. In L. G. Abele (Ed.), </w:t>
      </w:r>
      <w:r w:rsidRPr="00641D58">
        <w:rPr>
          <w:rFonts w:ascii="Times New Roman" w:eastAsia="Times New Roman" w:hAnsi="Times New Roman"/>
          <w:i/>
          <w:iCs/>
          <w:sz w:val="24"/>
          <w:szCs w:val="24"/>
        </w:rPr>
        <w:t>The biology of Crustacea: Vol. 2. Embryology, morphology, and genetics</w:t>
      </w:r>
      <w:r w:rsidRPr="00641D58">
        <w:rPr>
          <w:rFonts w:ascii="Times New Roman" w:eastAsia="Times New Roman" w:hAnsi="Times New Roman"/>
          <w:sz w:val="24"/>
          <w:szCs w:val="24"/>
        </w:rPr>
        <w:t xml:space="preserve"> (pp. 111–196). Academic Press. </w:t>
      </w:r>
      <w:hyperlink r:id="rId22" w:history="1">
        <w:r w:rsidRPr="00641D58">
          <w:rPr>
            <w:rFonts w:ascii="Times New Roman" w:eastAsia="Times New Roman" w:hAnsi="Times New Roman"/>
            <w:color w:val="0000FF"/>
            <w:sz w:val="24"/>
            <w:szCs w:val="24"/>
            <w:u w:val="single"/>
          </w:rPr>
          <w:t>https://www.vliz.be/en/imis?module=ref&amp;refid=198680</w:t>
        </w:r>
      </w:hyperlink>
    </w:p>
    <w:p w14:paraId="56690954" w14:textId="1062AC08"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Kurup, B. M., Harikrishnan, M., &amp; Sureshkumar, S. (2000). Length-weight relationship of male morphotypes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rosenbergii</w:t>
      </w:r>
      <w:proofErr w:type="spellEnd"/>
      <w:r w:rsidRPr="00641D58">
        <w:rPr>
          <w:rFonts w:ascii="Times New Roman" w:eastAsia="Times New Roman" w:hAnsi="Times New Roman"/>
          <w:sz w:val="24"/>
          <w:szCs w:val="24"/>
        </w:rPr>
        <w:t xml:space="preserve"> (de Man) as a valid index for differentiating their developmental pathway and growth phases. </w:t>
      </w:r>
      <w:r w:rsidRPr="00641D58">
        <w:rPr>
          <w:rFonts w:ascii="Times New Roman" w:eastAsia="Times New Roman" w:hAnsi="Times New Roman"/>
          <w:i/>
          <w:iCs/>
          <w:sz w:val="24"/>
          <w:szCs w:val="24"/>
        </w:rPr>
        <w:t>Indian Journal of Fisheries, 47</w:t>
      </w:r>
      <w:r w:rsidRPr="00641D58">
        <w:rPr>
          <w:rFonts w:ascii="Times New Roman" w:eastAsia="Times New Roman" w:hAnsi="Times New Roman"/>
          <w:sz w:val="24"/>
          <w:szCs w:val="24"/>
        </w:rPr>
        <w:t xml:space="preserve">(4), 283–290. </w:t>
      </w:r>
      <w:hyperlink r:id="rId23" w:history="1">
        <w:r w:rsidRPr="00641D58">
          <w:rPr>
            <w:rFonts w:ascii="Times New Roman" w:eastAsia="Times New Roman" w:hAnsi="Times New Roman"/>
            <w:color w:val="0000FF"/>
            <w:sz w:val="24"/>
            <w:szCs w:val="24"/>
            <w:u w:val="single"/>
          </w:rPr>
          <w:t>https://epubs.icar.org.in/index.php/IJF/article/view/8503</w:t>
        </w:r>
      </w:hyperlink>
    </w:p>
    <w:p w14:paraId="1697BD86"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Kumar, K., Rana, A. R., &amp; </w:t>
      </w:r>
      <w:proofErr w:type="spellStart"/>
      <w:r w:rsidRPr="00641D58">
        <w:rPr>
          <w:rFonts w:ascii="Times New Roman" w:eastAsia="Times New Roman" w:hAnsi="Times New Roman"/>
          <w:sz w:val="24"/>
          <w:szCs w:val="24"/>
        </w:rPr>
        <w:t>Kotnala</w:t>
      </w:r>
      <w:proofErr w:type="spellEnd"/>
      <w:r w:rsidRPr="00641D58">
        <w:rPr>
          <w:rFonts w:ascii="Times New Roman" w:eastAsia="Times New Roman" w:hAnsi="Times New Roman"/>
          <w:sz w:val="24"/>
          <w:szCs w:val="24"/>
        </w:rPr>
        <w:t xml:space="preserve">, C. B. (2014). Length–weight relationship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assamense</w:t>
      </w:r>
      <w:proofErr w:type="spellEnd"/>
      <w:r w:rsidRPr="00641D58">
        <w:rPr>
          <w:rFonts w:ascii="Times New Roman" w:eastAsia="Times New Roman" w:hAnsi="Times New Roman"/>
          <w:i/>
          <w:iCs/>
          <w:sz w:val="24"/>
          <w:szCs w:val="24"/>
        </w:rPr>
        <w:t xml:space="preserve"> </w:t>
      </w:r>
      <w:proofErr w:type="spellStart"/>
      <w:r w:rsidRPr="00641D58">
        <w:rPr>
          <w:rFonts w:ascii="Times New Roman" w:eastAsia="Times New Roman" w:hAnsi="Times New Roman"/>
          <w:i/>
          <w:iCs/>
          <w:sz w:val="24"/>
          <w:szCs w:val="24"/>
        </w:rPr>
        <w:t>peninsulare</w:t>
      </w:r>
      <w:proofErr w:type="spellEnd"/>
      <w:r w:rsidRPr="00641D58">
        <w:rPr>
          <w:rFonts w:ascii="Times New Roman" w:eastAsia="Times New Roman" w:hAnsi="Times New Roman"/>
          <w:sz w:val="24"/>
          <w:szCs w:val="24"/>
        </w:rPr>
        <w:t xml:space="preserve"> (Tiwari, 1958), a minor freshwater prawn in </w:t>
      </w:r>
      <w:proofErr w:type="spellStart"/>
      <w:r w:rsidRPr="00641D58">
        <w:rPr>
          <w:rFonts w:ascii="Times New Roman" w:eastAsia="Times New Roman" w:hAnsi="Times New Roman"/>
          <w:sz w:val="24"/>
          <w:szCs w:val="24"/>
        </w:rPr>
        <w:t>Rawasan</w:t>
      </w:r>
      <w:proofErr w:type="spellEnd"/>
      <w:r w:rsidRPr="00641D58">
        <w:rPr>
          <w:rFonts w:ascii="Times New Roman" w:eastAsia="Times New Roman" w:hAnsi="Times New Roman"/>
          <w:sz w:val="24"/>
          <w:szCs w:val="24"/>
        </w:rPr>
        <w:t xml:space="preserve"> Stream of Uttarakhand, India. </w:t>
      </w:r>
      <w:r w:rsidRPr="00641D58">
        <w:rPr>
          <w:rFonts w:ascii="Times New Roman" w:eastAsia="Times New Roman" w:hAnsi="Times New Roman"/>
          <w:i/>
          <w:iCs/>
          <w:sz w:val="24"/>
          <w:szCs w:val="24"/>
        </w:rPr>
        <w:t>Journal of Mountain Research, 9</w:t>
      </w:r>
      <w:r w:rsidRPr="00641D58">
        <w:rPr>
          <w:rFonts w:ascii="Times New Roman" w:eastAsia="Times New Roman" w:hAnsi="Times New Roman"/>
          <w:sz w:val="24"/>
          <w:szCs w:val="24"/>
        </w:rPr>
        <w:t xml:space="preserve">, 13–19. </w:t>
      </w:r>
      <w:hyperlink r:id="rId24" w:history="1">
        <w:r w:rsidRPr="00641D58">
          <w:rPr>
            <w:rFonts w:ascii="Times New Roman" w:eastAsia="Times New Roman" w:hAnsi="Times New Roman"/>
            <w:color w:val="0000FF"/>
            <w:sz w:val="24"/>
            <w:szCs w:val="24"/>
            <w:u w:val="single"/>
          </w:rPr>
          <w:t>https://jmr.sharadpauri.org/archive.php</w:t>
        </w:r>
      </w:hyperlink>
    </w:p>
    <w:p w14:paraId="564E87A2"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Kumar, K., Rana, A. R., &amp; </w:t>
      </w:r>
      <w:proofErr w:type="spellStart"/>
      <w:r w:rsidRPr="00641D58">
        <w:rPr>
          <w:rFonts w:ascii="Times New Roman" w:eastAsia="Times New Roman" w:hAnsi="Times New Roman"/>
          <w:sz w:val="24"/>
          <w:szCs w:val="24"/>
        </w:rPr>
        <w:t>Kotnala</w:t>
      </w:r>
      <w:proofErr w:type="spellEnd"/>
      <w:r w:rsidRPr="00641D58">
        <w:rPr>
          <w:rFonts w:ascii="Times New Roman" w:eastAsia="Times New Roman" w:hAnsi="Times New Roman"/>
          <w:sz w:val="24"/>
          <w:szCs w:val="24"/>
        </w:rPr>
        <w:t>, C. B. (2016). Preliminary study of Fulton’s condition factor (CF) and relative condition factor (</w:t>
      </w:r>
      <w:proofErr w:type="spellStart"/>
      <w:r w:rsidRPr="00641D58">
        <w:rPr>
          <w:rFonts w:ascii="Times New Roman" w:eastAsia="Times New Roman" w:hAnsi="Times New Roman"/>
          <w:sz w:val="24"/>
          <w:szCs w:val="24"/>
        </w:rPr>
        <w:t>Kn</w:t>
      </w:r>
      <w:proofErr w:type="spellEnd"/>
      <w:r w:rsidRPr="00641D58">
        <w:rPr>
          <w:rFonts w:ascii="Times New Roman" w:eastAsia="Times New Roman" w:hAnsi="Times New Roman"/>
          <w:sz w:val="24"/>
          <w:szCs w:val="24"/>
        </w:rPr>
        <w:t xml:space="preserve">)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assamense</w:t>
      </w:r>
      <w:proofErr w:type="spellEnd"/>
      <w:r w:rsidRPr="00641D58">
        <w:rPr>
          <w:rFonts w:ascii="Times New Roman" w:eastAsia="Times New Roman" w:hAnsi="Times New Roman"/>
          <w:i/>
          <w:iCs/>
          <w:sz w:val="24"/>
          <w:szCs w:val="24"/>
        </w:rPr>
        <w:t xml:space="preserve"> </w:t>
      </w:r>
      <w:proofErr w:type="spellStart"/>
      <w:r w:rsidRPr="00641D58">
        <w:rPr>
          <w:rFonts w:ascii="Times New Roman" w:eastAsia="Times New Roman" w:hAnsi="Times New Roman"/>
          <w:i/>
          <w:iCs/>
          <w:sz w:val="24"/>
          <w:szCs w:val="24"/>
        </w:rPr>
        <w:t>peninsulare</w:t>
      </w:r>
      <w:proofErr w:type="spellEnd"/>
      <w:r w:rsidRPr="00641D58">
        <w:rPr>
          <w:rFonts w:ascii="Times New Roman" w:eastAsia="Times New Roman" w:hAnsi="Times New Roman"/>
          <w:sz w:val="24"/>
          <w:szCs w:val="24"/>
        </w:rPr>
        <w:t xml:space="preserve"> from </w:t>
      </w:r>
      <w:proofErr w:type="spellStart"/>
      <w:r w:rsidRPr="00641D58">
        <w:rPr>
          <w:rFonts w:ascii="Times New Roman" w:eastAsia="Times New Roman" w:hAnsi="Times New Roman"/>
          <w:sz w:val="24"/>
          <w:szCs w:val="24"/>
        </w:rPr>
        <w:t>Rawasan</w:t>
      </w:r>
      <w:proofErr w:type="spellEnd"/>
      <w:r w:rsidRPr="00641D58">
        <w:rPr>
          <w:rFonts w:ascii="Times New Roman" w:eastAsia="Times New Roman" w:hAnsi="Times New Roman"/>
          <w:sz w:val="24"/>
          <w:szCs w:val="24"/>
        </w:rPr>
        <w:t xml:space="preserve"> Stream, Uttarakhand, India. </w:t>
      </w:r>
      <w:r w:rsidRPr="00641D58">
        <w:rPr>
          <w:rFonts w:ascii="Times New Roman" w:eastAsia="Times New Roman" w:hAnsi="Times New Roman"/>
          <w:i/>
          <w:iCs/>
          <w:sz w:val="24"/>
          <w:szCs w:val="24"/>
        </w:rPr>
        <w:t>International Journal of Current Research, 8</w:t>
      </w:r>
      <w:r w:rsidRPr="00641D58">
        <w:rPr>
          <w:rFonts w:ascii="Times New Roman" w:eastAsia="Times New Roman" w:hAnsi="Times New Roman"/>
          <w:sz w:val="24"/>
          <w:szCs w:val="24"/>
        </w:rPr>
        <w:t xml:space="preserve">(9), 37736–37739. </w:t>
      </w:r>
      <w:hyperlink r:id="rId25" w:history="1">
        <w:r w:rsidRPr="00641D58">
          <w:rPr>
            <w:rFonts w:ascii="Times New Roman" w:eastAsia="Times New Roman" w:hAnsi="Times New Roman"/>
            <w:color w:val="0000FF"/>
            <w:sz w:val="24"/>
            <w:szCs w:val="24"/>
            <w:u w:val="single"/>
          </w:rPr>
          <w:t>https://www.journalcra.com/article/preliminary-study-fulton%E2%80%99s-condition-factor-cf-and-relative-condition-factor-kn</w:t>
        </w:r>
      </w:hyperlink>
    </w:p>
    <w:p w14:paraId="1DB63668"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Le </w:t>
      </w:r>
      <w:proofErr w:type="spellStart"/>
      <w:r w:rsidRPr="00641D58">
        <w:rPr>
          <w:rFonts w:ascii="Times New Roman" w:eastAsia="Times New Roman" w:hAnsi="Times New Roman"/>
          <w:sz w:val="24"/>
          <w:szCs w:val="24"/>
        </w:rPr>
        <w:t>Cren</w:t>
      </w:r>
      <w:proofErr w:type="spellEnd"/>
      <w:r w:rsidRPr="00641D58">
        <w:rPr>
          <w:rFonts w:ascii="Times New Roman" w:eastAsia="Times New Roman" w:hAnsi="Times New Roman"/>
          <w:sz w:val="24"/>
          <w:szCs w:val="24"/>
        </w:rPr>
        <w:t>, E. D. (1951). The length-weight relationship and seasonal cycle in gonad weight and condition in the perch (</w:t>
      </w:r>
      <w:r w:rsidRPr="00641D58">
        <w:rPr>
          <w:rFonts w:ascii="Times New Roman" w:eastAsia="Times New Roman" w:hAnsi="Times New Roman"/>
          <w:i/>
          <w:iCs/>
          <w:sz w:val="24"/>
          <w:szCs w:val="24"/>
        </w:rPr>
        <w:t>Perca fluviatilis</w:t>
      </w:r>
      <w:r w:rsidRPr="00641D58">
        <w:rPr>
          <w:rFonts w:ascii="Times New Roman" w:eastAsia="Times New Roman" w:hAnsi="Times New Roman"/>
          <w:sz w:val="24"/>
          <w:szCs w:val="24"/>
        </w:rPr>
        <w:t xml:space="preserve">). </w:t>
      </w:r>
      <w:r w:rsidRPr="00641D58">
        <w:rPr>
          <w:rFonts w:ascii="Times New Roman" w:eastAsia="Times New Roman" w:hAnsi="Times New Roman"/>
          <w:i/>
          <w:iCs/>
          <w:sz w:val="24"/>
          <w:szCs w:val="24"/>
        </w:rPr>
        <w:t>Journal of Animal Ecology, 20</w:t>
      </w:r>
      <w:r w:rsidRPr="00641D58">
        <w:rPr>
          <w:rFonts w:ascii="Times New Roman" w:eastAsia="Times New Roman" w:hAnsi="Times New Roman"/>
          <w:sz w:val="24"/>
          <w:szCs w:val="24"/>
        </w:rPr>
        <w:t xml:space="preserve">(2), 201–219. </w:t>
      </w:r>
      <w:hyperlink r:id="rId26" w:history="1">
        <w:r w:rsidRPr="00641D58">
          <w:rPr>
            <w:rFonts w:ascii="Times New Roman" w:eastAsia="Times New Roman" w:hAnsi="Times New Roman"/>
            <w:color w:val="0000FF"/>
            <w:sz w:val="24"/>
            <w:szCs w:val="24"/>
            <w:u w:val="single"/>
          </w:rPr>
          <w:t>https://doi.org/10.2307/1540</w:t>
        </w:r>
      </w:hyperlink>
    </w:p>
    <w:p w14:paraId="7252047A"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Lodhi, S., Ahmed, A., Swami, V. P., &amp; Shukla, S. (2024). Morphometric analysis and condition factor of freshwater prawn,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lamarrei</w:t>
      </w:r>
      <w:proofErr w:type="spellEnd"/>
      <w:r w:rsidRPr="00641D58">
        <w:rPr>
          <w:rFonts w:ascii="Times New Roman" w:eastAsia="Times New Roman" w:hAnsi="Times New Roman"/>
          <w:sz w:val="24"/>
          <w:szCs w:val="24"/>
        </w:rPr>
        <w:t xml:space="preserve"> (Crustacea-Decapoda) from the Gomti River, Lucknow, Uttar Pradesh, India. </w:t>
      </w:r>
      <w:r w:rsidRPr="00641D58">
        <w:rPr>
          <w:rFonts w:ascii="Times New Roman" w:eastAsia="Times New Roman" w:hAnsi="Times New Roman"/>
          <w:i/>
          <w:iCs/>
          <w:sz w:val="24"/>
          <w:szCs w:val="24"/>
        </w:rPr>
        <w:t>Uttar Pradesh Journal of Zoology, 45</w:t>
      </w:r>
      <w:r w:rsidRPr="00641D58">
        <w:rPr>
          <w:rFonts w:ascii="Times New Roman" w:eastAsia="Times New Roman" w:hAnsi="Times New Roman"/>
          <w:sz w:val="24"/>
          <w:szCs w:val="24"/>
        </w:rPr>
        <w:t xml:space="preserve">(11), 69–77. </w:t>
      </w:r>
      <w:hyperlink r:id="rId27" w:history="1">
        <w:r w:rsidRPr="00641D58">
          <w:rPr>
            <w:rFonts w:ascii="Times New Roman" w:eastAsia="Times New Roman" w:hAnsi="Times New Roman"/>
            <w:color w:val="0000FF"/>
            <w:sz w:val="24"/>
            <w:szCs w:val="24"/>
            <w:u w:val="single"/>
          </w:rPr>
          <w:t>https://doi.org/10.56557/upjoz/2024/v45i114071</w:t>
        </w:r>
      </w:hyperlink>
    </w:p>
    <w:p w14:paraId="4F82AE36"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lastRenderedPageBreak/>
        <w:t>Maji, D., Tudu, A. K., Rath, S., Roy Chowdhury, B., Ali, M. R., &amp; Mukherjee, S. (2026). Length-weight relationships and Fulton’s condition factor of ocellated pufferfish (</w:t>
      </w:r>
      <w:proofErr w:type="spellStart"/>
      <w:r w:rsidRPr="00641D58">
        <w:rPr>
          <w:rFonts w:ascii="Times New Roman" w:eastAsia="Times New Roman" w:hAnsi="Times New Roman"/>
          <w:i/>
          <w:iCs/>
          <w:sz w:val="24"/>
          <w:szCs w:val="24"/>
        </w:rPr>
        <w:t>Leiodon</w:t>
      </w:r>
      <w:proofErr w:type="spellEnd"/>
      <w:r w:rsidRPr="00641D58">
        <w:rPr>
          <w:rFonts w:ascii="Times New Roman" w:eastAsia="Times New Roman" w:hAnsi="Times New Roman"/>
          <w:i/>
          <w:iCs/>
          <w:sz w:val="24"/>
          <w:szCs w:val="24"/>
        </w:rPr>
        <w:t xml:space="preserve"> </w:t>
      </w:r>
      <w:proofErr w:type="spellStart"/>
      <w:r w:rsidRPr="00641D58">
        <w:rPr>
          <w:rFonts w:ascii="Times New Roman" w:eastAsia="Times New Roman" w:hAnsi="Times New Roman"/>
          <w:i/>
          <w:iCs/>
          <w:sz w:val="24"/>
          <w:szCs w:val="24"/>
        </w:rPr>
        <w:t>cutcutia</w:t>
      </w:r>
      <w:proofErr w:type="spellEnd"/>
      <w:r w:rsidRPr="00641D58">
        <w:rPr>
          <w:rFonts w:ascii="Times New Roman" w:eastAsia="Times New Roman" w:hAnsi="Times New Roman"/>
          <w:sz w:val="24"/>
          <w:szCs w:val="24"/>
        </w:rPr>
        <w:t>) from the Indo-Bangladesh transboundary River (</w:t>
      </w:r>
      <w:proofErr w:type="spellStart"/>
      <w:r w:rsidRPr="00641D58">
        <w:rPr>
          <w:rFonts w:ascii="Times New Roman" w:eastAsia="Times New Roman" w:hAnsi="Times New Roman"/>
          <w:sz w:val="24"/>
          <w:szCs w:val="24"/>
        </w:rPr>
        <w:t>Icchamati</w:t>
      </w:r>
      <w:proofErr w:type="spellEnd"/>
      <w:r w:rsidRPr="00641D58">
        <w:rPr>
          <w:rFonts w:ascii="Times New Roman" w:eastAsia="Times New Roman" w:hAnsi="Times New Roman"/>
          <w:sz w:val="24"/>
          <w:szCs w:val="24"/>
        </w:rPr>
        <w:t xml:space="preserve">), West Bengal, India, with emphasis on seasonal variations. </w:t>
      </w:r>
      <w:r w:rsidRPr="00641D58">
        <w:rPr>
          <w:rFonts w:ascii="Times New Roman" w:eastAsia="Times New Roman" w:hAnsi="Times New Roman"/>
          <w:i/>
          <w:iCs/>
          <w:sz w:val="24"/>
          <w:szCs w:val="24"/>
        </w:rPr>
        <w:t>Asian Journal of Current Research, 11</w:t>
      </w:r>
      <w:r w:rsidRPr="00641D58">
        <w:rPr>
          <w:rFonts w:ascii="Times New Roman" w:eastAsia="Times New Roman" w:hAnsi="Times New Roman"/>
          <w:sz w:val="24"/>
          <w:szCs w:val="24"/>
        </w:rPr>
        <w:t xml:space="preserve">(1), 32–44. </w:t>
      </w:r>
      <w:hyperlink r:id="rId28" w:history="1">
        <w:r w:rsidRPr="00641D58">
          <w:rPr>
            <w:rFonts w:ascii="Times New Roman" w:eastAsia="Times New Roman" w:hAnsi="Times New Roman"/>
            <w:color w:val="0000FF"/>
            <w:sz w:val="24"/>
            <w:szCs w:val="24"/>
            <w:u w:val="single"/>
          </w:rPr>
          <w:t>https://doi.org/10.56557/ajocr/2026/v11i110170</w:t>
        </w:r>
      </w:hyperlink>
    </w:p>
    <w:p w14:paraId="63622B0D"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Mariappan, P., &amp; Balasundaram, C. (2004). Studies on the morphometry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nobilii</w:t>
      </w:r>
      <w:proofErr w:type="spellEnd"/>
      <w:r w:rsidRPr="00641D58">
        <w:rPr>
          <w:rFonts w:ascii="Times New Roman" w:eastAsia="Times New Roman" w:hAnsi="Times New Roman"/>
          <w:sz w:val="24"/>
          <w:szCs w:val="24"/>
        </w:rPr>
        <w:t xml:space="preserve"> (Decapoda, </w:t>
      </w:r>
      <w:proofErr w:type="spellStart"/>
      <w:r w:rsidRPr="00641D58">
        <w:rPr>
          <w:rFonts w:ascii="Times New Roman" w:eastAsia="Times New Roman" w:hAnsi="Times New Roman"/>
          <w:sz w:val="24"/>
          <w:szCs w:val="24"/>
        </w:rPr>
        <w:t>Palaemonidae</w:t>
      </w:r>
      <w:proofErr w:type="spellEnd"/>
      <w:r w:rsidRPr="00641D58">
        <w:rPr>
          <w:rFonts w:ascii="Times New Roman" w:eastAsia="Times New Roman" w:hAnsi="Times New Roman"/>
          <w:sz w:val="24"/>
          <w:szCs w:val="24"/>
        </w:rPr>
        <w:t xml:space="preserve">). </w:t>
      </w:r>
      <w:r w:rsidRPr="00641D58">
        <w:rPr>
          <w:rFonts w:ascii="Times New Roman" w:eastAsia="Times New Roman" w:hAnsi="Times New Roman"/>
          <w:i/>
          <w:iCs/>
          <w:sz w:val="24"/>
          <w:szCs w:val="24"/>
        </w:rPr>
        <w:t>Brazilian Archives of Biology and Technology, 47</w:t>
      </w:r>
      <w:r w:rsidRPr="00641D58">
        <w:rPr>
          <w:rFonts w:ascii="Times New Roman" w:eastAsia="Times New Roman" w:hAnsi="Times New Roman"/>
          <w:sz w:val="24"/>
          <w:szCs w:val="24"/>
        </w:rPr>
        <w:t xml:space="preserve">(3), 441–449. </w:t>
      </w:r>
      <w:hyperlink r:id="rId29" w:history="1">
        <w:r w:rsidRPr="00641D58">
          <w:rPr>
            <w:rFonts w:ascii="Times New Roman" w:eastAsia="Times New Roman" w:hAnsi="Times New Roman"/>
            <w:color w:val="0000FF"/>
            <w:sz w:val="24"/>
            <w:szCs w:val="24"/>
            <w:u w:val="single"/>
          </w:rPr>
          <w:t>https://doi.org/10.1590/S1516-89132004000300015</w:t>
        </w:r>
      </w:hyperlink>
    </w:p>
    <w:p w14:paraId="481A7EF8"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sidRPr="00641D58">
        <w:rPr>
          <w:rFonts w:ascii="Times New Roman" w:eastAsia="Times New Roman" w:hAnsi="Times New Roman"/>
          <w:sz w:val="24"/>
          <w:szCs w:val="24"/>
        </w:rPr>
        <w:t>Omogoriola</w:t>
      </w:r>
      <w:proofErr w:type="spellEnd"/>
      <w:r w:rsidRPr="00641D58">
        <w:rPr>
          <w:rFonts w:ascii="Times New Roman" w:eastAsia="Times New Roman" w:hAnsi="Times New Roman"/>
          <w:sz w:val="24"/>
          <w:szCs w:val="24"/>
        </w:rPr>
        <w:t xml:space="preserve">, H. O., Williams, A. B., Adegbile, O. M., </w:t>
      </w:r>
      <w:proofErr w:type="spellStart"/>
      <w:r w:rsidRPr="00641D58">
        <w:rPr>
          <w:rFonts w:ascii="Times New Roman" w:eastAsia="Times New Roman" w:hAnsi="Times New Roman"/>
          <w:sz w:val="24"/>
          <w:szCs w:val="24"/>
        </w:rPr>
        <w:t>Olakolu</w:t>
      </w:r>
      <w:proofErr w:type="spellEnd"/>
      <w:r w:rsidRPr="00641D58">
        <w:rPr>
          <w:rFonts w:ascii="Times New Roman" w:eastAsia="Times New Roman" w:hAnsi="Times New Roman"/>
          <w:sz w:val="24"/>
          <w:szCs w:val="24"/>
        </w:rPr>
        <w:t xml:space="preserve">, F. C., </w:t>
      </w:r>
      <w:proofErr w:type="spellStart"/>
      <w:r w:rsidRPr="00641D58">
        <w:rPr>
          <w:rFonts w:ascii="Times New Roman" w:eastAsia="Times New Roman" w:hAnsi="Times New Roman"/>
          <w:sz w:val="24"/>
          <w:szCs w:val="24"/>
        </w:rPr>
        <w:t>Ukaonu</w:t>
      </w:r>
      <w:proofErr w:type="spellEnd"/>
      <w:r w:rsidRPr="00641D58">
        <w:rPr>
          <w:rFonts w:ascii="Times New Roman" w:eastAsia="Times New Roman" w:hAnsi="Times New Roman"/>
          <w:sz w:val="24"/>
          <w:szCs w:val="24"/>
        </w:rPr>
        <w:t xml:space="preserve">, S. U., &amp; </w:t>
      </w:r>
      <w:proofErr w:type="spellStart"/>
      <w:r w:rsidRPr="00641D58">
        <w:rPr>
          <w:rFonts w:ascii="Times New Roman" w:eastAsia="Times New Roman" w:hAnsi="Times New Roman"/>
          <w:sz w:val="24"/>
          <w:szCs w:val="24"/>
        </w:rPr>
        <w:t>Myade</w:t>
      </w:r>
      <w:proofErr w:type="spellEnd"/>
      <w:r w:rsidRPr="00641D58">
        <w:rPr>
          <w:rFonts w:ascii="Times New Roman" w:eastAsia="Times New Roman" w:hAnsi="Times New Roman"/>
          <w:sz w:val="24"/>
          <w:szCs w:val="24"/>
        </w:rPr>
        <w:t>, E. F. (2011). Length-weight relationships, condition factor (K) and relative condition factor (</w:t>
      </w:r>
      <w:proofErr w:type="spellStart"/>
      <w:r w:rsidRPr="00641D58">
        <w:rPr>
          <w:rFonts w:ascii="Times New Roman" w:eastAsia="Times New Roman" w:hAnsi="Times New Roman"/>
          <w:sz w:val="24"/>
          <w:szCs w:val="24"/>
        </w:rPr>
        <w:t>Kn</w:t>
      </w:r>
      <w:proofErr w:type="spellEnd"/>
      <w:r w:rsidRPr="00641D58">
        <w:rPr>
          <w:rFonts w:ascii="Times New Roman" w:eastAsia="Times New Roman" w:hAnsi="Times New Roman"/>
          <w:sz w:val="24"/>
          <w:szCs w:val="24"/>
        </w:rPr>
        <w:t xml:space="preserve">) of </w:t>
      </w:r>
      <w:proofErr w:type="spellStart"/>
      <w:r w:rsidRPr="00641D58">
        <w:rPr>
          <w:rFonts w:ascii="Times New Roman" w:eastAsia="Times New Roman" w:hAnsi="Times New Roman"/>
          <w:sz w:val="24"/>
          <w:szCs w:val="24"/>
        </w:rPr>
        <w:t>sparids</w:t>
      </w:r>
      <w:proofErr w:type="spellEnd"/>
      <w:r w:rsidRPr="00641D58">
        <w:rPr>
          <w:rFonts w:ascii="Times New Roman" w:eastAsia="Times New Roman" w:hAnsi="Times New Roman"/>
          <w:sz w:val="24"/>
          <w:szCs w:val="24"/>
        </w:rPr>
        <w:t xml:space="preserve">, </w:t>
      </w:r>
      <w:r w:rsidRPr="00641D58">
        <w:rPr>
          <w:rFonts w:ascii="Times New Roman" w:eastAsia="Times New Roman" w:hAnsi="Times New Roman"/>
          <w:i/>
          <w:iCs/>
          <w:sz w:val="24"/>
          <w:szCs w:val="24"/>
        </w:rPr>
        <w:t xml:space="preserve">Dentex </w:t>
      </w:r>
      <w:proofErr w:type="spellStart"/>
      <w:r w:rsidRPr="00641D58">
        <w:rPr>
          <w:rFonts w:ascii="Times New Roman" w:eastAsia="Times New Roman" w:hAnsi="Times New Roman"/>
          <w:i/>
          <w:iCs/>
          <w:sz w:val="24"/>
          <w:szCs w:val="24"/>
        </w:rPr>
        <w:t>congoensis</w:t>
      </w:r>
      <w:proofErr w:type="spellEnd"/>
      <w:r w:rsidRPr="00641D58">
        <w:rPr>
          <w:rFonts w:ascii="Times New Roman" w:eastAsia="Times New Roman" w:hAnsi="Times New Roman"/>
          <w:sz w:val="24"/>
          <w:szCs w:val="24"/>
        </w:rPr>
        <w:t xml:space="preserve"> (Maul, 1954) and </w:t>
      </w:r>
      <w:r w:rsidRPr="00641D58">
        <w:rPr>
          <w:rFonts w:ascii="Times New Roman" w:eastAsia="Times New Roman" w:hAnsi="Times New Roman"/>
          <w:i/>
          <w:iCs/>
          <w:sz w:val="24"/>
          <w:szCs w:val="24"/>
        </w:rPr>
        <w:t>Dentex angolensis</w:t>
      </w:r>
      <w:r w:rsidRPr="00641D58">
        <w:rPr>
          <w:rFonts w:ascii="Times New Roman" w:eastAsia="Times New Roman" w:hAnsi="Times New Roman"/>
          <w:sz w:val="24"/>
          <w:szCs w:val="24"/>
        </w:rPr>
        <w:t xml:space="preserve"> (Maul &amp; Poll, 1953), in Nigerian coastal water. </w:t>
      </w:r>
      <w:r w:rsidRPr="00641D58">
        <w:rPr>
          <w:rFonts w:ascii="Times New Roman" w:eastAsia="Times New Roman" w:hAnsi="Times New Roman"/>
          <w:i/>
          <w:iCs/>
          <w:sz w:val="24"/>
          <w:szCs w:val="24"/>
        </w:rPr>
        <w:t>International Journal of Biological and Chemical Sciences, 5</w:t>
      </w:r>
      <w:r w:rsidRPr="00641D58">
        <w:rPr>
          <w:rFonts w:ascii="Times New Roman" w:eastAsia="Times New Roman" w:hAnsi="Times New Roman"/>
          <w:sz w:val="24"/>
          <w:szCs w:val="24"/>
        </w:rPr>
        <w:t xml:space="preserve">(2), 739–747. </w:t>
      </w:r>
      <w:hyperlink r:id="rId30" w:history="1">
        <w:r w:rsidRPr="00641D58">
          <w:rPr>
            <w:rFonts w:ascii="Times New Roman" w:eastAsia="Times New Roman" w:hAnsi="Times New Roman"/>
            <w:color w:val="0000FF"/>
            <w:sz w:val="24"/>
            <w:szCs w:val="24"/>
            <w:u w:val="single"/>
          </w:rPr>
          <w:t>https://doi.org/10.4314/ijbcs.v5i2.72147</w:t>
        </w:r>
      </w:hyperlink>
    </w:p>
    <w:p w14:paraId="3B85C37D"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lang w:val="nl-BE"/>
        </w:rPr>
        <w:t xml:space="preserve">Oyebola, O. O., Coker, O. M., Oche, C., Akanmu, O. A., Alamu, O., Azuh, V. O., &amp; Idowu, C. F. (2024). </w:t>
      </w:r>
      <w:r w:rsidRPr="00641D58">
        <w:rPr>
          <w:rFonts w:ascii="Times New Roman" w:eastAsia="Times New Roman" w:hAnsi="Times New Roman"/>
          <w:sz w:val="24"/>
          <w:szCs w:val="24"/>
        </w:rPr>
        <w:t xml:space="preserve">Morphologic and phylogenetic investigations revealed size-divergent clades in chelae morphotypes of freshwater prawn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vollenhovenii</w:t>
      </w:r>
      <w:proofErr w:type="spellEnd"/>
      <w:r w:rsidRPr="00641D58">
        <w:rPr>
          <w:rFonts w:ascii="Times New Roman" w:eastAsia="Times New Roman" w:hAnsi="Times New Roman"/>
          <w:sz w:val="24"/>
          <w:szCs w:val="24"/>
        </w:rPr>
        <w:t xml:space="preserve"> Herklots (Decapoda: </w:t>
      </w:r>
      <w:proofErr w:type="spellStart"/>
      <w:r w:rsidRPr="00641D58">
        <w:rPr>
          <w:rFonts w:ascii="Times New Roman" w:eastAsia="Times New Roman" w:hAnsi="Times New Roman"/>
          <w:sz w:val="24"/>
          <w:szCs w:val="24"/>
        </w:rPr>
        <w:t>Palaemonidae</w:t>
      </w:r>
      <w:proofErr w:type="spellEnd"/>
      <w:r w:rsidRPr="00641D58">
        <w:rPr>
          <w:rFonts w:ascii="Times New Roman" w:eastAsia="Times New Roman" w:hAnsi="Times New Roman"/>
          <w:sz w:val="24"/>
          <w:szCs w:val="24"/>
        </w:rPr>
        <w:t xml:space="preserve">) in a lake and river system of Southwest Nigeria. </w:t>
      </w:r>
      <w:r w:rsidRPr="00641D58">
        <w:rPr>
          <w:rFonts w:ascii="Times New Roman" w:eastAsia="Times New Roman" w:hAnsi="Times New Roman"/>
          <w:i/>
          <w:iCs/>
          <w:sz w:val="24"/>
          <w:szCs w:val="24"/>
        </w:rPr>
        <w:t>The Journal of Basic and Applied Zoology, 85</w:t>
      </w:r>
      <w:r w:rsidRPr="00641D58">
        <w:rPr>
          <w:rFonts w:ascii="Times New Roman" w:eastAsia="Times New Roman" w:hAnsi="Times New Roman"/>
          <w:sz w:val="24"/>
          <w:szCs w:val="24"/>
        </w:rPr>
        <w:t xml:space="preserve">, 22. </w:t>
      </w:r>
      <w:hyperlink r:id="rId31" w:history="1">
        <w:r w:rsidRPr="00641D58">
          <w:rPr>
            <w:rFonts w:ascii="Times New Roman" w:eastAsia="Times New Roman" w:hAnsi="Times New Roman"/>
            <w:color w:val="0000FF"/>
            <w:sz w:val="24"/>
            <w:szCs w:val="24"/>
            <w:u w:val="single"/>
          </w:rPr>
          <w:t>https://doi.org/10.1186/s41936-024-00376-8</w:t>
        </w:r>
      </w:hyperlink>
    </w:p>
    <w:p w14:paraId="15A9729F"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Pauly, D. (1984). </w:t>
      </w:r>
      <w:r w:rsidRPr="00641D58">
        <w:rPr>
          <w:rFonts w:ascii="Times New Roman" w:eastAsia="Times New Roman" w:hAnsi="Times New Roman"/>
          <w:i/>
          <w:iCs/>
          <w:sz w:val="24"/>
          <w:szCs w:val="24"/>
        </w:rPr>
        <w:t>Fish population dynamics in tropical waters: A manual for use with programmable calculators</w:t>
      </w:r>
      <w:r w:rsidRPr="00641D58">
        <w:rPr>
          <w:rFonts w:ascii="Times New Roman" w:eastAsia="Times New Roman" w:hAnsi="Times New Roman"/>
          <w:sz w:val="24"/>
          <w:szCs w:val="24"/>
        </w:rPr>
        <w:t xml:space="preserve"> (ICLARM Studies and Reviews No. 8). International Center for Living Aquatic Resources Management. </w:t>
      </w:r>
      <w:hyperlink r:id="rId32" w:history="1">
        <w:r w:rsidRPr="00641D58">
          <w:rPr>
            <w:rFonts w:ascii="Times New Roman" w:eastAsia="Times New Roman" w:hAnsi="Times New Roman"/>
            <w:color w:val="0000FF"/>
            <w:sz w:val="24"/>
            <w:szCs w:val="24"/>
            <w:u w:val="single"/>
          </w:rPr>
          <w:t>https://hdl.handle.net/20.500.12348/3445</w:t>
        </w:r>
      </w:hyperlink>
    </w:p>
    <w:p w14:paraId="209EF9EE"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Prasad, S., Nath, P., &amp; Chaudhary, D. N. (2023). Freshwater </w:t>
      </w:r>
      <w:proofErr w:type="gramStart"/>
      <w:r w:rsidRPr="00641D58">
        <w:rPr>
          <w:rFonts w:ascii="Times New Roman" w:eastAsia="Times New Roman" w:hAnsi="Times New Roman"/>
          <w:sz w:val="24"/>
          <w:szCs w:val="24"/>
        </w:rPr>
        <w:t>prawns</w:t>
      </w:r>
      <w:proofErr w:type="gramEnd"/>
      <w:r w:rsidRPr="00641D58">
        <w:rPr>
          <w:rFonts w:ascii="Times New Roman" w:eastAsia="Times New Roman" w:hAnsi="Times New Roman"/>
          <w:sz w:val="24"/>
          <w:szCs w:val="24"/>
        </w:rPr>
        <w:t xml:space="preserve"> diversity (Crustacea: Decapoda) in the River Koshi, Eastern Bihar. </w:t>
      </w:r>
      <w:r w:rsidRPr="00641D58">
        <w:rPr>
          <w:rFonts w:ascii="Times New Roman" w:eastAsia="Times New Roman" w:hAnsi="Times New Roman"/>
          <w:i/>
          <w:iCs/>
          <w:sz w:val="24"/>
          <w:szCs w:val="24"/>
        </w:rPr>
        <w:t>Asian Journal of Research in Zoology, 6</w:t>
      </w:r>
      <w:r w:rsidRPr="00641D58">
        <w:rPr>
          <w:rFonts w:ascii="Times New Roman" w:eastAsia="Times New Roman" w:hAnsi="Times New Roman"/>
          <w:sz w:val="24"/>
          <w:szCs w:val="24"/>
        </w:rPr>
        <w:t xml:space="preserve">(2), 11–18. </w:t>
      </w:r>
      <w:hyperlink r:id="rId33" w:history="1">
        <w:r w:rsidRPr="00641D58">
          <w:rPr>
            <w:rFonts w:ascii="Times New Roman" w:eastAsia="Times New Roman" w:hAnsi="Times New Roman"/>
            <w:color w:val="0000FF"/>
            <w:sz w:val="24"/>
            <w:szCs w:val="24"/>
            <w:u w:val="single"/>
          </w:rPr>
          <w:t>https://doi.org/10.9734/ajriz/2023/v6i2107</w:t>
        </w:r>
      </w:hyperlink>
    </w:p>
    <w:p w14:paraId="0DE6F3D5"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Rana, A. R., &amp; Kumar, K. (2013). Length weight relationship and Fulton’s condition factor of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assamense</w:t>
      </w:r>
      <w:proofErr w:type="spellEnd"/>
      <w:r w:rsidRPr="00641D58">
        <w:rPr>
          <w:rFonts w:ascii="Times New Roman" w:eastAsia="Times New Roman" w:hAnsi="Times New Roman"/>
          <w:i/>
          <w:iCs/>
          <w:sz w:val="24"/>
          <w:szCs w:val="24"/>
        </w:rPr>
        <w:t xml:space="preserve"> </w:t>
      </w:r>
      <w:proofErr w:type="spellStart"/>
      <w:r w:rsidRPr="00641D58">
        <w:rPr>
          <w:rFonts w:ascii="Times New Roman" w:eastAsia="Times New Roman" w:hAnsi="Times New Roman"/>
          <w:i/>
          <w:iCs/>
          <w:sz w:val="24"/>
          <w:szCs w:val="24"/>
        </w:rPr>
        <w:t>peninsularie</w:t>
      </w:r>
      <w:proofErr w:type="spellEnd"/>
      <w:r w:rsidRPr="00641D58">
        <w:rPr>
          <w:rFonts w:ascii="Times New Roman" w:eastAsia="Times New Roman" w:hAnsi="Times New Roman"/>
          <w:sz w:val="24"/>
          <w:szCs w:val="24"/>
        </w:rPr>
        <w:t xml:space="preserve"> in </w:t>
      </w:r>
      <w:proofErr w:type="spellStart"/>
      <w:r w:rsidRPr="00641D58">
        <w:rPr>
          <w:rFonts w:ascii="Times New Roman" w:eastAsia="Times New Roman" w:hAnsi="Times New Roman"/>
          <w:sz w:val="24"/>
          <w:szCs w:val="24"/>
        </w:rPr>
        <w:t>Khoh</w:t>
      </w:r>
      <w:proofErr w:type="spellEnd"/>
      <w:r w:rsidRPr="00641D58">
        <w:rPr>
          <w:rFonts w:ascii="Times New Roman" w:eastAsia="Times New Roman" w:hAnsi="Times New Roman"/>
          <w:sz w:val="24"/>
          <w:szCs w:val="24"/>
        </w:rPr>
        <w:t xml:space="preserve"> tributary of Ram Ganga from Garhwal Himalaya, Uttarakhand, India. </w:t>
      </w:r>
      <w:r w:rsidRPr="00641D58">
        <w:rPr>
          <w:rFonts w:ascii="Times New Roman" w:eastAsia="Times New Roman" w:hAnsi="Times New Roman"/>
          <w:i/>
          <w:iCs/>
          <w:sz w:val="24"/>
          <w:szCs w:val="24"/>
        </w:rPr>
        <w:t>Environment Conservation Journal, 14</w:t>
      </w:r>
      <w:r w:rsidRPr="00641D58">
        <w:rPr>
          <w:rFonts w:ascii="Times New Roman" w:eastAsia="Times New Roman" w:hAnsi="Times New Roman"/>
          <w:sz w:val="24"/>
          <w:szCs w:val="24"/>
        </w:rPr>
        <w:t xml:space="preserve">(3), 17–22. </w:t>
      </w:r>
      <w:hyperlink r:id="rId34" w:history="1">
        <w:r w:rsidRPr="00641D58">
          <w:rPr>
            <w:rFonts w:ascii="Times New Roman" w:eastAsia="Times New Roman" w:hAnsi="Times New Roman"/>
            <w:color w:val="0000FF"/>
            <w:sz w:val="24"/>
            <w:szCs w:val="24"/>
            <w:u w:val="single"/>
          </w:rPr>
          <w:t>https://doi.org/10.36953/ECJ.2013.14303</w:t>
        </w:r>
      </w:hyperlink>
    </w:p>
    <w:p w14:paraId="7024FA15"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Ranjeet, K., &amp; Kurup, B. M. (2002). Management strategies associating batch-graded and size-graded </w:t>
      </w:r>
      <w:proofErr w:type="spellStart"/>
      <w:r w:rsidRPr="00641D58">
        <w:rPr>
          <w:rFonts w:ascii="Times New Roman" w:eastAsia="Times New Roman" w:hAnsi="Times New Roman"/>
          <w:sz w:val="24"/>
          <w:szCs w:val="24"/>
        </w:rPr>
        <w:t>postlarvae</w:t>
      </w:r>
      <w:proofErr w:type="spellEnd"/>
      <w:r w:rsidRPr="00641D58">
        <w:rPr>
          <w:rFonts w:ascii="Times New Roman" w:eastAsia="Times New Roman" w:hAnsi="Times New Roman"/>
          <w:sz w:val="24"/>
          <w:szCs w:val="24"/>
        </w:rPr>
        <w:t xml:space="preserve"> can reduce heterogeneous individual growth in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rosenbergii</w:t>
      </w:r>
      <w:proofErr w:type="spellEnd"/>
      <w:r w:rsidRPr="00641D58">
        <w:rPr>
          <w:rFonts w:ascii="Times New Roman" w:eastAsia="Times New Roman" w:hAnsi="Times New Roman"/>
          <w:sz w:val="24"/>
          <w:szCs w:val="24"/>
        </w:rPr>
        <w:t xml:space="preserve">. </w:t>
      </w:r>
      <w:r w:rsidRPr="00641D58">
        <w:rPr>
          <w:rFonts w:ascii="Times New Roman" w:eastAsia="Times New Roman" w:hAnsi="Times New Roman"/>
          <w:i/>
          <w:iCs/>
          <w:sz w:val="24"/>
          <w:szCs w:val="24"/>
        </w:rPr>
        <w:t>Aquaculture Research, 33</w:t>
      </w:r>
      <w:r w:rsidRPr="00641D58">
        <w:rPr>
          <w:rFonts w:ascii="Times New Roman" w:eastAsia="Times New Roman" w:hAnsi="Times New Roman"/>
          <w:sz w:val="24"/>
          <w:szCs w:val="24"/>
        </w:rPr>
        <w:t xml:space="preserve">(15), 1221–1231. </w:t>
      </w:r>
      <w:hyperlink r:id="rId35" w:history="1">
        <w:r w:rsidRPr="00641D58">
          <w:rPr>
            <w:rFonts w:ascii="Times New Roman" w:eastAsia="Times New Roman" w:hAnsi="Times New Roman"/>
            <w:color w:val="0000FF"/>
            <w:sz w:val="24"/>
            <w:szCs w:val="24"/>
            <w:u w:val="single"/>
          </w:rPr>
          <w:t>https://doi.org/10.1046/j.1365-2109.2002.00775.x</w:t>
        </w:r>
      </w:hyperlink>
    </w:p>
    <w:p w14:paraId="559AF150"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Sahu, O., </w:t>
      </w:r>
      <w:proofErr w:type="spellStart"/>
      <w:r w:rsidRPr="00641D58">
        <w:rPr>
          <w:rFonts w:ascii="Times New Roman" w:eastAsia="Times New Roman" w:hAnsi="Times New Roman"/>
          <w:sz w:val="24"/>
          <w:szCs w:val="24"/>
        </w:rPr>
        <w:t>Mogalekar</w:t>
      </w:r>
      <w:proofErr w:type="spellEnd"/>
      <w:r w:rsidRPr="00641D58">
        <w:rPr>
          <w:rFonts w:ascii="Times New Roman" w:eastAsia="Times New Roman" w:hAnsi="Times New Roman"/>
          <w:sz w:val="24"/>
          <w:szCs w:val="24"/>
        </w:rPr>
        <w:t xml:space="preserve">, H. S., Sahil, Sanjay, Kumar, P., Ram, R. K., Nayak, S. K., Srivastava, P. P., &amp; </w:t>
      </w:r>
      <w:proofErr w:type="spellStart"/>
      <w:r w:rsidRPr="00641D58">
        <w:rPr>
          <w:rFonts w:ascii="Times New Roman" w:eastAsia="Times New Roman" w:hAnsi="Times New Roman"/>
          <w:sz w:val="24"/>
          <w:szCs w:val="24"/>
        </w:rPr>
        <w:t>Brahmchari</w:t>
      </w:r>
      <w:proofErr w:type="spellEnd"/>
      <w:r w:rsidRPr="00641D58">
        <w:rPr>
          <w:rFonts w:ascii="Times New Roman" w:eastAsia="Times New Roman" w:hAnsi="Times New Roman"/>
          <w:sz w:val="24"/>
          <w:szCs w:val="24"/>
        </w:rPr>
        <w:t xml:space="preserve">, R. K. (2024). Length-weight relationship and exploitation of </w:t>
      </w:r>
      <w:r w:rsidRPr="00641D58">
        <w:rPr>
          <w:rFonts w:ascii="Times New Roman" w:eastAsia="Times New Roman" w:hAnsi="Times New Roman"/>
          <w:i/>
          <w:iCs/>
          <w:sz w:val="24"/>
          <w:szCs w:val="24"/>
        </w:rPr>
        <w:t>Macrobrachium</w:t>
      </w:r>
      <w:r w:rsidRPr="00641D58">
        <w:rPr>
          <w:rFonts w:ascii="Times New Roman" w:eastAsia="Times New Roman" w:hAnsi="Times New Roman"/>
          <w:sz w:val="24"/>
          <w:szCs w:val="24"/>
        </w:rPr>
        <w:t xml:space="preserve"> species in the </w:t>
      </w:r>
      <w:proofErr w:type="spellStart"/>
      <w:r w:rsidRPr="00641D58">
        <w:rPr>
          <w:rFonts w:ascii="Times New Roman" w:eastAsia="Times New Roman" w:hAnsi="Times New Roman"/>
          <w:sz w:val="24"/>
          <w:szCs w:val="24"/>
        </w:rPr>
        <w:t>Burhi</w:t>
      </w:r>
      <w:proofErr w:type="spellEnd"/>
      <w:r w:rsidRPr="00641D58">
        <w:rPr>
          <w:rFonts w:ascii="Times New Roman" w:eastAsia="Times New Roman" w:hAnsi="Times New Roman"/>
          <w:sz w:val="24"/>
          <w:szCs w:val="24"/>
        </w:rPr>
        <w:t xml:space="preserve"> Gandak River, North Bihar, India. </w:t>
      </w:r>
      <w:r w:rsidRPr="00641D58">
        <w:rPr>
          <w:rFonts w:ascii="Times New Roman" w:eastAsia="Times New Roman" w:hAnsi="Times New Roman"/>
          <w:i/>
          <w:iCs/>
          <w:sz w:val="24"/>
          <w:szCs w:val="24"/>
        </w:rPr>
        <w:t>Indian Journal of Fisheries, 71</w:t>
      </w:r>
      <w:r w:rsidRPr="00641D58">
        <w:rPr>
          <w:rFonts w:ascii="Times New Roman" w:eastAsia="Times New Roman" w:hAnsi="Times New Roman"/>
          <w:sz w:val="24"/>
          <w:szCs w:val="24"/>
        </w:rPr>
        <w:t xml:space="preserve">(3), 60–68. </w:t>
      </w:r>
      <w:hyperlink r:id="rId36" w:history="1">
        <w:r w:rsidRPr="00641D58">
          <w:rPr>
            <w:rFonts w:ascii="Times New Roman" w:eastAsia="Times New Roman" w:hAnsi="Times New Roman"/>
            <w:color w:val="0000FF"/>
            <w:sz w:val="24"/>
            <w:szCs w:val="24"/>
            <w:u w:val="single"/>
          </w:rPr>
          <w:t>https://doi.org/10.21077/ijf.2024.71.3.133789-07</w:t>
        </w:r>
      </w:hyperlink>
    </w:p>
    <w:p w14:paraId="3428634E" w14:textId="346E66F4"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Sarkar, U. K., Khan, G. E., Dabas, A., Pathak, A. K., Mir, J. I., Rebello, S. C., Pal, A., &amp; Singh, S. P. (2013). Length weight relationship and condition factor of selected freshwater fish species found in River Ganga, Gomti and </w:t>
      </w:r>
      <w:proofErr w:type="spellStart"/>
      <w:r w:rsidRPr="00641D58">
        <w:rPr>
          <w:rFonts w:ascii="Times New Roman" w:eastAsia="Times New Roman" w:hAnsi="Times New Roman"/>
          <w:sz w:val="24"/>
          <w:szCs w:val="24"/>
        </w:rPr>
        <w:t>Rapti</w:t>
      </w:r>
      <w:proofErr w:type="spellEnd"/>
      <w:r w:rsidRPr="00641D58">
        <w:rPr>
          <w:rFonts w:ascii="Times New Roman" w:eastAsia="Times New Roman" w:hAnsi="Times New Roman"/>
          <w:sz w:val="24"/>
          <w:szCs w:val="24"/>
        </w:rPr>
        <w:t xml:space="preserve">, India. </w:t>
      </w:r>
      <w:r w:rsidRPr="00641D58">
        <w:rPr>
          <w:rFonts w:ascii="Times New Roman" w:eastAsia="Times New Roman" w:hAnsi="Times New Roman"/>
          <w:i/>
          <w:iCs/>
          <w:sz w:val="24"/>
          <w:szCs w:val="24"/>
        </w:rPr>
        <w:t>Journal of Environmental Biology, 34</w:t>
      </w:r>
      <w:r w:rsidRPr="00641D58">
        <w:rPr>
          <w:rFonts w:ascii="Times New Roman" w:eastAsia="Times New Roman" w:hAnsi="Times New Roman"/>
          <w:sz w:val="24"/>
          <w:szCs w:val="24"/>
        </w:rPr>
        <w:t xml:space="preserve">(5), 951–956. </w:t>
      </w:r>
    </w:p>
    <w:p w14:paraId="0C7667A1"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lastRenderedPageBreak/>
        <w:t xml:space="preserve">Sethi, S. N., Ram, N., &amp; Venkatesan, V. (2012). Length-weight relationship of </w:t>
      </w:r>
      <w:r w:rsidRPr="00641D58">
        <w:rPr>
          <w:rFonts w:ascii="Times New Roman" w:eastAsia="Times New Roman" w:hAnsi="Times New Roman"/>
          <w:i/>
          <w:iCs/>
          <w:sz w:val="24"/>
          <w:szCs w:val="24"/>
        </w:rPr>
        <w:t>Macrobrachium lar</w:t>
      </w:r>
      <w:r w:rsidRPr="00641D58">
        <w:rPr>
          <w:rFonts w:ascii="Times New Roman" w:eastAsia="Times New Roman" w:hAnsi="Times New Roman"/>
          <w:sz w:val="24"/>
          <w:szCs w:val="24"/>
        </w:rPr>
        <w:t xml:space="preserve"> (Fabricius, 1798), an endemic freshwater prawn in streams and ponds of Andaman and Nicobar Islands. </w:t>
      </w:r>
      <w:r w:rsidRPr="00641D58">
        <w:rPr>
          <w:rFonts w:ascii="Times New Roman" w:eastAsia="Times New Roman" w:hAnsi="Times New Roman"/>
          <w:i/>
          <w:iCs/>
          <w:sz w:val="24"/>
          <w:szCs w:val="24"/>
        </w:rPr>
        <w:t>Indian Journal of Fisheries, 59</w:t>
      </w:r>
      <w:r w:rsidRPr="00641D58">
        <w:rPr>
          <w:rFonts w:ascii="Times New Roman" w:eastAsia="Times New Roman" w:hAnsi="Times New Roman"/>
          <w:sz w:val="24"/>
          <w:szCs w:val="24"/>
        </w:rPr>
        <w:t xml:space="preserve">(4), 157–161. </w:t>
      </w:r>
      <w:hyperlink r:id="rId37" w:history="1">
        <w:r w:rsidRPr="00641D58">
          <w:rPr>
            <w:rFonts w:ascii="Times New Roman" w:eastAsia="Times New Roman" w:hAnsi="Times New Roman"/>
            <w:color w:val="0000FF"/>
            <w:sz w:val="24"/>
            <w:szCs w:val="24"/>
            <w:u w:val="single"/>
          </w:rPr>
          <w:t>https://epubs.icar.org.in/index.php/IJF/article/view/14978</w:t>
        </w:r>
      </w:hyperlink>
    </w:p>
    <w:p w14:paraId="3572391F"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Sethi, S. N., Ram, N., &amp; Venkatesan, V. (2013). Morphometric relationships of the monkey river prawn </w:t>
      </w:r>
      <w:r w:rsidRPr="00641D58">
        <w:rPr>
          <w:rFonts w:ascii="Times New Roman" w:eastAsia="Times New Roman" w:hAnsi="Times New Roman"/>
          <w:i/>
          <w:iCs/>
          <w:sz w:val="24"/>
          <w:szCs w:val="24"/>
        </w:rPr>
        <w:t>Macrobrachium lar</w:t>
      </w:r>
      <w:r w:rsidRPr="00641D58">
        <w:rPr>
          <w:rFonts w:ascii="Times New Roman" w:eastAsia="Times New Roman" w:hAnsi="Times New Roman"/>
          <w:sz w:val="24"/>
          <w:szCs w:val="24"/>
        </w:rPr>
        <w:t xml:space="preserve"> (Fabricius, 1798) (Decapoda, </w:t>
      </w:r>
      <w:proofErr w:type="spellStart"/>
      <w:r w:rsidRPr="00641D58">
        <w:rPr>
          <w:rFonts w:ascii="Times New Roman" w:eastAsia="Times New Roman" w:hAnsi="Times New Roman"/>
          <w:sz w:val="24"/>
          <w:szCs w:val="24"/>
        </w:rPr>
        <w:t>Palaemonidae</w:t>
      </w:r>
      <w:proofErr w:type="spellEnd"/>
      <w:r w:rsidRPr="00641D58">
        <w:rPr>
          <w:rFonts w:ascii="Times New Roman" w:eastAsia="Times New Roman" w:hAnsi="Times New Roman"/>
          <w:sz w:val="24"/>
          <w:szCs w:val="24"/>
        </w:rPr>
        <w:t xml:space="preserve">) from the Andaman Islands. </w:t>
      </w:r>
      <w:r w:rsidRPr="00641D58">
        <w:rPr>
          <w:rFonts w:ascii="Times New Roman" w:eastAsia="Times New Roman" w:hAnsi="Times New Roman"/>
          <w:i/>
          <w:iCs/>
          <w:sz w:val="24"/>
          <w:szCs w:val="24"/>
        </w:rPr>
        <w:t>Indian Journal of Fisheries, 60</w:t>
      </w:r>
      <w:r w:rsidRPr="00641D58">
        <w:rPr>
          <w:rFonts w:ascii="Times New Roman" w:eastAsia="Times New Roman" w:hAnsi="Times New Roman"/>
          <w:sz w:val="24"/>
          <w:szCs w:val="24"/>
        </w:rPr>
        <w:t xml:space="preserve">(2), 157–161. </w:t>
      </w:r>
      <w:hyperlink r:id="rId38" w:history="1">
        <w:r w:rsidRPr="00641D58">
          <w:rPr>
            <w:rFonts w:ascii="Times New Roman" w:eastAsia="Times New Roman" w:hAnsi="Times New Roman"/>
            <w:color w:val="0000FF"/>
            <w:sz w:val="24"/>
            <w:szCs w:val="24"/>
            <w:u w:val="single"/>
          </w:rPr>
          <w:t>https://epubs.icar.org.in/index.php/IJF/article/view/21309</w:t>
        </w:r>
      </w:hyperlink>
    </w:p>
    <w:p w14:paraId="7A06257D"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Soomro, A. N., Baloch, W. A., Chandio, T. J., Achakzai, W. M., &amp; </w:t>
      </w:r>
      <w:proofErr w:type="spellStart"/>
      <w:r w:rsidRPr="00641D58">
        <w:rPr>
          <w:rFonts w:ascii="Times New Roman" w:eastAsia="Times New Roman" w:hAnsi="Times New Roman"/>
          <w:sz w:val="24"/>
          <w:szCs w:val="24"/>
        </w:rPr>
        <w:t>Saddozai</w:t>
      </w:r>
      <w:proofErr w:type="spellEnd"/>
      <w:r w:rsidRPr="00641D58">
        <w:rPr>
          <w:rFonts w:ascii="Times New Roman" w:eastAsia="Times New Roman" w:hAnsi="Times New Roman"/>
          <w:sz w:val="24"/>
          <w:szCs w:val="24"/>
        </w:rPr>
        <w:t xml:space="preserve">, S. (2012). Condition factor and length-weight relationship of monsoon river prawn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malcolmsonii</w:t>
      </w:r>
      <w:proofErr w:type="spellEnd"/>
      <w:r w:rsidRPr="00641D58">
        <w:rPr>
          <w:rFonts w:ascii="Times New Roman" w:eastAsia="Times New Roman" w:hAnsi="Times New Roman"/>
          <w:i/>
          <w:iCs/>
          <w:sz w:val="24"/>
          <w:szCs w:val="24"/>
        </w:rPr>
        <w:t xml:space="preserve"> </w:t>
      </w:r>
      <w:proofErr w:type="spellStart"/>
      <w:r w:rsidRPr="00641D58">
        <w:rPr>
          <w:rFonts w:ascii="Times New Roman" w:eastAsia="Times New Roman" w:hAnsi="Times New Roman"/>
          <w:i/>
          <w:iCs/>
          <w:sz w:val="24"/>
          <w:szCs w:val="24"/>
        </w:rPr>
        <w:t>malcolmsonii</w:t>
      </w:r>
      <w:proofErr w:type="spellEnd"/>
      <w:r w:rsidRPr="00641D58">
        <w:rPr>
          <w:rFonts w:ascii="Times New Roman" w:eastAsia="Times New Roman" w:hAnsi="Times New Roman"/>
          <w:sz w:val="24"/>
          <w:szCs w:val="24"/>
        </w:rPr>
        <w:t xml:space="preserve"> (H. Milne-Edwards, 1844) (</w:t>
      </w:r>
      <w:proofErr w:type="spellStart"/>
      <w:r w:rsidRPr="00641D58">
        <w:rPr>
          <w:rFonts w:ascii="Times New Roman" w:eastAsia="Times New Roman" w:hAnsi="Times New Roman"/>
          <w:sz w:val="24"/>
          <w:szCs w:val="24"/>
        </w:rPr>
        <w:t>Palaemonidae</w:t>
      </w:r>
      <w:proofErr w:type="spellEnd"/>
      <w:r w:rsidRPr="00641D58">
        <w:rPr>
          <w:rFonts w:ascii="Times New Roman" w:eastAsia="Times New Roman" w:hAnsi="Times New Roman"/>
          <w:sz w:val="24"/>
          <w:szCs w:val="24"/>
        </w:rPr>
        <w:t xml:space="preserve">) in lower Indus River. </w:t>
      </w:r>
      <w:r w:rsidRPr="00641D58">
        <w:rPr>
          <w:rFonts w:ascii="Times New Roman" w:eastAsia="Times New Roman" w:hAnsi="Times New Roman"/>
          <w:i/>
          <w:iCs/>
          <w:sz w:val="24"/>
          <w:szCs w:val="24"/>
        </w:rPr>
        <w:t>Pakistan Journal of Zoology, 44</w:t>
      </w:r>
      <w:r w:rsidRPr="00641D58">
        <w:rPr>
          <w:rFonts w:ascii="Times New Roman" w:eastAsia="Times New Roman" w:hAnsi="Times New Roman"/>
          <w:sz w:val="24"/>
          <w:szCs w:val="24"/>
        </w:rPr>
        <w:t xml:space="preserve">(5), 1279–1283. </w:t>
      </w:r>
      <w:hyperlink r:id="rId39" w:history="1">
        <w:r w:rsidRPr="00641D58">
          <w:rPr>
            <w:rFonts w:ascii="Times New Roman" w:eastAsia="Times New Roman" w:hAnsi="Times New Roman"/>
            <w:color w:val="0000FF"/>
            <w:sz w:val="24"/>
            <w:szCs w:val="24"/>
            <w:u w:val="single"/>
          </w:rPr>
          <w:t>https://www.zsp.com.pk/vol-44%5B5%5D.html</w:t>
        </w:r>
      </w:hyperlink>
    </w:p>
    <w:p w14:paraId="58D91456"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Wootton, R. J. (1992). </w:t>
      </w:r>
      <w:r w:rsidRPr="00641D58">
        <w:rPr>
          <w:rFonts w:ascii="Times New Roman" w:eastAsia="Times New Roman" w:hAnsi="Times New Roman"/>
          <w:i/>
          <w:iCs/>
          <w:sz w:val="24"/>
          <w:szCs w:val="24"/>
        </w:rPr>
        <w:t>Fish ecology</w:t>
      </w:r>
      <w:r w:rsidRPr="00641D58">
        <w:rPr>
          <w:rFonts w:ascii="Times New Roman" w:eastAsia="Times New Roman" w:hAnsi="Times New Roman"/>
          <w:sz w:val="24"/>
          <w:szCs w:val="24"/>
        </w:rPr>
        <w:t xml:space="preserve">. Blackie; Chapman &amp; Hall. </w:t>
      </w:r>
      <w:hyperlink r:id="rId40" w:history="1">
        <w:r w:rsidRPr="00641D58">
          <w:rPr>
            <w:rFonts w:ascii="Times New Roman" w:eastAsia="Times New Roman" w:hAnsi="Times New Roman"/>
            <w:color w:val="0000FF"/>
            <w:sz w:val="24"/>
            <w:szCs w:val="24"/>
            <w:u w:val="single"/>
          </w:rPr>
          <w:t>https://doi.org/10.1007/978-94-011-3832-1</w:t>
        </w:r>
      </w:hyperlink>
    </w:p>
    <w:p w14:paraId="1AEDFEB0" w14:textId="77777777" w:rsidR="00641D58" w:rsidRPr="00641D58" w:rsidRDefault="00641D58" w:rsidP="00641D58">
      <w:pPr>
        <w:spacing w:before="100" w:beforeAutospacing="1" w:after="100" w:afterAutospacing="1" w:line="240" w:lineRule="auto"/>
        <w:ind w:left="540" w:hanging="540"/>
        <w:jc w:val="both"/>
        <w:rPr>
          <w:rFonts w:ascii="Times New Roman" w:eastAsia="Times New Roman" w:hAnsi="Times New Roman"/>
          <w:sz w:val="24"/>
          <w:szCs w:val="24"/>
        </w:rPr>
      </w:pPr>
      <w:r w:rsidRPr="00641D58">
        <w:rPr>
          <w:rFonts w:ascii="Times New Roman" w:eastAsia="Times New Roman" w:hAnsi="Times New Roman"/>
          <w:sz w:val="24"/>
          <w:szCs w:val="24"/>
        </w:rPr>
        <w:t xml:space="preserve">Yang, M., Ding, F., &amp; Dai, X. (2016). Length-length, length-weight relationships and condition factor of the giant freshwater prawn </w:t>
      </w:r>
      <w:r w:rsidRPr="00641D58">
        <w:rPr>
          <w:rFonts w:ascii="Times New Roman" w:eastAsia="Times New Roman" w:hAnsi="Times New Roman"/>
          <w:i/>
          <w:iCs/>
          <w:sz w:val="24"/>
          <w:szCs w:val="24"/>
        </w:rPr>
        <w:t xml:space="preserve">Macrobrachium </w:t>
      </w:r>
      <w:proofErr w:type="spellStart"/>
      <w:r w:rsidRPr="00641D58">
        <w:rPr>
          <w:rFonts w:ascii="Times New Roman" w:eastAsia="Times New Roman" w:hAnsi="Times New Roman"/>
          <w:i/>
          <w:iCs/>
          <w:sz w:val="24"/>
          <w:szCs w:val="24"/>
        </w:rPr>
        <w:t>rosenbergii</w:t>
      </w:r>
      <w:proofErr w:type="spellEnd"/>
      <w:r w:rsidRPr="00641D58">
        <w:rPr>
          <w:rFonts w:ascii="Times New Roman" w:eastAsia="Times New Roman" w:hAnsi="Times New Roman"/>
          <w:sz w:val="24"/>
          <w:szCs w:val="24"/>
        </w:rPr>
        <w:t xml:space="preserve"> (de Man, 1879) cultured in earthen pond at high density. </w:t>
      </w:r>
      <w:r w:rsidRPr="00641D58">
        <w:rPr>
          <w:rFonts w:ascii="Times New Roman" w:eastAsia="Times New Roman" w:hAnsi="Times New Roman"/>
          <w:i/>
          <w:iCs/>
          <w:sz w:val="24"/>
          <w:szCs w:val="24"/>
        </w:rPr>
        <w:t>Asian Fisheries Science, 29</w:t>
      </w:r>
      <w:r w:rsidRPr="00641D58">
        <w:rPr>
          <w:rFonts w:ascii="Times New Roman" w:eastAsia="Times New Roman" w:hAnsi="Times New Roman"/>
          <w:sz w:val="24"/>
          <w:szCs w:val="24"/>
        </w:rPr>
        <w:t xml:space="preserve">(4), 164–177. </w:t>
      </w:r>
      <w:hyperlink r:id="rId41" w:history="1">
        <w:r w:rsidRPr="00641D58">
          <w:rPr>
            <w:rFonts w:ascii="Times New Roman" w:eastAsia="Times New Roman" w:hAnsi="Times New Roman"/>
            <w:color w:val="0000FF"/>
            <w:sz w:val="24"/>
            <w:szCs w:val="24"/>
            <w:u w:val="single"/>
          </w:rPr>
          <w:t>https://doi.org/10.33997/j.afs.2016.29.4.001</w:t>
        </w:r>
      </w:hyperlink>
    </w:p>
    <w:p w14:paraId="7AA7E708" w14:textId="77777777" w:rsidR="00101193" w:rsidRPr="00AA5368" w:rsidRDefault="00101193" w:rsidP="00AA5368">
      <w:pPr>
        <w:rPr>
          <w:rFonts w:ascii="Times New Roman" w:hAnsi="Times New Roman"/>
        </w:rPr>
      </w:pPr>
    </w:p>
    <w:sectPr w:rsidR="00101193" w:rsidRPr="00AA5368" w:rsidSect="00142A2F">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ED50" w14:textId="77777777" w:rsidR="00242DD9" w:rsidRDefault="00242DD9" w:rsidP="00D36F74">
      <w:pPr>
        <w:spacing w:after="0" w:line="240" w:lineRule="auto"/>
      </w:pPr>
      <w:r>
        <w:separator/>
      </w:r>
    </w:p>
  </w:endnote>
  <w:endnote w:type="continuationSeparator" w:id="0">
    <w:p w14:paraId="33CD218A" w14:textId="77777777" w:rsidR="00242DD9" w:rsidRDefault="00242DD9" w:rsidP="00D3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9926" w14:textId="77777777" w:rsidR="00D36F74" w:rsidRDefault="00D36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16FA" w14:textId="77777777" w:rsidR="00D36F74" w:rsidRDefault="00D36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72C6" w14:textId="77777777" w:rsidR="00D36F74" w:rsidRDefault="00D36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07E27" w14:textId="77777777" w:rsidR="00242DD9" w:rsidRDefault="00242DD9" w:rsidP="00D36F74">
      <w:pPr>
        <w:spacing w:after="0" w:line="240" w:lineRule="auto"/>
      </w:pPr>
      <w:r>
        <w:separator/>
      </w:r>
    </w:p>
  </w:footnote>
  <w:footnote w:type="continuationSeparator" w:id="0">
    <w:p w14:paraId="6DAD6ED7" w14:textId="77777777" w:rsidR="00242DD9" w:rsidRDefault="00242DD9" w:rsidP="00D36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78E4" w14:textId="77777777" w:rsidR="00D36F74" w:rsidRDefault="00000000">
    <w:pPr>
      <w:pStyle w:val="Header"/>
    </w:pPr>
    <w:r>
      <w:rPr>
        <w:noProof/>
      </w:rPr>
      <w:pict w14:anchorId="62A8C9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FE2A7" w14:textId="77777777" w:rsidR="00D36F74" w:rsidRDefault="00000000">
    <w:pPr>
      <w:pStyle w:val="Header"/>
    </w:pPr>
    <w:r>
      <w:rPr>
        <w:noProof/>
      </w:rPr>
      <w:pict w14:anchorId="2EA9A1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294B" w14:textId="77777777" w:rsidR="00D36F74" w:rsidRDefault="00000000">
    <w:pPr>
      <w:pStyle w:val="Header"/>
    </w:pPr>
    <w:r>
      <w:rPr>
        <w:noProof/>
      </w:rPr>
      <w:pict w14:anchorId="08ECE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33A26"/>
    <w:multiLevelType w:val="hybridMultilevel"/>
    <w:tmpl w:val="7A489E46"/>
    <w:lvl w:ilvl="0" w:tplc="7DD85776">
      <w:start w:val="1"/>
      <w:numFmt w:val="decimal"/>
      <w:lvlText w:val="%1."/>
      <w:lvlJc w:val="left"/>
      <w:pPr>
        <w:tabs>
          <w:tab w:val="num" w:pos="-1545"/>
        </w:tabs>
        <w:ind w:left="360" w:hanging="360"/>
      </w:pPr>
      <w:rPr>
        <w:rFonts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A041881"/>
    <w:multiLevelType w:val="multilevel"/>
    <w:tmpl w:val="A4F0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E2170E"/>
    <w:multiLevelType w:val="multilevel"/>
    <w:tmpl w:val="71C8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F5F6A"/>
    <w:multiLevelType w:val="multilevel"/>
    <w:tmpl w:val="4A3C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661167">
    <w:abstractNumId w:val="2"/>
  </w:num>
  <w:num w:numId="2" w16cid:durableId="1061636973">
    <w:abstractNumId w:val="1"/>
  </w:num>
  <w:num w:numId="3" w16cid:durableId="1317957491">
    <w:abstractNumId w:val="3"/>
  </w:num>
  <w:num w:numId="4" w16cid:durableId="1523937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wtjQxsDQ2NTI2NTBV0lEKTi0uzszPAykwrQUA4TQBniwAAAA="/>
  </w:docVars>
  <w:rsids>
    <w:rsidRoot w:val="00142A2F"/>
    <w:rsid w:val="00003076"/>
    <w:rsid w:val="00032410"/>
    <w:rsid w:val="000520FC"/>
    <w:rsid w:val="00101193"/>
    <w:rsid w:val="00142A2F"/>
    <w:rsid w:val="001F3E6E"/>
    <w:rsid w:val="00242DD9"/>
    <w:rsid w:val="00244872"/>
    <w:rsid w:val="002557EB"/>
    <w:rsid w:val="002874E1"/>
    <w:rsid w:val="002E5702"/>
    <w:rsid w:val="00373C0D"/>
    <w:rsid w:val="003A0004"/>
    <w:rsid w:val="003C2171"/>
    <w:rsid w:val="003C633F"/>
    <w:rsid w:val="00415408"/>
    <w:rsid w:val="004269D8"/>
    <w:rsid w:val="00541D10"/>
    <w:rsid w:val="00542E1A"/>
    <w:rsid w:val="005A43E7"/>
    <w:rsid w:val="00612412"/>
    <w:rsid w:val="00625BB0"/>
    <w:rsid w:val="00641D58"/>
    <w:rsid w:val="00656224"/>
    <w:rsid w:val="00664432"/>
    <w:rsid w:val="0071510B"/>
    <w:rsid w:val="00795D08"/>
    <w:rsid w:val="007B3447"/>
    <w:rsid w:val="007F14AD"/>
    <w:rsid w:val="00804463"/>
    <w:rsid w:val="00825321"/>
    <w:rsid w:val="008D1CCB"/>
    <w:rsid w:val="0090549A"/>
    <w:rsid w:val="00932210"/>
    <w:rsid w:val="009C0A23"/>
    <w:rsid w:val="009C6FA0"/>
    <w:rsid w:val="009D131F"/>
    <w:rsid w:val="009F15C5"/>
    <w:rsid w:val="00A41D22"/>
    <w:rsid w:val="00A73EC5"/>
    <w:rsid w:val="00AA5368"/>
    <w:rsid w:val="00AE07E2"/>
    <w:rsid w:val="00BB3FEE"/>
    <w:rsid w:val="00BC5471"/>
    <w:rsid w:val="00BD0697"/>
    <w:rsid w:val="00C142C9"/>
    <w:rsid w:val="00C35008"/>
    <w:rsid w:val="00C55A0B"/>
    <w:rsid w:val="00C56FA5"/>
    <w:rsid w:val="00C62EAD"/>
    <w:rsid w:val="00C6324A"/>
    <w:rsid w:val="00C72BE1"/>
    <w:rsid w:val="00CE76D9"/>
    <w:rsid w:val="00D07A3F"/>
    <w:rsid w:val="00D36F74"/>
    <w:rsid w:val="00DA039E"/>
    <w:rsid w:val="00DE4229"/>
    <w:rsid w:val="00E25F56"/>
    <w:rsid w:val="00E347DC"/>
    <w:rsid w:val="00E9337A"/>
    <w:rsid w:val="00EB6E60"/>
    <w:rsid w:val="00EE2BEE"/>
    <w:rsid w:val="00F41F4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3349B"/>
  <w15:chartTrackingRefBased/>
  <w15:docId w15:val="{7AA9B3C3-58DF-495A-A3FB-EE3DF35D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A2F"/>
    <w:pPr>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142A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2A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2A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2A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2A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2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A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2A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2A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2A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2A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2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A2F"/>
    <w:rPr>
      <w:rFonts w:eastAsiaTheme="majorEastAsia" w:cstheme="majorBidi"/>
      <w:color w:val="272727" w:themeColor="text1" w:themeTint="D8"/>
    </w:rPr>
  </w:style>
  <w:style w:type="paragraph" w:styleId="Title">
    <w:name w:val="Title"/>
    <w:basedOn w:val="Normal"/>
    <w:next w:val="Normal"/>
    <w:link w:val="TitleChar"/>
    <w:uiPriority w:val="10"/>
    <w:qFormat/>
    <w:rsid w:val="0014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A2F"/>
    <w:pPr>
      <w:spacing w:before="160"/>
      <w:jc w:val="center"/>
    </w:pPr>
    <w:rPr>
      <w:i/>
      <w:iCs/>
      <w:color w:val="404040" w:themeColor="text1" w:themeTint="BF"/>
    </w:rPr>
  </w:style>
  <w:style w:type="character" w:customStyle="1" w:styleId="QuoteChar">
    <w:name w:val="Quote Char"/>
    <w:basedOn w:val="DefaultParagraphFont"/>
    <w:link w:val="Quote"/>
    <w:uiPriority w:val="29"/>
    <w:rsid w:val="00142A2F"/>
    <w:rPr>
      <w:i/>
      <w:iCs/>
      <w:color w:val="404040" w:themeColor="text1" w:themeTint="BF"/>
    </w:rPr>
  </w:style>
  <w:style w:type="paragraph" w:styleId="ListParagraph">
    <w:name w:val="List Paragraph"/>
    <w:basedOn w:val="Normal"/>
    <w:uiPriority w:val="34"/>
    <w:qFormat/>
    <w:rsid w:val="00142A2F"/>
    <w:pPr>
      <w:ind w:left="720"/>
      <w:contextualSpacing/>
    </w:pPr>
  </w:style>
  <w:style w:type="character" w:styleId="IntenseEmphasis">
    <w:name w:val="Intense Emphasis"/>
    <w:basedOn w:val="DefaultParagraphFont"/>
    <w:uiPriority w:val="21"/>
    <w:qFormat/>
    <w:rsid w:val="00142A2F"/>
    <w:rPr>
      <w:i/>
      <w:iCs/>
      <w:color w:val="2F5496" w:themeColor="accent1" w:themeShade="BF"/>
    </w:rPr>
  </w:style>
  <w:style w:type="paragraph" w:styleId="IntenseQuote">
    <w:name w:val="Intense Quote"/>
    <w:basedOn w:val="Normal"/>
    <w:next w:val="Normal"/>
    <w:link w:val="IntenseQuoteChar"/>
    <w:uiPriority w:val="30"/>
    <w:qFormat/>
    <w:rsid w:val="00142A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2A2F"/>
    <w:rPr>
      <w:i/>
      <w:iCs/>
      <w:color w:val="2F5496" w:themeColor="accent1" w:themeShade="BF"/>
    </w:rPr>
  </w:style>
  <w:style w:type="character" w:styleId="IntenseReference">
    <w:name w:val="Intense Reference"/>
    <w:basedOn w:val="DefaultParagraphFont"/>
    <w:uiPriority w:val="32"/>
    <w:qFormat/>
    <w:rsid w:val="00142A2F"/>
    <w:rPr>
      <w:b/>
      <w:bCs/>
      <w:smallCaps/>
      <w:color w:val="2F5496" w:themeColor="accent1" w:themeShade="BF"/>
      <w:spacing w:val="5"/>
    </w:rPr>
  </w:style>
  <w:style w:type="paragraph" w:styleId="NormalWeb">
    <w:name w:val="Normal (Web)"/>
    <w:basedOn w:val="Normal"/>
    <w:unhideWhenUsed/>
    <w:qFormat/>
    <w:rsid w:val="00142A2F"/>
    <w:pPr>
      <w:spacing w:before="100" w:after="100" w:line="240" w:lineRule="auto"/>
    </w:pPr>
    <w:rPr>
      <w:rFonts w:ascii="Times New Roman" w:eastAsia="Arial Unicode MS" w:hAnsi="Times New Roman" w:cs="Arial Unicode MS"/>
      <w:color w:val="000000"/>
      <w:sz w:val="24"/>
      <w:szCs w:val="24"/>
      <w:u w:color="000000"/>
      <w:lang w:eastAsia="en-IN" w:bidi="hi-IN"/>
    </w:rPr>
  </w:style>
  <w:style w:type="character" w:styleId="Emphasis">
    <w:name w:val="Emphasis"/>
    <w:basedOn w:val="DefaultParagraphFont"/>
    <w:uiPriority w:val="20"/>
    <w:qFormat/>
    <w:rsid w:val="00142A2F"/>
    <w:rPr>
      <w:i/>
      <w:iCs/>
    </w:rPr>
  </w:style>
  <w:style w:type="character" w:styleId="Strong">
    <w:name w:val="Strong"/>
    <w:basedOn w:val="DefaultParagraphFont"/>
    <w:qFormat/>
    <w:rsid w:val="00142A2F"/>
    <w:rPr>
      <w:b/>
      <w:bCs/>
    </w:rPr>
  </w:style>
  <w:style w:type="table" w:styleId="GridTable6Colorful">
    <w:name w:val="Grid Table 6 Colorful"/>
    <w:basedOn w:val="TableNormal"/>
    <w:uiPriority w:val="51"/>
    <w:rsid w:val="00142A2F"/>
    <w:pPr>
      <w:spacing w:after="0" w:line="240" w:lineRule="auto"/>
    </w:pPr>
    <w:rPr>
      <w:rFonts w:ascii="Calibri" w:eastAsia="Calibri" w:hAnsi="Calibri" w:cs="Times New Roman"/>
      <w:color w:val="000000" w:themeColor="text1"/>
      <w:kern w:val="0"/>
      <w:sz w:val="20"/>
      <w:szCs w:val="20"/>
      <w:lang w:val="en-US" w:bidi="hi-I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142A2F"/>
    <w:pPr>
      <w:autoSpaceDE w:val="0"/>
      <w:autoSpaceDN w:val="0"/>
      <w:adjustRightInd w:val="0"/>
      <w:spacing w:after="0" w:line="240" w:lineRule="auto"/>
    </w:pPr>
    <w:rPr>
      <w:rFonts w:ascii="Times New Roman" w:hAnsi="Times New Roman" w:cs="Times New Roman"/>
      <w:color w:val="000000"/>
      <w:kern w:val="0"/>
      <w:lang w:bidi="hi-IN"/>
    </w:rPr>
  </w:style>
  <w:style w:type="paragraph" w:styleId="BodyText">
    <w:name w:val="Body Text"/>
    <w:basedOn w:val="Normal"/>
    <w:link w:val="BodyTextChar"/>
    <w:qFormat/>
    <w:rsid w:val="00142A2F"/>
    <w:pPr>
      <w:spacing w:before="180" w:after="180"/>
    </w:pPr>
    <w:rPr>
      <w:rFonts w:eastAsia="Arial Unicode MS" w:cs="Arial Unicode MS"/>
      <w:color w:val="000000"/>
      <w:u w:color="000000"/>
      <w:lang w:eastAsia="en-IN" w:bidi="hi-IN"/>
    </w:rPr>
  </w:style>
  <w:style w:type="character" w:customStyle="1" w:styleId="BodyTextChar">
    <w:name w:val="Body Text Char"/>
    <w:basedOn w:val="DefaultParagraphFont"/>
    <w:link w:val="BodyText"/>
    <w:rsid w:val="00142A2F"/>
    <w:rPr>
      <w:rFonts w:ascii="Calibri" w:eastAsia="Arial Unicode MS" w:hAnsi="Calibri" w:cs="Arial Unicode MS"/>
      <w:color w:val="000000"/>
      <w:kern w:val="0"/>
      <w:sz w:val="22"/>
      <w:szCs w:val="22"/>
      <w:u w:color="000000"/>
      <w:lang w:val="en-US" w:eastAsia="en-IN" w:bidi="hi-IN"/>
      <w14:ligatures w14:val="none"/>
    </w:rPr>
  </w:style>
  <w:style w:type="table" w:styleId="TableGrid">
    <w:name w:val="Table Grid"/>
    <w:basedOn w:val="TableNormal"/>
    <w:uiPriority w:val="39"/>
    <w:rsid w:val="0014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142A2F"/>
    <w:pPr>
      <w:spacing w:before="100" w:beforeAutospacing="1" w:after="100" w:afterAutospacing="1" w:line="240" w:lineRule="auto"/>
    </w:pPr>
    <w:rPr>
      <w:rFonts w:ascii="Times New Roman" w:eastAsia="Times New Roman" w:hAnsi="Times New Roman"/>
      <w:sz w:val="24"/>
      <w:szCs w:val="24"/>
      <w:lang w:val="en-IN" w:eastAsia="en-IN" w:bidi="hi-IN"/>
    </w:rPr>
  </w:style>
  <w:style w:type="character" w:customStyle="1" w:styleId="zlae0wtextbase">
    <w:name w:val="zlae0w_textbase"/>
    <w:basedOn w:val="DefaultParagraphFont"/>
    <w:qFormat/>
    <w:rsid w:val="00142A2F"/>
  </w:style>
  <w:style w:type="character" w:styleId="Hyperlink">
    <w:name w:val="Hyperlink"/>
    <w:basedOn w:val="DefaultParagraphFont"/>
    <w:uiPriority w:val="99"/>
    <w:unhideWhenUsed/>
    <w:rsid w:val="002557EB"/>
    <w:rPr>
      <w:color w:val="0563C1" w:themeColor="hyperlink"/>
      <w:u w:val="single"/>
    </w:rPr>
  </w:style>
  <w:style w:type="character" w:styleId="UnresolvedMention">
    <w:name w:val="Unresolved Mention"/>
    <w:basedOn w:val="DefaultParagraphFont"/>
    <w:uiPriority w:val="99"/>
    <w:semiHidden/>
    <w:unhideWhenUsed/>
    <w:rsid w:val="002557EB"/>
    <w:rPr>
      <w:color w:val="605E5C"/>
      <w:shd w:val="clear" w:color="auto" w:fill="E1DFDD"/>
    </w:rPr>
  </w:style>
  <w:style w:type="paragraph" w:styleId="Header">
    <w:name w:val="header"/>
    <w:basedOn w:val="Normal"/>
    <w:link w:val="HeaderChar"/>
    <w:uiPriority w:val="99"/>
    <w:unhideWhenUsed/>
    <w:rsid w:val="00D36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F74"/>
    <w:rPr>
      <w:rFonts w:ascii="Calibri" w:eastAsia="Calibri" w:hAnsi="Calibri" w:cs="Times New Roman"/>
      <w:kern w:val="0"/>
      <w:sz w:val="22"/>
      <w:szCs w:val="22"/>
      <w:lang w:val="en-US"/>
      <w14:ligatures w14:val="none"/>
    </w:rPr>
  </w:style>
  <w:style w:type="paragraph" w:styleId="Footer">
    <w:name w:val="footer"/>
    <w:basedOn w:val="Normal"/>
    <w:link w:val="FooterChar"/>
    <w:uiPriority w:val="99"/>
    <w:unhideWhenUsed/>
    <w:rsid w:val="00D36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F74"/>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1016/0022-0981(95)00106-9?utm_source=chatgpt.com" TargetMode="External"/><Relationship Id="rId26" Type="http://schemas.openxmlformats.org/officeDocument/2006/relationships/hyperlink" Target="https://doi.org/10.2307/1540?utm_source=chatgpt.com" TargetMode="External"/><Relationship Id="rId39" Type="http://schemas.openxmlformats.org/officeDocument/2006/relationships/hyperlink" Target="https://www.zsp.com.pk/vol-44%5B5%5D.html?utm_source=chatgpt.com" TargetMode="External"/><Relationship Id="rId21" Type="http://schemas.openxmlformats.org/officeDocument/2006/relationships/hyperlink" Target="https://www.fishbase.se/references/FBRefSummary.php?ID=1282&amp;utm_source=chatgpt.com" TargetMode="External"/><Relationship Id="rId34" Type="http://schemas.openxmlformats.org/officeDocument/2006/relationships/hyperlink" Target="https://doi.org/10.36953/ECJ.2013.14303?utm_source=chatgpt.com"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36478/rjbsci.2008.1333.1336?utm_source=chatgpt.com" TargetMode="External"/><Relationship Id="rId29" Type="http://schemas.openxmlformats.org/officeDocument/2006/relationships/hyperlink" Target="https://doi.org/10.1590/S1516-89132004000300015?utm_source=chatgpt.com" TargetMode="External"/><Relationship Id="rId11" Type="http://schemas.openxmlformats.org/officeDocument/2006/relationships/image" Target="media/image5.png"/><Relationship Id="rId24" Type="http://schemas.openxmlformats.org/officeDocument/2006/relationships/hyperlink" Target="https://jmr.sharadpauri.org/archive.php?utm_source=chatgpt.com" TargetMode="External"/><Relationship Id="rId32" Type="http://schemas.openxmlformats.org/officeDocument/2006/relationships/hyperlink" Target="https://hdl.handle.net/20.500.12348/3445?utm_source=chatgpt.com" TargetMode="External"/><Relationship Id="rId37" Type="http://schemas.openxmlformats.org/officeDocument/2006/relationships/hyperlink" Target="https://epubs.icar.org.in/index.php/IJF/article/view/14978?utm_source=chatgpt.com" TargetMode="External"/><Relationship Id="rId40" Type="http://schemas.openxmlformats.org/officeDocument/2006/relationships/hyperlink" Target="https://doi.org/10.1007/978-94-011-3832-1?utm_source=chatgpt.com"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epubs.icar.org.in/index.php/IJF/article/view/8503?utm_source=chatgpt.com" TargetMode="External"/><Relationship Id="rId28" Type="http://schemas.openxmlformats.org/officeDocument/2006/relationships/hyperlink" Target="https://doi.org/10.56557/ajocr/2026/v11i110170?utm_source=chatgpt.com" TargetMode="External"/><Relationship Id="rId36" Type="http://schemas.openxmlformats.org/officeDocument/2006/relationships/hyperlink" Target="https://doi.org/10.21077/ijf.2024.71.3.133789-07?utm_source=chatgpt.com" TargetMode="Externa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016/j.rsma.2023.102880?utm_source=chatgpt.com" TargetMode="External"/><Relationship Id="rId31" Type="http://schemas.openxmlformats.org/officeDocument/2006/relationships/hyperlink" Target="https://doi.org/10.1186/s41936-024-00376-8?utm_source=chatgpt.com"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vliz.be/en/imis?module=ref&amp;refid=198680&amp;utm_source=chatgpt.com" TargetMode="External"/><Relationship Id="rId27" Type="http://schemas.openxmlformats.org/officeDocument/2006/relationships/hyperlink" Target="https://doi.org/10.56557/upjoz/2024/v45i114071?utm_source=chatgpt.com" TargetMode="External"/><Relationship Id="rId30" Type="http://schemas.openxmlformats.org/officeDocument/2006/relationships/hyperlink" Target="https://doi.org/10.4314/ijbcs.v5i2.72147?utm_source=chatgpt.com" TargetMode="External"/><Relationship Id="rId35" Type="http://schemas.openxmlformats.org/officeDocument/2006/relationships/hyperlink" Target="https://doi.org/10.1046/j.1365-2109.2002.00775.x?utm_source=chatgpt.co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3329/ralf.v1i1.22377?utm_source=chatgpt.com" TargetMode="External"/><Relationship Id="rId25" Type="http://schemas.openxmlformats.org/officeDocument/2006/relationships/hyperlink" Target="https://www.journalcra.com/article/preliminary-study-fulton%E2%80%99s-condition-factor-cf-and-relative-condition-factor-kn?utm_source=chatgpt.com" TargetMode="External"/><Relationship Id="rId33" Type="http://schemas.openxmlformats.org/officeDocument/2006/relationships/hyperlink" Target="https://doi.org/10.9734/ajriz/2023/v6i2107?utm_source=chatgpt.com" TargetMode="External"/><Relationship Id="rId38" Type="http://schemas.openxmlformats.org/officeDocument/2006/relationships/hyperlink" Target="https://epubs.icar.org.in/index.php/IJF/article/view/21309?utm_source=chatgpt.com" TargetMode="External"/><Relationship Id="rId46" Type="http://schemas.openxmlformats.org/officeDocument/2006/relationships/header" Target="header3.xml"/><Relationship Id="rId20" Type="http://schemas.openxmlformats.org/officeDocument/2006/relationships/hyperlink" Target="https://doi.org/10.1111/j.1439-0426.2006.00805.x?utm_source=chatgpt.com" TargetMode="External"/><Relationship Id="rId41" Type="http://schemas.openxmlformats.org/officeDocument/2006/relationships/hyperlink" Target="https://doi.org/10.33997/j.afs.2016.29.4.001?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6502</Words>
  <Characters>37066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Koshal K Bagelu</dc:creator>
  <cp:keywords/>
  <dc:description/>
  <cp:lastModifiedBy>Editor-90</cp:lastModifiedBy>
  <cp:revision>18</cp:revision>
  <dcterms:created xsi:type="dcterms:W3CDTF">2026-09-01T10:30:00Z</dcterms:created>
  <dcterms:modified xsi:type="dcterms:W3CDTF">2026-09-02T09:49:00Z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c8e94987-fdea-4dc7-a469-d8d57510cec4</vt:lpwstr>
  </property>
</Properties>
</file>