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7A24C" w14:textId="77777777" w:rsidR="00042C1C" w:rsidRPr="00A05FED" w:rsidRDefault="00042C1C" w:rsidP="00DA0244">
      <w:pPr>
        <w:jc w:val="center"/>
        <w:rPr>
          <w:b/>
          <w:bCs/>
          <w:sz w:val="20"/>
          <w:szCs w:val="20"/>
        </w:rPr>
      </w:pPr>
      <w:r w:rsidRPr="00A05FED">
        <w:rPr>
          <w:b/>
          <w:bCs/>
          <w:sz w:val="20"/>
          <w:szCs w:val="20"/>
        </w:rPr>
        <w:t>AN ASSESSMENT OF PRODUCTIVITY LEVELS IN A FRESHWATER SYSTEM LOCATED IN THANJAVUR DISTRICT, TAMIL NADU IN THE CONTEXT OF AQUACULTURE</w:t>
      </w:r>
    </w:p>
    <w:p w14:paraId="393A17AD" w14:textId="77777777" w:rsidR="00AB1464" w:rsidRDefault="00AB1464" w:rsidP="00AB1464">
      <w:pPr>
        <w:jc w:val="center"/>
        <w:rPr>
          <w:b/>
          <w:bCs/>
        </w:rPr>
      </w:pPr>
    </w:p>
    <w:p w14:paraId="04AB0811" w14:textId="77777777" w:rsidR="00AD56D6" w:rsidRDefault="00AD56D6" w:rsidP="00AD56D6">
      <w:pPr>
        <w:rPr>
          <w:b/>
          <w:bCs/>
          <w:lang w:val="en-IN"/>
        </w:rPr>
      </w:pPr>
    </w:p>
    <w:p w14:paraId="30611AD7" w14:textId="77777777" w:rsidR="00042C1C" w:rsidRPr="008B3506" w:rsidRDefault="00042C1C" w:rsidP="00755D99">
      <w:pPr>
        <w:spacing w:line="384" w:lineRule="auto"/>
        <w:rPr>
          <w:b/>
          <w:bCs/>
        </w:rPr>
      </w:pPr>
      <w:r w:rsidRPr="008B3506">
        <w:rPr>
          <w:b/>
          <w:bCs/>
        </w:rPr>
        <w:t xml:space="preserve">ABSTRACT </w:t>
      </w:r>
    </w:p>
    <w:p w14:paraId="4E7A8529" w14:textId="77777777" w:rsidR="005D3A0C" w:rsidRDefault="00AD56D6" w:rsidP="00755D99">
      <w:pPr>
        <w:spacing w:before="200" w:line="384" w:lineRule="auto"/>
        <w:jc w:val="both"/>
      </w:pPr>
      <w:r>
        <w:tab/>
      </w:r>
      <w:r w:rsidR="005D3A0C">
        <w:rPr>
          <w:rStyle w:val="Strong"/>
        </w:rPr>
        <w:t>Background:</w:t>
      </w:r>
      <w:r w:rsidR="005D3A0C">
        <w:t xml:space="preserve"> Primary productivity is an important indicator of the energy available to support aquatic organisms and is relevant when assessing the suitability of freshwater ponds for fish culture. </w:t>
      </w:r>
    </w:p>
    <w:p w14:paraId="4230E7CA" w14:textId="3F1E54D9" w:rsidR="005D3A0C" w:rsidRDefault="005D3A0C" w:rsidP="00755D99">
      <w:pPr>
        <w:spacing w:before="200" w:line="384" w:lineRule="auto"/>
        <w:jc w:val="both"/>
      </w:pPr>
      <w:r w:rsidRPr="005D3A0C">
        <w:rPr>
          <w:b/>
          <w:bCs/>
        </w:rPr>
        <w:t>Aim</w:t>
      </w:r>
      <w:r>
        <w:t xml:space="preserve">: </w:t>
      </w:r>
      <w:r>
        <w:t xml:space="preserve">This study assessed seasonal variation in productivity in a perennial freshwater pond at Swamimalai, Thanjavur District, Tamil Nadu. </w:t>
      </w:r>
      <w:r>
        <w:rPr>
          <w:rStyle w:val="Strong"/>
        </w:rPr>
        <w:t>Methods:</w:t>
      </w:r>
      <w:r>
        <w:t xml:space="preserve"> Primary productivity was measured monthly during 2025–2026 using the light-and-dark-bottle technique. Bottles were incubated for 12 h, from 06:00 to 18:00 h, and changes in dissolved oxygen were used to estimate gross primary productivity (GPP), net primary productivity (NPP) and community respiration (CR). </w:t>
      </w:r>
      <w:r>
        <w:rPr>
          <w:rStyle w:val="Strong"/>
        </w:rPr>
        <w:t>Results:</w:t>
      </w:r>
      <w:r>
        <w:t xml:space="preserve"> During the first year, GPP ranged from 6.6 to 10.3 gC/m²/day, NPP from 4.2 to 6.6 gC/m²/day and CR from 2.4 to 3.8 gC/m²/day. During the second year, the corresponding ranges were 7.1–10.5, 4.3–6.8 and 2.8–4.0 gC/m²/day. Across both years, the minimum values of GPP, NPP and CR were recorded in January, whereas their maximum values occurred in May. The seasonal alignment of these productivity measures indicates variation in photosynthetic production and community oxygen demand over the study period. </w:t>
      </w:r>
      <w:r>
        <w:rPr>
          <w:rStyle w:val="Strong"/>
        </w:rPr>
        <w:t>Conclusion:</w:t>
      </w:r>
      <w:r>
        <w:t xml:space="preserve"> The findings indicate measurable autotrophic production in the pond and support its potential usefulness for fish culture. However, productivity should be interpreted alongside water quality, nutrient conditions, plankton composition and other management-related factors when evaluating aquaculture suitability.</w:t>
      </w:r>
    </w:p>
    <w:p w14:paraId="3BF33EB1" w14:textId="62ED3C58" w:rsidR="00D273B6" w:rsidRDefault="00042C1C" w:rsidP="00755D99">
      <w:pPr>
        <w:spacing w:before="200" w:line="384" w:lineRule="auto"/>
        <w:jc w:val="both"/>
        <w:rPr>
          <w:b/>
          <w:bCs/>
        </w:rPr>
      </w:pPr>
      <w:r w:rsidRPr="00C30139">
        <w:rPr>
          <w:b/>
          <w:bCs/>
        </w:rPr>
        <w:t xml:space="preserve">Keywords </w:t>
      </w:r>
    </w:p>
    <w:p w14:paraId="7DB8E72F" w14:textId="4637727B" w:rsidR="00D273B6" w:rsidRDefault="00D273B6" w:rsidP="00755D99">
      <w:pPr>
        <w:spacing w:before="200" w:line="384" w:lineRule="auto"/>
        <w:jc w:val="both"/>
        <w:rPr>
          <w:b/>
          <w:bCs/>
        </w:rPr>
      </w:pPr>
      <w:r>
        <w:rPr>
          <w:b/>
          <w:bCs/>
        </w:rPr>
        <w:tab/>
      </w:r>
      <w:r w:rsidR="00563B17">
        <w:t>Seasonal Variations</w:t>
      </w:r>
      <w:r w:rsidR="00EC6DC3">
        <w:t xml:space="preserve">, Fresh water </w:t>
      </w:r>
      <w:r w:rsidR="00601921">
        <w:t>pond</w:t>
      </w:r>
      <w:r w:rsidR="00C52626">
        <w:t xml:space="preserve">, </w:t>
      </w:r>
      <w:r w:rsidR="00E42449">
        <w:t>Gross Primary Productivity, Net Primary Production</w:t>
      </w:r>
      <w:r w:rsidR="005D3A0C">
        <w:t xml:space="preserve">, </w:t>
      </w:r>
      <w:r w:rsidR="002E26AD">
        <w:t>Community Respiration</w:t>
      </w:r>
    </w:p>
    <w:p w14:paraId="398A02F1" w14:textId="77777777" w:rsidR="00D273B6" w:rsidRDefault="00042C1C" w:rsidP="00755D99">
      <w:pPr>
        <w:spacing w:before="200" w:line="384" w:lineRule="auto"/>
        <w:jc w:val="both"/>
        <w:rPr>
          <w:b/>
          <w:bCs/>
        </w:rPr>
      </w:pPr>
      <w:r w:rsidRPr="00ED79FE">
        <w:rPr>
          <w:b/>
          <w:bCs/>
        </w:rPr>
        <w:t xml:space="preserve">INTRODUCTION </w:t>
      </w:r>
    </w:p>
    <w:p w14:paraId="7E9F9D9B" w14:textId="77777777" w:rsidR="00DF7E35" w:rsidRPr="00DF7E35" w:rsidRDefault="00D273B6" w:rsidP="00755D99">
      <w:pPr>
        <w:spacing w:before="200" w:line="384" w:lineRule="auto"/>
        <w:jc w:val="both"/>
        <w:rPr>
          <w:lang w:val="en-IN"/>
        </w:rPr>
      </w:pPr>
      <w:r>
        <w:rPr>
          <w:b/>
          <w:bCs/>
        </w:rPr>
        <w:tab/>
      </w:r>
      <w:r>
        <w:t xml:space="preserve">Productivity of aquatic systems depends on the presence of plankton biomass (Umavathi </w:t>
      </w:r>
      <w:r>
        <w:rPr>
          <w:i/>
          <w:iCs/>
        </w:rPr>
        <w:t>et al.,</w:t>
      </w:r>
      <w:r>
        <w:t xml:space="preserve"> 2007). Estimation of primary productivity </w:t>
      </w:r>
      <w:r>
        <w:rPr>
          <w:highlight w:val="yellow"/>
        </w:rPr>
        <w:t>prov</w:t>
      </w:r>
      <w:r>
        <w:t>i</w:t>
      </w:r>
      <w:r>
        <w:rPr>
          <w:highlight w:val="yellow"/>
        </w:rPr>
        <w:t>d</w:t>
      </w:r>
      <w:r>
        <w:t xml:space="preserve">es information </w:t>
      </w:r>
      <w:r>
        <w:rPr>
          <w:highlight w:val="yellow"/>
        </w:rPr>
        <w:t>o</w:t>
      </w:r>
      <w:r>
        <w:t xml:space="preserve">n the amount of energy available to support </w:t>
      </w:r>
      <w:r>
        <w:rPr>
          <w:highlight w:val="yellow"/>
        </w:rPr>
        <w:t xml:space="preserve">the </w:t>
      </w:r>
      <w:r>
        <w:t>bio</w:t>
      </w:r>
      <w:r>
        <w:rPr>
          <w:highlight w:val="yellow"/>
        </w:rPr>
        <w:t xml:space="preserve">logical </w:t>
      </w:r>
      <w:r>
        <w:t xml:space="preserve">activity of the system (Vollenweider, </w:t>
      </w:r>
      <w:r>
        <w:lastRenderedPageBreak/>
        <w:t xml:space="preserve">1969). </w:t>
      </w:r>
      <w:r>
        <w:rPr>
          <w:highlight w:val="yellow"/>
        </w:rPr>
        <w:t>T</w:t>
      </w:r>
      <w:r>
        <w:t>og</w:t>
      </w:r>
      <w:r>
        <w:rPr>
          <w:highlight w:val="yellow"/>
        </w:rPr>
        <w:t>ether</w:t>
      </w:r>
      <w:r>
        <w:t xml:space="preserve"> with</w:t>
      </w:r>
      <w:r>
        <w:rPr>
          <w:highlight w:val="yellow"/>
        </w:rPr>
        <w:t xml:space="preserve"> the</w:t>
      </w:r>
      <w:r>
        <w:t xml:space="preserve"> physicochemical conditions of water and soil attributes</w:t>
      </w:r>
      <w:r>
        <w:rPr>
          <w:highlight w:val="yellow"/>
        </w:rPr>
        <w:t>,</w:t>
      </w:r>
      <w:r>
        <w:t xml:space="preserve"> biotic communities constitute an independent</w:t>
      </w:r>
      <w:r>
        <w:rPr>
          <w:highlight w:val="yellow"/>
        </w:rPr>
        <w:t>,</w:t>
      </w:r>
      <w:r>
        <w:t xml:space="preserve"> harmonious ecological system (Aravinth </w:t>
      </w:r>
      <w:r>
        <w:rPr>
          <w:i/>
          <w:iCs/>
        </w:rPr>
        <w:t>et al.,</w:t>
      </w:r>
      <w:r>
        <w:t xml:space="preserve"> 2023). Primary production is an important biological phenomenon i</w:t>
      </w:r>
      <w:r>
        <w:rPr>
          <w:highlight w:val="yellow"/>
        </w:rPr>
        <w:t>n a</w:t>
      </w:r>
      <w:r>
        <w:t xml:space="preserve">n aquatic environment in which phytoplankton acts as a primary producer (Sahu </w:t>
      </w:r>
      <w:r>
        <w:rPr>
          <w:i/>
          <w:iCs/>
        </w:rPr>
        <w:t>et al.,</w:t>
      </w:r>
      <w:r>
        <w:t xml:space="preserve"> 1995; Kather Bee et al., 2015; Ramakrishnaiah &amp; Sarkar, 1982)</w:t>
      </w:r>
      <w:r>
        <w:rPr>
          <w:highlight w:val="yellow"/>
        </w:rPr>
        <w:t>,</w:t>
      </w:r>
      <w:r>
        <w:t xml:space="preserve"> </w:t>
      </w:r>
      <w:r>
        <w:rPr>
          <w:highlight w:val="yellow"/>
        </w:rPr>
        <w:t>whil</w:t>
      </w:r>
      <w:r>
        <w:t>e also serving as food for aquatic animals</w:t>
      </w:r>
      <w:r>
        <w:rPr>
          <w:highlight w:val="yellow"/>
        </w:rPr>
        <w:t>,</w:t>
      </w:r>
      <w:r>
        <w:t xml:space="preserve"> especially fish. S</w:t>
      </w:r>
      <w:r>
        <w:rPr>
          <w:highlight w:val="yellow"/>
        </w:rPr>
        <w:t>everal studies hav</w:t>
      </w:r>
      <w:r>
        <w:t>e e</w:t>
      </w:r>
      <w:r>
        <w:rPr>
          <w:highlight w:val="yellow"/>
        </w:rPr>
        <w:t>xam</w:t>
      </w:r>
      <w:r>
        <w:t xml:space="preserve">ined </w:t>
      </w:r>
      <w:r>
        <w:rPr>
          <w:highlight w:val="yellow"/>
        </w:rPr>
        <w:t>f</w:t>
      </w:r>
      <w:r>
        <w:t>re</w:t>
      </w:r>
      <w:r>
        <w:rPr>
          <w:highlight w:val="yellow"/>
        </w:rPr>
        <w:t>shw</w:t>
      </w:r>
      <w:r>
        <w:t>a</w:t>
      </w:r>
      <w:r>
        <w:rPr>
          <w:highlight w:val="yellow"/>
        </w:rPr>
        <w:t>te</w:t>
      </w:r>
      <w:r>
        <w:t xml:space="preserve">r productivity (Siddiqui </w:t>
      </w:r>
      <w:r>
        <w:rPr>
          <w:i/>
          <w:iCs/>
        </w:rPr>
        <w:t>et al.,</w:t>
      </w:r>
      <w:r>
        <w:t xml:space="preserve"> 1980; Ayyappan &amp; Gupta, 1981; Forsberg, 1982; Raghunathan, 1983; Laal, 1984; Patil &amp; Gouder, 1985; Sharma &amp; Srivastava, 1986; Bhati &amp; Rana, 1987; Yousuf, 1988; Palaniappan, 1989; Bais &amp; Agarwal, 1990; Jhingran, 1991; Morris &amp; Mischke, 1999; Ahmed </w:t>
      </w:r>
      <w:r>
        <w:rPr>
          <w:i/>
          <w:iCs/>
        </w:rPr>
        <w:t>et al.,</w:t>
      </w:r>
      <w:r>
        <w:t xml:space="preserve"> 2013; Ministry of Fisheries, Animal Husbandry and Dairying, 2021; Thanga Kiruba </w:t>
      </w:r>
      <w:r>
        <w:rPr>
          <w:i/>
        </w:rPr>
        <w:t>et al.,</w:t>
      </w:r>
      <w:r>
        <w:t xml:space="preserve"> 2024).</w:t>
      </w:r>
      <w:r>
        <w:rPr>
          <w:b/>
          <w:bCs/>
        </w:rPr>
        <w:t xml:space="preserve"> </w:t>
      </w:r>
      <w:r>
        <w:t xml:space="preserve">With the global population projected to reach a billion by the middle of the century and challenges such as climate change and environmental degradation threatening food security, aquaculture is expected to play a vital role in ensuring sustainable food production on </w:t>
      </w:r>
      <w:r>
        <w:rPr>
          <w:highlight w:val="yellow"/>
        </w:rPr>
        <w:t xml:space="preserve">a </w:t>
      </w:r>
      <w:r>
        <w:t xml:space="preserve">global scale (Food and Agriculture Organization of the United Nations [FAO], 2016). In this context, it was decided to assess productivity in a freshwater pond situated </w:t>
      </w:r>
      <w:r>
        <w:rPr>
          <w:highlight w:val="yellow"/>
        </w:rPr>
        <w:t>at</w:t>
      </w:r>
      <w:r>
        <w:t xml:space="preserve"> Swamimalai</w:t>
      </w:r>
      <w:r>
        <w:rPr>
          <w:highlight w:val="yellow"/>
        </w:rPr>
        <w:t>,</w:t>
      </w:r>
      <w:r>
        <w:t xml:space="preserve"> in Kumbakonam </w:t>
      </w:r>
      <w:r>
        <w:rPr>
          <w:highlight w:val="yellow"/>
        </w:rPr>
        <w:t>T</w:t>
      </w:r>
      <w:r>
        <w:t xml:space="preserve">aluk of Thanjavur </w:t>
      </w:r>
      <w:r>
        <w:rPr>
          <w:highlight w:val="yellow"/>
        </w:rPr>
        <w:t>D</w:t>
      </w:r>
      <w:r>
        <w:t>istrict, Tamil Nadu, India</w:t>
      </w:r>
      <w:r>
        <w:rPr>
          <w:highlight w:val="yellow"/>
        </w:rPr>
        <w:t>,</w:t>
      </w:r>
      <w:r>
        <w:t xml:space="preserve"> in the context of fish culture. Hence</w:t>
      </w:r>
      <w:r>
        <w:rPr>
          <w:highlight w:val="yellow"/>
        </w:rPr>
        <w:t>,</w:t>
      </w:r>
      <w:r>
        <w:t xml:space="preserve"> the present study</w:t>
      </w:r>
      <w:r>
        <w:rPr>
          <w:highlight w:val="yellow"/>
        </w:rPr>
        <w:t xml:space="preserve"> was undertaken</w:t>
      </w:r>
      <w:r>
        <w:t>. In aquaculture-oriented freshwater ponds, primary productivity is commonly interpreted as a functional indicator of plankton-based food availability, ecosystem metabolism and the potential biological support available for fish production. Peer-reviewed pond studies have shown that fish yield is influenced not only by gross and net primary productivity, but also by nutrient loading, plankton composition, respiration balance and pond</w:t>
      </w:r>
      <w:r>
        <w:rPr>
          <w:highlight w:val="yellow"/>
        </w:rPr>
        <w:t xml:space="preserve"> </w:t>
      </w:r>
      <w:r>
        <w:t>management practice</w:t>
      </w:r>
      <w:r>
        <w:rPr>
          <w:highlight w:val="yellow"/>
        </w:rPr>
        <w:t>s</w:t>
      </w:r>
      <w:r>
        <w:t>; therefore, productivity values should be interpreted with</w:t>
      </w:r>
      <w:r>
        <w:rPr>
          <w:highlight w:val="yellow"/>
        </w:rPr>
        <w:t>in the</w:t>
      </w:r>
      <w:r>
        <w:t xml:space="preserve"> ecological and management context rather than as a single standalone predictor of aquaculture output (Noriega-Curtis, 1979; Oláh </w:t>
      </w:r>
      <w:r>
        <w:rPr>
          <w:i/>
          <w:iCs/>
        </w:rPr>
        <w:t>et al.,</w:t>
      </w:r>
      <w:r>
        <w:t xml:space="preserve"> 1986; Knud-Hansen </w:t>
      </w:r>
      <w:r>
        <w:rPr>
          <w:i/>
          <w:iCs/>
        </w:rPr>
        <w:t>et al.,</w:t>
      </w:r>
      <w:r>
        <w:t xml:space="preserve"> 1991).</w:t>
      </w:r>
    </w:p>
    <w:p w14:paraId="4C6E3D24" w14:textId="77777777" w:rsidR="00E41D7F" w:rsidRPr="005D3A0C" w:rsidRDefault="00000000">
      <w:pPr>
        <w:spacing w:before="200" w:line="384" w:lineRule="auto"/>
        <w:jc w:val="both"/>
        <w:rPr>
          <w:bCs/>
          <w:lang w:val="en-IN"/>
        </w:rPr>
      </w:pPr>
      <w:r>
        <w:rPr>
          <w:b/>
          <w:color w:val="000000"/>
          <w:highlight w:val="yellow"/>
        </w:rPr>
        <w:tab/>
      </w:r>
      <w:r w:rsidRPr="005D3A0C">
        <w:rPr>
          <w:bCs/>
          <w:color w:val="000000"/>
          <w:highlight w:val="yellow"/>
        </w:rPr>
        <w:t>Recent pond-based studies show that naturally available food, including plankton, can contribute to fish growth and that access to this resource varies with culture conditions (Lima et al., 2024a, 2024b). In addition, variations in pond water quality and plankton communities under contrasting management conditions reinforce the need to interpret productivity within the broader ecological context of aquaculture ponds (Gautam et al., 2025).</w:t>
      </w:r>
    </w:p>
    <w:p w14:paraId="3C2C7568" w14:textId="77777777" w:rsidR="00E41D7F" w:rsidRDefault="00000000">
      <w:pPr>
        <w:keepNext/>
        <w:keepLines/>
        <w:spacing w:before="40"/>
        <w:jc w:val="both"/>
        <w:outlineLvl w:val="2"/>
        <w:rPr>
          <w:rFonts w:asciiTheme="majorHAnsi" w:eastAsia="Times New Roman" w:hAnsiTheme="majorHAnsi" w:cstheme="majorBidi"/>
          <w:b/>
          <w:bCs/>
          <w:color w:val="0A2F40" w:themeColor="accent1" w:themeShade="7F"/>
          <w:sz w:val="27"/>
          <w:szCs w:val="27"/>
        </w:rPr>
      </w:pPr>
      <w:r>
        <w:rPr>
          <w:b/>
          <w:color w:val="000000"/>
          <w:highlight w:val="yellow"/>
        </w:rPr>
        <w:lastRenderedPageBreak/>
        <w:t>Research Gap</w:t>
      </w:r>
    </w:p>
    <w:p w14:paraId="10A0DCC4" w14:textId="77777777" w:rsidR="00E41D7F" w:rsidRPr="005D3A0C" w:rsidRDefault="00000000">
      <w:pPr>
        <w:spacing w:before="200" w:line="384" w:lineRule="auto"/>
        <w:jc w:val="both"/>
        <w:rPr>
          <w:bCs/>
          <w:lang w:val="en-IN"/>
        </w:rPr>
      </w:pPr>
      <w:r>
        <w:rPr>
          <w:b/>
          <w:color w:val="000000"/>
          <w:highlight w:val="yellow"/>
        </w:rPr>
        <w:tab/>
      </w:r>
      <w:r w:rsidRPr="005D3A0C">
        <w:rPr>
          <w:bCs/>
          <w:color w:val="000000"/>
          <w:highlight w:val="yellow"/>
        </w:rPr>
        <w:t>Despite the established importance of primary productivity for pond food webs, site-specific information on the seasonal pattern of gross primary productivity, net primary productivity and community respiration in the Swamimalai freshwater pond remains limited. This information is needed to characterise the productive status of the pond in relation to its use for fish culture.</w:t>
      </w:r>
    </w:p>
    <w:p w14:paraId="064217B5" w14:textId="77777777" w:rsidR="00E41D7F" w:rsidRPr="005D3A0C" w:rsidRDefault="00000000">
      <w:pPr>
        <w:keepNext/>
        <w:keepLines/>
        <w:spacing w:before="40"/>
        <w:jc w:val="both"/>
        <w:outlineLvl w:val="2"/>
        <w:rPr>
          <w:rFonts w:asciiTheme="majorHAnsi" w:eastAsia="Times New Roman" w:hAnsiTheme="majorHAnsi" w:cstheme="majorBidi"/>
          <w:bCs/>
          <w:color w:val="0A2F40" w:themeColor="accent1" w:themeShade="7F"/>
          <w:sz w:val="27"/>
          <w:szCs w:val="27"/>
        </w:rPr>
      </w:pPr>
      <w:r w:rsidRPr="005D3A0C">
        <w:rPr>
          <w:bCs/>
          <w:color w:val="000000"/>
          <w:highlight w:val="yellow"/>
        </w:rPr>
        <w:t>Objective</w:t>
      </w:r>
    </w:p>
    <w:p w14:paraId="30943FB0" w14:textId="77777777" w:rsidR="00E41D7F" w:rsidRPr="005D3A0C" w:rsidRDefault="00000000">
      <w:pPr>
        <w:spacing w:before="200" w:line="384" w:lineRule="auto"/>
        <w:jc w:val="both"/>
        <w:rPr>
          <w:bCs/>
          <w:lang w:val="en-IN"/>
        </w:rPr>
      </w:pPr>
      <w:r w:rsidRPr="005D3A0C">
        <w:rPr>
          <w:bCs/>
          <w:color w:val="000000"/>
          <w:highlight w:val="yellow"/>
        </w:rPr>
        <w:tab/>
        <w:t>The objective of the present study was to assess seasonal variations in gross primary productivity, net primary productivity and community respiration in a perennial freshwater pond at Swamimalai, Thanjavur District, Tamil Nadu, and to interpret these productivity patterns in the context of fish culture.</w:t>
      </w:r>
    </w:p>
    <w:p w14:paraId="425C20F9" w14:textId="77777777" w:rsidR="009131DB" w:rsidRPr="009131DB" w:rsidRDefault="009131DB" w:rsidP="009131DB">
      <w:pPr>
        <w:spacing w:before="200" w:line="384" w:lineRule="auto"/>
        <w:jc w:val="both"/>
        <w:rPr>
          <w:color w:val="000000"/>
        </w:rPr>
      </w:pPr>
      <w:r w:rsidRPr="009131DB">
        <w:rPr>
          <w:b/>
          <w:bCs/>
          <w:color w:val="000000"/>
          <w:lang w:val="en-IN"/>
        </w:rPr>
        <w:t>MATERIALS AND METHODS</w:t>
      </w:r>
    </w:p>
    <w:p w14:paraId="6369C8B9" w14:textId="77777777" w:rsidR="009131DB" w:rsidRPr="009131DB" w:rsidRDefault="009131DB" w:rsidP="009131DB">
      <w:pPr>
        <w:keepNext/>
        <w:keepLines/>
        <w:spacing w:before="40"/>
        <w:jc w:val="both"/>
        <w:outlineLvl w:val="2"/>
        <w:rPr>
          <w:rFonts w:asciiTheme="majorHAnsi" w:eastAsia="Times New Roman" w:hAnsiTheme="majorHAnsi" w:cstheme="majorBidi"/>
          <w:b/>
          <w:bCs/>
          <w:color w:val="0A2F40" w:themeColor="accent1" w:themeShade="7F"/>
          <w:sz w:val="27"/>
          <w:szCs w:val="27"/>
        </w:rPr>
      </w:pPr>
      <w:r w:rsidRPr="009131DB">
        <w:rPr>
          <w:rFonts w:asciiTheme="majorHAnsi" w:eastAsiaTheme="majorEastAsia" w:hAnsiTheme="majorHAnsi" w:cstheme="majorBidi"/>
          <w:b/>
          <w:bCs/>
          <w:color w:val="0A2F40" w:themeColor="accent1" w:themeShade="7F"/>
        </w:rPr>
        <w:t>Study Area</w:t>
      </w:r>
    </w:p>
    <w:p w14:paraId="6C4639FF"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rPr>
        <w:t>The present investigation was conducted in a freshwater fish-culture pond located at Swamimalai, Kumbakonam Taluk, Tanjore District, Tamil Nadu, India. The study pond is situated at approximately 10.96° N latitude and 79.33° E longitude, at an elevation of about 80 m above mean sea level (MSL). The selected aquatic system is a man-made, perennial freshwater pond with an approximate water-spread area of 0.55 ha. When filled to its maximum capacity, the pond attains a depth of approximately 3.8 m. The pond serves multiple purposes and is presently utilised for fish culture, agricultural activities and various domestic uses by the surrounding human population. These characteristics make it representative of a multipurpose freshwater pond subjected to both aquaculture activities and anthropogenic influences.</w:t>
      </w:r>
    </w:p>
    <w:p w14:paraId="5D2BCED7" w14:textId="77777777" w:rsidR="009131DB" w:rsidRPr="009131DB" w:rsidRDefault="009131DB" w:rsidP="009131DB">
      <w:pPr>
        <w:keepNext/>
        <w:keepLines/>
        <w:spacing w:before="40"/>
        <w:jc w:val="both"/>
        <w:outlineLvl w:val="2"/>
        <w:rPr>
          <w:rFonts w:asciiTheme="majorHAnsi" w:eastAsiaTheme="majorEastAsia" w:hAnsiTheme="majorHAnsi" w:cstheme="majorBidi"/>
          <w:b/>
          <w:bCs/>
          <w:color w:val="0A2F40" w:themeColor="accent1" w:themeShade="7F"/>
        </w:rPr>
      </w:pPr>
      <w:r w:rsidRPr="009131DB">
        <w:rPr>
          <w:rFonts w:asciiTheme="majorHAnsi" w:eastAsiaTheme="majorEastAsia" w:hAnsiTheme="majorHAnsi" w:cstheme="majorBidi"/>
          <w:b/>
          <w:bCs/>
          <w:color w:val="0A2F40" w:themeColor="accent1" w:themeShade="7F"/>
        </w:rPr>
        <w:t>Estimation of Primary Productivity</w:t>
      </w:r>
    </w:p>
    <w:p w14:paraId="74AAFAD3"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rPr>
        <w:t xml:space="preserve">Primary productivity of the pond water was estimated monthly over a two-year study period during 2025–2026 using the conventional light and dark bottle technique described by Odum (1971), Vollenweider (1969) and Vaidehi </w:t>
      </w:r>
      <w:r w:rsidRPr="009131DB">
        <w:rPr>
          <w:rFonts w:eastAsia="Times New Roman"/>
          <w:i/>
          <w:iCs/>
        </w:rPr>
        <w:t>et al.</w:t>
      </w:r>
      <w:r w:rsidRPr="009131DB">
        <w:rPr>
          <w:rFonts w:eastAsia="Times New Roman"/>
        </w:rPr>
        <w:t xml:space="preserve"> (2025). The method is based on changes in dissolved oxygen concentration in water samples enclosed in transparent and opaque bottles during a specified incubation period. The light bottle permits photosynthesis as well as respiration, whereas the dark bottle excludes light and therefore prevents photosynthesis while allowing respiration to continue. The differences in dissolved oxygen concentrations among the initial, light and dark bottles were used to estimate the principal components of primary productivity.</w:t>
      </w:r>
    </w:p>
    <w:p w14:paraId="5E655FFF"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rPr>
        <w:t xml:space="preserve">For each monthly estimation, representative pond-water samples were collected and transferred into suitable incubation bottles while minimising agitation and the entrapment of air bubbles. Three sets of observations were considered: an initial bottle, a light bottle and a dark bottle. The initial bottle represented the dissolved oxygen concentration of the pond water at the commencement of incubation. The transparent light bottle was exposed to natural daylight and </w:t>
      </w:r>
      <w:r w:rsidRPr="009131DB">
        <w:rPr>
          <w:rFonts w:eastAsia="Times New Roman"/>
        </w:rPr>
        <w:lastRenderedPageBreak/>
        <w:t>therefore represented the combined effects of photosynthetic oxygen production and respiratory oxygen consumption. The dark bottle was completely protected from light to inhibit photosynthetic activity, so that the decline in dissolved oxygen during incubation represented respiratory oxygen consumption.</w:t>
      </w:r>
    </w:p>
    <w:p w14:paraId="7220907A"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rPr>
        <w:t>The bottles were incubated for 12 h, from 06:00 to 18:00 h, thereby covering the principal daylight period during which photosynthetic activity occurs. At the beginning and end of the incubation period, dissolved oxygen concentrations were determined and expressed as milligrams of oxygen per litre (mg O₂ L⁻¹). The dissolved oxygen concentration measured in the initial bottle was designated as (I), that in the light bottle after incubation as (L), and that in the dark bottle after incubation as (D).</w:t>
      </w:r>
    </w:p>
    <w:p w14:paraId="6653862A"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rPr>
        <w:t>The following productivity parameters were estimated from these dissolved oxygen measurements:</w:t>
      </w:r>
    </w:p>
    <w:p w14:paraId="2D4EDE30" w14:textId="77777777" w:rsidR="009131DB" w:rsidRPr="009131DB" w:rsidRDefault="009131DB" w:rsidP="009131DB">
      <w:pPr>
        <w:spacing w:before="100" w:beforeAutospacing="1" w:after="100" w:afterAutospacing="1"/>
        <w:jc w:val="both"/>
        <w:rPr>
          <w:rFonts w:eastAsia="Times New Roman"/>
          <w:b/>
          <w:bCs/>
        </w:rPr>
      </w:pPr>
      <w:r w:rsidRPr="009131DB">
        <w:rPr>
          <w:rFonts w:eastAsia="Times New Roman"/>
          <w:b/>
          <w:bCs/>
        </w:rPr>
        <w:t>Net primary productivity (NPP)</w:t>
      </w:r>
    </w:p>
    <w:p w14:paraId="45AEA49D"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rPr>
        <w:t>Net primary productivity represents the net accumulation of oxygen resulting from photosynthetic production after accounting for respiratory losses during the incubation period. It was calculated from the difference between the dissolved oxygen concentration in the light bottle after incubation and the initial dissolved oxygen concentration:</w:t>
      </w:r>
    </w:p>
    <w:p w14:paraId="57EDF852" w14:textId="77777777" w:rsidR="009131DB" w:rsidRPr="009131DB" w:rsidRDefault="009131DB" w:rsidP="009131DB">
      <w:pPr>
        <w:spacing w:before="100" w:beforeAutospacing="1" w:after="100" w:afterAutospacing="1"/>
        <w:jc w:val="both"/>
        <w:rPr>
          <w:rFonts w:eastAsia="Times New Roman"/>
        </w:rPr>
      </w:pPr>
      <w:r w:rsidRPr="009131DB">
        <w:rPr>
          <w:rFonts w:ascii="Arial" w:eastAsia="Times New Roman" w:hAnsi="Arial" w:cs="Arial"/>
          <w:b/>
          <w:bCs/>
          <w:color w:val="767676"/>
          <w:sz w:val="21"/>
          <w:szCs w:val="21"/>
          <w:shd w:val="clear" w:color="auto" w:fill="FFFFFF"/>
        </w:rPr>
        <w:t xml:space="preserve">NPP = </w:t>
      </w:r>
      <w:r w:rsidRPr="009131DB">
        <w:rPr>
          <w:rFonts w:eastAsia="Times New Roman"/>
        </w:rPr>
        <w:t>L − I</w:t>
      </w:r>
    </w:p>
    <w:p w14:paraId="5F5C4119"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rPr>
        <w:t>where (NPP) is net primary productivity, (L) is the final dissolved oxygen concentration in the light bottle, and (I) is the initial dissolved oxygen concentration.</w:t>
      </w:r>
    </w:p>
    <w:p w14:paraId="713A37B7"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b/>
          <w:bCs/>
        </w:rPr>
        <w:t>Community respiration (R):</w:t>
      </w:r>
      <w:r w:rsidRPr="009131DB">
        <w:rPr>
          <w:rFonts w:eastAsia="Times New Roman"/>
        </w:rPr>
        <w:t xml:space="preserve"> Respiration represents the amount of oxygen consumed by aquatic organisms during the incubation period. It was estimated from the difference between the initial dissolved oxygen concentration and the final dissolved oxygen concentration in the dark bottle:</w:t>
      </w:r>
    </w:p>
    <w:p w14:paraId="61786D4D"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rPr>
        <w:br/>
        <w:t>R = I-D</w:t>
      </w:r>
    </w:p>
    <w:p w14:paraId="64060CB2"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rPr>
        <w:t>where (R) represents community respiration and (D) is the dissolved oxygen concentration in the dark bottle after incubation.</w:t>
      </w:r>
    </w:p>
    <w:p w14:paraId="5721EDD1"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b/>
          <w:bCs/>
        </w:rPr>
        <w:t>Gross primary productivity (GPP):</w:t>
      </w:r>
      <w:r w:rsidRPr="009131DB">
        <w:rPr>
          <w:rFonts w:eastAsia="Times New Roman"/>
        </w:rPr>
        <w:t xml:space="preserve"> Gross primary productivity represents the total amount of oxygen produced through photosynthesis before the oxygen utilised in respiration is deducted. It was calculated as the sum of net primary productivity and respiration, or directly from the difference between the final dissolved oxygen concentrations of the light and dark bottles:</w:t>
      </w:r>
    </w:p>
    <w:p w14:paraId="4BAD4D02"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rPr>
        <w:br/>
        <w:t>GPP = NPP + R</w:t>
      </w:r>
    </w:p>
    <w:p w14:paraId="527016A6"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rPr>
        <w:t>Thus, the three principal productivity parameters—gross primary productivity, net primary productivity and community respiration—were derived from the observed changes in dissolved oxygen concentration during the 12-h incubation period.</w:t>
      </w:r>
    </w:p>
    <w:p w14:paraId="3121BEBD" w14:textId="77777777" w:rsidR="009131DB" w:rsidRPr="009131DB" w:rsidRDefault="009131DB" w:rsidP="009131DB">
      <w:pPr>
        <w:spacing w:before="100" w:beforeAutospacing="1" w:after="100" w:afterAutospacing="1"/>
        <w:jc w:val="both"/>
        <w:rPr>
          <w:rFonts w:eastAsia="Times New Roman"/>
        </w:rPr>
      </w:pPr>
      <w:r w:rsidRPr="009131DB">
        <w:rPr>
          <w:rFonts w:eastAsia="Times New Roman"/>
        </w:rPr>
        <w:lastRenderedPageBreak/>
        <w:t>The monthly measurements obtained throughout 2025–2026 were used to assess temporal variation in the biological productivity of the pond. Gross primary productivity provided an estimate of the overall photosynthetic capacity of the aquatic community, net primary productivity indicated the amount of photosynthetically produced organic matter potentially available for growth and transfer to higher trophic levels, and community respiration reflected the metabolic utilisation of oxygen by organisms present in the pond. Collectively, these parameters were used to characterise the productive status and temporal dynamics of the freshwater fish-culture pond.</w:t>
      </w:r>
    </w:p>
    <w:p w14:paraId="769F29BB" w14:textId="77777777" w:rsidR="00D273B6" w:rsidRDefault="009D531D" w:rsidP="00755D99">
      <w:pPr>
        <w:spacing w:before="200" w:line="384" w:lineRule="auto"/>
        <w:jc w:val="both"/>
        <w:rPr>
          <w:b/>
          <w:bCs/>
          <w:color w:val="000000"/>
        </w:rPr>
      </w:pPr>
      <w:r w:rsidRPr="00C52540">
        <w:rPr>
          <w:b/>
          <w:bCs/>
          <w:color w:val="000000"/>
        </w:rPr>
        <w:t>RESULTS AND DISCUSSION</w:t>
      </w:r>
    </w:p>
    <w:p w14:paraId="5310D94D" w14:textId="77777777" w:rsidR="009D531D" w:rsidRDefault="00D273B6" w:rsidP="00755D99">
      <w:pPr>
        <w:spacing w:before="200" w:line="384" w:lineRule="auto"/>
        <w:jc w:val="both"/>
      </w:pPr>
      <w:r>
        <w:rPr>
          <w:b/>
          <w:bCs/>
          <w:color w:val="000000"/>
        </w:rPr>
        <w:tab/>
      </w:r>
      <w:r>
        <w:t xml:space="preserve">The Gross Primary Productivity (GPP) </w:t>
      </w:r>
      <w:r>
        <w:rPr>
          <w:color w:val="000000"/>
        </w:rPr>
        <w:t>(Table</w:t>
      </w:r>
      <w:r>
        <w:rPr>
          <w:color w:val="000000"/>
          <w:highlight w:val="yellow"/>
        </w:rPr>
        <w:t>s</w:t>
      </w:r>
      <w:r>
        <w:rPr>
          <w:color w:val="000000"/>
        </w:rPr>
        <w:t xml:space="preserve"> 1</w:t>
      </w:r>
      <w:r>
        <w:rPr>
          <w:color w:val="000000"/>
          <w:highlight w:val="yellow"/>
        </w:rPr>
        <w:t xml:space="preserve"> and </w:t>
      </w:r>
      <w:r>
        <w:rPr>
          <w:color w:val="000000"/>
        </w:rPr>
        <w:t xml:space="preserve">2) </w:t>
      </w:r>
      <w:r>
        <w:t>of the system during the first year was found to range between 6.6 (Jan.) and 10.3 gC/m</w:t>
      </w:r>
      <w:r>
        <w:rPr>
          <w:vertAlign w:val="superscript"/>
        </w:rPr>
        <w:t>2</w:t>
      </w:r>
      <w:r>
        <w:t xml:space="preserve"> day (May)</w:t>
      </w:r>
      <w:r>
        <w:rPr>
          <w:highlight w:val="yellow"/>
        </w:rPr>
        <w:t>,</w:t>
      </w:r>
      <w:r>
        <w:t xml:space="preserve"> and in the second year</w:t>
      </w:r>
      <w:r>
        <w:rPr>
          <w:highlight w:val="yellow"/>
        </w:rPr>
        <w:t>, it ranged</w:t>
      </w:r>
      <w:r>
        <w:t xml:space="preserve"> from 7.1 (Jan.) to 10.5 gC/m</w:t>
      </w:r>
      <w:r>
        <w:rPr>
          <w:vertAlign w:val="superscript"/>
        </w:rPr>
        <w:t>2</w:t>
      </w:r>
      <w:r>
        <w:t>/day (May).</w:t>
      </w:r>
      <w:r>
        <w:rPr>
          <w:color w:val="000000"/>
        </w:rPr>
        <w:t xml:space="preserve"> </w:t>
      </w:r>
      <w:r>
        <w:t>The net primary productivity (NPP) was found to oscillate between 4.2 (Jan.) and 6.6 gC/m</w:t>
      </w:r>
      <w:r>
        <w:rPr>
          <w:vertAlign w:val="superscript"/>
        </w:rPr>
        <w:t>2</w:t>
      </w:r>
      <w:r>
        <w:t xml:space="preserve">/day (May) during the first year and </w:t>
      </w:r>
      <w:r>
        <w:rPr>
          <w:highlight w:val="yellow"/>
        </w:rPr>
        <w:t>between</w:t>
      </w:r>
      <w:r>
        <w:t xml:space="preserve"> 4.3 (Jan.) </w:t>
      </w:r>
      <w:r>
        <w:rPr>
          <w:highlight w:val="yellow"/>
        </w:rPr>
        <w:t>and</w:t>
      </w:r>
      <w:r>
        <w:t xml:space="preserve"> 6.8 gC/m</w:t>
      </w:r>
      <w:r>
        <w:rPr>
          <w:vertAlign w:val="superscript"/>
        </w:rPr>
        <w:t>2</w:t>
      </w:r>
      <w:r>
        <w:t xml:space="preserve">/day (May) </w:t>
      </w:r>
      <w:r>
        <w:rPr>
          <w:highlight w:val="yellow"/>
        </w:rPr>
        <w:t>du</w:t>
      </w:r>
      <w:r>
        <w:t>r</w:t>
      </w:r>
      <w:r>
        <w:rPr>
          <w:highlight w:val="yellow"/>
        </w:rPr>
        <w:t>ing</w:t>
      </w:r>
      <w:r>
        <w:t xml:space="preserve"> the second year.</w:t>
      </w:r>
      <w:r>
        <w:rPr>
          <w:color w:val="000000"/>
        </w:rPr>
        <w:t xml:space="preserve"> </w:t>
      </w:r>
      <w:r>
        <w:rPr>
          <w:highlight w:val="yellow"/>
        </w:rPr>
        <w:t>C</w:t>
      </w:r>
      <w:r>
        <w:t>ommunity respiration (CR) during the first year ranged from 2.4 (Jan.) to 3.8 gC/m</w:t>
      </w:r>
      <w:r>
        <w:rPr>
          <w:vertAlign w:val="superscript"/>
        </w:rPr>
        <w:t>2</w:t>
      </w:r>
      <w:r>
        <w:t>/day and</w:t>
      </w:r>
      <w:r>
        <w:rPr>
          <w:highlight w:val="yellow"/>
        </w:rPr>
        <w:t>,</w:t>
      </w:r>
      <w:r>
        <w:t xml:space="preserve"> </w:t>
      </w:r>
      <w:r>
        <w:rPr>
          <w:highlight w:val="yellow"/>
        </w:rPr>
        <w:t>dur</w:t>
      </w:r>
      <w:r>
        <w:t>in</w:t>
      </w:r>
      <w:r>
        <w:rPr>
          <w:highlight w:val="yellow"/>
        </w:rPr>
        <w:t>g</w:t>
      </w:r>
      <w:r>
        <w:t xml:space="preserve"> the second year</w:t>
      </w:r>
      <w:r>
        <w:rPr>
          <w:highlight w:val="yellow"/>
        </w:rPr>
        <w:t>,</w:t>
      </w:r>
      <w:r>
        <w:t xml:space="preserve"> from 2.8 (Jan.) to 4.0 gC/m</w:t>
      </w:r>
      <w:r>
        <w:rPr>
          <w:vertAlign w:val="superscript"/>
        </w:rPr>
        <w:t>2</w:t>
      </w:r>
      <w:r>
        <w:t xml:space="preserve">/day (May) (Figure 1). The observed </w:t>
      </w:r>
      <w:r>
        <w:rPr>
          <w:highlight w:val="yellow"/>
        </w:rPr>
        <w:t>inc</w:t>
      </w:r>
      <w:r>
        <w:t>r</w:t>
      </w:r>
      <w:r>
        <w:rPr>
          <w:highlight w:val="yellow"/>
        </w:rPr>
        <w:t>ea</w:t>
      </w:r>
      <w:r>
        <w:t xml:space="preserve">se </w:t>
      </w:r>
      <w:r>
        <w:rPr>
          <w:highlight w:val="yellow"/>
        </w:rPr>
        <w:t>in</w:t>
      </w:r>
      <w:r>
        <w:t xml:space="preserve"> GPP and NPP from January to May indicates a clear seasonal productivity signal, with higher carbon fixation during the warmer and brighter pre-monsoon period. This pattern is consistent with aquatic metabolism studies showing that gross production, respiration and net production are strongly regulated by light availability, thermal conditions and biological oxygen dynamics in the water column (Fernández Castro </w:t>
      </w:r>
      <w:r>
        <w:rPr>
          <w:i/>
          <w:iCs/>
        </w:rPr>
        <w:t>et al.,</w:t>
      </w:r>
      <w:r>
        <w:t xml:space="preserve"> 2021; Noriega-Curtis, 1979; Oláh </w:t>
      </w:r>
      <w:r>
        <w:rPr>
          <w:i/>
          <w:iCs/>
        </w:rPr>
        <w:t xml:space="preserve">et al., </w:t>
      </w:r>
      <w:r>
        <w:t>1986).</w:t>
      </w:r>
    </w:p>
    <w:p w14:paraId="486D4E3E" w14:textId="77777777" w:rsidR="009D531D" w:rsidRPr="003F55A9" w:rsidRDefault="009D531D" w:rsidP="009D531D">
      <w:pPr>
        <w:spacing w:line="360" w:lineRule="auto"/>
        <w:jc w:val="center"/>
        <w:rPr>
          <w:b/>
          <w:bCs/>
        </w:rPr>
      </w:pPr>
      <w:r w:rsidRPr="003F55A9">
        <w:rPr>
          <w:b/>
          <w:bCs/>
        </w:rPr>
        <w:t xml:space="preserve">Table </w:t>
      </w:r>
      <w:r w:rsidR="00DA7791">
        <w:rPr>
          <w:b/>
          <w:bCs/>
        </w:rPr>
        <w:t xml:space="preserve">- </w:t>
      </w:r>
      <w:r w:rsidRPr="003F55A9">
        <w:rPr>
          <w:b/>
          <w:bCs/>
        </w:rPr>
        <w:t>1</w:t>
      </w:r>
    </w:p>
    <w:p w14:paraId="245F7040" w14:textId="77777777" w:rsidR="009D531D" w:rsidRPr="003F55A9" w:rsidRDefault="009D531D" w:rsidP="009D531D">
      <w:pPr>
        <w:spacing w:line="360" w:lineRule="auto"/>
        <w:jc w:val="center"/>
        <w:rPr>
          <w:b/>
          <w:bCs/>
        </w:rPr>
      </w:pPr>
      <w:r w:rsidRPr="003F55A9">
        <w:rPr>
          <w:b/>
          <w:bCs/>
        </w:rPr>
        <w:t>Seasonal Variations in Gross Primary Productivity, Net Primary Producti</w:t>
      </w:r>
      <w:r w:rsidR="003C5DD4">
        <w:rPr>
          <w:b/>
          <w:bCs/>
        </w:rPr>
        <w:t>vity</w:t>
      </w:r>
      <w:r w:rsidRPr="003F55A9">
        <w:rPr>
          <w:b/>
          <w:bCs/>
        </w:rPr>
        <w:t xml:space="preserve"> and</w:t>
      </w:r>
    </w:p>
    <w:p w14:paraId="7C6204EA" w14:textId="77777777" w:rsidR="009D531D" w:rsidRPr="003F55A9" w:rsidRDefault="009D531D" w:rsidP="009D531D">
      <w:pPr>
        <w:spacing w:line="360" w:lineRule="auto"/>
        <w:jc w:val="center"/>
        <w:rPr>
          <w:b/>
          <w:bCs/>
        </w:rPr>
      </w:pPr>
      <w:r w:rsidRPr="003F55A9">
        <w:rPr>
          <w:b/>
          <w:bCs/>
        </w:rPr>
        <w:t>Community Respiration in a Freshwater Pond at Swamimalai</w:t>
      </w:r>
    </w:p>
    <w:tbl>
      <w:tblPr>
        <w:tblStyle w:val="TableGrid"/>
        <w:tblW w:w="0" w:type="auto"/>
        <w:tblInd w:w="0" w:type="dxa"/>
        <w:tblLook w:val="04A0" w:firstRow="1" w:lastRow="0" w:firstColumn="1" w:lastColumn="0" w:noHBand="0" w:noVBand="1"/>
      </w:tblPr>
      <w:tblGrid>
        <w:gridCol w:w="1243"/>
        <w:gridCol w:w="1496"/>
        <w:gridCol w:w="1014"/>
        <w:gridCol w:w="1496"/>
        <w:gridCol w:w="1014"/>
        <w:gridCol w:w="1443"/>
        <w:gridCol w:w="1014"/>
      </w:tblGrid>
      <w:tr w:rsidR="00E42EA9" w14:paraId="58084806" w14:textId="77777777" w:rsidTr="00F3637F">
        <w:tc>
          <w:tcPr>
            <w:tcW w:w="1243" w:type="dxa"/>
            <w:vMerge w:val="restart"/>
            <w:vAlign w:val="center"/>
          </w:tcPr>
          <w:p w14:paraId="576371A7" w14:textId="77777777" w:rsidR="00E42EA9" w:rsidRPr="003F55A9" w:rsidRDefault="00E42EA9" w:rsidP="00F3637F">
            <w:pPr>
              <w:jc w:val="center"/>
              <w:rPr>
                <w:b/>
                <w:bCs/>
              </w:rPr>
            </w:pPr>
            <w:r w:rsidRPr="003F55A9">
              <w:rPr>
                <w:b/>
                <w:bCs/>
              </w:rPr>
              <w:t>Year / Month</w:t>
            </w:r>
          </w:p>
        </w:tc>
        <w:tc>
          <w:tcPr>
            <w:tcW w:w="2510" w:type="dxa"/>
            <w:gridSpan w:val="2"/>
            <w:vAlign w:val="center"/>
          </w:tcPr>
          <w:p w14:paraId="1D0BFC32" w14:textId="77777777" w:rsidR="00E42EA9" w:rsidRPr="003F55A9" w:rsidRDefault="00E42EA9" w:rsidP="00F3637F">
            <w:pPr>
              <w:jc w:val="center"/>
              <w:rPr>
                <w:b/>
                <w:bCs/>
              </w:rPr>
            </w:pPr>
            <w:r w:rsidRPr="003F55A9">
              <w:rPr>
                <w:b/>
                <w:bCs/>
              </w:rPr>
              <w:t>Gross Primary Productivity (gC/m</w:t>
            </w:r>
            <w:r w:rsidRPr="003F55A9">
              <w:rPr>
                <w:b/>
                <w:bCs/>
                <w:vertAlign w:val="superscript"/>
              </w:rPr>
              <w:t>2/</w:t>
            </w:r>
            <w:r w:rsidRPr="003F55A9">
              <w:rPr>
                <w:b/>
                <w:bCs/>
              </w:rPr>
              <w:t>day) GPP</w:t>
            </w:r>
          </w:p>
        </w:tc>
        <w:tc>
          <w:tcPr>
            <w:tcW w:w="2510" w:type="dxa"/>
            <w:gridSpan w:val="2"/>
            <w:vAlign w:val="center"/>
          </w:tcPr>
          <w:p w14:paraId="6FD6CC8C" w14:textId="77777777" w:rsidR="00E42EA9" w:rsidRPr="003F55A9" w:rsidRDefault="00E42EA9" w:rsidP="00F3637F">
            <w:pPr>
              <w:jc w:val="center"/>
              <w:rPr>
                <w:b/>
                <w:bCs/>
              </w:rPr>
            </w:pPr>
            <w:r w:rsidRPr="003F55A9">
              <w:rPr>
                <w:b/>
                <w:bCs/>
              </w:rPr>
              <w:t>Net Primary Productivity (gC/m</w:t>
            </w:r>
            <w:r w:rsidRPr="003F55A9">
              <w:rPr>
                <w:b/>
                <w:bCs/>
                <w:vertAlign w:val="superscript"/>
              </w:rPr>
              <w:t>2/</w:t>
            </w:r>
            <w:r w:rsidRPr="003F55A9">
              <w:rPr>
                <w:b/>
                <w:bCs/>
              </w:rPr>
              <w:t>day) NPP</w:t>
            </w:r>
          </w:p>
        </w:tc>
        <w:tc>
          <w:tcPr>
            <w:tcW w:w="2457" w:type="dxa"/>
            <w:gridSpan w:val="2"/>
            <w:vAlign w:val="center"/>
          </w:tcPr>
          <w:p w14:paraId="1E721484" w14:textId="77777777" w:rsidR="00E42EA9" w:rsidRPr="003F55A9" w:rsidRDefault="00E42EA9" w:rsidP="00F3637F">
            <w:pPr>
              <w:jc w:val="center"/>
              <w:rPr>
                <w:b/>
                <w:bCs/>
              </w:rPr>
            </w:pPr>
            <w:r w:rsidRPr="003F55A9">
              <w:rPr>
                <w:b/>
                <w:bCs/>
              </w:rPr>
              <w:t>Community Respiration</w:t>
            </w:r>
          </w:p>
          <w:p w14:paraId="1989D6F6" w14:textId="77777777" w:rsidR="00E42EA9" w:rsidRPr="003F55A9" w:rsidRDefault="00E42EA9" w:rsidP="00F3637F">
            <w:pPr>
              <w:jc w:val="center"/>
              <w:rPr>
                <w:b/>
                <w:bCs/>
              </w:rPr>
            </w:pPr>
            <w:r w:rsidRPr="003F55A9">
              <w:rPr>
                <w:b/>
                <w:bCs/>
              </w:rPr>
              <w:t>(gC/m</w:t>
            </w:r>
            <w:r w:rsidRPr="003F55A9">
              <w:rPr>
                <w:b/>
                <w:bCs/>
                <w:vertAlign w:val="superscript"/>
              </w:rPr>
              <w:t>2/</w:t>
            </w:r>
            <w:r w:rsidRPr="003F55A9">
              <w:rPr>
                <w:b/>
                <w:bCs/>
              </w:rPr>
              <w:t>day) CR</w:t>
            </w:r>
          </w:p>
        </w:tc>
      </w:tr>
      <w:tr w:rsidR="00E42EA9" w:rsidRPr="00E42EA9" w14:paraId="433C8A89" w14:textId="77777777" w:rsidTr="00F3637F">
        <w:tc>
          <w:tcPr>
            <w:tcW w:w="1243" w:type="dxa"/>
            <w:vMerge/>
            <w:vAlign w:val="center"/>
          </w:tcPr>
          <w:p w14:paraId="50BFF1E9" w14:textId="77777777" w:rsidR="00E42EA9" w:rsidRPr="00E42EA9" w:rsidRDefault="00E42EA9" w:rsidP="00F3637F">
            <w:pPr>
              <w:jc w:val="center"/>
              <w:rPr>
                <w:b/>
                <w:bCs/>
              </w:rPr>
            </w:pPr>
          </w:p>
        </w:tc>
        <w:tc>
          <w:tcPr>
            <w:tcW w:w="1496" w:type="dxa"/>
            <w:vAlign w:val="center"/>
          </w:tcPr>
          <w:p w14:paraId="6EB0486A" w14:textId="77777777" w:rsidR="00E42EA9" w:rsidRPr="00E42EA9" w:rsidRDefault="00E42EA9" w:rsidP="00F3637F">
            <w:pPr>
              <w:jc w:val="center"/>
              <w:rPr>
                <w:b/>
                <w:bCs/>
              </w:rPr>
            </w:pPr>
            <w:r w:rsidRPr="00E42EA9">
              <w:rPr>
                <w:b/>
                <w:bCs/>
              </w:rPr>
              <w:t>2025</w:t>
            </w:r>
          </w:p>
        </w:tc>
        <w:tc>
          <w:tcPr>
            <w:tcW w:w="1014" w:type="dxa"/>
            <w:vAlign w:val="center"/>
          </w:tcPr>
          <w:p w14:paraId="7BD7035D" w14:textId="77777777" w:rsidR="00E42EA9" w:rsidRPr="00E42EA9" w:rsidRDefault="00E42EA9" w:rsidP="00F3637F">
            <w:pPr>
              <w:jc w:val="center"/>
              <w:rPr>
                <w:b/>
                <w:bCs/>
              </w:rPr>
            </w:pPr>
            <w:r w:rsidRPr="00E42EA9">
              <w:rPr>
                <w:b/>
                <w:bCs/>
              </w:rPr>
              <w:t>2026</w:t>
            </w:r>
          </w:p>
        </w:tc>
        <w:tc>
          <w:tcPr>
            <w:tcW w:w="1496" w:type="dxa"/>
            <w:vAlign w:val="center"/>
          </w:tcPr>
          <w:p w14:paraId="02A9068B" w14:textId="77777777" w:rsidR="00E42EA9" w:rsidRPr="00E42EA9" w:rsidRDefault="00E42EA9" w:rsidP="00F3637F">
            <w:pPr>
              <w:jc w:val="center"/>
              <w:rPr>
                <w:b/>
                <w:bCs/>
              </w:rPr>
            </w:pPr>
            <w:r w:rsidRPr="00E42EA9">
              <w:rPr>
                <w:b/>
                <w:bCs/>
              </w:rPr>
              <w:t>2025</w:t>
            </w:r>
          </w:p>
        </w:tc>
        <w:tc>
          <w:tcPr>
            <w:tcW w:w="1014" w:type="dxa"/>
            <w:vAlign w:val="center"/>
          </w:tcPr>
          <w:p w14:paraId="296CAA6F" w14:textId="77777777" w:rsidR="00E42EA9" w:rsidRPr="00E42EA9" w:rsidRDefault="00E42EA9" w:rsidP="00F3637F">
            <w:pPr>
              <w:jc w:val="center"/>
              <w:rPr>
                <w:b/>
                <w:bCs/>
              </w:rPr>
            </w:pPr>
            <w:r w:rsidRPr="00E42EA9">
              <w:rPr>
                <w:b/>
                <w:bCs/>
              </w:rPr>
              <w:t>2026</w:t>
            </w:r>
          </w:p>
        </w:tc>
        <w:tc>
          <w:tcPr>
            <w:tcW w:w="1443" w:type="dxa"/>
            <w:vAlign w:val="center"/>
          </w:tcPr>
          <w:p w14:paraId="48D3370C" w14:textId="77777777" w:rsidR="00E42EA9" w:rsidRPr="00E42EA9" w:rsidRDefault="00E42EA9" w:rsidP="00F3637F">
            <w:pPr>
              <w:jc w:val="center"/>
              <w:rPr>
                <w:b/>
                <w:bCs/>
              </w:rPr>
            </w:pPr>
            <w:r w:rsidRPr="00E42EA9">
              <w:rPr>
                <w:b/>
                <w:bCs/>
              </w:rPr>
              <w:t>2025</w:t>
            </w:r>
          </w:p>
        </w:tc>
        <w:tc>
          <w:tcPr>
            <w:tcW w:w="1014" w:type="dxa"/>
            <w:vAlign w:val="center"/>
          </w:tcPr>
          <w:p w14:paraId="69F3A637" w14:textId="77777777" w:rsidR="00E42EA9" w:rsidRPr="00E42EA9" w:rsidRDefault="00E42EA9" w:rsidP="00F3637F">
            <w:pPr>
              <w:jc w:val="center"/>
              <w:rPr>
                <w:b/>
                <w:bCs/>
              </w:rPr>
            </w:pPr>
            <w:r w:rsidRPr="00E42EA9">
              <w:rPr>
                <w:b/>
                <w:bCs/>
              </w:rPr>
              <w:t>2026</w:t>
            </w:r>
          </w:p>
        </w:tc>
      </w:tr>
      <w:tr w:rsidR="001F3CC8" w14:paraId="22C1D66F" w14:textId="77777777" w:rsidTr="00E42EA9">
        <w:tc>
          <w:tcPr>
            <w:tcW w:w="1243" w:type="dxa"/>
          </w:tcPr>
          <w:p w14:paraId="049B7B98" w14:textId="77777777" w:rsidR="001F3CC8" w:rsidRDefault="001F3CC8" w:rsidP="003F55A9">
            <w:pPr>
              <w:jc w:val="center"/>
            </w:pPr>
            <w:bookmarkStart w:id="0" w:name="_Hlk234676540"/>
            <w:r>
              <w:t xml:space="preserve">January </w:t>
            </w:r>
          </w:p>
        </w:tc>
        <w:tc>
          <w:tcPr>
            <w:tcW w:w="1496" w:type="dxa"/>
          </w:tcPr>
          <w:p w14:paraId="5BE1372E" w14:textId="77777777" w:rsidR="001F3CC8" w:rsidRDefault="001F3CC8" w:rsidP="003F55A9">
            <w:pPr>
              <w:jc w:val="center"/>
            </w:pPr>
            <w:r>
              <w:t>6.6</w:t>
            </w:r>
          </w:p>
        </w:tc>
        <w:tc>
          <w:tcPr>
            <w:tcW w:w="1014" w:type="dxa"/>
          </w:tcPr>
          <w:p w14:paraId="6A0ECC0E" w14:textId="77777777" w:rsidR="001F3CC8" w:rsidRDefault="001F3CC8" w:rsidP="003F55A9">
            <w:pPr>
              <w:jc w:val="center"/>
            </w:pPr>
            <w:r>
              <w:t>7.1</w:t>
            </w:r>
          </w:p>
        </w:tc>
        <w:tc>
          <w:tcPr>
            <w:tcW w:w="1496" w:type="dxa"/>
          </w:tcPr>
          <w:p w14:paraId="54B727F3" w14:textId="77777777" w:rsidR="001F3CC8" w:rsidRDefault="001F3CC8" w:rsidP="003F55A9">
            <w:pPr>
              <w:jc w:val="center"/>
            </w:pPr>
            <w:r>
              <w:t>4.2</w:t>
            </w:r>
          </w:p>
        </w:tc>
        <w:tc>
          <w:tcPr>
            <w:tcW w:w="1014" w:type="dxa"/>
          </w:tcPr>
          <w:p w14:paraId="11848094" w14:textId="77777777" w:rsidR="001F3CC8" w:rsidRDefault="001F3CC8" w:rsidP="003F55A9">
            <w:pPr>
              <w:jc w:val="center"/>
            </w:pPr>
            <w:r>
              <w:t>4.3</w:t>
            </w:r>
          </w:p>
        </w:tc>
        <w:tc>
          <w:tcPr>
            <w:tcW w:w="1443" w:type="dxa"/>
          </w:tcPr>
          <w:p w14:paraId="23456570" w14:textId="77777777" w:rsidR="001F3CC8" w:rsidRDefault="001F3CC8" w:rsidP="003F55A9">
            <w:pPr>
              <w:jc w:val="center"/>
            </w:pPr>
            <w:r>
              <w:t>2.4</w:t>
            </w:r>
          </w:p>
        </w:tc>
        <w:tc>
          <w:tcPr>
            <w:tcW w:w="1014" w:type="dxa"/>
          </w:tcPr>
          <w:p w14:paraId="385151F4" w14:textId="77777777" w:rsidR="001F3CC8" w:rsidRDefault="001F3CC8" w:rsidP="003F55A9">
            <w:pPr>
              <w:jc w:val="center"/>
            </w:pPr>
            <w:r>
              <w:t>2.8</w:t>
            </w:r>
          </w:p>
        </w:tc>
      </w:tr>
      <w:tr w:rsidR="001F3CC8" w14:paraId="47923711" w14:textId="77777777" w:rsidTr="00E42EA9">
        <w:tc>
          <w:tcPr>
            <w:tcW w:w="1243" w:type="dxa"/>
          </w:tcPr>
          <w:p w14:paraId="014C1D2C" w14:textId="77777777" w:rsidR="001F3CC8" w:rsidRDefault="001F3CC8" w:rsidP="003F55A9">
            <w:pPr>
              <w:jc w:val="center"/>
            </w:pPr>
            <w:r>
              <w:t>February</w:t>
            </w:r>
          </w:p>
        </w:tc>
        <w:tc>
          <w:tcPr>
            <w:tcW w:w="1496" w:type="dxa"/>
          </w:tcPr>
          <w:p w14:paraId="6007C0FA" w14:textId="77777777" w:rsidR="001F3CC8" w:rsidRDefault="004A52F3" w:rsidP="003F55A9">
            <w:pPr>
              <w:jc w:val="center"/>
            </w:pPr>
            <w:r>
              <w:t>8.7</w:t>
            </w:r>
          </w:p>
        </w:tc>
        <w:tc>
          <w:tcPr>
            <w:tcW w:w="1014" w:type="dxa"/>
          </w:tcPr>
          <w:p w14:paraId="2483262B" w14:textId="77777777" w:rsidR="001F3CC8" w:rsidRDefault="004A52F3" w:rsidP="003F55A9">
            <w:pPr>
              <w:jc w:val="center"/>
            </w:pPr>
            <w:r>
              <w:t>7.4</w:t>
            </w:r>
          </w:p>
        </w:tc>
        <w:tc>
          <w:tcPr>
            <w:tcW w:w="1496" w:type="dxa"/>
          </w:tcPr>
          <w:p w14:paraId="565BFB6A" w14:textId="77777777" w:rsidR="001F3CC8" w:rsidRDefault="004A52F3" w:rsidP="003F55A9">
            <w:pPr>
              <w:jc w:val="center"/>
            </w:pPr>
            <w:r>
              <w:t>4.7</w:t>
            </w:r>
          </w:p>
        </w:tc>
        <w:tc>
          <w:tcPr>
            <w:tcW w:w="1014" w:type="dxa"/>
          </w:tcPr>
          <w:p w14:paraId="21C8E967" w14:textId="77777777" w:rsidR="001F3CC8" w:rsidRDefault="004A52F3" w:rsidP="003F55A9">
            <w:pPr>
              <w:jc w:val="center"/>
            </w:pPr>
            <w:r>
              <w:t>4.9</w:t>
            </w:r>
          </w:p>
        </w:tc>
        <w:tc>
          <w:tcPr>
            <w:tcW w:w="1443" w:type="dxa"/>
          </w:tcPr>
          <w:p w14:paraId="33AECA5E" w14:textId="77777777" w:rsidR="001F3CC8" w:rsidRDefault="004A52F3" w:rsidP="003F55A9">
            <w:pPr>
              <w:jc w:val="center"/>
            </w:pPr>
            <w:r>
              <w:t>2.7</w:t>
            </w:r>
          </w:p>
        </w:tc>
        <w:tc>
          <w:tcPr>
            <w:tcW w:w="1014" w:type="dxa"/>
          </w:tcPr>
          <w:p w14:paraId="53964998" w14:textId="77777777" w:rsidR="001F3CC8" w:rsidRDefault="004A52F3" w:rsidP="003F55A9">
            <w:pPr>
              <w:jc w:val="center"/>
            </w:pPr>
            <w:r>
              <w:t>2.9</w:t>
            </w:r>
          </w:p>
        </w:tc>
      </w:tr>
      <w:tr w:rsidR="001F3CC8" w14:paraId="55EE89DB" w14:textId="77777777" w:rsidTr="00E42EA9">
        <w:tc>
          <w:tcPr>
            <w:tcW w:w="1243" w:type="dxa"/>
          </w:tcPr>
          <w:p w14:paraId="4F5761C3" w14:textId="77777777" w:rsidR="001F3CC8" w:rsidRDefault="001F3CC8" w:rsidP="003F55A9">
            <w:pPr>
              <w:jc w:val="center"/>
            </w:pPr>
            <w:r>
              <w:t>March</w:t>
            </w:r>
          </w:p>
        </w:tc>
        <w:tc>
          <w:tcPr>
            <w:tcW w:w="1496" w:type="dxa"/>
          </w:tcPr>
          <w:p w14:paraId="664E66D4" w14:textId="77777777" w:rsidR="001F3CC8" w:rsidRDefault="004A52F3" w:rsidP="003F55A9">
            <w:pPr>
              <w:jc w:val="center"/>
            </w:pPr>
            <w:r>
              <w:t>8.9</w:t>
            </w:r>
          </w:p>
        </w:tc>
        <w:tc>
          <w:tcPr>
            <w:tcW w:w="1014" w:type="dxa"/>
          </w:tcPr>
          <w:p w14:paraId="68CBCFEB" w14:textId="77777777" w:rsidR="001F3CC8" w:rsidRDefault="004A52F3" w:rsidP="003F55A9">
            <w:pPr>
              <w:jc w:val="center"/>
            </w:pPr>
            <w:r>
              <w:t>8.6</w:t>
            </w:r>
          </w:p>
        </w:tc>
        <w:tc>
          <w:tcPr>
            <w:tcW w:w="1496" w:type="dxa"/>
          </w:tcPr>
          <w:p w14:paraId="6DF462B4" w14:textId="77777777" w:rsidR="001F3CC8" w:rsidRDefault="004A52F3" w:rsidP="003F55A9">
            <w:pPr>
              <w:jc w:val="center"/>
            </w:pPr>
            <w:r>
              <w:t>5.5</w:t>
            </w:r>
          </w:p>
        </w:tc>
        <w:tc>
          <w:tcPr>
            <w:tcW w:w="1014" w:type="dxa"/>
          </w:tcPr>
          <w:p w14:paraId="537B88A7" w14:textId="77777777" w:rsidR="001F3CC8" w:rsidRDefault="004A52F3" w:rsidP="003F55A9">
            <w:pPr>
              <w:jc w:val="center"/>
            </w:pPr>
            <w:r>
              <w:t>5.6</w:t>
            </w:r>
          </w:p>
        </w:tc>
        <w:tc>
          <w:tcPr>
            <w:tcW w:w="1443" w:type="dxa"/>
          </w:tcPr>
          <w:p w14:paraId="453652D9" w14:textId="77777777" w:rsidR="001F3CC8" w:rsidRDefault="004A52F3" w:rsidP="003F55A9">
            <w:pPr>
              <w:jc w:val="center"/>
            </w:pPr>
            <w:r>
              <w:t>3.0</w:t>
            </w:r>
          </w:p>
        </w:tc>
        <w:tc>
          <w:tcPr>
            <w:tcW w:w="1014" w:type="dxa"/>
          </w:tcPr>
          <w:p w14:paraId="5015230D" w14:textId="77777777" w:rsidR="001F3CC8" w:rsidRDefault="004A52F3" w:rsidP="003F55A9">
            <w:pPr>
              <w:jc w:val="center"/>
            </w:pPr>
            <w:r>
              <w:t>3.4</w:t>
            </w:r>
          </w:p>
        </w:tc>
      </w:tr>
      <w:tr w:rsidR="001F3CC8" w14:paraId="63986901" w14:textId="77777777" w:rsidTr="00E42EA9">
        <w:tc>
          <w:tcPr>
            <w:tcW w:w="1243" w:type="dxa"/>
          </w:tcPr>
          <w:p w14:paraId="3B2B721F" w14:textId="77777777" w:rsidR="001F3CC8" w:rsidRDefault="001F3CC8" w:rsidP="003F55A9">
            <w:pPr>
              <w:jc w:val="center"/>
            </w:pPr>
            <w:r>
              <w:t>April</w:t>
            </w:r>
          </w:p>
        </w:tc>
        <w:tc>
          <w:tcPr>
            <w:tcW w:w="1496" w:type="dxa"/>
          </w:tcPr>
          <w:p w14:paraId="0CC5E7C1" w14:textId="77777777" w:rsidR="001F3CC8" w:rsidRDefault="004A52F3" w:rsidP="003F55A9">
            <w:pPr>
              <w:jc w:val="center"/>
            </w:pPr>
            <w:r>
              <w:t>9.7</w:t>
            </w:r>
          </w:p>
        </w:tc>
        <w:tc>
          <w:tcPr>
            <w:tcW w:w="1014" w:type="dxa"/>
          </w:tcPr>
          <w:p w14:paraId="1F589E73" w14:textId="77777777" w:rsidR="001F3CC8" w:rsidRDefault="004A52F3" w:rsidP="003F55A9">
            <w:pPr>
              <w:jc w:val="center"/>
            </w:pPr>
            <w:r>
              <w:t>9.8</w:t>
            </w:r>
          </w:p>
        </w:tc>
        <w:tc>
          <w:tcPr>
            <w:tcW w:w="1496" w:type="dxa"/>
          </w:tcPr>
          <w:p w14:paraId="25C35242" w14:textId="77777777" w:rsidR="001F3CC8" w:rsidRDefault="004A52F3" w:rsidP="003F55A9">
            <w:pPr>
              <w:jc w:val="center"/>
            </w:pPr>
            <w:r>
              <w:t>5.9</w:t>
            </w:r>
          </w:p>
        </w:tc>
        <w:tc>
          <w:tcPr>
            <w:tcW w:w="1014" w:type="dxa"/>
          </w:tcPr>
          <w:p w14:paraId="51377575" w14:textId="77777777" w:rsidR="001F3CC8" w:rsidRDefault="004A52F3" w:rsidP="003F55A9">
            <w:pPr>
              <w:jc w:val="center"/>
            </w:pPr>
            <w:r>
              <w:t>6.2</w:t>
            </w:r>
          </w:p>
        </w:tc>
        <w:tc>
          <w:tcPr>
            <w:tcW w:w="1443" w:type="dxa"/>
          </w:tcPr>
          <w:p w14:paraId="57A1EE48" w14:textId="77777777" w:rsidR="001F3CC8" w:rsidRDefault="004A52F3" w:rsidP="003F55A9">
            <w:pPr>
              <w:jc w:val="center"/>
            </w:pPr>
            <w:r>
              <w:t>3.2</w:t>
            </w:r>
          </w:p>
        </w:tc>
        <w:tc>
          <w:tcPr>
            <w:tcW w:w="1014" w:type="dxa"/>
          </w:tcPr>
          <w:p w14:paraId="7A3F25C1" w14:textId="77777777" w:rsidR="001F3CC8" w:rsidRDefault="004A52F3" w:rsidP="003F55A9">
            <w:pPr>
              <w:jc w:val="center"/>
            </w:pPr>
            <w:r>
              <w:t>3.9</w:t>
            </w:r>
          </w:p>
        </w:tc>
      </w:tr>
      <w:tr w:rsidR="001F3CC8" w14:paraId="0D5BA966" w14:textId="77777777" w:rsidTr="00E42EA9">
        <w:tc>
          <w:tcPr>
            <w:tcW w:w="1243" w:type="dxa"/>
          </w:tcPr>
          <w:p w14:paraId="690129FF" w14:textId="77777777" w:rsidR="001F3CC8" w:rsidRDefault="001F3CC8" w:rsidP="003F55A9">
            <w:pPr>
              <w:jc w:val="center"/>
            </w:pPr>
            <w:r>
              <w:t xml:space="preserve">May </w:t>
            </w:r>
          </w:p>
        </w:tc>
        <w:tc>
          <w:tcPr>
            <w:tcW w:w="1496" w:type="dxa"/>
          </w:tcPr>
          <w:p w14:paraId="6CB50549" w14:textId="77777777" w:rsidR="001F3CC8" w:rsidRDefault="004A52F3" w:rsidP="003F55A9">
            <w:pPr>
              <w:jc w:val="center"/>
            </w:pPr>
            <w:r>
              <w:t>10.3</w:t>
            </w:r>
          </w:p>
        </w:tc>
        <w:tc>
          <w:tcPr>
            <w:tcW w:w="1014" w:type="dxa"/>
          </w:tcPr>
          <w:p w14:paraId="77989FB4" w14:textId="77777777" w:rsidR="001F3CC8" w:rsidRDefault="004A52F3" w:rsidP="003F55A9">
            <w:pPr>
              <w:jc w:val="center"/>
            </w:pPr>
            <w:r>
              <w:t>10.5</w:t>
            </w:r>
          </w:p>
        </w:tc>
        <w:tc>
          <w:tcPr>
            <w:tcW w:w="1496" w:type="dxa"/>
          </w:tcPr>
          <w:p w14:paraId="3533A2AB" w14:textId="77777777" w:rsidR="001F3CC8" w:rsidRDefault="004A52F3" w:rsidP="003F55A9">
            <w:pPr>
              <w:jc w:val="center"/>
            </w:pPr>
            <w:r>
              <w:t>6.6</w:t>
            </w:r>
          </w:p>
        </w:tc>
        <w:tc>
          <w:tcPr>
            <w:tcW w:w="1014" w:type="dxa"/>
          </w:tcPr>
          <w:p w14:paraId="18F451B7" w14:textId="77777777" w:rsidR="001F3CC8" w:rsidRDefault="004A52F3" w:rsidP="003F55A9">
            <w:pPr>
              <w:jc w:val="center"/>
            </w:pPr>
            <w:r>
              <w:t>6.8</w:t>
            </w:r>
          </w:p>
        </w:tc>
        <w:tc>
          <w:tcPr>
            <w:tcW w:w="1443" w:type="dxa"/>
          </w:tcPr>
          <w:p w14:paraId="6FEF99EB" w14:textId="77777777" w:rsidR="001F3CC8" w:rsidRDefault="004A52F3" w:rsidP="003F55A9">
            <w:pPr>
              <w:jc w:val="center"/>
            </w:pPr>
            <w:r>
              <w:t>3.8</w:t>
            </w:r>
          </w:p>
        </w:tc>
        <w:tc>
          <w:tcPr>
            <w:tcW w:w="1014" w:type="dxa"/>
          </w:tcPr>
          <w:p w14:paraId="55F0AE4D" w14:textId="77777777" w:rsidR="001F3CC8" w:rsidRDefault="004A52F3" w:rsidP="003F55A9">
            <w:pPr>
              <w:jc w:val="center"/>
            </w:pPr>
            <w:r>
              <w:t>4.0</w:t>
            </w:r>
          </w:p>
        </w:tc>
      </w:tr>
      <w:tr w:rsidR="001F3CC8" w14:paraId="1338B630" w14:textId="77777777" w:rsidTr="00E42EA9">
        <w:tc>
          <w:tcPr>
            <w:tcW w:w="1243" w:type="dxa"/>
          </w:tcPr>
          <w:p w14:paraId="107E7756" w14:textId="77777777" w:rsidR="001F3CC8" w:rsidRDefault="001F3CC8" w:rsidP="003F55A9">
            <w:pPr>
              <w:jc w:val="center"/>
            </w:pPr>
            <w:r>
              <w:t>June</w:t>
            </w:r>
          </w:p>
        </w:tc>
        <w:tc>
          <w:tcPr>
            <w:tcW w:w="1496" w:type="dxa"/>
          </w:tcPr>
          <w:p w14:paraId="5EB4EA71" w14:textId="77777777" w:rsidR="001F3CC8" w:rsidRDefault="004A52F3" w:rsidP="003F55A9">
            <w:pPr>
              <w:jc w:val="center"/>
            </w:pPr>
            <w:r>
              <w:t>9.9</w:t>
            </w:r>
          </w:p>
        </w:tc>
        <w:tc>
          <w:tcPr>
            <w:tcW w:w="1014" w:type="dxa"/>
          </w:tcPr>
          <w:p w14:paraId="5D92E6D6" w14:textId="77777777" w:rsidR="001F3CC8" w:rsidRDefault="004A52F3" w:rsidP="003F55A9">
            <w:pPr>
              <w:jc w:val="center"/>
            </w:pPr>
            <w:r>
              <w:t>10.1</w:t>
            </w:r>
          </w:p>
        </w:tc>
        <w:tc>
          <w:tcPr>
            <w:tcW w:w="1496" w:type="dxa"/>
          </w:tcPr>
          <w:p w14:paraId="67AE8E42" w14:textId="77777777" w:rsidR="001F3CC8" w:rsidRDefault="004A52F3" w:rsidP="003F55A9">
            <w:pPr>
              <w:jc w:val="center"/>
            </w:pPr>
            <w:r>
              <w:t>6.3</w:t>
            </w:r>
          </w:p>
        </w:tc>
        <w:tc>
          <w:tcPr>
            <w:tcW w:w="1014" w:type="dxa"/>
          </w:tcPr>
          <w:p w14:paraId="2E94771C" w14:textId="77777777" w:rsidR="001F3CC8" w:rsidRDefault="004A52F3" w:rsidP="003F55A9">
            <w:pPr>
              <w:jc w:val="center"/>
            </w:pPr>
            <w:r>
              <w:t>6.4</w:t>
            </w:r>
          </w:p>
        </w:tc>
        <w:tc>
          <w:tcPr>
            <w:tcW w:w="1443" w:type="dxa"/>
          </w:tcPr>
          <w:p w14:paraId="10AA2DB0" w14:textId="77777777" w:rsidR="001F3CC8" w:rsidRDefault="004A52F3" w:rsidP="003F55A9">
            <w:pPr>
              <w:jc w:val="center"/>
            </w:pPr>
            <w:r>
              <w:t>3.6</w:t>
            </w:r>
          </w:p>
        </w:tc>
        <w:tc>
          <w:tcPr>
            <w:tcW w:w="1014" w:type="dxa"/>
          </w:tcPr>
          <w:p w14:paraId="6BA77B79" w14:textId="77777777" w:rsidR="001F3CC8" w:rsidRDefault="004A52F3" w:rsidP="003F55A9">
            <w:pPr>
              <w:jc w:val="center"/>
            </w:pPr>
            <w:r>
              <w:t>3.8</w:t>
            </w:r>
          </w:p>
        </w:tc>
      </w:tr>
      <w:tr w:rsidR="001F3CC8" w14:paraId="7B5D8720" w14:textId="77777777" w:rsidTr="00E42EA9">
        <w:tc>
          <w:tcPr>
            <w:tcW w:w="1243" w:type="dxa"/>
          </w:tcPr>
          <w:p w14:paraId="01B21234" w14:textId="77777777" w:rsidR="001F3CC8" w:rsidRDefault="001F3CC8" w:rsidP="003F55A9">
            <w:pPr>
              <w:jc w:val="center"/>
            </w:pPr>
            <w:r>
              <w:t>July</w:t>
            </w:r>
          </w:p>
        </w:tc>
        <w:tc>
          <w:tcPr>
            <w:tcW w:w="1496" w:type="dxa"/>
          </w:tcPr>
          <w:p w14:paraId="2771024D" w14:textId="77777777" w:rsidR="001F3CC8" w:rsidRDefault="004A52F3" w:rsidP="003F55A9">
            <w:pPr>
              <w:jc w:val="center"/>
            </w:pPr>
            <w:r>
              <w:t>8.8</w:t>
            </w:r>
          </w:p>
        </w:tc>
        <w:tc>
          <w:tcPr>
            <w:tcW w:w="1014" w:type="dxa"/>
          </w:tcPr>
          <w:p w14:paraId="3571FA4D" w14:textId="77777777" w:rsidR="001F3CC8" w:rsidRDefault="004A52F3" w:rsidP="003F55A9">
            <w:pPr>
              <w:jc w:val="center"/>
            </w:pPr>
            <w:r>
              <w:t>9.7</w:t>
            </w:r>
          </w:p>
        </w:tc>
        <w:tc>
          <w:tcPr>
            <w:tcW w:w="1496" w:type="dxa"/>
          </w:tcPr>
          <w:p w14:paraId="709C1A89" w14:textId="77777777" w:rsidR="001F3CC8" w:rsidRDefault="004A52F3" w:rsidP="003F55A9">
            <w:pPr>
              <w:jc w:val="center"/>
            </w:pPr>
            <w:r>
              <w:t>6.1</w:t>
            </w:r>
          </w:p>
        </w:tc>
        <w:tc>
          <w:tcPr>
            <w:tcW w:w="1014" w:type="dxa"/>
          </w:tcPr>
          <w:p w14:paraId="2FB2ED4F" w14:textId="77777777" w:rsidR="001F3CC8" w:rsidRDefault="004A52F3" w:rsidP="003F55A9">
            <w:pPr>
              <w:jc w:val="center"/>
            </w:pPr>
            <w:r>
              <w:t>6.1</w:t>
            </w:r>
          </w:p>
        </w:tc>
        <w:tc>
          <w:tcPr>
            <w:tcW w:w="1443" w:type="dxa"/>
          </w:tcPr>
          <w:p w14:paraId="7E46CD22" w14:textId="77777777" w:rsidR="001F3CC8" w:rsidRDefault="004A52F3" w:rsidP="003F55A9">
            <w:pPr>
              <w:jc w:val="center"/>
            </w:pPr>
            <w:r>
              <w:t>3.3</w:t>
            </w:r>
          </w:p>
        </w:tc>
        <w:tc>
          <w:tcPr>
            <w:tcW w:w="1014" w:type="dxa"/>
          </w:tcPr>
          <w:p w14:paraId="7D387E98" w14:textId="77777777" w:rsidR="001F3CC8" w:rsidRDefault="004A52F3" w:rsidP="003F55A9">
            <w:pPr>
              <w:jc w:val="center"/>
            </w:pPr>
            <w:r>
              <w:t>3.7</w:t>
            </w:r>
          </w:p>
        </w:tc>
      </w:tr>
      <w:tr w:rsidR="001F3CC8" w14:paraId="7968DB67" w14:textId="77777777" w:rsidTr="00E42EA9">
        <w:tc>
          <w:tcPr>
            <w:tcW w:w="1243" w:type="dxa"/>
          </w:tcPr>
          <w:p w14:paraId="4E15C4D8" w14:textId="77777777" w:rsidR="001F3CC8" w:rsidRDefault="001F3CC8" w:rsidP="003F55A9">
            <w:pPr>
              <w:jc w:val="center"/>
            </w:pPr>
            <w:r>
              <w:t>August</w:t>
            </w:r>
          </w:p>
        </w:tc>
        <w:tc>
          <w:tcPr>
            <w:tcW w:w="1496" w:type="dxa"/>
          </w:tcPr>
          <w:p w14:paraId="342D73CD" w14:textId="77777777" w:rsidR="001F3CC8" w:rsidRDefault="004A52F3" w:rsidP="003F55A9">
            <w:pPr>
              <w:jc w:val="center"/>
            </w:pPr>
            <w:r>
              <w:t>8.3</w:t>
            </w:r>
          </w:p>
        </w:tc>
        <w:tc>
          <w:tcPr>
            <w:tcW w:w="1014" w:type="dxa"/>
          </w:tcPr>
          <w:p w14:paraId="4EC05770" w14:textId="77777777" w:rsidR="001F3CC8" w:rsidRDefault="004A52F3" w:rsidP="003F55A9">
            <w:pPr>
              <w:jc w:val="center"/>
            </w:pPr>
            <w:r>
              <w:t>9.3</w:t>
            </w:r>
          </w:p>
        </w:tc>
        <w:tc>
          <w:tcPr>
            <w:tcW w:w="1496" w:type="dxa"/>
          </w:tcPr>
          <w:p w14:paraId="43E746F8" w14:textId="77777777" w:rsidR="001F3CC8" w:rsidRDefault="004A52F3" w:rsidP="003F55A9">
            <w:pPr>
              <w:jc w:val="center"/>
            </w:pPr>
            <w:r>
              <w:t>5.8</w:t>
            </w:r>
          </w:p>
        </w:tc>
        <w:tc>
          <w:tcPr>
            <w:tcW w:w="1014" w:type="dxa"/>
          </w:tcPr>
          <w:p w14:paraId="1A9A656C" w14:textId="77777777" w:rsidR="001F3CC8" w:rsidRDefault="004A52F3" w:rsidP="003F55A9">
            <w:pPr>
              <w:jc w:val="center"/>
            </w:pPr>
            <w:r>
              <w:t>5.9</w:t>
            </w:r>
          </w:p>
        </w:tc>
        <w:tc>
          <w:tcPr>
            <w:tcW w:w="1443" w:type="dxa"/>
          </w:tcPr>
          <w:p w14:paraId="3031A518" w14:textId="77777777" w:rsidR="001F3CC8" w:rsidRDefault="004A52F3" w:rsidP="003F55A9">
            <w:pPr>
              <w:jc w:val="center"/>
            </w:pPr>
            <w:r>
              <w:t>3.2</w:t>
            </w:r>
          </w:p>
        </w:tc>
        <w:tc>
          <w:tcPr>
            <w:tcW w:w="1014" w:type="dxa"/>
          </w:tcPr>
          <w:p w14:paraId="7B9760C8" w14:textId="77777777" w:rsidR="001F3CC8" w:rsidRDefault="004A52F3" w:rsidP="003F55A9">
            <w:pPr>
              <w:jc w:val="center"/>
            </w:pPr>
            <w:r>
              <w:t>3.4</w:t>
            </w:r>
          </w:p>
        </w:tc>
      </w:tr>
      <w:tr w:rsidR="001F3CC8" w14:paraId="4AEBB8FD" w14:textId="77777777" w:rsidTr="00E42EA9">
        <w:tc>
          <w:tcPr>
            <w:tcW w:w="1243" w:type="dxa"/>
          </w:tcPr>
          <w:p w14:paraId="46B5FD46" w14:textId="77777777" w:rsidR="001F3CC8" w:rsidRDefault="001F3CC8" w:rsidP="003F55A9">
            <w:pPr>
              <w:jc w:val="center"/>
            </w:pPr>
            <w:r>
              <w:t>September</w:t>
            </w:r>
          </w:p>
        </w:tc>
        <w:tc>
          <w:tcPr>
            <w:tcW w:w="1496" w:type="dxa"/>
          </w:tcPr>
          <w:p w14:paraId="4EC22DD6" w14:textId="77777777" w:rsidR="001F3CC8" w:rsidRDefault="004A52F3" w:rsidP="003F55A9">
            <w:pPr>
              <w:jc w:val="center"/>
            </w:pPr>
            <w:r>
              <w:t>7.9</w:t>
            </w:r>
          </w:p>
        </w:tc>
        <w:tc>
          <w:tcPr>
            <w:tcW w:w="1014" w:type="dxa"/>
          </w:tcPr>
          <w:p w14:paraId="0A65488E" w14:textId="77777777" w:rsidR="001F3CC8" w:rsidRDefault="004A52F3" w:rsidP="003F55A9">
            <w:pPr>
              <w:jc w:val="center"/>
            </w:pPr>
            <w:r>
              <w:t>8.8</w:t>
            </w:r>
          </w:p>
        </w:tc>
        <w:tc>
          <w:tcPr>
            <w:tcW w:w="1496" w:type="dxa"/>
          </w:tcPr>
          <w:p w14:paraId="6A9D32F2" w14:textId="77777777" w:rsidR="001F3CC8" w:rsidRDefault="004A52F3" w:rsidP="003F55A9">
            <w:pPr>
              <w:jc w:val="center"/>
            </w:pPr>
            <w:r>
              <w:t>5.6</w:t>
            </w:r>
          </w:p>
        </w:tc>
        <w:tc>
          <w:tcPr>
            <w:tcW w:w="1014" w:type="dxa"/>
          </w:tcPr>
          <w:p w14:paraId="2BB85312" w14:textId="77777777" w:rsidR="001F3CC8" w:rsidRDefault="004A52F3" w:rsidP="003F55A9">
            <w:pPr>
              <w:jc w:val="center"/>
            </w:pPr>
            <w:r>
              <w:t>5.7</w:t>
            </w:r>
          </w:p>
        </w:tc>
        <w:tc>
          <w:tcPr>
            <w:tcW w:w="1443" w:type="dxa"/>
          </w:tcPr>
          <w:p w14:paraId="59579541" w14:textId="77777777" w:rsidR="001F3CC8" w:rsidRDefault="004A52F3" w:rsidP="003F55A9">
            <w:pPr>
              <w:jc w:val="center"/>
            </w:pPr>
            <w:r>
              <w:t>3.0</w:t>
            </w:r>
          </w:p>
        </w:tc>
        <w:tc>
          <w:tcPr>
            <w:tcW w:w="1014" w:type="dxa"/>
          </w:tcPr>
          <w:p w14:paraId="1005D5E7" w14:textId="77777777" w:rsidR="001F3CC8" w:rsidRDefault="004A52F3" w:rsidP="003F55A9">
            <w:pPr>
              <w:jc w:val="center"/>
            </w:pPr>
            <w:r>
              <w:t>3.2</w:t>
            </w:r>
          </w:p>
        </w:tc>
      </w:tr>
      <w:tr w:rsidR="001F3CC8" w14:paraId="0AD72C28" w14:textId="77777777" w:rsidTr="00E42EA9">
        <w:tc>
          <w:tcPr>
            <w:tcW w:w="1243" w:type="dxa"/>
          </w:tcPr>
          <w:p w14:paraId="502492FB" w14:textId="77777777" w:rsidR="001F3CC8" w:rsidRDefault="001F3CC8" w:rsidP="003F55A9">
            <w:pPr>
              <w:jc w:val="center"/>
            </w:pPr>
            <w:r>
              <w:t>October</w:t>
            </w:r>
          </w:p>
        </w:tc>
        <w:tc>
          <w:tcPr>
            <w:tcW w:w="1496" w:type="dxa"/>
          </w:tcPr>
          <w:p w14:paraId="2627958E" w14:textId="77777777" w:rsidR="001F3CC8" w:rsidRDefault="004A52F3" w:rsidP="003F55A9">
            <w:pPr>
              <w:jc w:val="center"/>
            </w:pPr>
            <w:r>
              <w:t>7.5</w:t>
            </w:r>
          </w:p>
        </w:tc>
        <w:tc>
          <w:tcPr>
            <w:tcW w:w="1014" w:type="dxa"/>
          </w:tcPr>
          <w:p w14:paraId="57A1316A" w14:textId="77777777" w:rsidR="001F3CC8" w:rsidRDefault="004A52F3" w:rsidP="003F55A9">
            <w:pPr>
              <w:jc w:val="center"/>
            </w:pPr>
            <w:r>
              <w:t>8.4</w:t>
            </w:r>
          </w:p>
        </w:tc>
        <w:tc>
          <w:tcPr>
            <w:tcW w:w="1496" w:type="dxa"/>
          </w:tcPr>
          <w:p w14:paraId="5DF19EA0" w14:textId="77777777" w:rsidR="001F3CC8" w:rsidRDefault="0085167F" w:rsidP="003F55A9">
            <w:pPr>
              <w:jc w:val="center"/>
            </w:pPr>
            <w:r>
              <w:t>5.4</w:t>
            </w:r>
          </w:p>
        </w:tc>
        <w:tc>
          <w:tcPr>
            <w:tcW w:w="1014" w:type="dxa"/>
          </w:tcPr>
          <w:p w14:paraId="195F4847" w14:textId="77777777" w:rsidR="001F3CC8" w:rsidRDefault="0085167F" w:rsidP="003F55A9">
            <w:pPr>
              <w:jc w:val="center"/>
            </w:pPr>
            <w:r>
              <w:t>5.4</w:t>
            </w:r>
          </w:p>
        </w:tc>
        <w:tc>
          <w:tcPr>
            <w:tcW w:w="1443" w:type="dxa"/>
          </w:tcPr>
          <w:p w14:paraId="776491B3" w14:textId="77777777" w:rsidR="001F3CC8" w:rsidRDefault="0085167F" w:rsidP="003F55A9">
            <w:pPr>
              <w:jc w:val="center"/>
            </w:pPr>
            <w:r>
              <w:t>2.8</w:t>
            </w:r>
          </w:p>
        </w:tc>
        <w:tc>
          <w:tcPr>
            <w:tcW w:w="1014" w:type="dxa"/>
          </w:tcPr>
          <w:p w14:paraId="68366BEC" w14:textId="77777777" w:rsidR="001F3CC8" w:rsidRDefault="0085167F" w:rsidP="003F55A9">
            <w:pPr>
              <w:jc w:val="center"/>
            </w:pPr>
            <w:r>
              <w:t>3.0</w:t>
            </w:r>
          </w:p>
        </w:tc>
      </w:tr>
      <w:tr w:rsidR="001F3CC8" w14:paraId="115FC78F" w14:textId="77777777" w:rsidTr="00E42EA9">
        <w:tc>
          <w:tcPr>
            <w:tcW w:w="1243" w:type="dxa"/>
          </w:tcPr>
          <w:p w14:paraId="7BC5B1D3" w14:textId="77777777" w:rsidR="001F3CC8" w:rsidRDefault="001F3CC8" w:rsidP="003F55A9">
            <w:pPr>
              <w:jc w:val="center"/>
            </w:pPr>
            <w:r>
              <w:t>November</w:t>
            </w:r>
          </w:p>
        </w:tc>
        <w:tc>
          <w:tcPr>
            <w:tcW w:w="1496" w:type="dxa"/>
          </w:tcPr>
          <w:p w14:paraId="6A43EDCD" w14:textId="77777777" w:rsidR="001F3CC8" w:rsidRDefault="0085167F" w:rsidP="003F55A9">
            <w:pPr>
              <w:jc w:val="center"/>
            </w:pPr>
            <w:r>
              <w:t>7.3</w:t>
            </w:r>
          </w:p>
        </w:tc>
        <w:tc>
          <w:tcPr>
            <w:tcW w:w="1014" w:type="dxa"/>
          </w:tcPr>
          <w:p w14:paraId="4B06BEF1" w14:textId="77777777" w:rsidR="001F3CC8" w:rsidRDefault="0085167F" w:rsidP="003F55A9">
            <w:pPr>
              <w:jc w:val="center"/>
            </w:pPr>
            <w:r>
              <w:t>7.9</w:t>
            </w:r>
          </w:p>
        </w:tc>
        <w:tc>
          <w:tcPr>
            <w:tcW w:w="1496" w:type="dxa"/>
          </w:tcPr>
          <w:p w14:paraId="5CD80BD9" w14:textId="77777777" w:rsidR="001F3CC8" w:rsidRDefault="0085167F" w:rsidP="003F55A9">
            <w:pPr>
              <w:jc w:val="center"/>
            </w:pPr>
            <w:r>
              <w:t>5.1</w:t>
            </w:r>
          </w:p>
        </w:tc>
        <w:tc>
          <w:tcPr>
            <w:tcW w:w="1014" w:type="dxa"/>
          </w:tcPr>
          <w:p w14:paraId="674B7E0A" w14:textId="77777777" w:rsidR="001F3CC8" w:rsidRDefault="0085167F" w:rsidP="003F55A9">
            <w:pPr>
              <w:jc w:val="center"/>
            </w:pPr>
            <w:r>
              <w:t>5.1</w:t>
            </w:r>
          </w:p>
        </w:tc>
        <w:tc>
          <w:tcPr>
            <w:tcW w:w="1443" w:type="dxa"/>
          </w:tcPr>
          <w:p w14:paraId="562F2949" w14:textId="77777777" w:rsidR="001F3CC8" w:rsidRDefault="0085167F" w:rsidP="003F55A9">
            <w:pPr>
              <w:jc w:val="center"/>
            </w:pPr>
            <w:r>
              <w:t>2.7</w:t>
            </w:r>
          </w:p>
        </w:tc>
        <w:tc>
          <w:tcPr>
            <w:tcW w:w="1014" w:type="dxa"/>
          </w:tcPr>
          <w:p w14:paraId="6A4FC5AF" w14:textId="77777777" w:rsidR="001F3CC8" w:rsidRDefault="0085167F" w:rsidP="003F55A9">
            <w:pPr>
              <w:jc w:val="center"/>
            </w:pPr>
            <w:r>
              <w:t>2.9</w:t>
            </w:r>
          </w:p>
        </w:tc>
      </w:tr>
      <w:tr w:rsidR="001F3CC8" w14:paraId="2EFB5A16" w14:textId="77777777" w:rsidTr="00E42EA9">
        <w:tc>
          <w:tcPr>
            <w:tcW w:w="1243" w:type="dxa"/>
          </w:tcPr>
          <w:p w14:paraId="22776B87" w14:textId="77777777" w:rsidR="001F3CC8" w:rsidRDefault="001F3CC8" w:rsidP="003F55A9">
            <w:pPr>
              <w:jc w:val="center"/>
            </w:pPr>
            <w:r>
              <w:lastRenderedPageBreak/>
              <w:t>December</w:t>
            </w:r>
          </w:p>
        </w:tc>
        <w:tc>
          <w:tcPr>
            <w:tcW w:w="1496" w:type="dxa"/>
          </w:tcPr>
          <w:p w14:paraId="5A64E4D2" w14:textId="77777777" w:rsidR="001F3CC8" w:rsidRDefault="0085167F" w:rsidP="003F55A9">
            <w:pPr>
              <w:jc w:val="center"/>
            </w:pPr>
            <w:r>
              <w:t>6.8</w:t>
            </w:r>
          </w:p>
        </w:tc>
        <w:tc>
          <w:tcPr>
            <w:tcW w:w="1014" w:type="dxa"/>
          </w:tcPr>
          <w:p w14:paraId="6BAB30C4" w14:textId="77777777" w:rsidR="001F3CC8" w:rsidRDefault="0085167F" w:rsidP="003F55A9">
            <w:pPr>
              <w:jc w:val="center"/>
            </w:pPr>
            <w:r>
              <w:t>7.5</w:t>
            </w:r>
          </w:p>
        </w:tc>
        <w:tc>
          <w:tcPr>
            <w:tcW w:w="1496" w:type="dxa"/>
          </w:tcPr>
          <w:p w14:paraId="217ABF4C" w14:textId="77777777" w:rsidR="001F3CC8" w:rsidRDefault="0085167F" w:rsidP="003F55A9">
            <w:pPr>
              <w:jc w:val="center"/>
            </w:pPr>
            <w:r>
              <w:t>4.6</w:t>
            </w:r>
          </w:p>
        </w:tc>
        <w:tc>
          <w:tcPr>
            <w:tcW w:w="1014" w:type="dxa"/>
          </w:tcPr>
          <w:p w14:paraId="7D099641" w14:textId="77777777" w:rsidR="001F3CC8" w:rsidRDefault="0085167F" w:rsidP="003F55A9">
            <w:pPr>
              <w:jc w:val="center"/>
            </w:pPr>
            <w:r>
              <w:t>4.8</w:t>
            </w:r>
          </w:p>
        </w:tc>
        <w:tc>
          <w:tcPr>
            <w:tcW w:w="1443" w:type="dxa"/>
          </w:tcPr>
          <w:p w14:paraId="73D63F09" w14:textId="77777777" w:rsidR="001F3CC8" w:rsidRDefault="0085167F" w:rsidP="003F55A9">
            <w:pPr>
              <w:jc w:val="center"/>
            </w:pPr>
            <w:r>
              <w:t>2.5</w:t>
            </w:r>
          </w:p>
        </w:tc>
        <w:tc>
          <w:tcPr>
            <w:tcW w:w="1014" w:type="dxa"/>
          </w:tcPr>
          <w:p w14:paraId="7D3D2D2F" w14:textId="77777777" w:rsidR="001F3CC8" w:rsidRDefault="0085167F" w:rsidP="003F55A9">
            <w:pPr>
              <w:jc w:val="center"/>
            </w:pPr>
            <w:r>
              <w:t>3.6</w:t>
            </w:r>
          </w:p>
        </w:tc>
      </w:tr>
      <w:bookmarkEnd w:id="0"/>
      <w:tr w:rsidR="001F3CC8" w14:paraId="5A1F8675" w14:textId="77777777" w:rsidTr="00E42EA9">
        <w:tc>
          <w:tcPr>
            <w:tcW w:w="1243" w:type="dxa"/>
          </w:tcPr>
          <w:p w14:paraId="7BBBDB20" w14:textId="77777777" w:rsidR="001F3CC8" w:rsidRPr="0077651D" w:rsidRDefault="001F3CC8" w:rsidP="003F55A9">
            <w:pPr>
              <w:jc w:val="center"/>
              <w:rPr>
                <w:b/>
                <w:bCs/>
              </w:rPr>
            </w:pPr>
            <w:r w:rsidRPr="0077651D">
              <w:rPr>
                <w:b/>
                <w:bCs/>
              </w:rPr>
              <w:t>Average</w:t>
            </w:r>
          </w:p>
        </w:tc>
        <w:tc>
          <w:tcPr>
            <w:tcW w:w="1496" w:type="dxa"/>
          </w:tcPr>
          <w:p w14:paraId="70D2525C" w14:textId="77777777" w:rsidR="001F3CC8" w:rsidRPr="0077651D" w:rsidRDefault="0085167F" w:rsidP="003F55A9">
            <w:pPr>
              <w:jc w:val="center"/>
              <w:rPr>
                <w:b/>
                <w:bCs/>
              </w:rPr>
            </w:pPr>
            <w:r w:rsidRPr="0077651D">
              <w:rPr>
                <w:b/>
                <w:bCs/>
              </w:rPr>
              <w:t>8.39</w:t>
            </w:r>
          </w:p>
        </w:tc>
        <w:tc>
          <w:tcPr>
            <w:tcW w:w="1014" w:type="dxa"/>
          </w:tcPr>
          <w:p w14:paraId="4FAE7773" w14:textId="77777777" w:rsidR="001F3CC8" w:rsidRPr="0077651D" w:rsidRDefault="0085167F" w:rsidP="003F55A9">
            <w:pPr>
              <w:jc w:val="center"/>
              <w:rPr>
                <w:b/>
                <w:bCs/>
              </w:rPr>
            </w:pPr>
            <w:r w:rsidRPr="0077651D">
              <w:rPr>
                <w:b/>
                <w:bCs/>
              </w:rPr>
              <w:t>8.76</w:t>
            </w:r>
          </w:p>
        </w:tc>
        <w:tc>
          <w:tcPr>
            <w:tcW w:w="1496" w:type="dxa"/>
          </w:tcPr>
          <w:p w14:paraId="7329637F" w14:textId="77777777" w:rsidR="001F3CC8" w:rsidRPr="0077651D" w:rsidRDefault="0085167F" w:rsidP="003F55A9">
            <w:pPr>
              <w:jc w:val="center"/>
              <w:rPr>
                <w:b/>
                <w:bCs/>
              </w:rPr>
            </w:pPr>
            <w:r w:rsidRPr="0077651D">
              <w:rPr>
                <w:b/>
                <w:bCs/>
              </w:rPr>
              <w:t>5.48</w:t>
            </w:r>
          </w:p>
        </w:tc>
        <w:tc>
          <w:tcPr>
            <w:tcW w:w="1014" w:type="dxa"/>
          </w:tcPr>
          <w:p w14:paraId="15DAEE7C" w14:textId="77777777" w:rsidR="001F3CC8" w:rsidRPr="0077651D" w:rsidRDefault="0085167F" w:rsidP="003F55A9">
            <w:pPr>
              <w:jc w:val="center"/>
              <w:rPr>
                <w:b/>
                <w:bCs/>
              </w:rPr>
            </w:pPr>
            <w:r w:rsidRPr="0077651D">
              <w:rPr>
                <w:b/>
                <w:bCs/>
              </w:rPr>
              <w:t>5.6</w:t>
            </w:r>
          </w:p>
        </w:tc>
        <w:tc>
          <w:tcPr>
            <w:tcW w:w="1443" w:type="dxa"/>
          </w:tcPr>
          <w:p w14:paraId="0AFBBB87" w14:textId="77777777" w:rsidR="001F3CC8" w:rsidRPr="0077651D" w:rsidRDefault="0085167F" w:rsidP="003F55A9">
            <w:pPr>
              <w:jc w:val="center"/>
              <w:rPr>
                <w:b/>
                <w:bCs/>
              </w:rPr>
            </w:pPr>
            <w:r w:rsidRPr="0077651D">
              <w:rPr>
                <w:b/>
                <w:bCs/>
              </w:rPr>
              <w:t>3.02</w:t>
            </w:r>
          </w:p>
        </w:tc>
        <w:tc>
          <w:tcPr>
            <w:tcW w:w="1014" w:type="dxa"/>
          </w:tcPr>
          <w:p w14:paraId="7655F186" w14:textId="77777777" w:rsidR="001F3CC8" w:rsidRPr="0077651D" w:rsidRDefault="0085167F" w:rsidP="003F55A9">
            <w:pPr>
              <w:jc w:val="center"/>
              <w:rPr>
                <w:b/>
                <w:bCs/>
              </w:rPr>
            </w:pPr>
            <w:r w:rsidRPr="0077651D">
              <w:rPr>
                <w:b/>
                <w:bCs/>
              </w:rPr>
              <w:t>3.34</w:t>
            </w:r>
          </w:p>
        </w:tc>
      </w:tr>
    </w:tbl>
    <w:p w14:paraId="06761C2F" w14:textId="77777777" w:rsidR="009D531D" w:rsidRPr="00906938" w:rsidRDefault="009D531D" w:rsidP="009D531D">
      <w:pPr>
        <w:spacing w:line="360" w:lineRule="auto"/>
        <w:jc w:val="center"/>
        <w:rPr>
          <w:lang w:val="en-IN"/>
        </w:rPr>
      </w:pPr>
    </w:p>
    <w:p w14:paraId="7C23FD34" w14:textId="77777777" w:rsidR="009D531D" w:rsidRPr="003F55A9" w:rsidRDefault="009D531D" w:rsidP="009D531D">
      <w:pPr>
        <w:spacing w:line="360" w:lineRule="auto"/>
        <w:jc w:val="center"/>
        <w:rPr>
          <w:b/>
          <w:bCs/>
        </w:rPr>
      </w:pPr>
      <w:r w:rsidRPr="003F55A9">
        <w:rPr>
          <w:b/>
          <w:bCs/>
        </w:rPr>
        <w:t xml:space="preserve">Table </w:t>
      </w:r>
      <w:r w:rsidR="00964CAF">
        <w:rPr>
          <w:b/>
          <w:bCs/>
        </w:rPr>
        <w:t xml:space="preserve">– </w:t>
      </w:r>
      <w:r w:rsidRPr="003F55A9">
        <w:rPr>
          <w:b/>
          <w:bCs/>
        </w:rPr>
        <w:t xml:space="preserve">2 </w:t>
      </w:r>
    </w:p>
    <w:p w14:paraId="0BB5B4B2" w14:textId="77777777" w:rsidR="009D531D" w:rsidRPr="003F55A9" w:rsidRDefault="009D531D" w:rsidP="009D531D">
      <w:pPr>
        <w:spacing w:line="360" w:lineRule="auto"/>
        <w:jc w:val="center"/>
        <w:rPr>
          <w:b/>
          <w:bCs/>
        </w:rPr>
      </w:pPr>
      <w:r w:rsidRPr="003F55A9">
        <w:rPr>
          <w:b/>
          <w:bCs/>
        </w:rPr>
        <w:t xml:space="preserve">Ration between Productivity Parameter </w:t>
      </w:r>
    </w:p>
    <w:tbl>
      <w:tblPr>
        <w:tblStyle w:val="TableGrid"/>
        <w:tblW w:w="0" w:type="auto"/>
        <w:jc w:val="center"/>
        <w:tblInd w:w="0" w:type="dxa"/>
        <w:tblLook w:val="0000" w:firstRow="0" w:lastRow="0" w:firstColumn="0" w:lastColumn="0" w:noHBand="0" w:noVBand="0"/>
      </w:tblPr>
      <w:tblGrid>
        <w:gridCol w:w="3186"/>
        <w:gridCol w:w="2734"/>
        <w:gridCol w:w="3099"/>
      </w:tblGrid>
      <w:tr w:rsidR="00F0584B" w:rsidRPr="008B31AC" w14:paraId="52750985" w14:textId="77777777" w:rsidTr="00F0584B">
        <w:trPr>
          <w:jc w:val="center"/>
        </w:trPr>
        <w:tc>
          <w:tcPr>
            <w:tcW w:w="3186" w:type="dxa"/>
          </w:tcPr>
          <w:p w14:paraId="54E1CD6E" w14:textId="77777777" w:rsidR="00F0584B" w:rsidRPr="008A61C5" w:rsidRDefault="00F0584B" w:rsidP="008A61C5">
            <w:pPr>
              <w:spacing w:line="360" w:lineRule="auto"/>
              <w:jc w:val="center"/>
              <w:rPr>
                <w:b/>
                <w:bCs/>
              </w:rPr>
            </w:pPr>
            <w:proofErr w:type="gramStart"/>
            <w:r w:rsidRPr="008A61C5">
              <w:rPr>
                <w:b/>
                <w:bCs/>
              </w:rPr>
              <w:t>NPP:GPP</w:t>
            </w:r>
            <w:proofErr w:type="gramEnd"/>
          </w:p>
        </w:tc>
        <w:tc>
          <w:tcPr>
            <w:tcW w:w="2734" w:type="dxa"/>
          </w:tcPr>
          <w:p w14:paraId="7592DAB6" w14:textId="77777777" w:rsidR="00F0584B" w:rsidRPr="008A61C5" w:rsidRDefault="00EB0073" w:rsidP="008A61C5">
            <w:pPr>
              <w:spacing w:line="360" w:lineRule="auto"/>
              <w:jc w:val="center"/>
              <w:rPr>
                <w:b/>
                <w:bCs/>
              </w:rPr>
            </w:pPr>
            <w:r>
              <w:rPr>
                <w:b/>
                <w:bCs/>
              </w:rPr>
              <w:t>GPP:CR</w:t>
            </w:r>
          </w:p>
        </w:tc>
        <w:tc>
          <w:tcPr>
            <w:tcW w:w="3099" w:type="dxa"/>
          </w:tcPr>
          <w:p w14:paraId="1DDD6B96" w14:textId="77777777" w:rsidR="00F0584B" w:rsidRPr="008A61C5" w:rsidRDefault="00F0584B" w:rsidP="008A61C5">
            <w:pPr>
              <w:spacing w:line="360" w:lineRule="auto"/>
              <w:jc w:val="center"/>
              <w:rPr>
                <w:b/>
                <w:bCs/>
              </w:rPr>
            </w:pPr>
            <w:r w:rsidRPr="008A61C5">
              <w:rPr>
                <w:b/>
                <w:bCs/>
              </w:rPr>
              <w:t>NPP:CR</w:t>
            </w:r>
          </w:p>
        </w:tc>
      </w:tr>
      <w:tr w:rsidR="00F0584B" w:rsidRPr="008B31AC" w14:paraId="3437DA11" w14:textId="77777777" w:rsidTr="00F0584B">
        <w:trPr>
          <w:jc w:val="center"/>
        </w:trPr>
        <w:tc>
          <w:tcPr>
            <w:tcW w:w="3186" w:type="dxa"/>
          </w:tcPr>
          <w:p w14:paraId="6EFB1DB6" w14:textId="77777777" w:rsidR="00F0584B" w:rsidRPr="008B31AC" w:rsidRDefault="00F0584B" w:rsidP="008A61C5">
            <w:pPr>
              <w:spacing w:line="360" w:lineRule="auto"/>
              <w:jc w:val="center"/>
            </w:pPr>
            <w:r w:rsidRPr="008B31AC">
              <w:t>0.63</w:t>
            </w:r>
          </w:p>
        </w:tc>
        <w:tc>
          <w:tcPr>
            <w:tcW w:w="2734" w:type="dxa"/>
          </w:tcPr>
          <w:p w14:paraId="32AFCCA0" w14:textId="77777777" w:rsidR="00F0584B" w:rsidRPr="008B31AC" w:rsidRDefault="00EB0073" w:rsidP="008A61C5">
            <w:pPr>
              <w:spacing w:line="360" w:lineRule="auto"/>
              <w:jc w:val="center"/>
            </w:pPr>
            <w:r>
              <w:t>1.2</w:t>
            </w:r>
          </w:p>
        </w:tc>
        <w:tc>
          <w:tcPr>
            <w:tcW w:w="3099" w:type="dxa"/>
          </w:tcPr>
          <w:p w14:paraId="1D49D332" w14:textId="77777777" w:rsidR="00F0584B" w:rsidRPr="008B31AC" w:rsidRDefault="00F0584B" w:rsidP="008A61C5">
            <w:pPr>
              <w:spacing w:line="360" w:lineRule="auto"/>
              <w:jc w:val="center"/>
            </w:pPr>
            <w:r w:rsidRPr="008B31AC">
              <w:t>1.7</w:t>
            </w:r>
          </w:p>
        </w:tc>
      </w:tr>
    </w:tbl>
    <w:p w14:paraId="5DB57ACB" w14:textId="77777777" w:rsidR="00AF7457" w:rsidRPr="00AF7457" w:rsidRDefault="00AF7457">
      <w:pPr>
        <w:rPr>
          <w:noProof/>
          <w:lang w:val="en-IN"/>
        </w:rPr>
      </w:pPr>
    </w:p>
    <w:p w14:paraId="16349591" w14:textId="77777777" w:rsidR="00E77D8D" w:rsidRDefault="00E77D8D">
      <w:pPr>
        <w:rPr>
          <w:color w:val="000000"/>
        </w:rPr>
      </w:pPr>
      <w:r>
        <w:rPr>
          <w:color w:val="000000"/>
        </w:rPr>
        <w:br w:type="page"/>
      </w:r>
    </w:p>
    <w:p w14:paraId="7A5A8AA7" w14:textId="77777777" w:rsidR="00A27EF2" w:rsidRPr="00A27EF2" w:rsidRDefault="009D531D" w:rsidP="009D531D">
      <w:pPr>
        <w:spacing w:before="100" w:line="360" w:lineRule="auto"/>
        <w:ind w:firstLine="720"/>
        <w:jc w:val="both"/>
        <w:rPr>
          <w:color w:val="000000"/>
          <w:lang w:val="en-IN"/>
        </w:rPr>
      </w:pPr>
      <w:r>
        <w:rPr>
          <w:color w:val="000000"/>
        </w:rPr>
        <w:lastRenderedPageBreak/>
        <w:t>The Gross Primary Productivity (GPP) of the system was found to range from 6.6 to 10.5g C/m</w:t>
      </w:r>
      <w:r>
        <w:rPr>
          <w:color w:val="000000"/>
          <w:vertAlign w:val="superscript"/>
        </w:rPr>
        <w:t>2</w:t>
      </w:r>
      <w:r>
        <w:rPr>
          <w:color w:val="000000"/>
        </w:rPr>
        <w:t>/day</w:t>
      </w:r>
      <w:r>
        <w:rPr>
          <w:color w:val="000000"/>
          <w:highlight w:val="yellow"/>
        </w:rPr>
        <w:t>,</w:t>
      </w:r>
      <w:r>
        <w:rPr>
          <w:color w:val="000000"/>
        </w:rPr>
        <w:t xml:space="preserve"> with the minimum o</w:t>
      </w:r>
      <w:r>
        <w:rPr>
          <w:color w:val="000000"/>
          <w:highlight w:val="yellow"/>
        </w:rPr>
        <w:t>bserv</w:t>
      </w:r>
      <w:r>
        <w:rPr>
          <w:color w:val="000000"/>
        </w:rPr>
        <w:t xml:space="preserve">ed in January and the maximum in May. On the other hand, Net Primary Productivity (NPP) oscillated between 4.2 </w:t>
      </w:r>
      <w:r>
        <w:rPr>
          <w:color w:val="000000"/>
          <w:highlight w:val="yellow"/>
        </w:rPr>
        <w:t>and</w:t>
      </w:r>
      <w:r>
        <w:rPr>
          <w:color w:val="000000"/>
        </w:rPr>
        <w:t xml:space="preserve"> 6.8 g C/m</w:t>
      </w:r>
      <w:r>
        <w:rPr>
          <w:color w:val="000000"/>
          <w:vertAlign w:val="superscript"/>
        </w:rPr>
        <w:t>2</w:t>
      </w:r>
      <w:r>
        <w:rPr>
          <w:color w:val="000000"/>
        </w:rPr>
        <w:t>/day</w:t>
      </w:r>
      <w:r>
        <w:rPr>
          <w:color w:val="000000"/>
          <w:highlight w:val="yellow"/>
        </w:rPr>
        <w:t>,</w:t>
      </w:r>
      <w:r>
        <w:rPr>
          <w:color w:val="000000"/>
        </w:rPr>
        <w:t xml:space="preserve"> with the </w:t>
      </w:r>
      <w:r>
        <w:rPr>
          <w:color w:val="000000"/>
          <w:highlight w:val="yellow"/>
        </w:rPr>
        <w:t>m</w:t>
      </w:r>
      <w:r>
        <w:rPr>
          <w:color w:val="000000"/>
        </w:rPr>
        <w:t>in</w:t>
      </w:r>
      <w:r>
        <w:rPr>
          <w:color w:val="000000"/>
          <w:highlight w:val="yellow"/>
        </w:rPr>
        <w:t>imum a</w:t>
      </w:r>
      <w:r>
        <w:rPr>
          <w:color w:val="000000"/>
        </w:rPr>
        <w:t>g</w:t>
      </w:r>
      <w:r>
        <w:rPr>
          <w:color w:val="000000"/>
          <w:highlight w:val="yellow"/>
        </w:rPr>
        <w:t>ain</w:t>
      </w:r>
      <w:r>
        <w:rPr>
          <w:color w:val="000000"/>
        </w:rPr>
        <w:t xml:space="preserve"> observed in January and the </w:t>
      </w:r>
      <w:r>
        <w:rPr>
          <w:color w:val="000000"/>
          <w:highlight w:val="yellow"/>
        </w:rPr>
        <w:t>max</w:t>
      </w:r>
      <w:r>
        <w:rPr>
          <w:color w:val="000000"/>
        </w:rPr>
        <w:t>i</w:t>
      </w:r>
      <w:r>
        <w:rPr>
          <w:color w:val="000000"/>
          <w:highlight w:val="yellow"/>
        </w:rPr>
        <w:t>mum</w:t>
      </w:r>
      <w:r>
        <w:rPr>
          <w:color w:val="000000"/>
        </w:rPr>
        <w:t xml:space="preserve"> in May. However, Community Respiration (CR) was found to </w:t>
      </w:r>
      <w:r>
        <w:rPr>
          <w:color w:val="000000"/>
          <w:highlight w:val="yellow"/>
        </w:rPr>
        <w:t>rang</w:t>
      </w:r>
      <w:r>
        <w:rPr>
          <w:color w:val="000000"/>
        </w:rPr>
        <w:t>e between 2.4 and 4.0 gC/m</w:t>
      </w:r>
      <w:r>
        <w:rPr>
          <w:color w:val="000000"/>
          <w:vertAlign w:val="superscript"/>
        </w:rPr>
        <w:t>2</w:t>
      </w:r>
      <w:r>
        <w:rPr>
          <w:color w:val="000000"/>
        </w:rPr>
        <w:t>/day</w:t>
      </w:r>
      <w:r>
        <w:rPr>
          <w:color w:val="000000"/>
          <w:highlight w:val="yellow"/>
        </w:rPr>
        <w:t>,</w:t>
      </w:r>
      <w:r>
        <w:rPr>
          <w:color w:val="000000"/>
        </w:rPr>
        <w:t xml:space="preserve"> with the minimum again recorded in January and the maximum in May. </w:t>
      </w:r>
      <w:r>
        <w:t>The close seasonal alignment among GPP, NPP and CR suggests that photosynthetic production and community oxygen demand increased simultaneously during the productive phase of the pond. Similar observations in fertili</w:t>
      </w:r>
      <w:r>
        <w:rPr>
          <w:highlight w:val="yellow"/>
        </w:rPr>
        <w:t>s</w:t>
      </w:r>
      <w:r>
        <w:t xml:space="preserve">ed and managed fishponds indicate that plankton productivity and respiration often respond jointly to nutrient availability and organic matter processing, </w:t>
      </w:r>
      <w:r>
        <w:rPr>
          <w:highlight w:val="yellow"/>
        </w:rPr>
        <w:t>an</w:t>
      </w:r>
      <w:r>
        <w:t xml:space="preserve"> important </w:t>
      </w:r>
      <w:r>
        <w:rPr>
          <w:highlight w:val="yellow"/>
        </w:rPr>
        <w:t xml:space="preserve">consideration </w:t>
      </w:r>
      <w:r>
        <w:t xml:space="preserve">when </w:t>
      </w:r>
      <w:r>
        <w:rPr>
          <w:highlight w:val="yellow"/>
        </w:rPr>
        <w:t>assess</w:t>
      </w:r>
      <w:r>
        <w:t xml:space="preserve">ing the suitability of a pond for aquaculture (Knud-Hansen </w:t>
      </w:r>
      <w:r>
        <w:rPr>
          <w:i/>
          <w:iCs/>
        </w:rPr>
        <w:t>et al.,</w:t>
      </w:r>
      <w:r>
        <w:t xml:space="preserve"> 1991; Oláh </w:t>
      </w:r>
      <w:r>
        <w:rPr>
          <w:i/>
          <w:iCs/>
        </w:rPr>
        <w:t>et al.,</w:t>
      </w:r>
      <w:r>
        <w:t xml:space="preserve"> 1986; Fernández Castro </w:t>
      </w:r>
      <w:r>
        <w:rPr>
          <w:i/>
          <w:iCs/>
        </w:rPr>
        <w:t>et al.,</w:t>
      </w:r>
      <w:r>
        <w:t xml:space="preserve"> 2021).</w:t>
      </w:r>
    </w:p>
    <w:p w14:paraId="7E862499" w14:textId="77777777" w:rsidR="009D531D" w:rsidRDefault="009D531D" w:rsidP="009D531D">
      <w:pPr>
        <w:spacing w:before="100" w:line="360" w:lineRule="auto"/>
        <w:ind w:firstLine="720"/>
        <w:jc w:val="both"/>
        <w:rPr>
          <w:color w:val="000000"/>
          <w:lang w:val="en-IN"/>
        </w:rPr>
      </w:pPr>
      <w:r>
        <w:rPr>
          <w:color w:val="000000"/>
          <w:spacing w:val="-6"/>
        </w:rPr>
        <w:t>Primary productivity indicates the rate at which chemosynthetic and photosynthe</w:t>
      </w:r>
      <w:r>
        <w:rPr>
          <w:color w:val="000000"/>
        </w:rPr>
        <w:t xml:space="preserve">tic organisms convert chemical into solar energy (Zafar, 1986). The maximum values of GPP and NPP in May </w:t>
      </w:r>
      <w:r>
        <w:rPr>
          <w:color w:val="000000"/>
          <w:highlight w:val="yellow"/>
        </w:rPr>
        <w:t>m</w:t>
      </w:r>
      <w:r>
        <w:rPr>
          <w:color w:val="000000"/>
        </w:rPr>
        <w:t>a</w:t>
      </w:r>
      <w:r>
        <w:rPr>
          <w:color w:val="000000"/>
          <w:highlight w:val="yellow"/>
        </w:rPr>
        <w:t>y</w:t>
      </w:r>
      <w:r>
        <w:rPr>
          <w:color w:val="000000"/>
        </w:rPr>
        <w:t xml:space="preserve"> be explained b</w:t>
      </w:r>
      <w:r>
        <w:rPr>
          <w:color w:val="000000"/>
          <w:highlight w:val="yellow"/>
        </w:rPr>
        <w:t>y</w:t>
      </w:r>
      <w:r>
        <w:rPr>
          <w:color w:val="000000"/>
        </w:rPr>
        <w:t xml:space="preserve"> increased light penetration, which stimulates photosynthesis and</w:t>
      </w:r>
      <w:r>
        <w:rPr>
          <w:color w:val="000000"/>
          <w:highlight w:val="yellow"/>
        </w:rPr>
        <w:t>,</w:t>
      </w:r>
      <w:r>
        <w:rPr>
          <w:color w:val="000000"/>
        </w:rPr>
        <w:t xml:space="preserve"> in turn</w:t>
      </w:r>
      <w:r>
        <w:rPr>
          <w:color w:val="000000"/>
          <w:highlight w:val="yellow"/>
        </w:rPr>
        <w:t>,</w:t>
      </w:r>
      <w:r>
        <w:rPr>
          <w:color w:val="000000"/>
        </w:rPr>
        <w:t xml:space="preserve"> increases productivity, whereas</w:t>
      </w:r>
      <w:r>
        <w:rPr>
          <w:color w:val="000000"/>
          <w:highlight w:val="yellow"/>
        </w:rPr>
        <w:t xml:space="preserve"> r</w:t>
      </w:r>
      <w:r>
        <w:rPr>
          <w:color w:val="000000"/>
        </w:rPr>
        <w:t>ed</w:t>
      </w:r>
      <w:r>
        <w:rPr>
          <w:color w:val="000000"/>
          <w:highlight w:val="yellow"/>
        </w:rPr>
        <w:t>uced light</w:t>
      </w:r>
      <w:r>
        <w:rPr>
          <w:color w:val="000000"/>
        </w:rPr>
        <w:t xml:space="preserve"> availability re</w:t>
      </w:r>
      <w:r>
        <w:rPr>
          <w:color w:val="000000"/>
          <w:highlight w:val="yellow"/>
        </w:rPr>
        <w:t>sul</w:t>
      </w:r>
      <w:r>
        <w:rPr>
          <w:color w:val="000000"/>
        </w:rPr>
        <w:t>ts</w:t>
      </w:r>
      <w:r>
        <w:rPr>
          <w:color w:val="000000"/>
          <w:highlight w:val="yellow"/>
        </w:rPr>
        <w:t xml:space="preserve"> in</w:t>
      </w:r>
      <w:r>
        <w:rPr>
          <w:color w:val="000000"/>
        </w:rPr>
        <w:t xml:space="preserve"> low</w:t>
      </w:r>
      <w:r>
        <w:rPr>
          <w:color w:val="000000"/>
          <w:highlight w:val="yellow"/>
        </w:rPr>
        <w:t>er</w:t>
      </w:r>
      <w:r>
        <w:rPr>
          <w:color w:val="000000"/>
        </w:rPr>
        <w:t xml:space="preserve"> productivity (Madhupratap </w:t>
      </w:r>
      <w:r>
        <w:rPr>
          <w:i/>
          <w:iCs/>
          <w:color w:val="000000"/>
        </w:rPr>
        <w:t>et al</w:t>
      </w:r>
      <w:r>
        <w:rPr>
          <w:color w:val="000000"/>
        </w:rPr>
        <w:t xml:space="preserve">., 2003; Sharma &amp; Giri, 2018; Kavindra </w:t>
      </w:r>
      <w:r>
        <w:rPr>
          <w:i/>
          <w:iCs/>
          <w:color w:val="000000"/>
        </w:rPr>
        <w:t>et al</w:t>
      </w:r>
      <w:r>
        <w:rPr>
          <w:color w:val="000000"/>
        </w:rPr>
        <w:t xml:space="preserve">., 2019). The percentage of gross production that can be exploited by consumers depends on the NPP:CR relationship (Singh &amp; Singh, 1999; Xiao </w:t>
      </w:r>
      <w:r>
        <w:rPr>
          <w:i/>
          <w:iCs/>
          <w:color w:val="000000"/>
        </w:rPr>
        <w:t>et al.,</w:t>
      </w:r>
      <w:r>
        <w:rPr>
          <w:color w:val="000000"/>
        </w:rPr>
        <w:t xml:space="preserve"> 2003; Yu &amp; Chen, 2016). Sharma and Giri (2018) observe</w:t>
      </w:r>
      <w:r>
        <w:rPr>
          <w:color w:val="000000"/>
          <w:highlight w:val="yellow"/>
        </w:rPr>
        <w:t>d</w:t>
      </w:r>
      <w:r>
        <w:rPr>
          <w:color w:val="000000"/>
        </w:rPr>
        <w:t xml:space="preserve"> that a ratio above </w:t>
      </w:r>
      <w:r>
        <w:rPr>
          <w:color w:val="000000"/>
          <w:highlight w:val="yellow"/>
        </w:rPr>
        <w:t>1</w:t>
      </w:r>
      <w:r>
        <w:rPr>
          <w:color w:val="000000"/>
        </w:rPr>
        <w:t xml:space="preserve"> implies transparent water and suitable temperature</w:t>
      </w:r>
      <w:r>
        <w:rPr>
          <w:color w:val="000000"/>
          <w:highlight w:val="yellow"/>
        </w:rPr>
        <w:t>s</w:t>
      </w:r>
      <w:r>
        <w:rPr>
          <w:color w:val="000000"/>
        </w:rPr>
        <w:t xml:space="preserve"> with high phytoplankton a</w:t>
      </w:r>
      <w:r>
        <w:rPr>
          <w:color w:val="000000"/>
          <w:highlight w:val="yellow"/>
        </w:rPr>
        <w:t>bu</w:t>
      </w:r>
      <w:r>
        <w:rPr>
          <w:color w:val="000000"/>
        </w:rPr>
        <w:t>nd</w:t>
      </w:r>
      <w:r>
        <w:rPr>
          <w:color w:val="000000"/>
          <w:highlight w:val="yellow"/>
        </w:rPr>
        <w:t>ance, whereas</w:t>
      </w:r>
      <w:r>
        <w:rPr>
          <w:color w:val="000000"/>
        </w:rPr>
        <w:t xml:space="preserve"> a ratio </w:t>
      </w:r>
      <w:r>
        <w:rPr>
          <w:color w:val="000000"/>
          <w:highlight w:val="yellow"/>
        </w:rPr>
        <w:t>bel</w:t>
      </w:r>
      <w:r>
        <w:rPr>
          <w:color w:val="000000"/>
        </w:rPr>
        <w:t>o</w:t>
      </w:r>
      <w:r>
        <w:rPr>
          <w:color w:val="000000"/>
          <w:highlight w:val="yellow"/>
        </w:rPr>
        <w:t>w</w:t>
      </w:r>
      <w:r>
        <w:rPr>
          <w:color w:val="000000"/>
        </w:rPr>
        <w:t xml:space="preserve"> 1 indicates that suspended matter prevents light from penetrating, which may result in lower productivity. Here, the ratio was found to be </w:t>
      </w:r>
      <w:r>
        <w:rPr>
          <w:color w:val="000000"/>
          <w:highlight w:val="yellow"/>
        </w:rPr>
        <w:t>gre</w:t>
      </w:r>
      <w:r>
        <w:rPr>
          <w:color w:val="000000"/>
        </w:rPr>
        <w:t>a</w:t>
      </w:r>
      <w:r>
        <w:rPr>
          <w:color w:val="000000"/>
          <w:highlight w:val="yellow"/>
        </w:rPr>
        <w:t>t</w:t>
      </w:r>
      <w:r>
        <w:rPr>
          <w:color w:val="000000"/>
        </w:rPr>
        <w:t>er than 1, reflecting lower productivity.</w:t>
      </w:r>
    </w:p>
    <w:p w14:paraId="7B36EC34" w14:textId="77777777" w:rsidR="000C408A" w:rsidRPr="000C408A" w:rsidRDefault="000C408A" w:rsidP="009D531D">
      <w:pPr>
        <w:spacing w:before="100" w:line="360" w:lineRule="auto"/>
        <w:ind w:firstLine="720"/>
        <w:jc w:val="both"/>
        <w:rPr>
          <w:color w:val="000000"/>
          <w:lang w:val="en-IN"/>
        </w:rPr>
      </w:pPr>
      <w:r w:rsidRPr="00645DB5">
        <w:t xml:space="preserve">The </w:t>
      </w:r>
      <w:proofErr w:type="gramStart"/>
      <w:r w:rsidRPr="00645DB5">
        <w:t>NPP:GPP</w:t>
      </w:r>
      <w:proofErr w:type="gramEnd"/>
      <w:r w:rsidRPr="00645DB5">
        <w:t xml:space="preserve"> value of 0.63 indicates that a substantial fraction of gross production remained after respiratory losses, while the NPP:CR value above 1 indicates that production exceeded community respiration during the observed period. However, because fish yield can also depend on grazing pathways, organic inputs, species composition and management intensity, these ratios should be treated as supportive indicators of aquaculture suitability rather than as direct yield estimates (Noriega-Curtis, 1979; Downing &amp; Leibold, 2002; Knud-Hansen </w:t>
      </w:r>
      <w:r w:rsidRPr="000C408A">
        <w:rPr>
          <w:i/>
          <w:iCs/>
        </w:rPr>
        <w:t>et al.,</w:t>
      </w:r>
      <w:r w:rsidRPr="00645DB5">
        <w:t xml:space="preserve"> 1991).</w:t>
      </w:r>
    </w:p>
    <w:p w14:paraId="05107304" w14:textId="77777777" w:rsidR="00AF7457" w:rsidRPr="00AF7457" w:rsidRDefault="00D83B3D" w:rsidP="00AF7457">
      <w:pPr>
        <w:spacing w:before="100" w:line="360" w:lineRule="auto"/>
        <w:jc w:val="center"/>
        <w:rPr>
          <w:color w:val="000000"/>
          <w:lang w:val="en-IN"/>
        </w:rPr>
      </w:pPr>
      <w:r>
        <w:rPr>
          <w:noProof/>
        </w:rPr>
        <w:lastRenderedPageBreak/>
        <w:drawing>
          <wp:inline distT="0" distB="0" distL="0" distR="0" wp14:anchorId="11C393C0" wp14:editId="2DBCEBEF">
            <wp:extent cx="5258402" cy="2447204"/>
            <wp:effectExtent l="0" t="0" r="0" b="0"/>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319181F" w14:textId="77777777" w:rsidR="002C2112" w:rsidRPr="0059697A" w:rsidRDefault="00C666AC" w:rsidP="002C2112">
      <w:pPr>
        <w:spacing w:before="100" w:line="360" w:lineRule="auto"/>
        <w:jc w:val="center"/>
        <w:rPr>
          <w:b/>
          <w:bCs/>
          <w:color w:val="000000"/>
          <w:lang w:val="en-IN"/>
        </w:rPr>
      </w:pPr>
      <w:r w:rsidRPr="0059697A">
        <w:rPr>
          <w:b/>
          <w:bCs/>
          <w:color w:val="000000"/>
          <w:lang w:val="en-IN"/>
        </w:rPr>
        <w:t xml:space="preserve">Figure 1: Seasonal variations in Gross Primary Productivity, Net Primary Production and Community Respiration in a Freshwater Pond at Swamimalai </w:t>
      </w:r>
    </w:p>
    <w:p w14:paraId="54BF5BE4" w14:textId="77777777" w:rsidR="009D531D" w:rsidRDefault="009D531D" w:rsidP="0072442E">
      <w:pPr>
        <w:spacing w:before="100" w:line="360" w:lineRule="auto"/>
        <w:ind w:firstLine="720"/>
        <w:jc w:val="both"/>
        <w:rPr>
          <w:color w:val="000000"/>
        </w:rPr>
      </w:pPr>
      <w:r>
        <w:rPr>
          <w:color w:val="000000"/>
          <w:highlight w:val="yellow"/>
        </w:rPr>
        <w:t>Regarding</w:t>
      </w:r>
      <w:r>
        <w:rPr>
          <w:color w:val="000000"/>
        </w:rPr>
        <w:t xml:space="preserve"> the factors that can affect productivity, Singh and Singh (1999) reported that it depends on a variety of factors</w:t>
      </w:r>
      <w:r>
        <w:rPr>
          <w:color w:val="000000"/>
          <w:highlight w:val="yellow"/>
        </w:rPr>
        <w:t xml:space="preserve">, </w:t>
      </w:r>
      <w:r>
        <w:rPr>
          <w:color w:val="000000"/>
        </w:rPr>
        <w:t>both physicochemical a</w:t>
      </w:r>
      <w:r>
        <w:rPr>
          <w:color w:val="000000"/>
          <w:highlight w:val="yellow"/>
        </w:rPr>
        <w:t>nd</w:t>
      </w:r>
      <w:r>
        <w:rPr>
          <w:color w:val="000000"/>
        </w:rPr>
        <w:t xml:space="preserve"> biological. Higher productivity </w:t>
      </w:r>
      <w:r>
        <w:rPr>
          <w:color w:val="000000"/>
          <w:highlight w:val="yellow"/>
        </w:rPr>
        <w:t>may be</w:t>
      </w:r>
      <w:r>
        <w:rPr>
          <w:color w:val="000000"/>
        </w:rPr>
        <w:t xml:space="preserve"> due to increased planktonic activity and increased nutrient availability (Sharma &amp; Giri, 2018). </w:t>
      </w:r>
      <w:r>
        <w:rPr>
          <w:color w:val="000000"/>
          <w:highlight w:val="yellow"/>
        </w:rPr>
        <w:t>L</w:t>
      </w:r>
      <w:r>
        <w:rPr>
          <w:color w:val="000000"/>
        </w:rPr>
        <w:t xml:space="preserve">ow productivity may be due to low water temperature and reduced light (Ahmed </w:t>
      </w:r>
      <w:r>
        <w:rPr>
          <w:i/>
          <w:iCs/>
          <w:color w:val="000000"/>
        </w:rPr>
        <w:t>et al.,</w:t>
      </w:r>
      <w:r>
        <w:rPr>
          <w:color w:val="000000"/>
        </w:rPr>
        <w:t xml:space="preserve"> 2005; Dash </w:t>
      </w:r>
      <w:r>
        <w:rPr>
          <w:i/>
          <w:iCs/>
          <w:color w:val="000000"/>
        </w:rPr>
        <w:t>et al.,</w:t>
      </w:r>
      <w:r>
        <w:rPr>
          <w:color w:val="000000"/>
        </w:rPr>
        <w:t xml:space="preserve"> 2011; Kavindra </w:t>
      </w:r>
      <w:r>
        <w:rPr>
          <w:i/>
          <w:iCs/>
          <w:color w:val="000000"/>
        </w:rPr>
        <w:t>et al</w:t>
      </w:r>
      <w:r>
        <w:rPr>
          <w:color w:val="000000"/>
        </w:rPr>
        <w:t>., 2019; Patel &amp; Laharia, 2021). Ogbuagu and Ayoade (2011) observed that low nutrient</w:t>
      </w:r>
      <w:r>
        <w:rPr>
          <w:color w:val="000000"/>
          <w:highlight w:val="yellow"/>
        </w:rPr>
        <w:t xml:space="preserve"> level</w:t>
      </w:r>
      <w:r>
        <w:rPr>
          <w:color w:val="000000"/>
        </w:rPr>
        <w:t>s and high turbidity result in reduced productivity</w:t>
      </w:r>
      <w:r>
        <w:rPr>
          <w:color w:val="000000"/>
          <w:highlight w:val="yellow"/>
        </w:rPr>
        <w:t>,</w:t>
      </w:r>
      <w:r>
        <w:rPr>
          <w:color w:val="000000"/>
        </w:rPr>
        <w:t xml:space="preserve"> while Boyd et al. (2002) reported that the occurrence of &lt;1% organic carbon can be indicative of low productivity in pond soil</w:t>
      </w:r>
      <w:r>
        <w:rPr>
          <w:color w:val="000000"/>
          <w:highlight w:val="yellow"/>
        </w:rPr>
        <w:t>;</w:t>
      </w:r>
      <w:r>
        <w:rPr>
          <w:color w:val="000000"/>
        </w:rPr>
        <w:t xml:space="preserve"> Downing and Leibold (2002) and Boyd (2018) suggested that GPP in fish ponds is closely related to </w:t>
      </w:r>
      <w:r>
        <w:rPr>
          <w:color w:val="000000"/>
          <w:highlight w:val="yellow"/>
        </w:rPr>
        <w:t>fis</w:t>
      </w:r>
      <w:r>
        <w:rPr>
          <w:color w:val="000000"/>
        </w:rPr>
        <w:t xml:space="preserve">h yield. Banerjee and Chattopadhyay (2024) and Vaidehi </w:t>
      </w:r>
      <w:r>
        <w:rPr>
          <w:i/>
          <w:iCs/>
          <w:color w:val="000000"/>
        </w:rPr>
        <w:t>et al.</w:t>
      </w:r>
      <w:r>
        <w:rPr>
          <w:color w:val="000000"/>
        </w:rPr>
        <w:t xml:space="preserve"> (2025) reported that primary productivity is limited by various soil factors </w:t>
      </w:r>
      <w:r>
        <w:rPr>
          <w:color w:val="000000"/>
          <w:highlight w:val="yellow"/>
        </w:rPr>
        <w:t>such as</w:t>
      </w:r>
      <w:r>
        <w:rPr>
          <w:color w:val="000000"/>
        </w:rPr>
        <w:t xml:space="preserve"> pH</w:t>
      </w:r>
      <w:r>
        <w:rPr>
          <w:color w:val="000000"/>
          <w:highlight w:val="yellow"/>
        </w:rPr>
        <w:t xml:space="preserve"> and</w:t>
      </w:r>
      <w:r>
        <w:rPr>
          <w:color w:val="000000"/>
        </w:rPr>
        <w:t xml:space="preserve"> available N, P and K levels in fish ponds. </w:t>
      </w:r>
      <w:r>
        <w:rPr>
          <w:color w:val="000000"/>
          <w:highlight w:val="yellow"/>
        </w:rPr>
        <w:t>Al</w:t>
      </w:r>
      <w:r>
        <w:rPr>
          <w:color w:val="000000"/>
        </w:rPr>
        <w:t xml:space="preserve">though soil analysis was not </w:t>
      </w:r>
      <w:r>
        <w:rPr>
          <w:color w:val="000000"/>
          <w:highlight w:val="yellow"/>
        </w:rPr>
        <w:t>c</w:t>
      </w:r>
      <w:r>
        <w:rPr>
          <w:color w:val="000000"/>
        </w:rPr>
        <w:t>on</w:t>
      </w:r>
      <w:r>
        <w:rPr>
          <w:color w:val="000000"/>
          <w:highlight w:val="yellow"/>
        </w:rPr>
        <w:t>duct</w:t>
      </w:r>
      <w:r>
        <w:rPr>
          <w:color w:val="000000"/>
        </w:rPr>
        <w:t>e</w:t>
      </w:r>
      <w:r>
        <w:rPr>
          <w:color w:val="000000"/>
          <w:highlight w:val="yellow"/>
        </w:rPr>
        <w:t>d</w:t>
      </w:r>
      <w:r>
        <w:rPr>
          <w:color w:val="000000"/>
        </w:rPr>
        <w:t xml:space="preserve"> in the present study, a </w:t>
      </w:r>
      <w:r>
        <w:rPr>
          <w:color w:val="000000"/>
          <w:highlight w:val="yellow"/>
        </w:rPr>
        <w:t>com</w:t>
      </w:r>
      <w:r>
        <w:rPr>
          <w:color w:val="000000"/>
        </w:rPr>
        <w:t>p</w:t>
      </w:r>
      <w:r>
        <w:rPr>
          <w:color w:val="000000"/>
          <w:highlight w:val="yellow"/>
        </w:rPr>
        <w:t>a</w:t>
      </w:r>
      <w:r>
        <w:rPr>
          <w:color w:val="000000"/>
        </w:rPr>
        <w:t>r</w:t>
      </w:r>
      <w:r>
        <w:rPr>
          <w:color w:val="000000"/>
          <w:highlight w:val="yellow"/>
        </w:rPr>
        <w:t>i</w:t>
      </w:r>
      <w:r>
        <w:rPr>
          <w:color w:val="000000"/>
        </w:rPr>
        <w:t>s</w:t>
      </w:r>
      <w:r>
        <w:rPr>
          <w:color w:val="000000"/>
          <w:highlight w:val="yellow"/>
        </w:rPr>
        <w:t>on</w:t>
      </w:r>
      <w:r>
        <w:rPr>
          <w:color w:val="000000"/>
        </w:rPr>
        <w:t xml:space="preserve"> of NPP with physicochemical </w:t>
      </w:r>
      <w:r>
        <w:rPr>
          <w:color w:val="000000"/>
          <w:highlight w:val="yellow"/>
        </w:rPr>
        <w:t xml:space="preserve">water </w:t>
      </w:r>
      <w:r>
        <w:rPr>
          <w:color w:val="000000"/>
        </w:rPr>
        <w:t xml:space="preserve">factors </w:t>
      </w:r>
      <w:r>
        <w:rPr>
          <w:color w:val="000000"/>
          <w:highlight w:val="yellow"/>
        </w:rPr>
        <w:t>such</w:t>
      </w:r>
      <w:r>
        <w:rPr>
          <w:color w:val="000000"/>
        </w:rPr>
        <w:t xml:space="preserve"> a</w:t>
      </w:r>
      <w:r>
        <w:rPr>
          <w:color w:val="000000"/>
          <w:highlight w:val="yellow"/>
        </w:rPr>
        <w:t>s</w:t>
      </w:r>
      <w:r>
        <w:rPr>
          <w:color w:val="000000"/>
        </w:rPr>
        <w:t xml:space="preserve"> pH, temperature and phosphate levels showed positive correlation</w:t>
      </w:r>
      <w:r>
        <w:rPr>
          <w:color w:val="000000"/>
          <w:highlight w:val="yellow"/>
        </w:rPr>
        <w:t>s</w:t>
      </w:r>
      <w:r>
        <w:rPr>
          <w:color w:val="000000"/>
        </w:rPr>
        <w:t xml:space="preserve"> (r = 0.98; r = 0.74; r = 0.90)</w:t>
      </w:r>
      <w:r>
        <w:rPr>
          <w:color w:val="000000"/>
          <w:highlight w:val="yellow"/>
        </w:rPr>
        <w:t>,</w:t>
      </w:r>
      <w:r>
        <w:rPr>
          <w:color w:val="000000"/>
        </w:rPr>
        <w:t xml:space="preserve"> indicating their interrelationships.</w:t>
      </w:r>
    </w:p>
    <w:p w14:paraId="4C35129E" w14:textId="77777777" w:rsidR="003312F5" w:rsidRPr="008B31AC" w:rsidRDefault="003312F5" w:rsidP="0072442E">
      <w:pPr>
        <w:spacing w:before="100" w:line="360" w:lineRule="auto"/>
        <w:ind w:firstLine="720"/>
        <w:jc w:val="both"/>
        <w:rPr>
          <w:color w:val="000000"/>
        </w:rPr>
      </w:pPr>
      <w:r>
        <w:t xml:space="preserve">The positive association of NPP with pH, temperature and phosphate in the present study is ecologically plausible, because nutrient enrichment and thermal-light conditions can stimulate primary producers when other limiting factors remain within tolerable ranges. At the same time, nutrient-driven productivity requires careful management, as excessive nitrogen and phosphorus inputs may shift freshwater systems toward eutrophic conditions and reduce water quality for aquaculture (Carpenter </w:t>
      </w:r>
      <w:r>
        <w:rPr>
          <w:i/>
          <w:iCs/>
        </w:rPr>
        <w:t xml:space="preserve">et al., </w:t>
      </w:r>
      <w:r>
        <w:t xml:space="preserve">1998; Dodds &amp; Smith, 2016; Knud-Hansen </w:t>
      </w:r>
      <w:r>
        <w:rPr>
          <w:i/>
          <w:iCs/>
        </w:rPr>
        <w:t>et al.,</w:t>
      </w:r>
      <w:r>
        <w:t xml:space="preserve"> 1991).</w:t>
      </w:r>
    </w:p>
    <w:p w14:paraId="2B181A9B" w14:textId="77777777" w:rsidR="00F761A2" w:rsidRPr="00645DB5" w:rsidRDefault="009D531D" w:rsidP="001110BC">
      <w:pPr>
        <w:spacing w:before="100" w:line="360" w:lineRule="auto"/>
        <w:ind w:firstLine="720"/>
        <w:jc w:val="both"/>
      </w:pPr>
      <w:r>
        <w:rPr>
          <w:color w:val="000000"/>
        </w:rPr>
        <w:lastRenderedPageBreak/>
        <w:t>The Gross Primary Productivity (GPP) of the system was found to range from 6.6 to 10.5g C/m</w:t>
      </w:r>
      <w:r>
        <w:rPr>
          <w:color w:val="000000"/>
          <w:vertAlign w:val="superscript"/>
        </w:rPr>
        <w:t>2</w:t>
      </w:r>
      <w:r>
        <w:rPr>
          <w:color w:val="000000"/>
        </w:rPr>
        <w:t>/day</w:t>
      </w:r>
      <w:r>
        <w:rPr>
          <w:color w:val="000000"/>
          <w:highlight w:val="yellow"/>
        </w:rPr>
        <w:t>,</w:t>
      </w:r>
      <w:r>
        <w:rPr>
          <w:color w:val="000000"/>
        </w:rPr>
        <w:t xml:space="preserve"> with the minimum observed in January and the maximum in May. On the other hand, Net Primary Productivity (NPP) oscillated between 4.2 </w:t>
      </w:r>
      <w:r>
        <w:rPr>
          <w:color w:val="000000"/>
          <w:highlight w:val="yellow"/>
        </w:rPr>
        <w:t>and</w:t>
      </w:r>
      <w:r>
        <w:rPr>
          <w:color w:val="000000"/>
        </w:rPr>
        <w:t xml:space="preserve"> 6.8 g C/m</w:t>
      </w:r>
      <w:r>
        <w:rPr>
          <w:color w:val="000000"/>
          <w:vertAlign w:val="superscript"/>
        </w:rPr>
        <w:t>2</w:t>
      </w:r>
      <w:r>
        <w:rPr>
          <w:color w:val="000000"/>
        </w:rPr>
        <w:t>/day</w:t>
      </w:r>
      <w:r>
        <w:rPr>
          <w:color w:val="000000"/>
          <w:highlight w:val="yellow"/>
        </w:rPr>
        <w:t>,</w:t>
      </w:r>
      <w:r>
        <w:rPr>
          <w:color w:val="000000"/>
        </w:rPr>
        <w:t xml:space="preserve"> with the minimum </w:t>
      </w:r>
      <w:r>
        <w:rPr>
          <w:color w:val="000000"/>
          <w:highlight w:val="yellow"/>
        </w:rPr>
        <w:t>aga</w:t>
      </w:r>
      <w:r>
        <w:rPr>
          <w:color w:val="000000"/>
        </w:rPr>
        <w:t xml:space="preserve">in observed in January and the maximum in May. However, Community Respiration (CR) was found to </w:t>
      </w:r>
      <w:r>
        <w:rPr>
          <w:color w:val="000000"/>
          <w:highlight w:val="yellow"/>
        </w:rPr>
        <w:t>rang</w:t>
      </w:r>
      <w:r>
        <w:rPr>
          <w:color w:val="000000"/>
        </w:rPr>
        <w:t>e between 2.4 and 4.0 gC/m</w:t>
      </w:r>
      <w:r>
        <w:rPr>
          <w:color w:val="000000"/>
          <w:vertAlign w:val="superscript"/>
        </w:rPr>
        <w:t>2</w:t>
      </w:r>
      <w:r>
        <w:rPr>
          <w:color w:val="000000"/>
        </w:rPr>
        <w:t>/day</w:t>
      </w:r>
      <w:r>
        <w:rPr>
          <w:color w:val="000000"/>
          <w:highlight w:val="yellow"/>
        </w:rPr>
        <w:t>,</w:t>
      </w:r>
      <w:r>
        <w:rPr>
          <w:color w:val="000000"/>
        </w:rPr>
        <w:t xml:space="preserve"> with the minimum again recorded in January and the maximum in May. </w:t>
      </w:r>
      <w:r>
        <w:t xml:space="preserve">Thirunavukkarasu </w:t>
      </w:r>
      <w:r>
        <w:rPr>
          <w:i/>
          <w:iCs/>
        </w:rPr>
        <w:t xml:space="preserve">et al. </w:t>
      </w:r>
      <w:r>
        <w:t>(2013) suggested that</w:t>
      </w:r>
      <w:r>
        <w:rPr>
          <w:highlight w:val="yellow"/>
        </w:rPr>
        <w:t>,</w:t>
      </w:r>
      <w:r>
        <w:t xml:space="preserve"> apart from the influence of physicochemical factors on phytoplankton population</w:t>
      </w:r>
      <w:r>
        <w:rPr>
          <w:highlight w:val="yellow"/>
        </w:rPr>
        <w:t>s</w:t>
      </w:r>
      <w:r>
        <w:t>, the grazing rate of zooplankton is one of the major factors influenc</w:t>
      </w:r>
      <w:r>
        <w:rPr>
          <w:highlight w:val="yellow"/>
        </w:rPr>
        <w:t>ing</w:t>
      </w:r>
      <w:r>
        <w:t xml:space="preserve"> the size of the standing crop of phytoplankton and</w:t>
      </w:r>
      <w:r>
        <w:rPr>
          <w:highlight w:val="yellow"/>
        </w:rPr>
        <w:t>,</w:t>
      </w:r>
      <w:r>
        <w:t xml:space="preserve"> thereby</w:t>
      </w:r>
      <w:r>
        <w:rPr>
          <w:highlight w:val="yellow"/>
        </w:rPr>
        <w:t>,</w:t>
      </w:r>
      <w:r>
        <w:t xml:space="preserve"> the rate of production. In addition</w:t>
      </w:r>
      <w:r>
        <w:rPr>
          <w:highlight w:val="yellow"/>
        </w:rPr>
        <w:t>,</w:t>
      </w:r>
      <w:r>
        <w:t xml:space="preserve"> they reported that the production rate of phytoplankton var</w:t>
      </w:r>
      <w:r>
        <w:rPr>
          <w:highlight w:val="yellow"/>
        </w:rPr>
        <w:t>ies</w:t>
      </w:r>
      <w:r>
        <w:t xml:space="preserve"> from place to place depending on geographical location and</w:t>
      </w:r>
      <w:r>
        <w:rPr>
          <w:highlight w:val="yellow"/>
        </w:rPr>
        <w:t xml:space="preserve"> the</w:t>
      </w:r>
      <w:r>
        <w:t xml:space="preserve"> enrichment of water bodies.</w:t>
      </w:r>
      <w:r>
        <w:rPr>
          <w:lang w:val="en-IN"/>
        </w:rPr>
        <w:t xml:space="preserve"> </w:t>
      </w:r>
      <w:r>
        <w:t>According to Ganf and Horne (1975)</w:t>
      </w:r>
      <w:r>
        <w:rPr>
          <w:highlight w:val="yellow"/>
        </w:rPr>
        <w:t>,</w:t>
      </w:r>
      <w:r>
        <w:t xml:space="preserve"> respiration as </w:t>
      </w:r>
      <w:r>
        <w:rPr>
          <w:highlight w:val="yellow"/>
        </w:rPr>
        <w:t xml:space="preserve">a </w:t>
      </w:r>
      <w:r>
        <w:t>percent</w:t>
      </w:r>
      <w:r>
        <w:rPr>
          <w:highlight w:val="yellow"/>
        </w:rPr>
        <w:t>age</w:t>
      </w:r>
      <w:r>
        <w:t xml:space="preserve"> of gross production may be used as a measure of the eutrophic nature of </w:t>
      </w:r>
      <w:r>
        <w:rPr>
          <w:highlight w:val="yellow"/>
        </w:rPr>
        <w:t>a</w:t>
      </w:r>
      <w:r>
        <w:t xml:space="preserve"> water body</w:t>
      </w:r>
      <w:r>
        <w:rPr>
          <w:highlight w:val="yellow"/>
        </w:rPr>
        <w:t>,</w:t>
      </w:r>
      <w:r>
        <w:t xml:space="preserve"> and Umavathi </w:t>
      </w:r>
      <w:r>
        <w:rPr>
          <w:i/>
          <w:iCs/>
        </w:rPr>
        <w:t xml:space="preserve">et al. </w:t>
      </w:r>
      <w:r>
        <w:t>(2007) suggested that</w:t>
      </w:r>
      <w:r>
        <w:rPr>
          <w:highlight w:val="yellow"/>
        </w:rPr>
        <w:t>,</w:t>
      </w:r>
      <w:r>
        <w:t xml:space="preserve"> in a productive aquatic ecosystem</w:t>
      </w:r>
      <w:r>
        <w:rPr>
          <w:highlight w:val="yellow"/>
        </w:rPr>
        <w:t>,</w:t>
      </w:r>
      <w:r>
        <w:t xml:space="preserve"> respiration accounts for a large proportion of GPP. Taken together, the productivity values, NPP:GPP ratio and NPP:CR ratio indicate that the Swamimalai pond maintained measurable autotrophic production during both years of observation. This supports its potential usefulness for fish culture, provided that future management also monitors nutrients, phytoplankton composition, dissolved oxygen and sediment conditions, because pond productivity and fish yield are shaped by interacting biological and physicochemical controls (Oláh </w:t>
      </w:r>
      <w:r>
        <w:rPr>
          <w:i/>
          <w:iCs/>
        </w:rPr>
        <w:t>et al.,</w:t>
      </w:r>
      <w:r>
        <w:t xml:space="preserve"> 1986; Downing &amp; Leibold, 2002; Fernández Castro </w:t>
      </w:r>
      <w:r>
        <w:rPr>
          <w:i/>
          <w:iCs/>
        </w:rPr>
        <w:t>et al.,</w:t>
      </w:r>
      <w:r>
        <w:t xml:space="preserve"> 2021).</w:t>
      </w:r>
    </w:p>
    <w:p w14:paraId="56C172AA" w14:textId="77777777" w:rsidR="002C2324" w:rsidRPr="008B31AC" w:rsidRDefault="00381AD1" w:rsidP="009D531D">
      <w:pPr>
        <w:spacing w:before="100" w:line="360" w:lineRule="auto"/>
        <w:jc w:val="both"/>
        <w:rPr>
          <w:b/>
          <w:bCs/>
        </w:rPr>
      </w:pPr>
      <w:r w:rsidRPr="008B31AC">
        <w:rPr>
          <w:b/>
          <w:bCs/>
        </w:rPr>
        <w:t xml:space="preserve">CONCLUSION </w:t>
      </w:r>
    </w:p>
    <w:p w14:paraId="5658D31A" w14:textId="3FF02117" w:rsidR="0088512E" w:rsidRDefault="002C2324" w:rsidP="009D531D">
      <w:pPr>
        <w:spacing w:before="100" w:line="360" w:lineRule="auto"/>
        <w:jc w:val="both"/>
      </w:pPr>
      <w:r>
        <w:tab/>
        <w:t xml:space="preserve">The study </w:t>
      </w:r>
      <w:r>
        <w:rPr>
          <w:highlight w:val="yellow"/>
        </w:rPr>
        <w:t>m</w:t>
      </w:r>
      <w:r>
        <w:t>a</w:t>
      </w:r>
      <w:r>
        <w:rPr>
          <w:highlight w:val="yellow"/>
        </w:rPr>
        <w:t>y</w:t>
      </w:r>
      <w:r>
        <w:t xml:space="preserve"> be useful for managing freshwater ponds in this region and ensuring that local communities have access to clean water. Additionally, it highlights the importance of monitoring and understanding seasonal variation in freshwater pond productivity and</w:t>
      </w:r>
      <w:r>
        <w:rPr>
          <w:highlight w:val="yellow"/>
        </w:rPr>
        <w:t xml:space="preserve"> of</w:t>
      </w:r>
      <w:r>
        <w:t xml:space="preserve"> taking appropriate measures to improve water quality in these systems. A futur</w:t>
      </w:r>
      <w:r>
        <w:rPr>
          <w:highlight w:val="yellow"/>
        </w:rPr>
        <w:t>e-or</w:t>
      </w:r>
      <w:r>
        <w:t>i</w:t>
      </w:r>
      <w:r>
        <w:rPr>
          <w:highlight w:val="yellow"/>
        </w:rPr>
        <w:t>en</w:t>
      </w:r>
      <w:r>
        <w:t>t</w:t>
      </w:r>
      <w:r>
        <w:rPr>
          <w:highlight w:val="yellow"/>
        </w:rPr>
        <w:t>ed</w:t>
      </w:r>
      <w:r>
        <w:t xml:space="preserve"> approach to seasonal variation </w:t>
      </w:r>
      <w:r>
        <w:rPr>
          <w:highlight w:val="yellow"/>
        </w:rPr>
        <w:t>in</w:t>
      </w:r>
      <w:r>
        <w:t xml:space="preserve"> freshwater pond productivity in the semiarid region could involve implementing new technologies and techniques to </w:t>
      </w:r>
      <w:r>
        <w:rPr>
          <w:highlight w:val="yellow"/>
        </w:rPr>
        <w:t>improv</w:t>
      </w:r>
      <w:r>
        <w:t>e</w:t>
      </w:r>
      <w:r>
        <w:rPr>
          <w:highlight w:val="yellow"/>
        </w:rPr>
        <w:t xml:space="preserve"> </w:t>
      </w:r>
      <w:r>
        <w:t>t</w:t>
      </w:r>
      <w:r>
        <w:rPr>
          <w:highlight w:val="yellow"/>
        </w:rPr>
        <w:t>h</w:t>
      </w:r>
      <w:r>
        <w:t>e manage</w:t>
      </w:r>
      <w:r>
        <w:rPr>
          <w:highlight w:val="yellow"/>
        </w:rPr>
        <w:t>ment of</w:t>
      </w:r>
      <w:r>
        <w:t xml:space="preserve"> these systems. For example, incorporating smart monitoring systems that can track changes in water quality and productivity in real time would allow timely interventions and improvements </w:t>
      </w:r>
      <w:r>
        <w:rPr>
          <w:highlight w:val="yellow"/>
        </w:rPr>
        <w:t>in</w:t>
      </w:r>
      <w:r>
        <w:t xml:space="preserve"> aquaculture. Additionally, implementing sustainable practices such as rainwater harvesting and constructed wetlands can help improve the overall health of </w:t>
      </w:r>
      <w:r>
        <w:rPr>
          <w:spacing w:val="-4"/>
        </w:rPr>
        <w:t>freshwater ponds</w:t>
      </w:r>
      <w:r>
        <w:rPr>
          <w:spacing w:val="-4"/>
          <w:highlight w:val="yellow"/>
        </w:rPr>
        <w:t>,</w:t>
      </w:r>
      <w:r>
        <w:rPr>
          <w:spacing w:val="-4"/>
        </w:rPr>
        <w:t xml:space="preserve"> reduce their dependence on external inputs</w:t>
      </w:r>
      <w:r>
        <w:rPr>
          <w:spacing w:val="-4"/>
          <w:highlight w:val="yellow"/>
        </w:rPr>
        <w:t>,</w:t>
      </w:r>
      <w:r>
        <w:rPr>
          <w:spacing w:val="-4"/>
        </w:rPr>
        <w:t xml:space="preserve"> </w:t>
      </w:r>
      <w:r>
        <w:rPr>
          <w:spacing w:val="-4"/>
          <w:highlight w:val="yellow"/>
        </w:rPr>
        <w:t>and</w:t>
      </w:r>
      <w:r>
        <w:rPr>
          <w:spacing w:val="-4"/>
        </w:rPr>
        <w:t xml:space="preserve"> </w:t>
      </w:r>
      <w:r>
        <w:rPr>
          <w:spacing w:val="-4"/>
          <w:highlight w:val="yellow"/>
        </w:rPr>
        <w:t>inc</w:t>
      </w:r>
      <w:r>
        <w:rPr>
          <w:spacing w:val="-4"/>
        </w:rPr>
        <w:t>re</w:t>
      </w:r>
      <w:r>
        <w:rPr>
          <w:spacing w:val="-4"/>
          <w:highlight w:val="yellow"/>
        </w:rPr>
        <w:t>as</w:t>
      </w:r>
      <w:r>
        <w:rPr>
          <w:spacing w:val="-4"/>
        </w:rPr>
        <w:t>e fish productio</w:t>
      </w:r>
      <w:r>
        <w:t>n.</w:t>
      </w:r>
      <w:r w:rsidR="005D3A0C">
        <w:t xml:space="preserve">  </w:t>
      </w:r>
    </w:p>
    <w:p w14:paraId="7784E571" w14:textId="77777777" w:rsidR="005D3A0C" w:rsidRDefault="005D3A0C" w:rsidP="009D531D">
      <w:pPr>
        <w:spacing w:before="100" w:line="360" w:lineRule="auto"/>
        <w:jc w:val="both"/>
      </w:pPr>
    </w:p>
    <w:p w14:paraId="7843FC0C" w14:textId="6C7B0338" w:rsidR="005D3A0C" w:rsidRDefault="005D3A0C" w:rsidP="005D3A0C">
      <w:pPr>
        <w:spacing w:before="100" w:line="360" w:lineRule="auto"/>
        <w:jc w:val="both"/>
      </w:pPr>
      <w:r>
        <w:lastRenderedPageBreak/>
        <w:t>Limitation</w:t>
      </w:r>
    </w:p>
    <w:p w14:paraId="63294D19" w14:textId="77777777" w:rsidR="005D3A0C" w:rsidRDefault="005D3A0C" w:rsidP="005D3A0C">
      <w:pPr>
        <w:spacing w:before="100" w:line="360" w:lineRule="auto"/>
        <w:jc w:val="both"/>
      </w:pPr>
    </w:p>
    <w:p w14:paraId="3709E1A7" w14:textId="427F91EC" w:rsidR="005D3A0C" w:rsidRDefault="005D3A0C" w:rsidP="005D3A0C">
      <w:pPr>
        <w:spacing w:before="100" w:line="360" w:lineRule="auto"/>
        <w:jc w:val="both"/>
      </w:pPr>
      <w:r>
        <w:t>The study was confined to a single perennial freshwater pond at Swamimalai and focused primarily on GPP, NPP and community respiration over 2025–2026. Soil analysis was not conducted, although soil properties may influence pond productivity. Fish yield was also not directly quantified; therefore, the productivity values and ratios should be interpreted as supportive indicators of aquaculture suitability rather than direct estimates of fish production. Continued assessment of nutrients, plankton composition, dissolved oxygen and sediment conditions would provide a broader basis for evaluating pond performance.</w:t>
      </w:r>
    </w:p>
    <w:p w14:paraId="28A76324" w14:textId="77777777" w:rsidR="00D83B3D" w:rsidRDefault="00D83B3D">
      <w:pPr>
        <w:rPr>
          <w:b/>
          <w:bCs/>
        </w:rPr>
      </w:pPr>
      <w:r>
        <w:rPr>
          <w:b/>
          <w:bCs/>
        </w:rPr>
        <w:br w:type="page"/>
      </w:r>
    </w:p>
    <w:p w14:paraId="389315A0" w14:textId="77777777" w:rsidR="00B378CD" w:rsidRPr="00F47FD5" w:rsidRDefault="00F47FD5" w:rsidP="00B378CD">
      <w:pPr>
        <w:autoSpaceDE w:val="0"/>
        <w:autoSpaceDN w:val="0"/>
        <w:adjustRightInd w:val="0"/>
        <w:spacing w:line="372" w:lineRule="auto"/>
        <w:ind w:left="720" w:hanging="720"/>
        <w:jc w:val="center"/>
        <w:rPr>
          <w:b/>
          <w:bCs/>
        </w:rPr>
      </w:pPr>
      <w:r w:rsidRPr="00F47FD5">
        <w:rPr>
          <w:b/>
          <w:bCs/>
        </w:rPr>
        <w:lastRenderedPageBreak/>
        <w:t>REFERENCES</w:t>
      </w:r>
    </w:p>
    <w:p w14:paraId="7DB161C7" w14:textId="77777777" w:rsidR="00341690" w:rsidRPr="00B0093B" w:rsidRDefault="00341690" w:rsidP="00270E60">
      <w:pPr>
        <w:pStyle w:val="BodyText"/>
        <w:keepLines/>
        <w:ind w:left="720" w:hanging="720"/>
        <w:rPr>
          <w:color w:val="000000"/>
          <w:sz w:val="24"/>
          <w:szCs w:val="24"/>
        </w:rPr>
      </w:pPr>
      <w:r>
        <w:rPr>
          <w:color w:val="000000"/>
          <w:sz w:val="24"/>
        </w:rPr>
        <w:t xml:space="preserve">Ahmed, K. K. U., Ahmed, S. U., Haldar, G. C., Hossain, M. R. A., &amp; Ahmed, T. (2005). Primary production and fish yield estimation in the Meghna River system, Bangladesh. </w:t>
      </w:r>
      <w:r>
        <w:rPr>
          <w:i/>
          <w:color w:val="000000"/>
          <w:sz w:val="24"/>
        </w:rPr>
        <w:t>Asian Fisheries Science, 18</w:t>
      </w:r>
      <w:r>
        <w:rPr>
          <w:color w:val="000000"/>
          <w:sz w:val="24"/>
        </w:rPr>
        <w:t xml:space="preserve">(2), 95–105. </w:t>
      </w:r>
      <w:hyperlink r:id="rId8">
        <w:r>
          <w:rPr>
            <w:color w:val="000000"/>
            <w:sz w:val="24"/>
            <w:szCs w:val="24"/>
            <w:u w:val="single"/>
          </w:rPr>
          <w:t>https://doi.org/10.33997/j.afs.2005.18.2.002</w:t>
        </w:r>
      </w:hyperlink>
    </w:p>
    <w:p w14:paraId="19011A83" w14:textId="77777777" w:rsidR="00341690" w:rsidRPr="00B0093B" w:rsidRDefault="00341690" w:rsidP="00270E60">
      <w:pPr>
        <w:pStyle w:val="BodyText"/>
        <w:keepLines/>
        <w:adjustRightInd w:val="0"/>
        <w:ind w:left="720" w:hanging="720"/>
        <w:rPr>
          <w:snapToGrid w:val="0"/>
          <w:color w:val="000000"/>
        </w:rPr>
      </w:pPr>
      <w:r>
        <w:rPr>
          <w:color w:val="000000"/>
          <w:sz w:val="24"/>
        </w:rPr>
        <w:t xml:space="preserve">Ahmed, M., Singh, A. K., Mondal, J. A., &amp; Sarkar, S. K. (2013). Water in the hydration shell of halide ions has significantly reduced Fermi resonance and moderately enhanced Raman cross section in the OH stretch regions. </w:t>
      </w:r>
      <w:r>
        <w:rPr>
          <w:i/>
          <w:color w:val="000000"/>
          <w:sz w:val="24"/>
        </w:rPr>
        <w:t>The Journal of Physical Chemistry B, 117</w:t>
      </w:r>
      <w:r>
        <w:rPr>
          <w:color w:val="000000"/>
          <w:sz w:val="24"/>
        </w:rPr>
        <w:t xml:space="preserve">(33), 9728–9733. </w:t>
      </w:r>
      <w:hyperlink r:id="rId9">
        <w:r>
          <w:rPr>
            <w:color w:val="000000"/>
            <w:sz w:val="24"/>
            <w:szCs w:val="24"/>
            <w:u w:val="single"/>
          </w:rPr>
          <w:t>https://doi.org/10.1021/jp403618x</w:t>
        </w:r>
      </w:hyperlink>
    </w:p>
    <w:p w14:paraId="5A62D9F2" w14:textId="77777777" w:rsidR="00341690" w:rsidRPr="00B0093B" w:rsidRDefault="00341690" w:rsidP="00270E60">
      <w:pPr>
        <w:pStyle w:val="BodyText"/>
        <w:keepLines/>
        <w:adjustRightInd w:val="0"/>
        <w:ind w:left="720" w:hanging="720"/>
        <w:rPr>
          <w:snapToGrid w:val="0"/>
          <w:color w:val="000000"/>
        </w:rPr>
      </w:pPr>
      <w:r>
        <w:rPr>
          <w:color w:val="000000"/>
          <w:sz w:val="24"/>
        </w:rPr>
        <w:t xml:space="preserve">Aravinth, A., Kannan, R., Chinnadurai, G., Manickam, N., Raju, P., Perumal, P., &amp; Santhanam, P. (2023). Temporal changes in plankton diversity in relation to hydrographical characteristics at Perumal Lake, Cuddalore District, Tamil Nadu, India. </w:t>
      </w:r>
      <w:r>
        <w:rPr>
          <w:i/>
          <w:color w:val="000000"/>
          <w:sz w:val="24"/>
        </w:rPr>
        <w:t>The Journal of Basic and Applied Zoology, 84</w:t>
      </w:r>
      <w:r>
        <w:rPr>
          <w:color w:val="000000"/>
          <w:sz w:val="24"/>
        </w:rPr>
        <w:t xml:space="preserve">, Article 13. </w:t>
      </w:r>
      <w:hyperlink r:id="rId10">
        <w:r>
          <w:rPr>
            <w:color w:val="000000"/>
            <w:sz w:val="24"/>
            <w:szCs w:val="24"/>
            <w:u w:val="single"/>
          </w:rPr>
          <w:t>https://doi.org/10.1186/s41936-023-00337-7</w:t>
        </w:r>
      </w:hyperlink>
    </w:p>
    <w:p w14:paraId="1D500843" w14:textId="77777777" w:rsidR="00341690" w:rsidRPr="00B0093B" w:rsidRDefault="00341690" w:rsidP="00270E60">
      <w:pPr>
        <w:pStyle w:val="BodyText"/>
        <w:keepLines/>
        <w:ind w:left="720" w:hanging="720"/>
        <w:rPr>
          <w:snapToGrid w:val="0"/>
          <w:color w:val="000000"/>
        </w:rPr>
      </w:pPr>
      <w:r>
        <w:rPr>
          <w:color w:val="000000"/>
          <w:sz w:val="24"/>
        </w:rPr>
        <w:t xml:space="preserve">Ayyappan, S., &amp; Gupta, T. R. C. (1981). Limnology of Ramasamudra tank—Hydrography. </w:t>
      </w:r>
      <w:r>
        <w:rPr>
          <w:i/>
          <w:color w:val="000000"/>
          <w:sz w:val="24"/>
        </w:rPr>
        <w:t>Mysore Journal of Agricultural Sciences, 15</w:t>
      </w:r>
      <w:r>
        <w:rPr>
          <w:color w:val="000000"/>
          <w:sz w:val="24"/>
        </w:rPr>
        <w:t xml:space="preserve">, 305–312. </w:t>
      </w:r>
    </w:p>
    <w:p w14:paraId="2259A2AC" w14:textId="77777777" w:rsidR="00341690" w:rsidRPr="00B0093B" w:rsidRDefault="00341690" w:rsidP="00270E60">
      <w:pPr>
        <w:pStyle w:val="BodyText"/>
        <w:keepLines/>
        <w:ind w:left="720" w:hanging="720"/>
        <w:rPr>
          <w:snapToGrid w:val="0"/>
          <w:color w:val="000000"/>
          <w:sz w:val="24"/>
          <w:szCs w:val="24"/>
          <w:shd w:val="clear" w:color="auto" w:fill="FCFCFC"/>
        </w:rPr>
      </w:pPr>
      <w:r>
        <w:rPr>
          <w:color w:val="000000"/>
          <w:sz w:val="24"/>
        </w:rPr>
        <w:t xml:space="preserve">Bais, V. S., &amp; Agarwal, N. C. (1990). Seasonal variations of nitrogen contents in the sediment and water of the Sagar Lake. </w:t>
      </w:r>
      <w:r>
        <w:rPr>
          <w:i/>
          <w:color w:val="000000"/>
          <w:sz w:val="24"/>
        </w:rPr>
        <w:t>Bulletin of Environmental and Scientific Research, 8</w:t>
      </w:r>
      <w:r>
        <w:rPr>
          <w:color w:val="000000"/>
          <w:sz w:val="24"/>
        </w:rPr>
        <w:t xml:space="preserve">, 21–24. </w:t>
      </w:r>
    </w:p>
    <w:p w14:paraId="63C25A07" w14:textId="77777777" w:rsidR="00341690" w:rsidRDefault="00341690" w:rsidP="00270E60">
      <w:pPr>
        <w:pStyle w:val="BodyText"/>
        <w:keepLines/>
        <w:ind w:left="720" w:hanging="720"/>
        <w:rPr>
          <w:color w:val="000000"/>
          <w:sz w:val="24"/>
          <w:szCs w:val="24"/>
        </w:rPr>
      </w:pPr>
      <w:r>
        <w:rPr>
          <w:color w:val="000000"/>
          <w:sz w:val="24"/>
        </w:rPr>
        <w:t xml:space="preserve">Banerjee, A., &amp; Chattopadhyay, G. N. (2024). Identification of soil properties influencing primary productivity of fish ponds under red and lateritic soil zones. </w:t>
      </w:r>
      <w:r>
        <w:rPr>
          <w:i/>
          <w:color w:val="000000"/>
          <w:sz w:val="24"/>
        </w:rPr>
        <w:t>Journal of Environmental Biology, 45</w:t>
      </w:r>
      <w:r>
        <w:rPr>
          <w:color w:val="000000"/>
          <w:sz w:val="24"/>
        </w:rPr>
        <w:t xml:space="preserve">(2), 182–189. </w:t>
      </w:r>
      <w:hyperlink r:id="rId11">
        <w:r>
          <w:rPr>
            <w:color w:val="000000"/>
            <w:sz w:val="24"/>
            <w:szCs w:val="24"/>
            <w:u w:val="single"/>
          </w:rPr>
          <w:t>https://doi.org/10.22438/jeb/45/2/MRN-5171</w:t>
        </w:r>
      </w:hyperlink>
    </w:p>
    <w:p w14:paraId="3204AB91" w14:textId="77777777" w:rsidR="00341690" w:rsidRPr="00B0093B" w:rsidRDefault="00341690" w:rsidP="00270E60">
      <w:pPr>
        <w:pStyle w:val="BodyText"/>
        <w:keepLines/>
        <w:ind w:left="720" w:hanging="720"/>
        <w:rPr>
          <w:snapToGrid w:val="0"/>
          <w:color w:val="000000"/>
        </w:rPr>
      </w:pPr>
      <w:r>
        <w:rPr>
          <w:color w:val="000000"/>
          <w:sz w:val="24"/>
        </w:rPr>
        <w:t xml:space="preserve">Bhati, D. P. S., &amp; Rana, K. S. (1987). Zooplankton in relation to abiotic components in the fort moat of Bharatpur. </w:t>
      </w:r>
      <w:r>
        <w:rPr>
          <w:i/>
          <w:color w:val="000000"/>
          <w:sz w:val="24"/>
        </w:rPr>
        <w:t>Proceedings of the National Academy of Sciences, India Section B: Biological Sciences, 57</w:t>
      </w:r>
      <w:r>
        <w:rPr>
          <w:color w:val="000000"/>
          <w:sz w:val="24"/>
        </w:rPr>
        <w:t xml:space="preserve">, 237–242. </w:t>
      </w:r>
    </w:p>
    <w:p w14:paraId="7836982A" w14:textId="77777777" w:rsidR="00341690" w:rsidRPr="00B0093B" w:rsidRDefault="00341690" w:rsidP="00270E60">
      <w:pPr>
        <w:pStyle w:val="BodyText"/>
        <w:keepLines/>
        <w:ind w:left="720" w:hanging="720"/>
        <w:rPr>
          <w:color w:val="000000"/>
          <w:sz w:val="24"/>
          <w:szCs w:val="24"/>
        </w:rPr>
      </w:pPr>
      <w:r>
        <w:rPr>
          <w:color w:val="000000"/>
          <w:sz w:val="24"/>
        </w:rPr>
        <w:t xml:space="preserve">Boyd, C. E. (2018). Aquaculture pond fertilization. </w:t>
      </w:r>
      <w:r>
        <w:rPr>
          <w:i/>
          <w:color w:val="000000"/>
          <w:sz w:val="24"/>
        </w:rPr>
        <w:t>CABI Reviews, 13</w:t>
      </w:r>
      <w:r>
        <w:rPr>
          <w:color w:val="000000"/>
          <w:sz w:val="24"/>
        </w:rPr>
        <w:t xml:space="preserve">(002), 1–12. </w:t>
      </w:r>
      <w:hyperlink r:id="rId12">
        <w:r>
          <w:rPr>
            <w:color w:val="000000"/>
            <w:sz w:val="24"/>
            <w:szCs w:val="24"/>
            <w:u w:val="single"/>
          </w:rPr>
          <w:t>https://doi.org/10.1079/PAVSNNR201813002</w:t>
        </w:r>
      </w:hyperlink>
    </w:p>
    <w:p w14:paraId="61786FD4" w14:textId="77777777" w:rsidR="00341690" w:rsidRDefault="00341690" w:rsidP="00270E60">
      <w:pPr>
        <w:pStyle w:val="BodyText"/>
        <w:keepLines/>
        <w:ind w:left="720" w:hanging="720"/>
        <w:rPr>
          <w:color w:val="000000"/>
          <w:sz w:val="24"/>
          <w:szCs w:val="24"/>
        </w:rPr>
      </w:pPr>
      <w:r>
        <w:rPr>
          <w:color w:val="000000"/>
          <w:sz w:val="24"/>
        </w:rPr>
        <w:t xml:space="preserve">Boyd, C. E., Wood, C. W., &amp; Thunjai, T. (2002). </w:t>
      </w:r>
      <w:r>
        <w:rPr>
          <w:i/>
          <w:color w:val="000000"/>
          <w:sz w:val="24"/>
        </w:rPr>
        <w:t>Aquaculture pond bottom soil quality management</w:t>
      </w:r>
      <w:r>
        <w:rPr>
          <w:color w:val="000000"/>
          <w:sz w:val="24"/>
        </w:rPr>
        <w:t xml:space="preserve">. Pond Dynamics/Aquaculture Collaborative Research Support Program, Oregon State University. </w:t>
      </w:r>
      <w:hyperlink r:id="rId13">
        <w:r>
          <w:rPr>
            <w:color w:val="000000"/>
            <w:sz w:val="24"/>
            <w:szCs w:val="24"/>
            <w:u w:val="single"/>
          </w:rPr>
          <w:t>https://agris.fao.org/search/en/providers/122535/records/65de01be6eef00c2ce9f3bcf</w:t>
        </w:r>
      </w:hyperlink>
    </w:p>
    <w:p w14:paraId="6466F97F" w14:textId="77777777" w:rsidR="00372375" w:rsidRPr="00372375" w:rsidRDefault="00372375" w:rsidP="00270E60">
      <w:pPr>
        <w:pStyle w:val="BodyText"/>
        <w:keepLines/>
        <w:ind w:left="720" w:hanging="720"/>
        <w:rPr>
          <w:color w:val="000000"/>
          <w:sz w:val="24"/>
          <w:szCs w:val="24"/>
          <w:lang w:val="en-IN"/>
        </w:rPr>
      </w:pPr>
      <w:r>
        <w:rPr>
          <w:color w:val="000000"/>
          <w:sz w:val="24"/>
        </w:rPr>
        <w:t xml:space="preserve">Carpenter, S. R., Caraco, N. F., Correll, D. L., Howarth, R. W., Sharpley, A. N., &amp; Smith, V. H. (1998). Nonpoint pollution of surface waters with phosphorus and nitrogen. </w:t>
      </w:r>
      <w:r>
        <w:rPr>
          <w:i/>
          <w:color w:val="000000"/>
          <w:sz w:val="24"/>
        </w:rPr>
        <w:t>Ecological Applications, 8</w:t>
      </w:r>
      <w:r>
        <w:rPr>
          <w:color w:val="000000"/>
          <w:sz w:val="24"/>
        </w:rPr>
        <w:t xml:space="preserve">(3), 559–568. </w:t>
      </w:r>
      <w:hyperlink r:id="rId14">
        <w:r>
          <w:rPr>
            <w:color w:val="000000"/>
            <w:sz w:val="24"/>
            <w:szCs w:val="24"/>
            <w:u w:val="single"/>
          </w:rPr>
          <w:t>https://doi.org/10.1890/1051-0761(1998)008[0559:NPOSWW]2.0.CO;2</w:t>
        </w:r>
      </w:hyperlink>
    </w:p>
    <w:p w14:paraId="5D7E630A" w14:textId="77777777" w:rsidR="00341690" w:rsidRPr="00B0093B" w:rsidRDefault="00341690" w:rsidP="00270E60">
      <w:pPr>
        <w:pStyle w:val="BodyText"/>
        <w:keepLines/>
        <w:ind w:left="720" w:hanging="720"/>
        <w:rPr>
          <w:color w:val="000000"/>
          <w:sz w:val="24"/>
          <w:szCs w:val="24"/>
        </w:rPr>
      </w:pPr>
      <w:r>
        <w:rPr>
          <w:color w:val="000000"/>
          <w:sz w:val="24"/>
        </w:rPr>
        <w:t xml:space="preserve">Dash, S., Patra, A. K., &amp; Adhikari, S. (2011). Primary productivity of Kharasrota River (India). </w:t>
      </w:r>
      <w:r>
        <w:rPr>
          <w:i/>
          <w:color w:val="000000"/>
          <w:sz w:val="24"/>
        </w:rPr>
        <w:t>Journal of Ecophysiology and Occupational Health, 11</w:t>
      </w:r>
      <w:r>
        <w:rPr>
          <w:color w:val="000000"/>
          <w:sz w:val="24"/>
        </w:rPr>
        <w:t xml:space="preserve">, 219–225. </w:t>
      </w:r>
    </w:p>
    <w:p w14:paraId="54AA51AB" w14:textId="77777777" w:rsidR="00372375" w:rsidRPr="00F774AC" w:rsidRDefault="00372375" w:rsidP="00270E60">
      <w:pPr>
        <w:pStyle w:val="BodyText"/>
        <w:keepLines/>
        <w:ind w:left="720" w:hanging="720"/>
        <w:rPr>
          <w:lang w:val="en-IN"/>
        </w:rPr>
      </w:pPr>
      <w:r>
        <w:rPr>
          <w:color w:val="000000"/>
          <w:sz w:val="24"/>
        </w:rPr>
        <w:t xml:space="preserve">Dodds, W. K., &amp; Smith, V. H. (2016). Nitrogen, phosphorus, and eutrophication in streams. </w:t>
      </w:r>
      <w:r>
        <w:rPr>
          <w:i/>
          <w:color w:val="000000"/>
          <w:sz w:val="24"/>
        </w:rPr>
        <w:t>Inland Waters, 6</w:t>
      </w:r>
      <w:r>
        <w:rPr>
          <w:color w:val="000000"/>
          <w:sz w:val="24"/>
        </w:rPr>
        <w:t xml:space="preserve">(2), 155–164. </w:t>
      </w:r>
      <w:hyperlink r:id="rId15">
        <w:r>
          <w:rPr>
            <w:color w:val="000000"/>
            <w:sz w:val="24"/>
            <w:szCs w:val="24"/>
            <w:u w:val="single"/>
          </w:rPr>
          <w:t>https://doi.org/10.5268/IW-6.2.909</w:t>
        </w:r>
      </w:hyperlink>
    </w:p>
    <w:p w14:paraId="250C0190" w14:textId="77777777" w:rsidR="00341690" w:rsidRPr="00B0093B" w:rsidRDefault="00341690" w:rsidP="00270E60">
      <w:pPr>
        <w:pStyle w:val="BodyText"/>
        <w:keepLines/>
        <w:ind w:left="720" w:hanging="720"/>
        <w:rPr>
          <w:color w:val="000000"/>
          <w:sz w:val="24"/>
          <w:szCs w:val="24"/>
        </w:rPr>
      </w:pPr>
      <w:r>
        <w:rPr>
          <w:color w:val="000000"/>
          <w:sz w:val="24"/>
        </w:rPr>
        <w:t xml:space="preserve">Downing, A. L., &amp; Leibold, M. A. (2002). Ecosystem consequences of species richness and composition in pond food webs. </w:t>
      </w:r>
      <w:r>
        <w:rPr>
          <w:i/>
          <w:color w:val="000000"/>
          <w:sz w:val="24"/>
        </w:rPr>
        <w:t>Nature, 416</w:t>
      </w:r>
      <w:r>
        <w:rPr>
          <w:color w:val="000000"/>
          <w:sz w:val="24"/>
        </w:rPr>
        <w:t xml:space="preserve">(6883), 837–841. </w:t>
      </w:r>
      <w:hyperlink r:id="rId16">
        <w:r>
          <w:rPr>
            <w:color w:val="000000"/>
            <w:sz w:val="24"/>
            <w:szCs w:val="24"/>
            <w:u w:val="single"/>
          </w:rPr>
          <w:t>https://doi.org/10.1038/416837a</w:t>
        </w:r>
      </w:hyperlink>
    </w:p>
    <w:p w14:paraId="58A4AF21" w14:textId="77777777" w:rsidR="00341690" w:rsidRPr="00B0093B" w:rsidRDefault="00341690" w:rsidP="00270E60">
      <w:pPr>
        <w:pStyle w:val="BodyText"/>
        <w:keepLines/>
        <w:ind w:left="720" w:hanging="720"/>
        <w:rPr>
          <w:snapToGrid w:val="0"/>
          <w:color w:val="000000"/>
          <w:sz w:val="24"/>
          <w:szCs w:val="24"/>
        </w:rPr>
      </w:pPr>
      <w:r>
        <w:rPr>
          <w:color w:val="000000"/>
          <w:sz w:val="24"/>
        </w:rPr>
        <w:t xml:space="preserve">Food and Agriculture Organization of the United Nations. (2016). </w:t>
      </w:r>
      <w:r>
        <w:rPr>
          <w:i/>
          <w:color w:val="000000"/>
          <w:sz w:val="24"/>
        </w:rPr>
        <w:t>The state of food and agriculture 2016: Climate change, agriculture and food security</w:t>
      </w:r>
      <w:r>
        <w:rPr>
          <w:color w:val="000000"/>
          <w:sz w:val="24"/>
        </w:rPr>
        <w:t xml:space="preserve">. </w:t>
      </w:r>
      <w:hyperlink r:id="rId17">
        <w:r>
          <w:rPr>
            <w:color w:val="000000"/>
            <w:sz w:val="24"/>
            <w:szCs w:val="24"/>
            <w:u w:val="single"/>
          </w:rPr>
          <w:t>https://www.fao.org/agrifood-economics/publications/detail/en/c/447313/</w:t>
        </w:r>
      </w:hyperlink>
    </w:p>
    <w:p w14:paraId="40DF5935" w14:textId="77777777" w:rsidR="00372375" w:rsidRPr="00751F28" w:rsidRDefault="00372375" w:rsidP="00B5141E">
      <w:pPr>
        <w:pStyle w:val="BodyText"/>
        <w:keepLines/>
        <w:ind w:left="720" w:hanging="720"/>
        <w:rPr>
          <w:rStyle w:val="Emphasis"/>
          <w:i w:val="0"/>
          <w:iCs w:val="0"/>
          <w:color w:val="000000" w:themeColor="text1"/>
          <w:sz w:val="24"/>
          <w:szCs w:val="24"/>
        </w:rPr>
      </w:pPr>
      <w:r>
        <w:rPr>
          <w:color w:val="000000"/>
          <w:sz w:val="24"/>
        </w:rPr>
        <w:t xml:space="preserve">Fernández Castro, B., Chmiel, H. E., Minaudo, C., Krishna, S., Perolo, P., Rasconi, S., &amp; Wüest, A. (2021). Primary and net ecosystem production in a large lake diagnosed from high-resolution oxygen measurements. </w:t>
      </w:r>
      <w:r>
        <w:rPr>
          <w:i/>
          <w:color w:val="000000"/>
          <w:sz w:val="24"/>
        </w:rPr>
        <w:t>Water Resources Research, 57</w:t>
      </w:r>
      <w:r>
        <w:rPr>
          <w:color w:val="000000"/>
          <w:sz w:val="24"/>
        </w:rPr>
        <w:t xml:space="preserve">(5), e2020WR029283. </w:t>
      </w:r>
      <w:hyperlink r:id="rId18">
        <w:r>
          <w:rPr>
            <w:color w:val="000000"/>
            <w:sz w:val="24"/>
            <w:szCs w:val="24"/>
            <w:u w:val="single"/>
          </w:rPr>
          <w:t>https://doi.org/10.1029/2020WR029283</w:t>
        </w:r>
      </w:hyperlink>
    </w:p>
    <w:p w14:paraId="536E2663" w14:textId="77777777" w:rsidR="00341690" w:rsidRPr="00B0093B" w:rsidRDefault="00341690" w:rsidP="00270E60">
      <w:pPr>
        <w:pStyle w:val="BodyText"/>
        <w:keepLines/>
        <w:ind w:left="720" w:hanging="720"/>
        <w:rPr>
          <w:snapToGrid w:val="0"/>
          <w:color w:val="000000"/>
          <w:sz w:val="24"/>
          <w:szCs w:val="24"/>
          <w:shd w:val="clear" w:color="auto" w:fill="FCFCFC"/>
        </w:rPr>
      </w:pPr>
      <w:r>
        <w:rPr>
          <w:color w:val="000000"/>
          <w:sz w:val="24"/>
        </w:rPr>
        <w:lastRenderedPageBreak/>
        <w:t xml:space="preserve">Forsberg, C. (1982). Limnological research can improve and reduce the cost of monitoring and control of water quality. </w:t>
      </w:r>
      <w:r>
        <w:rPr>
          <w:i/>
          <w:color w:val="000000"/>
          <w:sz w:val="24"/>
        </w:rPr>
        <w:t>Hydrobiologia, 86</w:t>
      </w:r>
      <w:r>
        <w:rPr>
          <w:color w:val="000000"/>
          <w:sz w:val="24"/>
        </w:rPr>
        <w:t xml:space="preserve">, 143–146. </w:t>
      </w:r>
      <w:hyperlink r:id="rId19">
        <w:r>
          <w:rPr>
            <w:color w:val="000000"/>
            <w:sz w:val="24"/>
            <w:szCs w:val="24"/>
            <w:u w:val="single"/>
          </w:rPr>
          <w:t>https://doi.org/10.1007/BF00005801</w:t>
        </w:r>
      </w:hyperlink>
    </w:p>
    <w:p w14:paraId="43C37F87" w14:textId="77777777" w:rsidR="00341690" w:rsidRPr="00B0093B" w:rsidRDefault="00341690" w:rsidP="00270E60">
      <w:pPr>
        <w:pStyle w:val="BodyText"/>
        <w:keepLines/>
        <w:adjustRightInd w:val="0"/>
        <w:ind w:left="720" w:hanging="720"/>
        <w:rPr>
          <w:snapToGrid w:val="0"/>
          <w:color w:val="000000"/>
        </w:rPr>
      </w:pPr>
      <w:r>
        <w:rPr>
          <w:color w:val="000000"/>
          <w:sz w:val="24"/>
        </w:rPr>
        <w:t xml:space="preserve">Ganf, G. G., &amp; Horne, A. J. (1975). Diurnal stratification, photosynthesis and nitrogen-fixation in a shallow, equatorial lake (Lake George, Uganda). </w:t>
      </w:r>
      <w:r>
        <w:rPr>
          <w:i/>
          <w:color w:val="000000"/>
          <w:sz w:val="24"/>
        </w:rPr>
        <w:t>Freshwater Biology, 5</w:t>
      </w:r>
      <w:r>
        <w:rPr>
          <w:color w:val="000000"/>
          <w:sz w:val="24"/>
        </w:rPr>
        <w:t xml:space="preserve">(1), 13–39. </w:t>
      </w:r>
      <w:hyperlink r:id="rId20">
        <w:r>
          <w:rPr>
            <w:color w:val="000000"/>
            <w:sz w:val="24"/>
            <w:szCs w:val="24"/>
            <w:u w:val="single"/>
          </w:rPr>
          <w:t>https://doi.org/10.1111/j.1365-2427.1975.tb00118.x</w:t>
        </w:r>
      </w:hyperlink>
    </w:p>
    <w:p w14:paraId="3E003689" w14:textId="77777777" w:rsidR="00E41D7F" w:rsidRPr="005D3A0C" w:rsidRDefault="00000000">
      <w:pPr>
        <w:pStyle w:val="BodyText"/>
        <w:keepLines/>
        <w:ind w:left="720" w:hanging="720"/>
        <w:rPr>
          <w:bCs/>
          <w:color w:val="000000"/>
          <w:sz w:val="24"/>
          <w:szCs w:val="24"/>
        </w:rPr>
      </w:pPr>
      <w:r w:rsidRPr="005D3A0C">
        <w:rPr>
          <w:bCs/>
          <w:color w:val="000000"/>
          <w:highlight w:val="yellow"/>
        </w:rPr>
        <w:t xml:space="preserve">Gautam, A., Dubey, S., Mahajan, S. K., Khare, A., Chatterjee, D., Shakya, P., Tiwari, P. K., &amp; Katara, S. (2025). Impact of unsustainable aquaculture practices on water quality parameters in fish pond ecosystem in Balaghat, Madhya Pradesh, India. </w:t>
      </w:r>
      <w:r w:rsidRPr="005D3A0C">
        <w:rPr>
          <w:bCs/>
          <w:i/>
          <w:color w:val="000000"/>
          <w:highlight w:val="yellow"/>
        </w:rPr>
        <w:t>International Journal of Environment and Climate Change, 15</w:t>
      </w:r>
      <w:r w:rsidRPr="005D3A0C">
        <w:rPr>
          <w:bCs/>
          <w:color w:val="000000"/>
          <w:highlight w:val="yellow"/>
        </w:rPr>
        <w:t xml:space="preserve">(3), 33–48. </w:t>
      </w:r>
      <w:hyperlink r:id="rId21">
        <w:r w:rsidRPr="005D3A0C">
          <w:rPr>
            <w:bCs/>
            <w:color w:val="000000"/>
            <w:highlight w:val="yellow"/>
          </w:rPr>
          <w:t>https://doi.org/10.9734/ijecc/2025/v15i34752</w:t>
        </w:r>
      </w:hyperlink>
    </w:p>
    <w:p w14:paraId="2938ED1A" w14:textId="77777777" w:rsidR="00341690" w:rsidRPr="00B0093B" w:rsidRDefault="00341690" w:rsidP="00270E60">
      <w:pPr>
        <w:pStyle w:val="BodyText"/>
        <w:keepLines/>
        <w:ind w:left="720" w:hanging="720"/>
        <w:rPr>
          <w:snapToGrid w:val="0"/>
          <w:color w:val="000000"/>
          <w:sz w:val="24"/>
          <w:szCs w:val="24"/>
          <w:shd w:val="clear" w:color="auto" w:fill="FCFCFC"/>
        </w:rPr>
      </w:pPr>
      <w:r>
        <w:rPr>
          <w:color w:val="000000"/>
          <w:sz w:val="24"/>
        </w:rPr>
        <w:t xml:space="preserve">Jhingran, V. G. (1991). </w:t>
      </w:r>
      <w:r>
        <w:rPr>
          <w:i/>
          <w:color w:val="000000"/>
          <w:sz w:val="24"/>
        </w:rPr>
        <w:t>Fish and fisheries of India</w:t>
      </w:r>
      <w:r>
        <w:rPr>
          <w:color w:val="000000"/>
          <w:sz w:val="24"/>
        </w:rPr>
        <w:t xml:space="preserve"> (3rd rev. and enl. ed.). Hindustan Publishing Corporation. </w:t>
      </w:r>
    </w:p>
    <w:p w14:paraId="07ECD54A" w14:textId="77777777" w:rsidR="00341690" w:rsidRPr="00B0093B" w:rsidRDefault="00341690" w:rsidP="00270E60">
      <w:pPr>
        <w:pStyle w:val="BodyText"/>
        <w:keepLines/>
        <w:ind w:left="720" w:hanging="720"/>
        <w:rPr>
          <w:color w:val="000000"/>
          <w:sz w:val="24"/>
          <w:szCs w:val="24"/>
        </w:rPr>
      </w:pPr>
      <w:r>
        <w:rPr>
          <w:color w:val="000000"/>
          <w:sz w:val="24"/>
        </w:rPr>
        <w:t xml:space="preserve">Kather Bee, S., Chitra, J., &amp; Malini, E. (2015). Studies on plankton diversity and water quality of Ambattur Lake, Tamil Nadu. </w:t>
      </w:r>
      <w:r>
        <w:rPr>
          <w:i/>
          <w:color w:val="000000"/>
          <w:sz w:val="24"/>
        </w:rPr>
        <w:t>International Journal of Pure and Applied Zoology, 3</w:t>
      </w:r>
      <w:r>
        <w:rPr>
          <w:color w:val="000000"/>
          <w:sz w:val="24"/>
        </w:rPr>
        <w:t xml:space="preserve">(1), 31–36. </w:t>
      </w:r>
      <w:hyperlink r:id="rId22">
        <w:r>
          <w:rPr>
            <w:color w:val="000000"/>
            <w:sz w:val="24"/>
            <w:szCs w:val="24"/>
            <w:u w:val="single"/>
          </w:rPr>
          <w:t>https://www.abacademies.org/abstract/studies-on-plankton-diversity-and-water-quality-ofambattur-lake-tamil-nadu-3820.html</w:t>
        </w:r>
      </w:hyperlink>
    </w:p>
    <w:p w14:paraId="23BF3F5E" w14:textId="77777777" w:rsidR="00372375" w:rsidRPr="00372375" w:rsidRDefault="00372375" w:rsidP="00270E60">
      <w:pPr>
        <w:pStyle w:val="BodyText"/>
        <w:keepLines/>
        <w:ind w:left="720" w:hanging="720"/>
        <w:rPr>
          <w:snapToGrid w:val="0"/>
          <w:color w:val="000000"/>
          <w:lang w:val="en-IN"/>
        </w:rPr>
      </w:pPr>
      <w:r>
        <w:rPr>
          <w:color w:val="000000"/>
          <w:sz w:val="24"/>
        </w:rPr>
        <w:t xml:space="preserve">Kavindra, J., Sharma, S. K., Sharma, B. K., &amp; Ojha, M. L. (2019). Physico-chemical properties and primary productivity of Jawai Dam, Pali, Rajasthan. </w:t>
      </w:r>
      <w:r>
        <w:rPr>
          <w:i/>
          <w:color w:val="000000"/>
          <w:sz w:val="24"/>
        </w:rPr>
        <w:t>Journal of Entomology and Zoology Studies, 7</w:t>
      </w:r>
      <w:r>
        <w:rPr>
          <w:color w:val="000000"/>
          <w:sz w:val="24"/>
        </w:rPr>
        <w:t xml:space="preserve">(4), 865–868. </w:t>
      </w:r>
      <w:hyperlink r:id="rId23">
        <w:r>
          <w:rPr>
            <w:color w:val="000000"/>
            <w:sz w:val="24"/>
            <w:szCs w:val="24"/>
            <w:u w:val="single"/>
          </w:rPr>
          <w:t>https://www.entomoljournal.com/archives/?ArticleId=5551&amp;issue=4&amp;vol=7&amp;year=2019</w:t>
        </w:r>
      </w:hyperlink>
    </w:p>
    <w:p w14:paraId="7AEEB78F" w14:textId="77777777" w:rsidR="00341690" w:rsidRPr="00B0093B" w:rsidRDefault="00341690" w:rsidP="00270E60">
      <w:pPr>
        <w:pStyle w:val="BodyText"/>
        <w:keepLines/>
        <w:ind w:left="720" w:hanging="720"/>
        <w:rPr>
          <w:snapToGrid w:val="0"/>
          <w:color w:val="000000"/>
        </w:rPr>
      </w:pPr>
      <w:r>
        <w:rPr>
          <w:color w:val="000000"/>
          <w:sz w:val="24"/>
        </w:rPr>
        <w:t xml:space="preserve">Knud-Hansen, C. F., Batterson, T. R., McNabb, C. D., Harahat, I. S., Sumantadinata, K., &amp; Eidman, H. M. (1991). Nitrogen input, primary productivity and fish yield in fertilized freshwater ponds in Indonesia. </w:t>
      </w:r>
      <w:r>
        <w:rPr>
          <w:i/>
          <w:color w:val="000000"/>
          <w:sz w:val="24"/>
        </w:rPr>
        <w:t>Aquaculture, 94</w:t>
      </w:r>
      <w:r>
        <w:rPr>
          <w:color w:val="000000"/>
          <w:sz w:val="24"/>
        </w:rPr>
        <w:t xml:space="preserve">(1), 49–63. </w:t>
      </w:r>
      <w:hyperlink r:id="rId24">
        <w:r>
          <w:rPr>
            <w:color w:val="000000"/>
            <w:sz w:val="24"/>
            <w:szCs w:val="24"/>
            <w:u w:val="single"/>
          </w:rPr>
          <w:t>https://doi.org/10.1016/0044-8486(91)90128-T</w:t>
        </w:r>
      </w:hyperlink>
    </w:p>
    <w:p w14:paraId="3304F4EB" w14:textId="77777777" w:rsidR="00341690" w:rsidRPr="00B0093B" w:rsidRDefault="00341690" w:rsidP="00270E60">
      <w:pPr>
        <w:pStyle w:val="BodyText"/>
        <w:keepLines/>
        <w:ind w:left="720" w:hanging="720"/>
        <w:rPr>
          <w:color w:val="000000"/>
          <w:sz w:val="24"/>
          <w:szCs w:val="24"/>
        </w:rPr>
      </w:pPr>
      <w:r>
        <w:rPr>
          <w:color w:val="000000"/>
          <w:sz w:val="24"/>
        </w:rPr>
        <w:t xml:space="preserve">Laal, A. K. (1984). Ecology of planktonic rotifers in a tropical freshwater pond in Patna, Bihar. </w:t>
      </w:r>
      <w:r>
        <w:rPr>
          <w:i/>
          <w:color w:val="000000"/>
          <w:sz w:val="24"/>
        </w:rPr>
        <w:t>Indian Journal of Animal Sciences, 54</w:t>
      </w:r>
      <w:r>
        <w:rPr>
          <w:color w:val="000000"/>
          <w:sz w:val="24"/>
        </w:rPr>
        <w:t xml:space="preserve">, 291–294. </w:t>
      </w:r>
    </w:p>
    <w:p w14:paraId="60349A89" w14:textId="77777777" w:rsidR="00E41D7F" w:rsidRPr="005D3A0C" w:rsidRDefault="00000000">
      <w:pPr>
        <w:pStyle w:val="BodyText"/>
        <w:keepLines/>
        <w:ind w:left="720" w:hanging="720"/>
        <w:rPr>
          <w:bCs/>
          <w:color w:val="000000"/>
          <w:sz w:val="24"/>
          <w:szCs w:val="24"/>
        </w:rPr>
      </w:pPr>
      <w:r w:rsidRPr="005D3A0C">
        <w:rPr>
          <w:bCs/>
          <w:color w:val="000000"/>
          <w:highlight w:val="yellow"/>
        </w:rPr>
        <w:t xml:space="preserve">Lima, A. F., dos Reis, A. G. P., Costa, V. E., &amp; Valenti, W. C. (2024a). Natural food intake and its contribution to tambaqui growth in fertilized and unfertilized ponds. </w:t>
      </w:r>
      <w:r w:rsidRPr="005D3A0C">
        <w:rPr>
          <w:bCs/>
          <w:i/>
          <w:color w:val="000000"/>
          <w:highlight w:val="yellow"/>
        </w:rPr>
        <w:t>Fishes, 9</w:t>
      </w:r>
      <w:r w:rsidRPr="005D3A0C">
        <w:rPr>
          <w:bCs/>
          <w:color w:val="000000"/>
          <w:highlight w:val="yellow"/>
        </w:rPr>
        <w:t xml:space="preserve">(4), 139. </w:t>
      </w:r>
      <w:hyperlink r:id="rId25">
        <w:r w:rsidRPr="005D3A0C">
          <w:rPr>
            <w:bCs/>
            <w:color w:val="000000"/>
            <w:highlight w:val="yellow"/>
          </w:rPr>
          <w:t>https://doi.org/10.3390/fishes9040139</w:t>
        </w:r>
      </w:hyperlink>
    </w:p>
    <w:p w14:paraId="5D195854" w14:textId="77777777" w:rsidR="00E41D7F" w:rsidRPr="005D3A0C" w:rsidRDefault="00000000">
      <w:pPr>
        <w:pStyle w:val="BodyText"/>
        <w:keepLines/>
        <w:ind w:left="720" w:hanging="720"/>
        <w:rPr>
          <w:bCs/>
          <w:color w:val="000000"/>
          <w:sz w:val="24"/>
          <w:szCs w:val="24"/>
        </w:rPr>
      </w:pPr>
      <w:r w:rsidRPr="005D3A0C">
        <w:rPr>
          <w:bCs/>
          <w:color w:val="000000"/>
          <w:highlight w:val="yellow"/>
        </w:rPr>
        <w:t xml:space="preserve">Lima, A. F., Pereira, A. S., Costa-Fernandes, T. d. O., Rodrigues, A. P. O., Costa, V. E., &amp; Maciel-Honda, P. O. (2024b). The effect of nursery production system (in cage and pond) on performance, health status, and plankton ingestion of the low trophic level fish tambaqui, Colossoma macropomum. </w:t>
      </w:r>
      <w:r w:rsidRPr="005D3A0C">
        <w:rPr>
          <w:bCs/>
          <w:i/>
          <w:color w:val="000000"/>
          <w:highlight w:val="yellow"/>
        </w:rPr>
        <w:t>Aquaculture, 586</w:t>
      </w:r>
      <w:r w:rsidRPr="005D3A0C">
        <w:rPr>
          <w:bCs/>
          <w:color w:val="000000"/>
          <w:highlight w:val="yellow"/>
        </w:rPr>
        <w:t xml:space="preserve">, 740721. </w:t>
      </w:r>
      <w:hyperlink r:id="rId26">
        <w:r w:rsidRPr="005D3A0C">
          <w:rPr>
            <w:bCs/>
            <w:color w:val="000000"/>
            <w:highlight w:val="yellow"/>
          </w:rPr>
          <w:t>https://doi.org/10.1016/j.aquaculture.2024.740721</w:t>
        </w:r>
      </w:hyperlink>
    </w:p>
    <w:p w14:paraId="305E7133" w14:textId="77777777" w:rsidR="00341690" w:rsidRPr="00B0093B" w:rsidRDefault="00341690" w:rsidP="00270E60">
      <w:pPr>
        <w:pStyle w:val="BodyText"/>
        <w:keepLines/>
        <w:adjustRightInd w:val="0"/>
        <w:ind w:left="720" w:hanging="720"/>
        <w:rPr>
          <w:snapToGrid w:val="0"/>
          <w:color w:val="000000"/>
        </w:rPr>
      </w:pPr>
      <w:r>
        <w:rPr>
          <w:color w:val="000000"/>
          <w:sz w:val="24"/>
        </w:rPr>
        <w:t xml:space="preserve">Madhupratap, M., Gauns, M., Ramaiah, N., Prasanna Kumar, S., Muraleedharan, P. M., de Sousa, S. N., Sardessai, S., &amp; Muraleedharan, U. D. (2003). Biogeochemistry of the Bay of Bengal: Physical, chemical and primary productivity characteristics of the central and western Bay of Bengal during summer monsoon 2001. </w:t>
      </w:r>
      <w:r>
        <w:rPr>
          <w:i/>
          <w:color w:val="000000"/>
          <w:sz w:val="24"/>
        </w:rPr>
        <w:t>Deep Sea Research Part II: Topical Studies in Oceanography, 50</w:t>
      </w:r>
      <w:r>
        <w:rPr>
          <w:color w:val="000000"/>
          <w:sz w:val="24"/>
        </w:rPr>
        <w:t xml:space="preserve">(5), 881–896. </w:t>
      </w:r>
      <w:hyperlink r:id="rId27">
        <w:r>
          <w:rPr>
            <w:color w:val="000000"/>
            <w:sz w:val="24"/>
            <w:szCs w:val="24"/>
            <w:u w:val="single"/>
          </w:rPr>
          <w:t>https://doi.org/10.1016/S0967-0645(02)00611-2</w:t>
        </w:r>
      </w:hyperlink>
    </w:p>
    <w:p w14:paraId="32296D79" w14:textId="77777777" w:rsidR="00341690" w:rsidRDefault="00341690" w:rsidP="00270E60">
      <w:pPr>
        <w:pStyle w:val="BodyText"/>
        <w:keepLines/>
        <w:adjustRightInd w:val="0"/>
        <w:ind w:left="720" w:hanging="720"/>
        <w:rPr>
          <w:snapToGrid w:val="0"/>
          <w:color w:val="000000"/>
        </w:rPr>
      </w:pPr>
      <w:r>
        <w:rPr>
          <w:color w:val="000000"/>
          <w:sz w:val="24"/>
        </w:rPr>
        <w:t xml:space="preserve">Ministry of Fisheries, Animal Husbandry and Dairying. (2021, December 30). </w:t>
      </w:r>
      <w:r>
        <w:rPr>
          <w:i/>
          <w:color w:val="000000"/>
          <w:sz w:val="24"/>
        </w:rPr>
        <w:t>Year ender review 2021 on highlight key initiatives and achievements pertains to Department of Fisheries, Ministry of Fisheries, Animal Husbandry and Dairying for the year 2021</w:t>
      </w:r>
      <w:r>
        <w:rPr>
          <w:color w:val="000000"/>
          <w:sz w:val="24"/>
        </w:rPr>
        <w:t xml:space="preserve">. Press Information Bureau, Government of India. </w:t>
      </w:r>
      <w:hyperlink r:id="rId28">
        <w:r>
          <w:rPr>
            <w:color w:val="000000"/>
            <w:sz w:val="24"/>
            <w:szCs w:val="24"/>
            <w:u w:val="single"/>
          </w:rPr>
          <w:t>https://www.pib.gov.in/Pressreleaseshare.aspx?PRID=1786303</w:t>
        </w:r>
      </w:hyperlink>
    </w:p>
    <w:p w14:paraId="7A597A6B" w14:textId="77777777" w:rsidR="007A7531" w:rsidRPr="007A7531" w:rsidRDefault="007A7531" w:rsidP="00270E60">
      <w:pPr>
        <w:pStyle w:val="BodyText"/>
        <w:keepLines/>
        <w:adjustRightInd w:val="0"/>
        <w:ind w:left="720" w:hanging="720"/>
        <w:rPr>
          <w:snapToGrid w:val="0"/>
          <w:color w:val="000000"/>
          <w:lang w:val="en-IN"/>
        </w:rPr>
      </w:pPr>
      <w:r>
        <w:rPr>
          <w:color w:val="000000"/>
          <w:sz w:val="24"/>
        </w:rPr>
        <w:t xml:space="preserve">Morris, J. E., &amp; Mischke, C. C. (1999). </w:t>
      </w:r>
      <w:r>
        <w:rPr>
          <w:i/>
          <w:color w:val="000000"/>
          <w:sz w:val="24"/>
        </w:rPr>
        <w:t>Plankton management for fish culture ponds</w:t>
      </w:r>
      <w:r>
        <w:rPr>
          <w:color w:val="000000"/>
          <w:sz w:val="24"/>
        </w:rPr>
        <w:t xml:space="preserve"> (Technical Bulletin Series No. 114). North Central Regional Aquaculture Center, Iowa State University. </w:t>
      </w:r>
      <w:hyperlink r:id="rId29">
        <w:r>
          <w:rPr>
            <w:color w:val="000000"/>
            <w:sz w:val="24"/>
            <w:szCs w:val="24"/>
            <w:u w:val="single"/>
          </w:rPr>
          <w:t>https://freshwater-aquaculture.extension.org/wp-content/uploads/2019/08/Planktonmngmt.pdf</w:t>
        </w:r>
      </w:hyperlink>
    </w:p>
    <w:p w14:paraId="55BA554E" w14:textId="77777777" w:rsidR="00341690" w:rsidRPr="00B0093B" w:rsidRDefault="00341690" w:rsidP="00270E60">
      <w:pPr>
        <w:pStyle w:val="BodyText"/>
        <w:keepLines/>
        <w:adjustRightInd w:val="0"/>
        <w:ind w:left="720" w:hanging="720"/>
        <w:rPr>
          <w:snapToGrid w:val="0"/>
          <w:color w:val="000000"/>
        </w:rPr>
      </w:pPr>
      <w:r>
        <w:rPr>
          <w:color w:val="000000"/>
          <w:sz w:val="24"/>
        </w:rPr>
        <w:lastRenderedPageBreak/>
        <w:t xml:space="preserve">Noriega-Curtis, P. (1979). Primary productivity and related fish yield in intensely manured fishponds. </w:t>
      </w:r>
      <w:r>
        <w:rPr>
          <w:i/>
          <w:color w:val="000000"/>
          <w:sz w:val="24"/>
        </w:rPr>
        <w:t>Aquaculture, 17</w:t>
      </w:r>
      <w:r>
        <w:rPr>
          <w:color w:val="000000"/>
          <w:sz w:val="24"/>
        </w:rPr>
        <w:t xml:space="preserve">(4), 335–344. </w:t>
      </w:r>
      <w:hyperlink r:id="rId30">
        <w:r>
          <w:rPr>
            <w:color w:val="000000"/>
            <w:sz w:val="24"/>
            <w:szCs w:val="24"/>
            <w:u w:val="single"/>
          </w:rPr>
          <w:t>https://doi.org/10.1016/0044-8486(79)90088-7</w:t>
        </w:r>
      </w:hyperlink>
    </w:p>
    <w:p w14:paraId="686763AE" w14:textId="77777777" w:rsidR="00341690" w:rsidRDefault="00341690" w:rsidP="00270E60">
      <w:pPr>
        <w:pStyle w:val="BodyText"/>
        <w:keepLines/>
        <w:ind w:left="720" w:hanging="720"/>
        <w:rPr>
          <w:rStyle w:val="A5"/>
          <w:sz w:val="24"/>
          <w:szCs w:val="24"/>
        </w:rPr>
      </w:pPr>
      <w:r>
        <w:rPr>
          <w:color w:val="000000"/>
          <w:sz w:val="24"/>
        </w:rPr>
        <w:t xml:space="preserve">Odum, E. P. (1971). </w:t>
      </w:r>
      <w:r>
        <w:rPr>
          <w:i/>
          <w:color w:val="000000"/>
          <w:sz w:val="24"/>
        </w:rPr>
        <w:t>Fundamentals of ecology</w:t>
      </w:r>
      <w:r>
        <w:rPr>
          <w:color w:val="000000"/>
          <w:sz w:val="24"/>
        </w:rPr>
        <w:t xml:space="preserve"> (3rd ed.). W. B. Saunders. </w:t>
      </w:r>
    </w:p>
    <w:p w14:paraId="6167FBF3" w14:textId="77777777" w:rsidR="0018448E" w:rsidRPr="00270E60" w:rsidRDefault="0018448E" w:rsidP="00B7449D">
      <w:pPr>
        <w:pStyle w:val="BodyText"/>
        <w:keepLines/>
        <w:ind w:left="720" w:hanging="720"/>
        <w:rPr>
          <w:lang w:val="en-IN"/>
        </w:rPr>
      </w:pPr>
      <w:r>
        <w:rPr>
          <w:color w:val="000000"/>
          <w:sz w:val="24"/>
        </w:rPr>
        <w:t xml:space="preserve">Ogbuagu, D. H., &amp; Ayoade, A. A. (2011). Estimation of primary production along gradients of the middle course of Imo River in Etche, Nigeria. </w:t>
      </w:r>
      <w:r>
        <w:rPr>
          <w:i/>
          <w:color w:val="000000"/>
          <w:sz w:val="24"/>
        </w:rPr>
        <w:t>International Journal of Biosciences, 1</w:t>
      </w:r>
      <w:r>
        <w:rPr>
          <w:color w:val="000000"/>
          <w:sz w:val="24"/>
        </w:rPr>
        <w:t xml:space="preserve">(4), 68–73. </w:t>
      </w:r>
      <w:hyperlink r:id="rId31">
        <w:r>
          <w:rPr>
            <w:color w:val="000000"/>
            <w:sz w:val="24"/>
            <w:szCs w:val="24"/>
            <w:u w:val="single"/>
          </w:rPr>
          <w:t>https://innspub.net/wp-content/uploads/2022/02/IJB-V1-No4-p68-73.pdf</w:t>
        </w:r>
      </w:hyperlink>
    </w:p>
    <w:p w14:paraId="6D398F23" w14:textId="77777777" w:rsidR="00341690" w:rsidRPr="00B0093B" w:rsidRDefault="00341690" w:rsidP="00270E60">
      <w:pPr>
        <w:pStyle w:val="BodyText"/>
        <w:keepLines/>
        <w:ind w:left="720" w:hanging="720"/>
        <w:rPr>
          <w:snapToGrid w:val="0"/>
          <w:color w:val="000000"/>
        </w:rPr>
      </w:pPr>
      <w:r>
        <w:rPr>
          <w:color w:val="000000"/>
          <w:sz w:val="24"/>
        </w:rPr>
        <w:t xml:space="preserve">Oláh, J., Sinha, V. R. P., Ayyappan, S., Purushothaman, C. S., &amp; Radheyshyam, S. (1986). Primary production and fish yields in fish ponds under different management practices. </w:t>
      </w:r>
      <w:r>
        <w:rPr>
          <w:i/>
          <w:color w:val="000000"/>
          <w:sz w:val="24"/>
        </w:rPr>
        <w:t>Aquaculture, 58</w:t>
      </w:r>
      <w:r>
        <w:rPr>
          <w:color w:val="000000"/>
          <w:sz w:val="24"/>
        </w:rPr>
        <w:t xml:space="preserve">(1–2), 111–122. </w:t>
      </w:r>
      <w:hyperlink r:id="rId32">
        <w:r>
          <w:rPr>
            <w:color w:val="000000"/>
            <w:sz w:val="24"/>
            <w:szCs w:val="24"/>
            <w:u w:val="single"/>
          </w:rPr>
          <w:t>https://doi.org/10.1016/0044-8486(86)90160-2</w:t>
        </w:r>
      </w:hyperlink>
    </w:p>
    <w:p w14:paraId="54352734" w14:textId="77777777" w:rsidR="00341690" w:rsidRPr="00B0093B" w:rsidRDefault="00341690" w:rsidP="00270E60">
      <w:pPr>
        <w:pStyle w:val="BodyText"/>
        <w:keepLines/>
        <w:adjustRightInd w:val="0"/>
        <w:ind w:left="720" w:hanging="720"/>
        <w:rPr>
          <w:color w:val="000000"/>
        </w:rPr>
      </w:pPr>
      <w:r>
        <w:rPr>
          <w:color w:val="000000"/>
          <w:sz w:val="24"/>
        </w:rPr>
        <w:t xml:space="preserve">Palaniappan, N. (1989). </w:t>
      </w:r>
      <w:r>
        <w:rPr>
          <w:i/>
          <w:color w:val="000000"/>
          <w:sz w:val="24"/>
        </w:rPr>
        <w:t>Ecological studies on rock pools of Salem and Dharmapuri districts in Tamil Nadu</w:t>
      </w:r>
      <w:r>
        <w:rPr>
          <w:color w:val="000000"/>
          <w:sz w:val="24"/>
        </w:rPr>
        <w:t xml:space="preserve"> [Doctoral dissertation, University of Madras]. </w:t>
      </w:r>
    </w:p>
    <w:p w14:paraId="162DC88A" w14:textId="77777777" w:rsidR="00341690" w:rsidRPr="00B0093B" w:rsidRDefault="00341690" w:rsidP="00270E60">
      <w:pPr>
        <w:pStyle w:val="BodyText"/>
        <w:keepLines/>
        <w:ind w:left="720" w:hanging="720"/>
        <w:rPr>
          <w:snapToGrid w:val="0"/>
          <w:color w:val="000000"/>
        </w:rPr>
      </w:pPr>
      <w:r>
        <w:rPr>
          <w:color w:val="000000"/>
          <w:sz w:val="24"/>
        </w:rPr>
        <w:t xml:space="preserve">Patel, P., &amp; Laharia, R. (2021). Zooplankton diversity of a freshwater perennial pond in Wani city of Yavatmal District, Maharashtra, India. </w:t>
      </w:r>
      <w:r>
        <w:rPr>
          <w:i/>
          <w:color w:val="000000"/>
          <w:sz w:val="24"/>
        </w:rPr>
        <w:t>Journal of Emerging Technologies and Innovative Research, 8</w:t>
      </w:r>
      <w:r>
        <w:rPr>
          <w:color w:val="000000"/>
          <w:sz w:val="24"/>
        </w:rPr>
        <w:t xml:space="preserve">(12), 42–52. </w:t>
      </w:r>
      <w:hyperlink r:id="rId33">
        <w:r>
          <w:rPr>
            <w:color w:val="000000"/>
            <w:sz w:val="24"/>
            <w:szCs w:val="24"/>
            <w:u w:val="single"/>
          </w:rPr>
          <w:t>https://www.jetir.org/papers/JETIRFI06009.pdf</w:t>
        </w:r>
      </w:hyperlink>
    </w:p>
    <w:p w14:paraId="75731705" w14:textId="77777777" w:rsidR="00341690" w:rsidRPr="00B0093B" w:rsidRDefault="00341690" w:rsidP="00270E60">
      <w:pPr>
        <w:pStyle w:val="BodyText"/>
        <w:keepLines/>
        <w:ind w:left="720" w:hanging="720"/>
        <w:rPr>
          <w:snapToGrid w:val="0"/>
          <w:color w:val="000000"/>
        </w:rPr>
      </w:pPr>
      <w:r>
        <w:rPr>
          <w:color w:val="000000"/>
          <w:sz w:val="24"/>
        </w:rPr>
        <w:t xml:space="preserve">Patil, C. S., &amp; Gouder, B. Y. M. (1985). Ecological study of freshwater zooplankton of a subtropical pond (Karnataka State), India. </w:t>
      </w:r>
      <w:r>
        <w:rPr>
          <w:i/>
          <w:color w:val="000000"/>
          <w:sz w:val="24"/>
        </w:rPr>
        <w:t>Internationale Revue der gesamten Hydrobiologie und Hydrographie, 70</w:t>
      </w:r>
      <w:r>
        <w:rPr>
          <w:color w:val="000000"/>
          <w:sz w:val="24"/>
        </w:rPr>
        <w:t xml:space="preserve">(2), 259–267. </w:t>
      </w:r>
      <w:hyperlink r:id="rId34">
        <w:r>
          <w:rPr>
            <w:color w:val="000000"/>
            <w:sz w:val="24"/>
            <w:szCs w:val="24"/>
            <w:u w:val="single"/>
          </w:rPr>
          <w:t>https://doi.org/10.1002/iroh.19850700212</w:t>
        </w:r>
      </w:hyperlink>
    </w:p>
    <w:p w14:paraId="5B470031" w14:textId="77777777" w:rsidR="00341690" w:rsidRPr="00B0093B" w:rsidRDefault="00341690" w:rsidP="00270E60">
      <w:pPr>
        <w:pStyle w:val="BodyText"/>
        <w:keepLines/>
        <w:ind w:left="720" w:hanging="720"/>
        <w:rPr>
          <w:snapToGrid w:val="0"/>
          <w:color w:val="000000"/>
        </w:rPr>
      </w:pPr>
      <w:r>
        <w:rPr>
          <w:color w:val="000000"/>
          <w:sz w:val="24"/>
        </w:rPr>
        <w:t xml:space="preserve">Raghunathan, M. B. (1983). </w:t>
      </w:r>
      <w:r>
        <w:rPr>
          <w:i/>
          <w:color w:val="000000"/>
          <w:sz w:val="24"/>
        </w:rPr>
        <w:t>Studies on some planktonic cladocerans (Crustacea) of Tamil Nadu</w:t>
      </w:r>
      <w:r>
        <w:rPr>
          <w:color w:val="000000"/>
          <w:sz w:val="24"/>
        </w:rPr>
        <w:t xml:space="preserve"> [Doctoral dissertation, University of Madras]. </w:t>
      </w:r>
    </w:p>
    <w:p w14:paraId="4DDF4EDC" w14:textId="77777777" w:rsidR="00403C6F" w:rsidRDefault="00403C6F" w:rsidP="00270E60">
      <w:pPr>
        <w:pStyle w:val="BodyText"/>
        <w:keepLines/>
        <w:ind w:left="720" w:hanging="720"/>
        <w:rPr>
          <w:snapToGrid w:val="0"/>
          <w:color w:val="000000"/>
        </w:rPr>
      </w:pPr>
      <w:r>
        <w:rPr>
          <w:color w:val="000000"/>
          <w:sz w:val="24"/>
        </w:rPr>
        <w:t xml:space="preserve">Ramakrishnaiah, M., &amp; Sarkar, S. K. (1982). Plankton productivity in relation to certain hydrobiological factors in Konar Reservoir (Bihar). </w:t>
      </w:r>
      <w:r>
        <w:rPr>
          <w:i/>
          <w:color w:val="000000"/>
          <w:sz w:val="24"/>
        </w:rPr>
        <w:t>Journal of the Inland Fisheries Society of India, 14</w:t>
      </w:r>
      <w:r>
        <w:rPr>
          <w:color w:val="000000"/>
          <w:sz w:val="24"/>
        </w:rPr>
        <w:t xml:space="preserve">(1), 58–68. </w:t>
      </w:r>
    </w:p>
    <w:p w14:paraId="0AE13FD1" w14:textId="77777777" w:rsidR="00341690" w:rsidRPr="00B0093B" w:rsidRDefault="00341690" w:rsidP="00270E60">
      <w:pPr>
        <w:pStyle w:val="BodyText"/>
        <w:keepLines/>
        <w:ind w:left="720" w:hanging="720"/>
        <w:rPr>
          <w:snapToGrid w:val="0"/>
          <w:color w:val="000000"/>
        </w:rPr>
      </w:pPr>
      <w:r>
        <w:rPr>
          <w:color w:val="000000"/>
          <w:sz w:val="24"/>
        </w:rPr>
        <w:t xml:space="preserve">Sahu, B. K., Rao, R. J., Behera, S. K., &amp; Pandit, R. K. (1995). Phytoplankton and primary production in the River Ganga from Rishikesh to Kanpur. </w:t>
      </w:r>
      <w:r>
        <w:rPr>
          <w:i/>
          <w:color w:val="000000"/>
          <w:sz w:val="24"/>
        </w:rPr>
        <w:t>Journal of Ecobiology, 7</w:t>
      </w:r>
      <w:r>
        <w:rPr>
          <w:color w:val="000000"/>
          <w:sz w:val="24"/>
        </w:rPr>
        <w:t xml:space="preserve">(3), 219–224. </w:t>
      </w:r>
    </w:p>
    <w:p w14:paraId="7E59EBFF" w14:textId="77777777" w:rsidR="00403C6F" w:rsidRPr="00403C6F" w:rsidRDefault="00341690" w:rsidP="00270E60">
      <w:pPr>
        <w:pStyle w:val="BodyText"/>
        <w:keepLines/>
        <w:ind w:left="720" w:hanging="720"/>
        <w:rPr>
          <w:color w:val="000000"/>
          <w:sz w:val="24"/>
          <w:szCs w:val="24"/>
          <w:shd w:val="clear" w:color="auto" w:fill="FFFFFF"/>
        </w:rPr>
      </w:pPr>
      <w:r>
        <w:rPr>
          <w:color w:val="000000"/>
          <w:sz w:val="24"/>
        </w:rPr>
        <w:t xml:space="preserve">Sharma, J. P., &amp; Srivastava, J. B. (1986). Ecological observations on rotifer fauna of some freshwater ponds of Jammu (J &amp; K), India. </w:t>
      </w:r>
      <w:r>
        <w:rPr>
          <w:i/>
          <w:color w:val="000000"/>
          <w:sz w:val="24"/>
        </w:rPr>
        <w:t>Geobios New Reports, 5</w:t>
      </w:r>
      <w:r>
        <w:rPr>
          <w:color w:val="000000"/>
          <w:sz w:val="24"/>
        </w:rPr>
        <w:t xml:space="preserve">, 6–10. </w:t>
      </w:r>
    </w:p>
    <w:p w14:paraId="5ABF82E2" w14:textId="77777777" w:rsidR="00341690" w:rsidRPr="00B0093B" w:rsidRDefault="00341690" w:rsidP="00270E60">
      <w:pPr>
        <w:pStyle w:val="BodyText"/>
        <w:keepLines/>
        <w:ind w:left="720" w:hanging="720"/>
        <w:rPr>
          <w:snapToGrid w:val="0"/>
          <w:color w:val="000000"/>
        </w:rPr>
      </w:pPr>
      <w:r>
        <w:rPr>
          <w:color w:val="000000"/>
          <w:sz w:val="24"/>
        </w:rPr>
        <w:t xml:space="preserve">Sharma, P., &amp; Giri, A. (2018). Productivity evaluation of lotic and lentic water body in Himachal Pradesh, India. </w:t>
      </w:r>
      <w:r>
        <w:rPr>
          <w:i/>
          <w:color w:val="000000"/>
          <w:sz w:val="24"/>
        </w:rPr>
        <w:t>MOJ Ecology &amp; Environmental Sciences, 3</w:t>
      </w:r>
      <w:r>
        <w:rPr>
          <w:color w:val="000000"/>
          <w:sz w:val="24"/>
        </w:rPr>
        <w:t xml:space="preserve">(5), 311–317. </w:t>
      </w:r>
      <w:hyperlink r:id="rId35">
        <w:r>
          <w:rPr>
            <w:color w:val="000000"/>
            <w:sz w:val="24"/>
            <w:szCs w:val="24"/>
            <w:u w:val="single"/>
          </w:rPr>
          <w:t>https://doi.org/10.15406/mojes.2018.03.00105</w:t>
        </w:r>
      </w:hyperlink>
    </w:p>
    <w:p w14:paraId="000CEBA7" w14:textId="77777777" w:rsidR="00341690" w:rsidRPr="00B0093B" w:rsidRDefault="00341690" w:rsidP="00270E60">
      <w:pPr>
        <w:pStyle w:val="BodyText"/>
        <w:keepLines/>
        <w:ind w:left="720" w:hanging="720"/>
        <w:rPr>
          <w:color w:val="000000"/>
          <w:sz w:val="24"/>
          <w:szCs w:val="24"/>
        </w:rPr>
      </w:pPr>
      <w:r>
        <w:rPr>
          <w:color w:val="000000"/>
          <w:sz w:val="24"/>
        </w:rPr>
        <w:t xml:space="preserve">Siddiqui, E. N., Singh, N. K., &amp; Afsar, M. R. (1980). Primary production studies in a freshwater pond at Barauni, Bihar (India). </w:t>
      </w:r>
      <w:r>
        <w:rPr>
          <w:i/>
          <w:color w:val="000000"/>
          <w:sz w:val="24"/>
        </w:rPr>
        <w:t>Comparative Physiology and Ecology, 5</w:t>
      </w:r>
      <w:r>
        <w:rPr>
          <w:color w:val="000000"/>
          <w:sz w:val="24"/>
        </w:rPr>
        <w:t xml:space="preserve">(4), 258–260. </w:t>
      </w:r>
    </w:p>
    <w:p w14:paraId="0AB90717" w14:textId="77777777" w:rsidR="00341690" w:rsidRDefault="00341690" w:rsidP="00270E60">
      <w:pPr>
        <w:pStyle w:val="BodyText"/>
        <w:keepLines/>
        <w:ind w:left="720" w:hanging="720"/>
        <w:rPr>
          <w:color w:val="000000"/>
          <w:sz w:val="24"/>
          <w:szCs w:val="24"/>
          <w:lang w:val="en-IN"/>
        </w:rPr>
      </w:pPr>
      <w:r>
        <w:rPr>
          <w:color w:val="000000"/>
          <w:sz w:val="24"/>
        </w:rPr>
        <w:t xml:space="preserve">Singh, A. K., &amp; Singh, D. K. (1999). A comparative study of the phytoplanktonic primary production of River Ganga and a pond of Patna (Bihar), India. </w:t>
      </w:r>
      <w:r>
        <w:rPr>
          <w:i/>
          <w:color w:val="000000"/>
          <w:sz w:val="24"/>
        </w:rPr>
        <w:t>Journal of Environmental Biology, 20</w:t>
      </w:r>
      <w:r>
        <w:rPr>
          <w:color w:val="000000"/>
          <w:sz w:val="24"/>
        </w:rPr>
        <w:t xml:space="preserve">, 263–270. </w:t>
      </w:r>
    </w:p>
    <w:p w14:paraId="7751B147" w14:textId="77777777" w:rsidR="001F1C12" w:rsidRDefault="001F1C12">
      <w:pPr>
        <w:pStyle w:val="BodyText"/>
        <w:keepLines/>
        <w:ind w:left="720" w:hanging="720"/>
      </w:pPr>
      <w:r>
        <w:rPr>
          <w:color w:val="000000"/>
          <w:sz w:val="24"/>
        </w:rPr>
        <w:t xml:space="preserve">Thanga Kiruba, Y., Rajendiran, A., &amp; Sivakami, R. (2024). Zooplankton diversity and density during the three seasons in a freshwater pond situated at Swamimalai, Tamilnadu, India. </w:t>
      </w:r>
      <w:r>
        <w:rPr>
          <w:i/>
          <w:color w:val="000000"/>
          <w:sz w:val="24"/>
        </w:rPr>
        <w:t>Journal of Experimental Zoology India, 27</w:t>
      </w:r>
      <w:r>
        <w:rPr>
          <w:color w:val="000000"/>
          <w:sz w:val="24"/>
        </w:rPr>
        <w:t xml:space="preserve">(2), 1793–1799. </w:t>
      </w:r>
      <w:hyperlink r:id="rId36">
        <w:r>
          <w:rPr>
            <w:color w:val="000000"/>
            <w:sz w:val="24"/>
            <w:szCs w:val="24"/>
            <w:u w:val="single"/>
          </w:rPr>
          <w:t>https://doi.org/10.51470/JEZ.2024.27.2.1793</w:t>
        </w:r>
      </w:hyperlink>
    </w:p>
    <w:p w14:paraId="140AF9EF" w14:textId="77777777" w:rsidR="00696B51" w:rsidRPr="00696B51" w:rsidRDefault="00696B51" w:rsidP="00270E60">
      <w:pPr>
        <w:pStyle w:val="BodyText"/>
        <w:keepLines/>
        <w:ind w:left="720" w:hanging="720"/>
        <w:rPr>
          <w:color w:val="000000"/>
          <w:sz w:val="24"/>
          <w:szCs w:val="24"/>
          <w:lang w:val="en-IN"/>
        </w:rPr>
      </w:pPr>
      <w:r>
        <w:rPr>
          <w:color w:val="000000"/>
          <w:sz w:val="24"/>
        </w:rPr>
        <w:t xml:space="preserve">Thirunavukkarasu, K., Soundarapandian, P., Varadharajan, D., &amp; Gunalan, B. (2013). Phytoplankton composition and community structure of Kottakudi and Nari backwaters, South East of Tamil Nadu. </w:t>
      </w:r>
      <w:r>
        <w:rPr>
          <w:i/>
          <w:color w:val="000000"/>
          <w:sz w:val="24"/>
        </w:rPr>
        <w:t>Journal of Aquaculture Research &amp; Development, 5</w:t>
      </w:r>
      <w:r>
        <w:rPr>
          <w:color w:val="000000"/>
          <w:sz w:val="24"/>
        </w:rPr>
        <w:t xml:space="preserve">, Article 211. </w:t>
      </w:r>
      <w:hyperlink r:id="rId37">
        <w:r>
          <w:rPr>
            <w:color w:val="000000"/>
            <w:sz w:val="24"/>
            <w:szCs w:val="24"/>
            <w:u w:val="single"/>
          </w:rPr>
          <w:t>https://doi.org/10.4172/2155-9546.1000211</w:t>
        </w:r>
      </w:hyperlink>
    </w:p>
    <w:p w14:paraId="042300F2" w14:textId="77777777" w:rsidR="00341690" w:rsidRDefault="00341690" w:rsidP="00270E60">
      <w:pPr>
        <w:pStyle w:val="BodyText"/>
        <w:keepLines/>
        <w:ind w:left="720" w:hanging="720"/>
        <w:rPr>
          <w:color w:val="000000"/>
          <w:sz w:val="24"/>
          <w:szCs w:val="24"/>
        </w:rPr>
      </w:pPr>
      <w:r>
        <w:rPr>
          <w:color w:val="000000"/>
          <w:sz w:val="24"/>
        </w:rPr>
        <w:lastRenderedPageBreak/>
        <w:t xml:space="preserve">Umavathi, S., Logankumar, K., &amp; Subhashini, S. (2007). Studies on the nutrient content of Sulur pond in Coimbatore, Tamil Nadu. </w:t>
      </w:r>
      <w:r>
        <w:rPr>
          <w:i/>
          <w:color w:val="000000"/>
          <w:sz w:val="24"/>
        </w:rPr>
        <w:t>Ecology, Environment and Conservation, 13</w:t>
      </w:r>
      <w:r>
        <w:rPr>
          <w:color w:val="000000"/>
          <w:sz w:val="24"/>
        </w:rPr>
        <w:t xml:space="preserve">(3), 501–504. </w:t>
      </w:r>
    </w:p>
    <w:p w14:paraId="4DE80374" w14:textId="77777777" w:rsidR="00403C6F" w:rsidRPr="00403C6F" w:rsidRDefault="00403C6F" w:rsidP="00270E60">
      <w:pPr>
        <w:pStyle w:val="BodyText"/>
        <w:keepLines/>
        <w:adjustRightInd w:val="0"/>
        <w:ind w:left="720" w:hanging="720"/>
        <w:rPr>
          <w:snapToGrid w:val="0"/>
          <w:color w:val="000000"/>
        </w:rPr>
      </w:pPr>
      <w:r>
        <w:rPr>
          <w:color w:val="000000"/>
          <w:sz w:val="24"/>
        </w:rPr>
        <w:t xml:space="preserve">Vaidehi, J., Sivakami, R., Babu, V., &amp; Rajendiran, A. (2025). Seasonal variations of primary productivity in a freshwater pond, Tamilnadu, India. </w:t>
      </w:r>
      <w:r>
        <w:rPr>
          <w:i/>
          <w:color w:val="000000"/>
          <w:sz w:val="24"/>
        </w:rPr>
        <w:t>Uttar Pradesh Journal of Zoology, 46</w:t>
      </w:r>
      <w:r>
        <w:rPr>
          <w:color w:val="000000"/>
          <w:sz w:val="24"/>
        </w:rPr>
        <w:t xml:space="preserve">(22), 39–43. </w:t>
      </w:r>
      <w:hyperlink r:id="rId38">
        <w:r>
          <w:rPr>
            <w:color w:val="000000"/>
            <w:sz w:val="24"/>
            <w:szCs w:val="24"/>
            <w:u w:val="single"/>
          </w:rPr>
          <w:t>https://doi.org/10.56557/upjoz/2025/v46i225357</w:t>
        </w:r>
      </w:hyperlink>
    </w:p>
    <w:p w14:paraId="58D9542D" w14:textId="77777777" w:rsidR="00341690" w:rsidRDefault="00341690" w:rsidP="00270E60">
      <w:pPr>
        <w:pStyle w:val="BodyText"/>
        <w:keepLines/>
        <w:adjustRightInd w:val="0"/>
        <w:ind w:left="720" w:hanging="720"/>
        <w:rPr>
          <w:snapToGrid w:val="0"/>
          <w:color w:val="000000"/>
        </w:rPr>
      </w:pPr>
      <w:r>
        <w:rPr>
          <w:color w:val="000000"/>
          <w:sz w:val="24"/>
        </w:rPr>
        <w:t xml:space="preserve">Vollenweider, R. A. (Ed.). (1969). </w:t>
      </w:r>
      <w:r>
        <w:rPr>
          <w:i/>
          <w:color w:val="000000"/>
          <w:sz w:val="24"/>
        </w:rPr>
        <w:t>A manual on methods for measuring primary production in aquatic environments</w:t>
      </w:r>
      <w:r>
        <w:rPr>
          <w:color w:val="000000"/>
          <w:sz w:val="24"/>
        </w:rPr>
        <w:t xml:space="preserve"> (IBP Handbook No. 12). Blackwell Scientific Publications. </w:t>
      </w:r>
    </w:p>
    <w:p w14:paraId="247F36CA" w14:textId="77777777" w:rsidR="00341690" w:rsidRPr="00B0093B" w:rsidRDefault="00341690" w:rsidP="00270E60">
      <w:pPr>
        <w:pStyle w:val="BodyText"/>
        <w:keepLines/>
        <w:ind w:left="720" w:hanging="720"/>
        <w:rPr>
          <w:rStyle w:val="A5"/>
          <w:sz w:val="24"/>
          <w:szCs w:val="24"/>
        </w:rPr>
      </w:pPr>
      <w:r>
        <w:rPr>
          <w:color w:val="000000"/>
          <w:sz w:val="24"/>
        </w:rPr>
        <w:t xml:space="preserve">Xiao, C. W., Yuste, J. C., Janssens, I. A., Roskams, P., Nachtergale, L., Carrara, A., Sanchez, B. Y., &amp; Ceulemans, R. (2003). Above- and belowground biomass and net primary production in a 73-year-old Scots pine forest. </w:t>
      </w:r>
      <w:r>
        <w:rPr>
          <w:i/>
          <w:color w:val="000000"/>
          <w:sz w:val="24"/>
        </w:rPr>
        <w:t>Tree Physiology, 23</w:t>
      </w:r>
      <w:r>
        <w:rPr>
          <w:color w:val="000000"/>
          <w:sz w:val="24"/>
        </w:rPr>
        <w:t xml:space="preserve">(8), 505–516. </w:t>
      </w:r>
      <w:hyperlink r:id="rId39">
        <w:r>
          <w:rPr>
            <w:color w:val="000000"/>
            <w:sz w:val="24"/>
            <w:szCs w:val="24"/>
            <w:u w:val="single"/>
          </w:rPr>
          <w:t>https://doi.org/10.1093/treephys/23.8.505</w:t>
        </w:r>
      </w:hyperlink>
    </w:p>
    <w:p w14:paraId="3F65A133" w14:textId="77777777" w:rsidR="00341690" w:rsidRPr="00B0093B" w:rsidRDefault="00341690" w:rsidP="00270E60">
      <w:pPr>
        <w:pStyle w:val="BodyText"/>
        <w:keepLines/>
        <w:ind w:left="720" w:hanging="720"/>
        <w:rPr>
          <w:snapToGrid w:val="0"/>
          <w:color w:val="000000"/>
        </w:rPr>
      </w:pPr>
      <w:r>
        <w:rPr>
          <w:color w:val="000000"/>
          <w:sz w:val="24"/>
        </w:rPr>
        <w:t xml:space="preserve">Yousuf, A. R. (1988). Copepod plankton of Manasbal Lake, Kashmir. </w:t>
      </w:r>
      <w:r>
        <w:rPr>
          <w:i/>
          <w:color w:val="000000"/>
          <w:sz w:val="24"/>
        </w:rPr>
        <w:t>Journal of the Indian Institute of Science, 68</w:t>
      </w:r>
      <w:r>
        <w:rPr>
          <w:color w:val="000000"/>
          <w:sz w:val="24"/>
        </w:rPr>
        <w:t xml:space="preserve">, 307–313. </w:t>
      </w:r>
    </w:p>
    <w:p w14:paraId="38E5F5BF" w14:textId="77777777" w:rsidR="00341690" w:rsidRPr="00B0093B" w:rsidRDefault="00341690" w:rsidP="00270E60">
      <w:pPr>
        <w:pStyle w:val="BodyText"/>
        <w:keepLines/>
        <w:ind w:left="720" w:hanging="720"/>
        <w:rPr>
          <w:color w:val="000000"/>
          <w:sz w:val="24"/>
          <w:szCs w:val="24"/>
        </w:rPr>
      </w:pPr>
      <w:r>
        <w:rPr>
          <w:color w:val="000000"/>
          <w:sz w:val="24"/>
        </w:rPr>
        <w:t xml:space="preserve">Yu, B., &amp; Chen, F. (2016). The global impact factors of net primary production in different land cover types from 2005 to 2011. </w:t>
      </w:r>
      <w:r>
        <w:rPr>
          <w:i/>
          <w:color w:val="000000"/>
          <w:sz w:val="24"/>
        </w:rPr>
        <w:t>SpringerPlus, 5</w:t>
      </w:r>
      <w:r>
        <w:rPr>
          <w:color w:val="000000"/>
          <w:sz w:val="24"/>
        </w:rPr>
        <w:t xml:space="preserve">, Article 1235. </w:t>
      </w:r>
      <w:hyperlink r:id="rId40">
        <w:r>
          <w:rPr>
            <w:color w:val="000000"/>
            <w:sz w:val="24"/>
            <w:szCs w:val="24"/>
            <w:u w:val="single"/>
          </w:rPr>
          <w:t>https://doi.org/10.1186/s40064-016-2910-1</w:t>
        </w:r>
      </w:hyperlink>
    </w:p>
    <w:p w14:paraId="69118084" w14:textId="77777777" w:rsidR="00341690" w:rsidRPr="00B0093B" w:rsidRDefault="00341690" w:rsidP="00270E60">
      <w:pPr>
        <w:pStyle w:val="BodyText"/>
        <w:keepLines/>
        <w:ind w:left="720" w:hanging="720"/>
        <w:rPr>
          <w:color w:val="000000"/>
          <w:sz w:val="24"/>
          <w:szCs w:val="24"/>
        </w:rPr>
      </w:pPr>
      <w:r>
        <w:rPr>
          <w:color w:val="000000"/>
          <w:sz w:val="24"/>
        </w:rPr>
        <w:t xml:space="preserve">Zafar, A. R. (1986). Seasonality of phytoplankton in some South Indian lakes. </w:t>
      </w:r>
      <w:r>
        <w:rPr>
          <w:i/>
          <w:color w:val="000000"/>
          <w:sz w:val="24"/>
        </w:rPr>
        <w:t>Hydrobiologia, 138</w:t>
      </w:r>
      <w:r>
        <w:rPr>
          <w:color w:val="000000"/>
          <w:sz w:val="24"/>
        </w:rPr>
        <w:t xml:space="preserve">, 177–187. </w:t>
      </w:r>
      <w:hyperlink r:id="rId41">
        <w:r>
          <w:rPr>
            <w:color w:val="000000"/>
            <w:sz w:val="24"/>
            <w:szCs w:val="24"/>
            <w:u w:val="single"/>
          </w:rPr>
          <w:t>https://doi.org/10.1007/BF00027239</w:t>
        </w:r>
      </w:hyperlink>
    </w:p>
    <w:p w14:paraId="5F7C49E1" w14:textId="77777777" w:rsidR="008D028F" w:rsidRPr="00B0093B" w:rsidRDefault="006D2D33" w:rsidP="00270E60">
      <w:pPr>
        <w:pStyle w:val="BodyText"/>
        <w:spacing w:line="360" w:lineRule="auto"/>
        <w:ind w:left="720" w:hanging="720"/>
        <w:jc w:val="both"/>
        <w:rPr>
          <w:color w:val="000000"/>
          <w:sz w:val="24"/>
          <w:szCs w:val="24"/>
        </w:rPr>
      </w:pPr>
      <w:r>
        <w:rPr>
          <w:color w:val="000000"/>
          <w:sz w:val="24"/>
          <w:szCs w:val="24"/>
        </w:rPr>
        <w:t xml:space="preserve">  </w:t>
      </w:r>
    </w:p>
    <w:p w14:paraId="3E2B153B" w14:textId="77777777" w:rsidR="008A37E4" w:rsidRPr="008B31AC" w:rsidRDefault="008A37E4" w:rsidP="00270E60">
      <w:pPr>
        <w:spacing w:line="360" w:lineRule="auto"/>
        <w:rPr>
          <w:lang w:val="en-IN"/>
        </w:rPr>
      </w:pPr>
    </w:p>
    <w:sectPr w:rsidR="008A37E4" w:rsidRPr="008B31AC" w:rsidSect="003641B4">
      <w:footerReference w:type="default" r:id="rId42"/>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7F6D7" w14:textId="77777777" w:rsidR="00217B0C" w:rsidRDefault="00217B0C" w:rsidP="007F43BF">
      <w:r>
        <w:separator/>
      </w:r>
    </w:p>
  </w:endnote>
  <w:endnote w:type="continuationSeparator" w:id="0">
    <w:p w14:paraId="0D2A3D36" w14:textId="77777777" w:rsidR="00217B0C" w:rsidRDefault="00217B0C" w:rsidP="007F4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4412813"/>
      <w:docPartObj>
        <w:docPartGallery w:val="Page Numbers (Bottom of Page)"/>
        <w:docPartUnique/>
      </w:docPartObj>
    </w:sdtPr>
    <w:sdtEndPr>
      <w:rPr>
        <w:noProof/>
      </w:rPr>
    </w:sdtEndPr>
    <w:sdtContent>
      <w:p w14:paraId="2B2E27AF" w14:textId="77777777" w:rsidR="007F43BF" w:rsidRDefault="007F43BF" w:rsidP="007F43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A7302" w14:textId="77777777" w:rsidR="00217B0C" w:rsidRDefault="00217B0C" w:rsidP="007F43BF">
      <w:r>
        <w:separator/>
      </w:r>
    </w:p>
  </w:footnote>
  <w:footnote w:type="continuationSeparator" w:id="0">
    <w:p w14:paraId="45731B85" w14:textId="77777777" w:rsidR="00217B0C" w:rsidRDefault="00217B0C" w:rsidP="007F43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E7C"/>
    <w:rsid w:val="000232A8"/>
    <w:rsid w:val="00033269"/>
    <w:rsid w:val="00042C1C"/>
    <w:rsid w:val="000837CC"/>
    <w:rsid w:val="00086066"/>
    <w:rsid w:val="00092F22"/>
    <w:rsid w:val="000B6FC0"/>
    <w:rsid w:val="000B703B"/>
    <w:rsid w:val="000B7CA4"/>
    <w:rsid w:val="000C1A0F"/>
    <w:rsid w:val="000C408A"/>
    <w:rsid w:val="000C76E0"/>
    <w:rsid w:val="000D52B9"/>
    <w:rsid w:val="000D61EC"/>
    <w:rsid w:val="000E3AD8"/>
    <w:rsid w:val="000E3B94"/>
    <w:rsid w:val="001110BC"/>
    <w:rsid w:val="001140D5"/>
    <w:rsid w:val="00137A54"/>
    <w:rsid w:val="00141464"/>
    <w:rsid w:val="00170E54"/>
    <w:rsid w:val="00180D7C"/>
    <w:rsid w:val="0018448E"/>
    <w:rsid w:val="001972ED"/>
    <w:rsid w:val="001B209B"/>
    <w:rsid w:val="001B411D"/>
    <w:rsid w:val="001C4D43"/>
    <w:rsid w:val="001F111A"/>
    <w:rsid w:val="001F1C12"/>
    <w:rsid w:val="001F2E8D"/>
    <w:rsid w:val="001F3CC8"/>
    <w:rsid w:val="001F63FC"/>
    <w:rsid w:val="00207A8D"/>
    <w:rsid w:val="00217B0C"/>
    <w:rsid w:val="0023645F"/>
    <w:rsid w:val="0024070A"/>
    <w:rsid w:val="0024080C"/>
    <w:rsid w:val="00270E60"/>
    <w:rsid w:val="00281113"/>
    <w:rsid w:val="002843AB"/>
    <w:rsid w:val="00284828"/>
    <w:rsid w:val="002A2F37"/>
    <w:rsid w:val="002B048C"/>
    <w:rsid w:val="002C2112"/>
    <w:rsid w:val="002C2324"/>
    <w:rsid w:val="002E21DB"/>
    <w:rsid w:val="002E26AD"/>
    <w:rsid w:val="002F6E72"/>
    <w:rsid w:val="00316CF1"/>
    <w:rsid w:val="00326B4F"/>
    <w:rsid w:val="00330BF8"/>
    <w:rsid w:val="003312F5"/>
    <w:rsid w:val="00337909"/>
    <w:rsid w:val="00341690"/>
    <w:rsid w:val="003423AB"/>
    <w:rsid w:val="00346559"/>
    <w:rsid w:val="0035139C"/>
    <w:rsid w:val="003641B4"/>
    <w:rsid w:val="00371AC0"/>
    <w:rsid w:val="00372375"/>
    <w:rsid w:val="00374FD8"/>
    <w:rsid w:val="003769D9"/>
    <w:rsid w:val="00381AD1"/>
    <w:rsid w:val="00383978"/>
    <w:rsid w:val="00387F0E"/>
    <w:rsid w:val="003A1568"/>
    <w:rsid w:val="003B67A8"/>
    <w:rsid w:val="003C5DD4"/>
    <w:rsid w:val="003D0931"/>
    <w:rsid w:val="003E3B9E"/>
    <w:rsid w:val="003F55A9"/>
    <w:rsid w:val="00403C6E"/>
    <w:rsid w:val="00403C6F"/>
    <w:rsid w:val="00421574"/>
    <w:rsid w:val="00422BAE"/>
    <w:rsid w:val="004554F6"/>
    <w:rsid w:val="004618DF"/>
    <w:rsid w:val="004632DB"/>
    <w:rsid w:val="00475737"/>
    <w:rsid w:val="004844D5"/>
    <w:rsid w:val="004931FF"/>
    <w:rsid w:val="004956A8"/>
    <w:rsid w:val="00495BF8"/>
    <w:rsid w:val="004A52F3"/>
    <w:rsid w:val="004A72BB"/>
    <w:rsid w:val="004B158B"/>
    <w:rsid w:val="004C7812"/>
    <w:rsid w:val="004E2C2E"/>
    <w:rsid w:val="005026DD"/>
    <w:rsid w:val="00504F9C"/>
    <w:rsid w:val="00512CF9"/>
    <w:rsid w:val="0052117E"/>
    <w:rsid w:val="0054503B"/>
    <w:rsid w:val="0056330E"/>
    <w:rsid w:val="00563B17"/>
    <w:rsid w:val="00563F2B"/>
    <w:rsid w:val="0058163B"/>
    <w:rsid w:val="005830CA"/>
    <w:rsid w:val="005878F1"/>
    <w:rsid w:val="0059697A"/>
    <w:rsid w:val="005A442B"/>
    <w:rsid w:val="005B3789"/>
    <w:rsid w:val="005C7B53"/>
    <w:rsid w:val="005D0116"/>
    <w:rsid w:val="005D3A0C"/>
    <w:rsid w:val="005D6BF2"/>
    <w:rsid w:val="005F21D9"/>
    <w:rsid w:val="005F5E87"/>
    <w:rsid w:val="006011EE"/>
    <w:rsid w:val="00601921"/>
    <w:rsid w:val="00611F95"/>
    <w:rsid w:val="006215D0"/>
    <w:rsid w:val="006273FF"/>
    <w:rsid w:val="00650CEC"/>
    <w:rsid w:val="00657BDA"/>
    <w:rsid w:val="00664E71"/>
    <w:rsid w:val="0066707B"/>
    <w:rsid w:val="006759DC"/>
    <w:rsid w:val="00684768"/>
    <w:rsid w:val="0069059F"/>
    <w:rsid w:val="00690967"/>
    <w:rsid w:val="00692678"/>
    <w:rsid w:val="00696B51"/>
    <w:rsid w:val="006A0653"/>
    <w:rsid w:val="006B3562"/>
    <w:rsid w:val="006D2D33"/>
    <w:rsid w:val="006D448F"/>
    <w:rsid w:val="006F3F44"/>
    <w:rsid w:val="00714D56"/>
    <w:rsid w:val="0072043C"/>
    <w:rsid w:val="0072442E"/>
    <w:rsid w:val="007331F0"/>
    <w:rsid w:val="00736482"/>
    <w:rsid w:val="00751F28"/>
    <w:rsid w:val="00753833"/>
    <w:rsid w:val="00755D99"/>
    <w:rsid w:val="00757AE6"/>
    <w:rsid w:val="0077651D"/>
    <w:rsid w:val="00784F93"/>
    <w:rsid w:val="00791EF2"/>
    <w:rsid w:val="00796F60"/>
    <w:rsid w:val="007A7531"/>
    <w:rsid w:val="007C629E"/>
    <w:rsid w:val="007E4844"/>
    <w:rsid w:val="007E5454"/>
    <w:rsid w:val="007F43BF"/>
    <w:rsid w:val="007F595A"/>
    <w:rsid w:val="00802DBD"/>
    <w:rsid w:val="00817BFF"/>
    <w:rsid w:val="0085167F"/>
    <w:rsid w:val="00855EE5"/>
    <w:rsid w:val="00861374"/>
    <w:rsid w:val="00867691"/>
    <w:rsid w:val="00870A17"/>
    <w:rsid w:val="0088512E"/>
    <w:rsid w:val="008A37E4"/>
    <w:rsid w:val="008A61C5"/>
    <w:rsid w:val="008B31AC"/>
    <w:rsid w:val="008D028F"/>
    <w:rsid w:val="008D04ED"/>
    <w:rsid w:val="008F49CE"/>
    <w:rsid w:val="008F704F"/>
    <w:rsid w:val="00906938"/>
    <w:rsid w:val="009131DB"/>
    <w:rsid w:val="00924F1C"/>
    <w:rsid w:val="009624CB"/>
    <w:rsid w:val="00964CAF"/>
    <w:rsid w:val="00966541"/>
    <w:rsid w:val="00971D32"/>
    <w:rsid w:val="009723A4"/>
    <w:rsid w:val="009750E5"/>
    <w:rsid w:val="0098030D"/>
    <w:rsid w:val="009A6191"/>
    <w:rsid w:val="009B3E23"/>
    <w:rsid w:val="009B6D06"/>
    <w:rsid w:val="009D531D"/>
    <w:rsid w:val="00A05FED"/>
    <w:rsid w:val="00A13400"/>
    <w:rsid w:val="00A16822"/>
    <w:rsid w:val="00A17BB9"/>
    <w:rsid w:val="00A27EF2"/>
    <w:rsid w:val="00A35BA8"/>
    <w:rsid w:val="00A64FE0"/>
    <w:rsid w:val="00A76EAC"/>
    <w:rsid w:val="00A8471B"/>
    <w:rsid w:val="00A874EC"/>
    <w:rsid w:val="00A90187"/>
    <w:rsid w:val="00AB1464"/>
    <w:rsid w:val="00AC2A42"/>
    <w:rsid w:val="00AD0297"/>
    <w:rsid w:val="00AD266A"/>
    <w:rsid w:val="00AD56D6"/>
    <w:rsid w:val="00AD73C0"/>
    <w:rsid w:val="00AE28B9"/>
    <w:rsid w:val="00AF7457"/>
    <w:rsid w:val="00B02534"/>
    <w:rsid w:val="00B1560E"/>
    <w:rsid w:val="00B23961"/>
    <w:rsid w:val="00B31723"/>
    <w:rsid w:val="00B340EA"/>
    <w:rsid w:val="00B350D5"/>
    <w:rsid w:val="00B378CD"/>
    <w:rsid w:val="00B4680B"/>
    <w:rsid w:val="00B5141E"/>
    <w:rsid w:val="00B7449D"/>
    <w:rsid w:val="00BD60C9"/>
    <w:rsid w:val="00BD649E"/>
    <w:rsid w:val="00BE07FC"/>
    <w:rsid w:val="00C00D7C"/>
    <w:rsid w:val="00C040C0"/>
    <w:rsid w:val="00C07ECC"/>
    <w:rsid w:val="00C27F05"/>
    <w:rsid w:val="00C45997"/>
    <w:rsid w:val="00C52540"/>
    <w:rsid w:val="00C52626"/>
    <w:rsid w:val="00C60E7C"/>
    <w:rsid w:val="00C620C9"/>
    <w:rsid w:val="00C666AC"/>
    <w:rsid w:val="00CA1145"/>
    <w:rsid w:val="00CD16AA"/>
    <w:rsid w:val="00CD45B9"/>
    <w:rsid w:val="00CE01F1"/>
    <w:rsid w:val="00CE389A"/>
    <w:rsid w:val="00CE72C4"/>
    <w:rsid w:val="00CF0BDE"/>
    <w:rsid w:val="00CF1AF2"/>
    <w:rsid w:val="00CF7A86"/>
    <w:rsid w:val="00D1513A"/>
    <w:rsid w:val="00D17A8E"/>
    <w:rsid w:val="00D273B6"/>
    <w:rsid w:val="00D56914"/>
    <w:rsid w:val="00D74D2C"/>
    <w:rsid w:val="00D76341"/>
    <w:rsid w:val="00D83B3D"/>
    <w:rsid w:val="00D875CE"/>
    <w:rsid w:val="00DA0244"/>
    <w:rsid w:val="00DA0324"/>
    <w:rsid w:val="00DA6DA0"/>
    <w:rsid w:val="00DA7791"/>
    <w:rsid w:val="00DB6B3F"/>
    <w:rsid w:val="00DC6D6F"/>
    <w:rsid w:val="00DD5AC3"/>
    <w:rsid w:val="00DE0B97"/>
    <w:rsid w:val="00DE0DF5"/>
    <w:rsid w:val="00DF7E35"/>
    <w:rsid w:val="00E1204B"/>
    <w:rsid w:val="00E12C83"/>
    <w:rsid w:val="00E263D0"/>
    <w:rsid w:val="00E2666E"/>
    <w:rsid w:val="00E41D7F"/>
    <w:rsid w:val="00E42449"/>
    <w:rsid w:val="00E42EA9"/>
    <w:rsid w:val="00E50BED"/>
    <w:rsid w:val="00E70816"/>
    <w:rsid w:val="00E730F4"/>
    <w:rsid w:val="00E73DA4"/>
    <w:rsid w:val="00E77D8D"/>
    <w:rsid w:val="00E80328"/>
    <w:rsid w:val="00E81A09"/>
    <w:rsid w:val="00E86A86"/>
    <w:rsid w:val="00EA110F"/>
    <w:rsid w:val="00EA409A"/>
    <w:rsid w:val="00EB0073"/>
    <w:rsid w:val="00EB0BA2"/>
    <w:rsid w:val="00EC6DC3"/>
    <w:rsid w:val="00EE0B24"/>
    <w:rsid w:val="00EE1D63"/>
    <w:rsid w:val="00F0584B"/>
    <w:rsid w:val="00F12019"/>
    <w:rsid w:val="00F13866"/>
    <w:rsid w:val="00F24127"/>
    <w:rsid w:val="00F342EE"/>
    <w:rsid w:val="00F35ADF"/>
    <w:rsid w:val="00F3637F"/>
    <w:rsid w:val="00F47FD5"/>
    <w:rsid w:val="00F7483A"/>
    <w:rsid w:val="00F761A2"/>
    <w:rsid w:val="00F77262"/>
    <w:rsid w:val="00F87D83"/>
    <w:rsid w:val="00FA01D5"/>
    <w:rsid w:val="00FA1566"/>
    <w:rsid w:val="00FA4674"/>
    <w:rsid w:val="00FB0EAF"/>
    <w:rsid w:val="00FC5E72"/>
    <w:rsid w:val="00FE23D4"/>
    <w:rsid w:val="00FE6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008DE"/>
  <w15:chartTrackingRefBased/>
  <w15:docId w15:val="{D60FECC0-AFC5-4EF3-BA73-5EB07BBCF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E7C"/>
    <w:rPr>
      <w:rFonts w:eastAsia="SimSun"/>
      <w:kern w:val="0"/>
      <w:sz w:val="24"/>
      <w:szCs w:val="24"/>
      <w14:ligatures w14:val="none"/>
    </w:rPr>
  </w:style>
  <w:style w:type="paragraph" w:styleId="Heading1">
    <w:name w:val="heading 1"/>
    <w:basedOn w:val="Normal"/>
    <w:next w:val="Normal"/>
    <w:link w:val="Heading1Char"/>
    <w:qFormat/>
    <w:rsid w:val="00CF7A8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semiHidden/>
    <w:unhideWhenUsed/>
    <w:qFormat/>
    <w:rsid w:val="005D3A0C"/>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semiHidden/>
    <w:unhideWhenUsed/>
    <w:qFormat/>
    <w:rsid w:val="009131DB"/>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D531D"/>
    <w:rPr>
      <w:rFonts w:eastAsia="SimSun"/>
      <w:kern w:val="0"/>
      <w:lang w:val="en-IN" w:eastAsia="en-I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F7A86"/>
    <w:rPr>
      <w:rFonts w:asciiTheme="majorHAnsi" w:eastAsiaTheme="majorEastAsia" w:hAnsiTheme="majorHAnsi" w:cstheme="majorBidi"/>
      <w:color w:val="0F4761" w:themeColor="accent1" w:themeShade="BF"/>
      <w:sz w:val="40"/>
      <w:szCs w:val="40"/>
      <w:lang w:val="en-IN"/>
    </w:rPr>
  </w:style>
  <w:style w:type="character" w:styleId="Hyperlink">
    <w:name w:val="Hyperlink"/>
    <w:basedOn w:val="DefaultParagraphFont"/>
    <w:rsid w:val="00CF7A86"/>
    <w:rPr>
      <w:color w:val="0000FF"/>
      <w:u w:val="single"/>
    </w:rPr>
  </w:style>
  <w:style w:type="paragraph" w:styleId="BodyText">
    <w:name w:val="Body Text"/>
    <w:basedOn w:val="Normal"/>
    <w:link w:val="BodyTextChar"/>
    <w:rsid w:val="00CF7A86"/>
    <w:pPr>
      <w:widowControl w:val="0"/>
      <w:autoSpaceDE w:val="0"/>
      <w:autoSpaceDN w:val="0"/>
    </w:pPr>
    <w:rPr>
      <w:sz w:val="23"/>
      <w:szCs w:val="23"/>
    </w:rPr>
  </w:style>
  <w:style w:type="character" w:customStyle="1" w:styleId="BodyTextChar">
    <w:name w:val="Body Text Char"/>
    <w:basedOn w:val="DefaultParagraphFont"/>
    <w:link w:val="BodyText"/>
    <w:rsid w:val="00CF7A86"/>
    <w:rPr>
      <w:rFonts w:eastAsia="SimSun"/>
      <w:kern w:val="0"/>
      <w:sz w:val="23"/>
      <w:szCs w:val="23"/>
      <w14:ligatures w14:val="none"/>
    </w:rPr>
  </w:style>
  <w:style w:type="character" w:customStyle="1" w:styleId="A5">
    <w:name w:val="A5"/>
    <w:rsid w:val="00CF7A86"/>
    <w:rPr>
      <w:color w:val="000000"/>
      <w:sz w:val="16"/>
      <w:szCs w:val="16"/>
    </w:rPr>
  </w:style>
  <w:style w:type="paragraph" w:styleId="Header">
    <w:name w:val="header"/>
    <w:basedOn w:val="Normal"/>
    <w:link w:val="HeaderChar"/>
    <w:rsid w:val="007F43BF"/>
    <w:pPr>
      <w:tabs>
        <w:tab w:val="center" w:pos="4680"/>
        <w:tab w:val="right" w:pos="9360"/>
      </w:tabs>
    </w:pPr>
  </w:style>
  <w:style w:type="character" w:customStyle="1" w:styleId="HeaderChar">
    <w:name w:val="Header Char"/>
    <w:basedOn w:val="DefaultParagraphFont"/>
    <w:link w:val="Header"/>
    <w:rsid w:val="007F43BF"/>
    <w:rPr>
      <w:rFonts w:eastAsia="SimSun"/>
      <w:kern w:val="0"/>
      <w:sz w:val="24"/>
      <w:szCs w:val="24"/>
      <w14:ligatures w14:val="none"/>
    </w:rPr>
  </w:style>
  <w:style w:type="paragraph" w:styleId="Footer">
    <w:name w:val="footer"/>
    <w:basedOn w:val="Normal"/>
    <w:link w:val="FooterChar"/>
    <w:uiPriority w:val="99"/>
    <w:rsid w:val="007F43BF"/>
    <w:pPr>
      <w:tabs>
        <w:tab w:val="center" w:pos="4680"/>
        <w:tab w:val="right" w:pos="9360"/>
      </w:tabs>
    </w:pPr>
  </w:style>
  <w:style w:type="character" w:customStyle="1" w:styleId="FooterChar">
    <w:name w:val="Footer Char"/>
    <w:basedOn w:val="DefaultParagraphFont"/>
    <w:link w:val="Footer"/>
    <w:uiPriority w:val="99"/>
    <w:rsid w:val="007F43BF"/>
    <w:rPr>
      <w:rFonts w:eastAsia="SimSun"/>
      <w:kern w:val="0"/>
      <w:sz w:val="24"/>
      <w:szCs w:val="24"/>
      <w14:ligatures w14:val="none"/>
    </w:rPr>
  </w:style>
  <w:style w:type="paragraph" w:styleId="BalloonText">
    <w:name w:val="Balloon Text"/>
    <w:basedOn w:val="Normal"/>
    <w:link w:val="BalloonTextChar"/>
    <w:rsid w:val="00D76341"/>
    <w:rPr>
      <w:rFonts w:ascii="Segoe UI" w:hAnsi="Segoe UI" w:cs="Segoe UI"/>
      <w:sz w:val="18"/>
      <w:szCs w:val="18"/>
    </w:rPr>
  </w:style>
  <w:style w:type="character" w:customStyle="1" w:styleId="BalloonTextChar">
    <w:name w:val="Balloon Text Char"/>
    <w:basedOn w:val="DefaultParagraphFont"/>
    <w:link w:val="BalloonText"/>
    <w:rsid w:val="00D76341"/>
    <w:rPr>
      <w:rFonts w:ascii="Segoe UI" w:eastAsia="SimSun" w:hAnsi="Segoe UI" w:cs="Segoe UI"/>
      <w:kern w:val="0"/>
      <w:sz w:val="18"/>
      <w:szCs w:val="18"/>
      <w14:ligatures w14:val="none"/>
    </w:rPr>
  </w:style>
  <w:style w:type="paragraph" w:customStyle="1" w:styleId="Default">
    <w:name w:val="Default"/>
    <w:rsid w:val="00403C6F"/>
    <w:pPr>
      <w:autoSpaceDE w:val="0"/>
      <w:autoSpaceDN w:val="0"/>
      <w:adjustRightInd w:val="0"/>
    </w:pPr>
    <w:rPr>
      <w:rFonts w:ascii="Arial" w:hAnsi="Arial" w:cs="Arial"/>
      <w:color w:val="000000"/>
      <w:kern w:val="0"/>
      <w:sz w:val="24"/>
      <w:szCs w:val="24"/>
    </w:rPr>
  </w:style>
  <w:style w:type="character" w:styleId="Emphasis">
    <w:name w:val="Emphasis"/>
    <w:basedOn w:val="DefaultParagraphFont"/>
    <w:qFormat/>
    <w:rsid w:val="00372375"/>
    <w:rPr>
      <w:i/>
      <w:iCs/>
    </w:rPr>
  </w:style>
  <w:style w:type="character" w:customStyle="1" w:styleId="Heading3Char">
    <w:name w:val="Heading 3 Char"/>
    <w:basedOn w:val="DefaultParagraphFont"/>
    <w:link w:val="Heading3"/>
    <w:semiHidden/>
    <w:rsid w:val="009131DB"/>
    <w:rPr>
      <w:rFonts w:asciiTheme="majorHAnsi" w:eastAsiaTheme="majorEastAsia" w:hAnsiTheme="majorHAnsi" w:cstheme="majorBidi"/>
      <w:color w:val="0A2F40" w:themeColor="accent1" w:themeShade="7F"/>
      <w:kern w:val="0"/>
      <w:sz w:val="24"/>
      <w:szCs w:val="24"/>
      <w14:ligatures w14:val="none"/>
    </w:rPr>
  </w:style>
  <w:style w:type="character" w:styleId="Strong">
    <w:name w:val="Strong"/>
    <w:basedOn w:val="DefaultParagraphFont"/>
    <w:uiPriority w:val="22"/>
    <w:qFormat/>
    <w:rsid w:val="005D3A0C"/>
    <w:rPr>
      <w:b/>
      <w:bCs/>
    </w:rPr>
  </w:style>
  <w:style w:type="character" w:customStyle="1" w:styleId="Heading2Char">
    <w:name w:val="Heading 2 Char"/>
    <w:basedOn w:val="DefaultParagraphFont"/>
    <w:link w:val="Heading2"/>
    <w:semiHidden/>
    <w:rsid w:val="005D3A0C"/>
    <w:rPr>
      <w:rFonts w:asciiTheme="majorHAnsi" w:eastAsiaTheme="majorEastAsia" w:hAnsiTheme="majorHAnsi" w:cstheme="majorBidi"/>
      <w:color w:val="0F4761"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72950">
      <w:bodyDiv w:val="1"/>
      <w:marLeft w:val="0"/>
      <w:marRight w:val="0"/>
      <w:marTop w:val="0"/>
      <w:marBottom w:val="0"/>
      <w:divBdr>
        <w:top w:val="none" w:sz="0" w:space="0" w:color="auto"/>
        <w:left w:val="none" w:sz="0" w:space="0" w:color="auto"/>
        <w:bottom w:val="none" w:sz="0" w:space="0" w:color="auto"/>
        <w:right w:val="none" w:sz="0" w:space="0" w:color="auto"/>
      </w:divBdr>
      <w:divsChild>
        <w:div w:id="746655563">
          <w:marLeft w:val="0"/>
          <w:marRight w:val="0"/>
          <w:marTop w:val="0"/>
          <w:marBottom w:val="0"/>
          <w:divBdr>
            <w:top w:val="none" w:sz="0" w:space="0" w:color="auto"/>
            <w:left w:val="none" w:sz="0" w:space="0" w:color="auto"/>
            <w:bottom w:val="none" w:sz="0" w:space="0" w:color="auto"/>
            <w:right w:val="none" w:sz="0" w:space="0" w:color="auto"/>
          </w:divBdr>
        </w:div>
        <w:div w:id="1023092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97/j.afs.2005.18.2.002" TargetMode="External"/><Relationship Id="rId13" Type="http://schemas.openxmlformats.org/officeDocument/2006/relationships/hyperlink" Target="https://agris.fao.org/search/en/providers/122535/records/65de01be6eef00c2ce9f3bcf" TargetMode="External"/><Relationship Id="rId18" Type="http://schemas.openxmlformats.org/officeDocument/2006/relationships/hyperlink" Target="https://doi.org/10.1029/2020WR029283" TargetMode="External"/><Relationship Id="rId26" Type="http://schemas.openxmlformats.org/officeDocument/2006/relationships/hyperlink" Target="https://doi.org/10.1016/j.aquaculture.2024.740721" TargetMode="External"/><Relationship Id="rId39" Type="http://schemas.openxmlformats.org/officeDocument/2006/relationships/hyperlink" Target="https://doi.org/10.1093/treephys/23.8.505" TargetMode="External"/><Relationship Id="rId3" Type="http://schemas.openxmlformats.org/officeDocument/2006/relationships/settings" Target="settings.xml"/><Relationship Id="rId21" Type="http://schemas.openxmlformats.org/officeDocument/2006/relationships/hyperlink" Target="https://doi.org/10.9734/ijecc/2025/v15i34752" TargetMode="External"/><Relationship Id="rId34" Type="http://schemas.openxmlformats.org/officeDocument/2006/relationships/hyperlink" Target="https://doi.org/10.1002/iroh.19850700212" TargetMode="External"/><Relationship Id="rId42" Type="http://schemas.openxmlformats.org/officeDocument/2006/relationships/footer" Target="footer1.xml"/><Relationship Id="rId7" Type="http://schemas.openxmlformats.org/officeDocument/2006/relationships/chart" Target="charts/chart1.xml"/><Relationship Id="rId12" Type="http://schemas.openxmlformats.org/officeDocument/2006/relationships/hyperlink" Target="https://doi.org/10.1079/PAVSNNR201813002" TargetMode="External"/><Relationship Id="rId17" Type="http://schemas.openxmlformats.org/officeDocument/2006/relationships/hyperlink" Target="https://www.fao.org/agrifood-economics/publications/detail/en/c/447313/" TargetMode="External"/><Relationship Id="rId25" Type="http://schemas.openxmlformats.org/officeDocument/2006/relationships/hyperlink" Target="https://doi.org/10.3390/fishes9040139" TargetMode="External"/><Relationship Id="rId33" Type="http://schemas.openxmlformats.org/officeDocument/2006/relationships/hyperlink" Target="https://www.jetir.org/papers/JETIRFI06009.pdf" TargetMode="External"/><Relationship Id="rId38" Type="http://schemas.openxmlformats.org/officeDocument/2006/relationships/hyperlink" Target="https://doi.org/10.56557/upjoz/2025/v46i225357" TargetMode="External"/><Relationship Id="rId2" Type="http://schemas.openxmlformats.org/officeDocument/2006/relationships/styles" Target="styles.xml"/><Relationship Id="rId16" Type="http://schemas.openxmlformats.org/officeDocument/2006/relationships/hyperlink" Target="https://doi.org/10.1038/416837a" TargetMode="External"/><Relationship Id="rId20" Type="http://schemas.openxmlformats.org/officeDocument/2006/relationships/hyperlink" Target="https://doi.org/10.1111/j.1365-2427.1975.tb00118.x" TargetMode="External"/><Relationship Id="rId29" Type="http://schemas.openxmlformats.org/officeDocument/2006/relationships/hyperlink" Target="https://freshwater-aquaculture.extension.org/wp-content/uploads/2019/08/Planktonmngmt.pdf" TargetMode="External"/><Relationship Id="rId41" Type="http://schemas.openxmlformats.org/officeDocument/2006/relationships/hyperlink" Target="https://doi.org/10.1007/BF00027239"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22438/jeb/45/2/MRN-5171" TargetMode="External"/><Relationship Id="rId24" Type="http://schemas.openxmlformats.org/officeDocument/2006/relationships/hyperlink" Target="https://doi.org/10.1016/0044-8486(91)90128-T" TargetMode="External"/><Relationship Id="rId32" Type="http://schemas.openxmlformats.org/officeDocument/2006/relationships/hyperlink" Target="https://doi.org/10.1016/0044-8486(86)90160-2" TargetMode="External"/><Relationship Id="rId37" Type="http://schemas.openxmlformats.org/officeDocument/2006/relationships/hyperlink" Target="https://doi.org/10.4172/2155-9546.1000211" TargetMode="External"/><Relationship Id="rId40" Type="http://schemas.openxmlformats.org/officeDocument/2006/relationships/hyperlink" Target="https://doi.org/10.1186/s40064-016-2910-1" TargetMode="External"/><Relationship Id="rId5" Type="http://schemas.openxmlformats.org/officeDocument/2006/relationships/footnotes" Target="footnotes.xml"/><Relationship Id="rId15" Type="http://schemas.openxmlformats.org/officeDocument/2006/relationships/hyperlink" Target="https://doi.org/10.5268/IW-6.2.909" TargetMode="External"/><Relationship Id="rId23" Type="http://schemas.openxmlformats.org/officeDocument/2006/relationships/hyperlink" Target="https://www.entomoljournal.com/archives/?ArticleId=5551&amp;issue=4&amp;vol=7&amp;year=2019" TargetMode="External"/><Relationship Id="rId28" Type="http://schemas.openxmlformats.org/officeDocument/2006/relationships/hyperlink" Target="https://www.pib.gov.in/Pressreleaseshare.aspx?PRID=1786303" TargetMode="External"/><Relationship Id="rId36" Type="http://schemas.openxmlformats.org/officeDocument/2006/relationships/hyperlink" Target="https://doi.org/10.51470/JEZ.2024.27.2.1793" TargetMode="External"/><Relationship Id="rId10" Type="http://schemas.openxmlformats.org/officeDocument/2006/relationships/hyperlink" Target="https://doi.org/10.1186/s41936-023-00337-7" TargetMode="External"/><Relationship Id="rId19" Type="http://schemas.openxmlformats.org/officeDocument/2006/relationships/hyperlink" Target="https://doi.org/10.1007/BF00005801" TargetMode="External"/><Relationship Id="rId31" Type="http://schemas.openxmlformats.org/officeDocument/2006/relationships/hyperlink" Target="https://innspub.net/wp-content/uploads/2022/02/IJB-V1-No4-p68-73.pdf"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21/jp403618x" TargetMode="External"/><Relationship Id="rId14" Type="http://schemas.openxmlformats.org/officeDocument/2006/relationships/hyperlink" Target="https://doi.org/10.1890/1051-0761(1998)008%5B0559:NPOSWW%5D2.0.CO;2" TargetMode="External"/><Relationship Id="rId22" Type="http://schemas.openxmlformats.org/officeDocument/2006/relationships/hyperlink" Target="https://www.abacademies.org/abstract/studies-on-plankton-diversity-and-water-quality-ofambattur-lake-tamil-nadu-3820.html" TargetMode="External"/><Relationship Id="rId27" Type="http://schemas.openxmlformats.org/officeDocument/2006/relationships/hyperlink" Target="https://doi.org/10.1016/S0967-0645(02)00611-2" TargetMode="External"/><Relationship Id="rId30" Type="http://schemas.openxmlformats.org/officeDocument/2006/relationships/hyperlink" Target="https://doi.org/10.1016/0044-8486(79)90088-7" TargetMode="External"/><Relationship Id="rId35" Type="http://schemas.openxmlformats.org/officeDocument/2006/relationships/hyperlink" Target="https://doi.org/10.15406/mojes.2018.03.00105" TargetMode="External"/><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59"/>
      <c:rotY val="20"/>
      <c:depthPercent val="100"/>
      <c:rAngAx val="1"/>
    </c:view3D>
    <c:floor>
      <c:thickness val="0"/>
      <c:spPr>
        <a:solidFill>
          <a:srgbClr val="C0C0C0"/>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5.2166224580017684E-2"/>
          <c:y val="2.5316455696202531E-2"/>
          <c:w val="0.74889478337754201"/>
          <c:h val="0.87160940325497283"/>
        </c:manualLayout>
      </c:layout>
      <c:bar3DChart>
        <c:barDir val="col"/>
        <c:grouping val="clustered"/>
        <c:varyColors val="0"/>
        <c:ser>
          <c:idx val="0"/>
          <c:order val="0"/>
          <c:tx>
            <c:strRef>
              <c:f>Sheet1!$C$9:$C$11</c:f>
              <c:strCache>
                <c:ptCount val="3"/>
                <c:pt idx="1">
                  <c:v>Gross Primary 
Productivity (gC/m2/day) GPP</c:v>
                </c:pt>
                <c:pt idx="2">
                  <c:v>2025</c:v>
                </c:pt>
              </c:strCache>
            </c:strRef>
          </c:tx>
          <c:spPr>
            <a:solidFill>
              <a:srgbClr val="9999FF"/>
            </a:solidFill>
            <a:ln w="12700">
              <a:solidFill>
                <a:srgbClr val="000000"/>
              </a:solidFill>
              <a:prstDash val="solid"/>
            </a:ln>
          </c:spPr>
          <c:invertIfNegative val="0"/>
          <c:cat>
            <c:strRef>
              <c:f>Sheet1!$B$12:$B$23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Sheet1!$C$12:$C$23</c:f>
              <c:numCache>
                <c:formatCode>General</c:formatCode>
                <c:ptCount val="12"/>
                <c:pt idx="0">
                  <c:v>6.6</c:v>
                </c:pt>
                <c:pt idx="1">
                  <c:v>8.6999999999999993</c:v>
                </c:pt>
                <c:pt idx="2">
                  <c:v>8.9</c:v>
                </c:pt>
                <c:pt idx="3">
                  <c:v>9.6999999999999993</c:v>
                </c:pt>
                <c:pt idx="4">
                  <c:v>10.3</c:v>
                </c:pt>
                <c:pt idx="5">
                  <c:v>9.9</c:v>
                </c:pt>
                <c:pt idx="6">
                  <c:v>8.8000000000000007</c:v>
                </c:pt>
                <c:pt idx="7">
                  <c:v>8.3000000000000007</c:v>
                </c:pt>
                <c:pt idx="8">
                  <c:v>7.9</c:v>
                </c:pt>
                <c:pt idx="9">
                  <c:v>7.5</c:v>
                </c:pt>
                <c:pt idx="10">
                  <c:v>7.3</c:v>
                </c:pt>
                <c:pt idx="11">
                  <c:v>6.8</c:v>
                </c:pt>
              </c:numCache>
            </c:numRef>
          </c:val>
          <c:extLst>
            <c:ext xmlns:c16="http://schemas.microsoft.com/office/drawing/2014/chart" uri="{C3380CC4-5D6E-409C-BE32-E72D297353CC}">
              <c16:uniqueId val="{00000000-1F8A-4595-9F7A-DEAE5B37B2D9}"/>
            </c:ext>
          </c:extLst>
        </c:ser>
        <c:ser>
          <c:idx val="1"/>
          <c:order val="1"/>
          <c:tx>
            <c:strRef>
              <c:f>Sheet1!$D$9:$D$11</c:f>
              <c:strCache>
                <c:ptCount val="3"/>
                <c:pt idx="1">
                  <c:v>Gross Primary 
Productivity (gC/m2/day) GPP</c:v>
                </c:pt>
                <c:pt idx="2">
                  <c:v>2026</c:v>
                </c:pt>
              </c:strCache>
            </c:strRef>
          </c:tx>
          <c:spPr>
            <a:solidFill>
              <a:srgbClr val="993366"/>
            </a:solidFill>
            <a:ln w="12700">
              <a:solidFill>
                <a:srgbClr val="000000"/>
              </a:solidFill>
              <a:prstDash val="solid"/>
            </a:ln>
          </c:spPr>
          <c:invertIfNegative val="0"/>
          <c:cat>
            <c:strRef>
              <c:f>Sheet1!$B$12:$B$23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Sheet1!$D$12:$D$23</c:f>
              <c:numCache>
                <c:formatCode>General</c:formatCode>
                <c:ptCount val="12"/>
                <c:pt idx="0">
                  <c:v>7.1</c:v>
                </c:pt>
                <c:pt idx="1">
                  <c:v>7.4</c:v>
                </c:pt>
                <c:pt idx="2">
                  <c:v>8.6</c:v>
                </c:pt>
                <c:pt idx="3">
                  <c:v>9.8000000000000007</c:v>
                </c:pt>
                <c:pt idx="4">
                  <c:v>10.5</c:v>
                </c:pt>
                <c:pt idx="5">
                  <c:v>10.1</c:v>
                </c:pt>
                <c:pt idx="6">
                  <c:v>9.6999999999999993</c:v>
                </c:pt>
                <c:pt idx="7">
                  <c:v>9.3000000000000007</c:v>
                </c:pt>
                <c:pt idx="8">
                  <c:v>8.8000000000000007</c:v>
                </c:pt>
                <c:pt idx="9">
                  <c:v>8.4</c:v>
                </c:pt>
                <c:pt idx="10">
                  <c:v>7.9</c:v>
                </c:pt>
                <c:pt idx="11">
                  <c:v>7.5</c:v>
                </c:pt>
              </c:numCache>
            </c:numRef>
          </c:val>
          <c:extLst>
            <c:ext xmlns:c16="http://schemas.microsoft.com/office/drawing/2014/chart" uri="{C3380CC4-5D6E-409C-BE32-E72D297353CC}">
              <c16:uniqueId val="{00000001-1F8A-4595-9F7A-DEAE5B37B2D9}"/>
            </c:ext>
          </c:extLst>
        </c:ser>
        <c:ser>
          <c:idx val="2"/>
          <c:order val="2"/>
          <c:tx>
            <c:strRef>
              <c:f>Sheet1!$E$9:$E$11</c:f>
              <c:strCache>
                <c:ptCount val="3"/>
                <c:pt idx="1">
                  <c:v>Net Primary 
Productivity (gC/m2/day) NPP</c:v>
                </c:pt>
                <c:pt idx="2">
                  <c:v>2025</c:v>
                </c:pt>
              </c:strCache>
            </c:strRef>
          </c:tx>
          <c:spPr>
            <a:solidFill>
              <a:srgbClr val="FFFFCC"/>
            </a:solidFill>
            <a:ln w="12700">
              <a:solidFill>
                <a:srgbClr val="000000"/>
              </a:solidFill>
              <a:prstDash val="solid"/>
            </a:ln>
          </c:spPr>
          <c:invertIfNegative val="0"/>
          <c:cat>
            <c:strRef>
              <c:f>Sheet1!$B$12:$B$23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Sheet1!$E$12:$E$23</c:f>
              <c:numCache>
                <c:formatCode>General</c:formatCode>
                <c:ptCount val="12"/>
                <c:pt idx="0">
                  <c:v>4.2</c:v>
                </c:pt>
                <c:pt idx="1">
                  <c:v>4.7</c:v>
                </c:pt>
                <c:pt idx="2">
                  <c:v>5.5</c:v>
                </c:pt>
                <c:pt idx="3">
                  <c:v>5.9</c:v>
                </c:pt>
                <c:pt idx="4">
                  <c:v>6.6</c:v>
                </c:pt>
                <c:pt idx="5">
                  <c:v>6.3</c:v>
                </c:pt>
                <c:pt idx="6">
                  <c:v>6.1</c:v>
                </c:pt>
                <c:pt idx="7">
                  <c:v>5.8</c:v>
                </c:pt>
                <c:pt idx="8">
                  <c:v>5.6</c:v>
                </c:pt>
                <c:pt idx="9">
                  <c:v>5.4</c:v>
                </c:pt>
                <c:pt idx="10">
                  <c:v>5.0999999999999996</c:v>
                </c:pt>
                <c:pt idx="11">
                  <c:v>4.5999999999999996</c:v>
                </c:pt>
              </c:numCache>
            </c:numRef>
          </c:val>
          <c:extLst>
            <c:ext xmlns:c16="http://schemas.microsoft.com/office/drawing/2014/chart" uri="{C3380CC4-5D6E-409C-BE32-E72D297353CC}">
              <c16:uniqueId val="{00000002-1F8A-4595-9F7A-DEAE5B37B2D9}"/>
            </c:ext>
          </c:extLst>
        </c:ser>
        <c:ser>
          <c:idx val="3"/>
          <c:order val="3"/>
          <c:tx>
            <c:strRef>
              <c:f>Sheet1!$F$9:$F$11</c:f>
              <c:strCache>
                <c:ptCount val="3"/>
                <c:pt idx="1">
                  <c:v>Net Primary 
Productivity (gC/m2/day) NPP</c:v>
                </c:pt>
                <c:pt idx="2">
                  <c:v>2026</c:v>
                </c:pt>
              </c:strCache>
            </c:strRef>
          </c:tx>
          <c:spPr>
            <a:solidFill>
              <a:srgbClr val="CCFFFF"/>
            </a:solidFill>
            <a:ln w="12700">
              <a:solidFill>
                <a:srgbClr val="000000"/>
              </a:solidFill>
              <a:prstDash val="solid"/>
            </a:ln>
          </c:spPr>
          <c:invertIfNegative val="0"/>
          <c:cat>
            <c:strRef>
              <c:f>Sheet1!$B$12:$B$23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Sheet1!$F$12:$F$23</c:f>
              <c:numCache>
                <c:formatCode>General</c:formatCode>
                <c:ptCount val="12"/>
                <c:pt idx="0">
                  <c:v>4.3</c:v>
                </c:pt>
                <c:pt idx="1">
                  <c:v>4.9000000000000004</c:v>
                </c:pt>
                <c:pt idx="2">
                  <c:v>5.6</c:v>
                </c:pt>
                <c:pt idx="3">
                  <c:v>6.2</c:v>
                </c:pt>
                <c:pt idx="4">
                  <c:v>6.8</c:v>
                </c:pt>
                <c:pt idx="5">
                  <c:v>6.4</c:v>
                </c:pt>
                <c:pt idx="6">
                  <c:v>6.1</c:v>
                </c:pt>
                <c:pt idx="7">
                  <c:v>5.9</c:v>
                </c:pt>
                <c:pt idx="8">
                  <c:v>5.7</c:v>
                </c:pt>
                <c:pt idx="9">
                  <c:v>5.4</c:v>
                </c:pt>
                <c:pt idx="10">
                  <c:v>5.0999999999999996</c:v>
                </c:pt>
                <c:pt idx="11">
                  <c:v>4.8</c:v>
                </c:pt>
              </c:numCache>
            </c:numRef>
          </c:val>
          <c:extLst>
            <c:ext xmlns:c16="http://schemas.microsoft.com/office/drawing/2014/chart" uri="{C3380CC4-5D6E-409C-BE32-E72D297353CC}">
              <c16:uniqueId val="{00000003-1F8A-4595-9F7A-DEAE5B37B2D9}"/>
            </c:ext>
          </c:extLst>
        </c:ser>
        <c:ser>
          <c:idx val="4"/>
          <c:order val="4"/>
          <c:tx>
            <c:strRef>
              <c:f>Sheet1!$G$9:$G$11</c:f>
              <c:strCache>
                <c:ptCount val="3"/>
                <c:pt idx="1">
                  <c:v>Community Respiration
(gC/m2/day) CR
</c:v>
                </c:pt>
                <c:pt idx="2">
                  <c:v>2025</c:v>
                </c:pt>
              </c:strCache>
            </c:strRef>
          </c:tx>
          <c:spPr>
            <a:solidFill>
              <a:srgbClr val="660066"/>
            </a:solidFill>
            <a:ln w="12700">
              <a:solidFill>
                <a:srgbClr val="000000"/>
              </a:solidFill>
              <a:prstDash val="solid"/>
            </a:ln>
          </c:spPr>
          <c:invertIfNegative val="0"/>
          <c:cat>
            <c:strRef>
              <c:f>Sheet1!$B$12:$B$23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Sheet1!$G$12:$G$23</c:f>
              <c:numCache>
                <c:formatCode>General</c:formatCode>
                <c:ptCount val="12"/>
                <c:pt idx="0">
                  <c:v>2.4</c:v>
                </c:pt>
                <c:pt idx="1">
                  <c:v>2.7</c:v>
                </c:pt>
                <c:pt idx="2">
                  <c:v>3</c:v>
                </c:pt>
                <c:pt idx="3">
                  <c:v>3.2</c:v>
                </c:pt>
                <c:pt idx="4">
                  <c:v>3.8</c:v>
                </c:pt>
                <c:pt idx="5">
                  <c:v>3.6</c:v>
                </c:pt>
                <c:pt idx="6">
                  <c:v>3.3</c:v>
                </c:pt>
                <c:pt idx="7">
                  <c:v>3.2</c:v>
                </c:pt>
                <c:pt idx="8">
                  <c:v>3</c:v>
                </c:pt>
                <c:pt idx="9">
                  <c:v>2.8</c:v>
                </c:pt>
                <c:pt idx="10">
                  <c:v>2.7</c:v>
                </c:pt>
                <c:pt idx="11">
                  <c:v>2.5</c:v>
                </c:pt>
              </c:numCache>
            </c:numRef>
          </c:val>
          <c:extLst>
            <c:ext xmlns:c16="http://schemas.microsoft.com/office/drawing/2014/chart" uri="{C3380CC4-5D6E-409C-BE32-E72D297353CC}">
              <c16:uniqueId val="{00000004-1F8A-4595-9F7A-DEAE5B37B2D9}"/>
            </c:ext>
          </c:extLst>
        </c:ser>
        <c:ser>
          <c:idx val="5"/>
          <c:order val="5"/>
          <c:tx>
            <c:strRef>
              <c:f>Sheet1!$H$9:$H$11</c:f>
              <c:strCache>
                <c:ptCount val="3"/>
                <c:pt idx="1">
                  <c:v>Community Respiration
(gC/m2/day) CR
</c:v>
                </c:pt>
                <c:pt idx="2">
                  <c:v>2026</c:v>
                </c:pt>
              </c:strCache>
            </c:strRef>
          </c:tx>
          <c:spPr>
            <a:solidFill>
              <a:srgbClr val="FF8080"/>
            </a:solidFill>
            <a:ln w="12700">
              <a:solidFill>
                <a:srgbClr val="000000"/>
              </a:solidFill>
              <a:prstDash val="solid"/>
            </a:ln>
          </c:spPr>
          <c:invertIfNegative val="0"/>
          <c:cat>
            <c:strRef>
              <c:f>Sheet1!$B$12:$B$23</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Sheet1!$H$12:$H$23</c:f>
              <c:numCache>
                <c:formatCode>General</c:formatCode>
                <c:ptCount val="12"/>
                <c:pt idx="0">
                  <c:v>2.8</c:v>
                </c:pt>
                <c:pt idx="1">
                  <c:v>2.9</c:v>
                </c:pt>
                <c:pt idx="2">
                  <c:v>3.4</c:v>
                </c:pt>
                <c:pt idx="3">
                  <c:v>3.9</c:v>
                </c:pt>
                <c:pt idx="4">
                  <c:v>4</c:v>
                </c:pt>
                <c:pt idx="5">
                  <c:v>3.8</c:v>
                </c:pt>
                <c:pt idx="6">
                  <c:v>3.7</c:v>
                </c:pt>
                <c:pt idx="7">
                  <c:v>3.4</c:v>
                </c:pt>
                <c:pt idx="8">
                  <c:v>3.2</c:v>
                </c:pt>
                <c:pt idx="9">
                  <c:v>3</c:v>
                </c:pt>
                <c:pt idx="10">
                  <c:v>2.9</c:v>
                </c:pt>
                <c:pt idx="11">
                  <c:v>3.6</c:v>
                </c:pt>
              </c:numCache>
            </c:numRef>
          </c:val>
          <c:extLst>
            <c:ext xmlns:c16="http://schemas.microsoft.com/office/drawing/2014/chart" uri="{C3380CC4-5D6E-409C-BE32-E72D297353CC}">
              <c16:uniqueId val="{00000005-1F8A-4595-9F7A-DEAE5B37B2D9}"/>
            </c:ext>
          </c:extLst>
        </c:ser>
        <c:dLbls>
          <c:showLegendKey val="0"/>
          <c:showVal val="0"/>
          <c:showCatName val="0"/>
          <c:showSerName val="0"/>
          <c:showPercent val="0"/>
          <c:showBubbleSize val="0"/>
        </c:dLbls>
        <c:gapWidth val="150"/>
        <c:shape val="box"/>
        <c:axId val="213216048"/>
        <c:axId val="1"/>
        <c:axId val="0"/>
      </c:bar3DChart>
      <c:catAx>
        <c:axId val="213216048"/>
        <c:scaling>
          <c:orientation val="minMax"/>
        </c:scaling>
        <c:delete val="0"/>
        <c:axPos val="b"/>
        <c:title>
          <c:tx>
            <c:rich>
              <a:bodyPr/>
              <a:lstStyle/>
              <a:p>
                <a:pPr>
                  <a:defRPr sz="925" b="1" i="0" u="none" strike="noStrike" baseline="0">
                    <a:solidFill>
                      <a:srgbClr val="000000"/>
                    </a:solidFill>
                    <a:latin typeface="Arial"/>
                    <a:ea typeface="Arial"/>
                    <a:cs typeface="Arial"/>
                  </a:defRPr>
                </a:pPr>
                <a:r>
                  <a:rPr lang="en-US"/>
                  <a:t>Month</a:t>
                </a:r>
              </a:p>
            </c:rich>
          </c:tx>
          <c:layout>
            <c:manualLayout>
              <c:xMode val="edge"/>
              <c:yMode val="edge"/>
              <c:x val="0.40671971706454463"/>
              <c:y val="0.92766726943942135"/>
            </c:manualLayout>
          </c:layout>
          <c:overlay val="0"/>
          <c:spPr>
            <a:noFill/>
            <a:ln w="25399">
              <a:noFill/>
            </a:ln>
          </c:spPr>
        </c:title>
        <c:numFmt formatCode="General" sourceLinked="1"/>
        <c:majorTickMark val="out"/>
        <c:minorTickMark val="none"/>
        <c:tickLblPos val="low"/>
        <c:spPr>
          <a:ln w="3175">
            <a:solidFill>
              <a:srgbClr val="000000"/>
            </a:solidFill>
            <a:prstDash val="solid"/>
          </a:ln>
        </c:spPr>
        <c:txPr>
          <a:bodyPr rot="0" vert="horz"/>
          <a:lstStyle/>
          <a:p>
            <a:pPr>
              <a:defRPr sz="5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title>
          <c:tx>
            <c:rich>
              <a:bodyPr/>
              <a:lstStyle/>
              <a:p>
                <a:pPr>
                  <a:defRPr sz="925" b="1" i="0" u="none" strike="noStrike" baseline="0">
                    <a:solidFill>
                      <a:srgbClr val="000000"/>
                    </a:solidFill>
                    <a:latin typeface="Arial"/>
                    <a:ea typeface="Arial"/>
                    <a:cs typeface="Arial"/>
                  </a:defRPr>
                </a:pPr>
                <a:r>
                  <a:rPr lang="en-US"/>
                  <a:t>gC/m2/day</a:t>
                </a:r>
              </a:p>
            </c:rich>
          </c:tx>
          <c:layout>
            <c:manualLayout>
              <c:xMode val="edge"/>
              <c:yMode val="edge"/>
              <c:x val="2.475685234305924E-2"/>
              <c:y val="0.41048824593128391"/>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en-US"/>
          </a:p>
        </c:txPr>
        <c:crossAx val="213216048"/>
        <c:crosses val="autoZero"/>
        <c:crossBetween val="between"/>
      </c:valAx>
      <c:spPr>
        <a:noFill/>
        <a:ln w="25399">
          <a:noFill/>
        </a:ln>
      </c:spPr>
    </c:plotArea>
    <c:legend>
      <c:legendPos val="r"/>
      <c:layout>
        <c:manualLayout>
          <c:xMode val="edge"/>
          <c:yMode val="edge"/>
          <c:x val="0.81078691423519011"/>
          <c:y val="5.6553130702939304E-2"/>
          <c:w val="0.1856763925729443"/>
          <c:h val="0.91803870999384873"/>
        </c:manualLayout>
      </c:layout>
      <c:overlay val="0"/>
      <c:spPr>
        <a:solidFill>
          <a:srgbClr val="FFFFFF"/>
        </a:solidFill>
        <a:ln w="3175">
          <a:solidFill>
            <a:srgbClr val="000000"/>
          </a:solidFill>
          <a:prstDash val="solid"/>
        </a:ln>
      </c:spPr>
      <c:txPr>
        <a:bodyPr/>
        <a:lstStyle/>
        <a:p>
          <a:pPr>
            <a:defRPr sz="700" b="0" i="0" u="none" strike="noStrike" baseline="0">
              <a:solidFill>
                <a:srgbClr val="000000"/>
              </a:solidFill>
              <a:latin typeface="Arial"/>
              <a:ea typeface="Arial"/>
              <a:cs typeface="Arial"/>
            </a:defRPr>
          </a:pPr>
          <a:endParaRPr lang="en-US"/>
        </a:p>
      </c:txPr>
    </c:legend>
    <c:plotVisOnly val="1"/>
    <c:dispBlanksAs val="gap"/>
    <c:showDLblsOverMax val="0"/>
  </c:chart>
  <c:spPr>
    <a:noFill/>
    <a:ln>
      <a:noFill/>
    </a:ln>
  </c:spPr>
  <c:txPr>
    <a:bodyPr/>
    <a:lstStyle/>
    <a:p>
      <a:pPr>
        <a:defRPr sz="925"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49316-6AD2-4832-8816-46F3E480C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14</Pages>
  <Words>5131</Words>
  <Characters>29250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SDI 1065</cp:lastModifiedBy>
  <cp:revision>305</cp:revision>
  <cp:lastPrinted>2026-08-07T07:06:00Z</cp:lastPrinted>
  <dcterms:created xsi:type="dcterms:W3CDTF">2026-07-10T09:26:00Z</dcterms:created>
  <dcterms:modified xsi:type="dcterms:W3CDTF">2026-08-21T12:35:00Z</dcterms:modified>
</cp:coreProperties>
</file>