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0612C" w14:textId="77777777" w:rsidR="00970C91" w:rsidRDefault="000F4A5D" w:rsidP="00076377">
      <w:pPr>
        <w:spacing w:line="360" w:lineRule="auto"/>
        <w:jc w:val="both"/>
        <w:rPr>
          <w:rFonts w:ascii="Times New Roman" w:hAnsi="Times New Roman" w:cs="Times New Roman"/>
          <w:b/>
          <w:bCs/>
        </w:rPr>
      </w:pPr>
      <w:r w:rsidRPr="00970C91">
        <w:rPr>
          <w:rFonts w:ascii="Times New Roman" w:hAnsi="Times New Roman" w:cs="Times New Roman"/>
          <w:b/>
          <w:bCs/>
        </w:rPr>
        <w:t xml:space="preserve">Amelioration of Metabolic and Hepatic Alterations by </w:t>
      </w:r>
      <w:proofErr w:type="spellStart"/>
      <w:r w:rsidRPr="00970C91">
        <w:rPr>
          <w:rFonts w:ascii="Times New Roman" w:hAnsi="Times New Roman" w:cs="Times New Roman"/>
          <w:b/>
          <w:bCs/>
          <w:i/>
          <w:iCs/>
        </w:rPr>
        <w:t>Caralluma</w:t>
      </w:r>
      <w:proofErr w:type="spellEnd"/>
      <w:r w:rsidRPr="00970C91">
        <w:rPr>
          <w:rFonts w:ascii="Times New Roman" w:hAnsi="Times New Roman" w:cs="Times New Roman"/>
          <w:b/>
          <w:bCs/>
          <w:i/>
          <w:iCs/>
        </w:rPr>
        <w:t xml:space="preserve"> fimbriata</w:t>
      </w:r>
      <w:r w:rsidRPr="00970C91">
        <w:rPr>
          <w:rFonts w:ascii="Times New Roman" w:hAnsi="Times New Roman" w:cs="Times New Roman"/>
          <w:b/>
          <w:bCs/>
        </w:rPr>
        <w:t xml:space="preserve"> in High-Fat Diet-Fed Obese Rats</w:t>
      </w:r>
    </w:p>
    <w:p w14:paraId="78FCC97F" w14:textId="77777777" w:rsidR="00687ED0" w:rsidRPr="00076377" w:rsidRDefault="00687ED0" w:rsidP="00076377">
      <w:pPr>
        <w:spacing w:line="360" w:lineRule="auto"/>
        <w:jc w:val="both"/>
        <w:rPr>
          <w:rFonts w:ascii="Times New Roman" w:hAnsi="Times New Roman" w:cs="Times New Roman"/>
          <w:b/>
          <w:bCs/>
        </w:rPr>
      </w:pPr>
    </w:p>
    <w:p w14:paraId="14CAF84A" w14:textId="77777777" w:rsidR="000F4A5D" w:rsidRPr="00970C91" w:rsidRDefault="000F4A5D" w:rsidP="00970C91">
      <w:pPr>
        <w:autoSpaceDE w:val="0"/>
        <w:autoSpaceDN w:val="0"/>
        <w:adjustRightInd w:val="0"/>
        <w:spacing w:after="0" w:line="360" w:lineRule="auto"/>
        <w:jc w:val="both"/>
        <w:rPr>
          <w:rFonts w:ascii="Times New Roman" w:hAnsi="Times New Roman" w:cs="Times New Roman"/>
          <w:b/>
        </w:rPr>
      </w:pPr>
      <w:r w:rsidRPr="00970C91">
        <w:rPr>
          <w:rFonts w:ascii="Times New Roman" w:hAnsi="Times New Roman" w:cs="Times New Roman"/>
          <w:b/>
        </w:rPr>
        <w:t>ABSTRACT</w:t>
      </w:r>
    </w:p>
    <w:p w14:paraId="4C4C426C" w14:textId="77777777" w:rsidR="00F576D3" w:rsidRDefault="001753F3" w:rsidP="00970C91">
      <w:pPr>
        <w:spacing w:line="360" w:lineRule="auto"/>
        <w:jc w:val="both"/>
        <w:rPr>
          <w:rFonts w:ascii="Times New Roman" w:hAnsi="Times New Roman"/>
          <w:b/>
        </w:rPr>
      </w:pPr>
      <w:r>
        <w:rPr>
          <w:rFonts w:ascii="Times New Roman" w:hAnsi="Times New Roman"/>
          <w:b/>
        </w:rPr>
        <w:t>Background</w:t>
      </w:r>
      <w:r w:rsidR="00F576D3">
        <w:rPr>
          <w:rFonts w:ascii="Times New Roman" w:hAnsi="Times New Roman"/>
          <w:b/>
        </w:rPr>
        <w:t xml:space="preserve">: </w:t>
      </w:r>
      <w:r w:rsidR="00F576D3" w:rsidRPr="00F576D3">
        <w:rPr>
          <w:rFonts w:ascii="Times New Roman" w:hAnsi="Times New Roman"/>
          <w:bCs/>
        </w:rPr>
        <w:t xml:space="preserve">Obesity induced by prolonged high-fat-diet consumption is associated with insulin resistance, </w:t>
      </w:r>
      <w:proofErr w:type="spellStart"/>
      <w:r w:rsidR="00F576D3" w:rsidRPr="00F576D3">
        <w:rPr>
          <w:rFonts w:ascii="Times New Roman" w:hAnsi="Times New Roman"/>
          <w:bCs/>
        </w:rPr>
        <w:t>dyslipidaemia</w:t>
      </w:r>
      <w:proofErr w:type="spellEnd"/>
      <w:r w:rsidR="00F576D3" w:rsidRPr="00F576D3">
        <w:rPr>
          <w:rFonts w:ascii="Times New Roman" w:hAnsi="Times New Roman"/>
          <w:bCs/>
        </w:rPr>
        <w:t>, oxidative imbalance, and hepatic injury.</w:t>
      </w:r>
      <w:r>
        <w:rPr>
          <w:rFonts w:ascii="Times New Roman" w:hAnsi="Times New Roman"/>
          <w:b/>
        </w:rPr>
        <w:t xml:space="preserve"> </w:t>
      </w:r>
    </w:p>
    <w:p w14:paraId="5B01D302" w14:textId="77777777" w:rsidR="00F576D3" w:rsidRDefault="00F576D3" w:rsidP="00970C91">
      <w:pPr>
        <w:spacing w:line="360" w:lineRule="auto"/>
        <w:jc w:val="both"/>
        <w:rPr>
          <w:rFonts w:ascii="Times New Roman" w:hAnsi="Times New Roman"/>
        </w:rPr>
      </w:pPr>
      <w:r>
        <w:rPr>
          <w:rFonts w:ascii="Times New Roman" w:hAnsi="Times New Roman"/>
          <w:b/>
        </w:rPr>
        <w:t xml:space="preserve">Aim: </w:t>
      </w:r>
      <w:r w:rsidR="001753F3">
        <w:rPr>
          <w:rFonts w:ascii="Times New Roman" w:hAnsi="Times New Roman"/>
        </w:rPr>
        <w:t xml:space="preserve">The present study evaluated the effects of </w:t>
      </w:r>
      <w:r w:rsidR="001753F3">
        <w:rPr>
          <w:rFonts w:ascii="Times New Roman" w:hAnsi="Times New Roman"/>
          <w:i/>
        </w:rPr>
        <w:t>Caralluma fimbriata</w:t>
      </w:r>
      <w:r w:rsidR="001753F3">
        <w:rPr>
          <w:rFonts w:ascii="Times New Roman" w:hAnsi="Times New Roman"/>
        </w:rPr>
        <w:t xml:space="preserve"> extract (CFE) on fat deposition, oxidative stress, inflammation, and fibrosis in the liver of high-fat diet (HFD)-induced obese rats. </w:t>
      </w:r>
    </w:p>
    <w:p w14:paraId="49A3D8C4" w14:textId="28B7AAB3" w:rsidR="000F4A5D" w:rsidRPr="00970C91" w:rsidRDefault="00F576D3" w:rsidP="00970C91">
      <w:pPr>
        <w:spacing w:line="360" w:lineRule="auto"/>
        <w:jc w:val="both"/>
        <w:rPr>
          <w:rFonts w:ascii="Times New Roman" w:hAnsi="Times New Roman" w:cs="Times New Roman"/>
          <w:bCs/>
        </w:rPr>
      </w:pPr>
      <w:proofErr w:type="gramStart"/>
      <w:r w:rsidRPr="00F576D3">
        <w:rPr>
          <w:rFonts w:ascii="Times New Roman" w:hAnsi="Times New Roman"/>
          <w:b/>
          <w:bCs/>
        </w:rPr>
        <w:t>Method :</w:t>
      </w:r>
      <w:proofErr w:type="gramEnd"/>
      <w:r>
        <w:rPr>
          <w:rFonts w:ascii="Times New Roman" w:hAnsi="Times New Roman"/>
          <w:b/>
          <w:bCs/>
        </w:rPr>
        <w:t xml:space="preserve"> </w:t>
      </w:r>
      <w:r w:rsidR="001753F3">
        <w:rPr>
          <w:rFonts w:ascii="Times New Roman" w:hAnsi="Times New Roman"/>
        </w:rPr>
        <w:t xml:space="preserve">Thirty male Wistar rats were divided into five groups (n = 6): </w:t>
      </w:r>
      <w:r w:rsidR="001753F3">
        <w:rPr>
          <w:rFonts w:ascii="Times New Roman" w:hAnsi="Times New Roman"/>
          <w:highlight w:val="yellow"/>
        </w:rPr>
        <w:t>c</w:t>
      </w:r>
      <w:r w:rsidR="001753F3">
        <w:rPr>
          <w:rFonts w:ascii="Times New Roman" w:hAnsi="Times New Roman"/>
        </w:rPr>
        <w:t xml:space="preserve">ontrol (C), </w:t>
      </w:r>
      <w:r w:rsidR="001753F3">
        <w:rPr>
          <w:rFonts w:ascii="Times New Roman" w:hAnsi="Times New Roman"/>
          <w:highlight w:val="yellow"/>
        </w:rPr>
        <w:t>c</w:t>
      </w:r>
      <w:r w:rsidR="001753F3">
        <w:rPr>
          <w:rFonts w:ascii="Times New Roman" w:hAnsi="Times New Roman"/>
        </w:rPr>
        <w:t xml:space="preserve">ontrol+CFE, HFD, HFD+CFE (200 mg/kg/day for 150 days; preventive model), and obese+CFE (OBS+CFE; 200 mg/kg/day after </w:t>
      </w:r>
      <w:r w:rsidR="001753F3">
        <w:rPr>
          <w:rFonts w:ascii="Times New Roman" w:hAnsi="Times New Roman"/>
          <w:highlight w:val="yellow"/>
        </w:rPr>
        <w:t xml:space="preserve">90 days of HFD feeding for the subsequent </w:t>
      </w:r>
      <w:r w:rsidR="001753F3">
        <w:rPr>
          <w:rFonts w:ascii="Times New Roman" w:hAnsi="Times New Roman"/>
        </w:rPr>
        <w:t>60 days; therapeutic model).</w:t>
      </w:r>
    </w:p>
    <w:p w14:paraId="2DBFC5A6" w14:textId="291C6248" w:rsidR="000F4A5D" w:rsidRPr="00970C91" w:rsidRDefault="001753F3" w:rsidP="00970C91">
      <w:pPr>
        <w:spacing w:line="360" w:lineRule="auto"/>
        <w:jc w:val="both"/>
        <w:rPr>
          <w:rFonts w:ascii="Times New Roman" w:hAnsi="Times New Roman" w:cs="Times New Roman"/>
          <w:bCs/>
        </w:rPr>
      </w:pPr>
      <w:r>
        <w:rPr>
          <w:rFonts w:ascii="Times New Roman" w:hAnsi="Times New Roman"/>
          <w:b/>
        </w:rPr>
        <w:t>Results</w:t>
      </w:r>
      <w:r w:rsidR="00F576D3">
        <w:rPr>
          <w:rFonts w:ascii="Times New Roman" w:hAnsi="Times New Roman"/>
          <w:b/>
        </w:rPr>
        <w:t>:</w:t>
      </w:r>
      <w:r>
        <w:rPr>
          <w:rFonts w:ascii="Times New Roman" w:hAnsi="Times New Roman"/>
          <w:b/>
        </w:rPr>
        <w:t xml:space="preserve"> </w:t>
      </w:r>
      <w:r>
        <w:rPr>
          <w:rFonts w:ascii="Times New Roman" w:hAnsi="Times New Roman"/>
        </w:rPr>
        <w:t>HFD-fed rats showed significant increases in body weight, plasma glucose, insulin resistance (HOMA-IR), leptin, lipid</w:t>
      </w:r>
      <w:r>
        <w:rPr>
          <w:rFonts w:ascii="Times New Roman" w:hAnsi="Times New Roman"/>
          <w:highlight w:val="yellow"/>
        </w:rPr>
        <w:t>-</w:t>
      </w:r>
      <w:r>
        <w:rPr>
          <w:rFonts w:ascii="Times New Roman" w:hAnsi="Times New Roman"/>
        </w:rPr>
        <w:t>profile</w:t>
      </w:r>
      <w:r>
        <w:rPr>
          <w:rFonts w:ascii="Times New Roman" w:hAnsi="Times New Roman"/>
          <w:highlight w:val="yellow"/>
        </w:rPr>
        <w:t xml:space="preserve"> parameters</w:t>
      </w:r>
      <w:r>
        <w:rPr>
          <w:rFonts w:ascii="Times New Roman" w:hAnsi="Times New Roman"/>
        </w:rPr>
        <w:t xml:space="preserve">, and hepatic markers. Elevated lipid peroxidation and protein oxidation, </w:t>
      </w:r>
      <w:r>
        <w:rPr>
          <w:rFonts w:ascii="Times New Roman" w:hAnsi="Times New Roman"/>
          <w:highlight w:val="yellow"/>
        </w:rPr>
        <w:t>t</w:t>
      </w:r>
      <w:r>
        <w:rPr>
          <w:rFonts w:ascii="Times New Roman" w:hAnsi="Times New Roman"/>
        </w:rPr>
        <w:t>og</w:t>
      </w:r>
      <w:r>
        <w:rPr>
          <w:rFonts w:ascii="Times New Roman" w:hAnsi="Times New Roman"/>
          <w:highlight w:val="yellow"/>
        </w:rPr>
        <w:t>ether</w:t>
      </w:r>
      <w:r>
        <w:rPr>
          <w:rFonts w:ascii="Times New Roman" w:hAnsi="Times New Roman"/>
        </w:rPr>
        <w:t xml:space="preserve"> with reduced antioxidant enzyme activities (GPx, GR, GST, SOD,</w:t>
      </w:r>
      <w:r>
        <w:rPr>
          <w:rFonts w:ascii="Times New Roman" w:hAnsi="Times New Roman"/>
          <w:highlight w:val="yellow"/>
        </w:rPr>
        <w:t xml:space="preserve"> and</w:t>
      </w:r>
      <w:r>
        <w:rPr>
          <w:rFonts w:ascii="Times New Roman" w:hAnsi="Times New Roman"/>
        </w:rPr>
        <w:t xml:space="preserve"> CAT) and HDL cholesterol levels, were also observed. CFE supplementation significantly improved body weight, hyperglyc</w:t>
      </w:r>
      <w:r>
        <w:rPr>
          <w:rFonts w:ascii="Times New Roman" w:hAnsi="Times New Roman"/>
          <w:highlight w:val="yellow"/>
        </w:rPr>
        <w:t>a</w:t>
      </w:r>
      <w:r>
        <w:rPr>
          <w:rFonts w:ascii="Times New Roman" w:hAnsi="Times New Roman"/>
        </w:rPr>
        <w:t>emia, insulin resistance, hyperleptin</w:t>
      </w:r>
      <w:r>
        <w:rPr>
          <w:rFonts w:ascii="Times New Roman" w:hAnsi="Times New Roman"/>
          <w:highlight w:val="yellow"/>
        </w:rPr>
        <w:t>a</w:t>
      </w:r>
      <w:r>
        <w:rPr>
          <w:rFonts w:ascii="Times New Roman" w:hAnsi="Times New Roman"/>
        </w:rPr>
        <w:t>emia, and dyslipid</w:t>
      </w:r>
      <w:r>
        <w:rPr>
          <w:rFonts w:ascii="Times New Roman" w:hAnsi="Times New Roman"/>
          <w:highlight w:val="yellow"/>
        </w:rPr>
        <w:t>a</w:t>
      </w:r>
      <w:r>
        <w:rPr>
          <w:rFonts w:ascii="Times New Roman" w:hAnsi="Times New Roman"/>
        </w:rPr>
        <w:t>emia. It increased HDL-C levels and restored antioxidant enzyme activities in both</w:t>
      </w:r>
      <w:r>
        <w:rPr>
          <w:rFonts w:ascii="Times New Roman" w:hAnsi="Times New Roman"/>
          <w:highlight w:val="yellow"/>
        </w:rPr>
        <w:t xml:space="preserve"> the</w:t>
      </w:r>
      <w:r>
        <w:rPr>
          <w:rFonts w:ascii="Times New Roman" w:hAnsi="Times New Roman"/>
        </w:rPr>
        <w:t xml:space="preserve"> preventive and therapeutic groups. Additionally, CFE significantly (p &lt; 0.05) reduced plasma and hepatic lipids, including triglycerides, total cholesterol, and free fatty acids, while improving phospholipid levels.</w:t>
      </w:r>
    </w:p>
    <w:p w14:paraId="310E411B" w14:textId="793E33DE" w:rsidR="000F4A5D" w:rsidRPr="00970C91" w:rsidRDefault="001753F3" w:rsidP="00970C91">
      <w:pPr>
        <w:spacing w:line="360" w:lineRule="auto"/>
        <w:jc w:val="both"/>
        <w:rPr>
          <w:rFonts w:ascii="Times New Roman" w:hAnsi="Times New Roman" w:cs="Times New Roman"/>
          <w:bCs/>
        </w:rPr>
      </w:pPr>
      <w:r>
        <w:rPr>
          <w:rFonts w:ascii="Times New Roman" w:hAnsi="Times New Roman"/>
          <w:b/>
        </w:rPr>
        <w:t>Conclusion</w:t>
      </w:r>
      <w:r w:rsidR="00F576D3">
        <w:rPr>
          <w:rFonts w:ascii="Times New Roman" w:hAnsi="Times New Roman"/>
        </w:rPr>
        <w:t xml:space="preserve">: </w:t>
      </w:r>
      <w:r>
        <w:rPr>
          <w:rFonts w:ascii="Times New Roman" w:hAnsi="Times New Roman"/>
        </w:rPr>
        <w:t xml:space="preserve">Histopathological findings supported these results. Overall, CFE ameliorated liver dysfunction in HFD-fed rats by reducing oxidative stress and inflammation, </w:t>
      </w:r>
      <w:r>
        <w:rPr>
          <w:rFonts w:ascii="Times New Roman" w:hAnsi="Times New Roman"/>
          <w:highlight w:val="yellow"/>
        </w:rPr>
        <w:t>sugges</w:t>
      </w:r>
      <w:r>
        <w:rPr>
          <w:rFonts w:ascii="Times New Roman" w:hAnsi="Times New Roman"/>
        </w:rPr>
        <w:t>ting potential protective and therapeutic e</w:t>
      </w:r>
      <w:r>
        <w:rPr>
          <w:rFonts w:ascii="Times New Roman" w:hAnsi="Times New Roman"/>
          <w:highlight w:val="yellow"/>
        </w:rPr>
        <w:t>ffects</w:t>
      </w:r>
      <w:r>
        <w:rPr>
          <w:rFonts w:ascii="Times New Roman" w:hAnsi="Times New Roman"/>
        </w:rPr>
        <w:t>.</w:t>
      </w:r>
    </w:p>
    <w:p w14:paraId="0AE46D72" w14:textId="77777777" w:rsidR="00341C30" w:rsidRPr="007C7736" w:rsidRDefault="00013AA9" w:rsidP="00970C91">
      <w:pPr>
        <w:spacing w:line="360" w:lineRule="auto"/>
        <w:jc w:val="both"/>
        <w:rPr>
          <w:rFonts w:ascii="Times New Roman" w:hAnsi="Times New Roman" w:cs="Times New Roman"/>
          <w:bCs/>
        </w:rPr>
      </w:pPr>
      <w:r w:rsidRPr="00970C91">
        <w:rPr>
          <w:rFonts w:ascii="Times New Roman" w:hAnsi="Times New Roman" w:cs="Times New Roman"/>
          <w:b/>
          <w:bCs/>
        </w:rPr>
        <w:t>Keywords:</w:t>
      </w:r>
      <w:r w:rsidRPr="00970C91">
        <w:rPr>
          <w:rFonts w:ascii="Times New Roman" w:hAnsi="Times New Roman" w:cs="Times New Roman"/>
          <w:bCs/>
        </w:rPr>
        <w:t xml:space="preserve"> </w:t>
      </w:r>
      <w:proofErr w:type="spellStart"/>
      <w:r w:rsidRPr="00970C91">
        <w:rPr>
          <w:rFonts w:ascii="Times New Roman" w:hAnsi="Times New Roman" w:cs="Times New Roman"/>
          <w:bCs/>
          <w:i/>
          <w:iCs/>
        </w:rPr>
        <w:t>Caralluma</w:t>
      </w:r>
      <w:proofErr w:type="spellEnd"/>
      <w:r w:rsidRPr="00970C91">
        <w:rPr>
          <w:rFonts w:ascii="Times New Roman" w:hAnsi="Times New Roman" w:cs="Times New Roman"/>
          <w:bCs/>
          <w:i/>
          <w:iCs/>
        </w:rPr>
        <w:t xml:space="preserve"> fimbriata</w:t>
      </w:r>
      <w:r w:rsidRPr="00970C91">
        <w:rPr>
          <w:rFonts w:ascii="Times New Roman" w:hAnsi="Times New Roman" w:cs="Times New Roman"/>
          <w:bCs/>
        </w:rPr>
        <w:t>, oxidative stress, insulin resistance, high-fat diet, hepatic transaminases</w:t>
      </w:r>
    </w:p>
    <w:p w14:paraId="78477093" w14:textId="77777777" w:rsidR="001753F3" w:rsidRDefault="001753F3" w:rsidP="001753F3">
      <w:pPr>
        <w:spacing w:line="360" w:lineRule="auto"/>
        <w:jc w:val="both"/>
        <w:rPr>
          <w:rFonts w:ascii="Times New Roman" w:hAnsi="Times New Roman" w:cs="Times New Roman"/>
          <w:b/>
        </w:rPr>
      </w:pPr>
      <w:r>
        <w:rPr>
          <w:rFonts w:ascii="Times New Roman" w:hAnsi="Times New Roman" w:cs="Times New Roman"/>
          <w:b/>
        </w:rPr>
        <w:t>Background</w:t>
      </w:r>
    </w:p>
    <w:p w14:paraId="67B6A026" w14:textId="77777777" w:rsidR="001753F3" w:rsidRDefault="00341C30" w:rsidP="007C7736">
      <w:pPr>
        <w:spacing w:line="360" w:lineRule="auto"/>
        <w:jc w:val="both"/>
        <w:rPr>
          <w:rFonts w:ascii="Times New Roman" w:hAnsi="Times New Roman" w:cs="Times New Roman"/>
          <w:b/>
        </w:rPr>
      </w:pPr>
      <w:r>
        <w:rPr>
          <w:rFonts w:ascii="Times New Roman" w:hAnsi="Times New Roman"/>
        </w:rPr>
        <w:lastRenderedPageBreak/>
        <w:t>Obesity is increasingly recogni</w:t>
      </w:r>
      <w:r>
        <w:rPr>
          <w:rFonts w:ascii="Times New Roman" w:hAnsi="Times New Roman"/>
          <w:highlight w:val="yellow"/>
        </w:rPr>
        <w:t>s</w:t>
      </w:r>
      <w:r>
        <w:rPr>
          <w:rFonts w:ascii="Times New Roman" w:hAnsi="Times New Roman"/>
        </w:rPr>
        <w:t xml:space="preserve">ed as a chronic, relapsing, and multifactorial disease with complex genetic and environmental determinants. It has emerged as a major global health challenge affecting both developed and developing countries </w:t>
      </w:r>
      <w:r>
        <w:rPr>
          <w:rFonts w:ascii="Times New Roman" w:hAnsi="Times New Roman"/>
          <w:highlight w:val="yellow"/>
        </w:rPr>
        <w:t>(Młynarska et al., 2025)</w:t>
      </w:r>
      <w:r>
        <w:rPr>
          <w:rFonts w:ascii="Times New Roman" w:hAnsi="Times New Roman"/>
        </w:rPr>
        <w:t>. A long-term high-fat diet (HFD) is a key contributor to obesity and is associated with several metabolic complications, including dyslipid</w:t>
      </w:r>
      <w:r>
        <w:rPr>
          <w:rFonts w:ascii="Times New Roman" w:hAnsi="Times New Roman"/>
          <w:highlight w:val="yellow"/>
        </w:rPr>
        <w:t>a</w:t>
      </w:r>
      <w:r>
        <w:rPr>
          <w:rFonts w:ascii="Times New Roman" w:hAnsi="Times New Roman"/>
        </w:rPr>
        <w:t xml:space="preserve">emia, hypertension, non-alcoholic fatty liver disease, cardiovascular disorders, and reduced life expectancy </w:t>
      </w:r>
      <w:r>
        <w:rPr>
          <w:rFonts w:ascii="Times New Roman" w:hAnsi="Times New Roman"/>
          <w:highlight w:val="yellow"/>
        </w:rPr>
        <w:t xml:space="preserve">(Kyrou et al., </w:t>
      </w:r>
      <w:r>
        <w:rPr>
          <w:rFonts w:ascii="Times New Roman" w:hAnsi="Times New Roman"/>
        </w:rPr>
        <w:t>2</w:t>
      </w:r>
      <w:r>
        <w:rPr>
          <w:rFonts w:ascii="Times New Roman" w:hAnsi="Times New Roman"/>
          <w:highlight w:val="yellow"/>
        </w:rPr>
        <w:t>018)</w:t>
      </w:r>
      <w:r>
        <w:rPr>
          <w:rFonts w:ascii="Times New Roman" w:hAnsi="Times New Roman"/>
        </w:rPr>
        <w:t xml:space="preserve">. Previous studies have demonstrated that prolonged consumption of an HFD rapidly induces obesity and insulin resistance, highlighting unhealthy dietary habits as a major risk factor </w:t>
      </w:r>
      <w:r>
        <w:rPr>
          <w:rFonts w:ascii="Times New Roman" w:hAnsi="Times New Roman"/>
          <w:highlight w:val="yellow"/>
        </w:rPr>
        <w:t>(Gujjala et al., 202</w:t>
      </w:r>
      <w:r>
        <w:rPr>
          <w:rFonts w:ascii="Times New Roman" w:hAnsi="Times New Roman"/>
        </w:rPr>
        <w:t>3</w:t>
      </w:r>
      <w:r>
        <w:rPr>
          <w:rFonts w:ascii="Times New Roman" w:hAnsi="Times New Roman"/>
          <w:highlight w:val="yellow"/>
        </w:rPr>
        <w:t>; Sudhakara et al</w:t>
      </w:r>
      <w:r>
        <w:rPr>
          <w:rFonts w:ascii="Times New Roman" w:hAnsi="Times New Roman"/>
        </w:rPr>
        <w:t>.</w:t>
      </w:r>
      <w:r>
        <w:rPr>
          <w:rFonts w:ascii="Times New Roman" w:hAnsi="Times New Roman"/>
          <w:highlight w:val="yellow"/>
        </w:rPr>
        <w:t>, 2014, 2018).</w:t>
      </w:r>
    </w:p>
    <w:p w14:paraId="642ACF9B" w14:textId="77777777" w:rsidR="0047660E" w:rsidRPr="00F576D3" w:rsidRDefault="00000000">
      <w:pPr>
        <w:spacing w:line="360" w:lineRule="auto"/>
        <w:jc w:val="both"/>
        <w:rPr>
          <w:rFonts w:ascii="Times New Roman" w:hAnsi="Times New Roman" w:cs="Times New Roman"/>
          <w:bCs/>
        </w:rPr>
      </w:pPr>
      <w:r w:rsidRPr="00F576D3">
        <w:rPr>
          <w:rFonts w:ascii="Times New Roman" w:hAnsi="Times New Roman"/>
          <w:bCs/>
          <w:highlight w:val="yellow"/>
        </w:rPr>
        <w:t>Recent experimental studies in high-fat-diet-fed rats have reported improvements in hepatic oxidative-stress indices, dyslipidaemia, and histological liver injury following the administration of selected plant-derived bioactives (Noreen et al., 2025; Sarkar et al., 2025; Yasmin et al., 2025).</w:t>
      </w:r>
    </w:p>
    <w:p w14:paraId="596B6C89" w14:textId="77777777" w:rsidR="001753F3" w:rsidRDefault="00341C30" w:rsidP="007C7736">
      <w:pPr>
        <w:spacing w:line="360" w:lineRule="auto"/>
        <w:jc w:val="both"/>
        <w:rPr>
          <w:rFonts w:ascii="Times New Roman" w:hAnsi="Times New Roman" w:cs="Times New Roman"/>
          <w:b/>
        </w:rPr>
      </w:pPr>
      <w:r>
        <w:rPr>
          <w:rFonts w:ascii="Times New Roman" w:hAnsi="Times New Roman"/>
        </w:rPr>
        <w:t xml:space="preserve">Chronic obesity is also linked to an increased risk of various cancers, particularly colorectal and prostate cancers </w:t>
      </w:r>
      <w:r>
        <w:rPr>
          <w:rFonts w:ascii="Times New Roman" w:hAnsi="Times New Roman"/>
          <w:highlight w:val="yellow"/>
        </w:rPr>
        <w:t>(Olatona et al., 2018)</w:t>
      </w:r>
      <w:r>
        <w:rPr>
          <w:rFonts w:ascii="Times New Roman" w:hAnsi="Times New Roman"/>
        </w:rPr>
        <w:t xml:space="preserve">. Prolonged HFD intake promotes inflammation by upregulating Toll-like receptor 4 (TLR4), leading to increased production of pro-inflammatory cytokines and alterations in metabolic hormones such as insulin and leptin </w:t>
      </w:r>
      <w:r>
        <w:rPr>
          <w:rFonts w:ascii="Times New Roman" w:hAnsi="Times New Roman"/>
          <w:highlight w:val="yellow"/>
        </w:rPr>
        <w:t>(Pati et al., 2023; Xu et al., 201</w:t>
      </w:r>
      <w:r>
        <w:rPr>
          <w:rFonts w:ascii="Times New Roman" w:hAnsi="Times New Roman"/>
        </w:rPr>
        <w:t>8</w:t>
      </w:r>
      <w:r>
        <w:rPr>
          <w:rFonts w:ascii="Times New Roman" w:hAnsi="Times New Roman"/>
          <w:highlight w:val="yellow"/>
        </w:rPr>
        <w:t>)</w:t>
      </w:r>
      <w:r>
        <w:rPr>
          <w:rFonts w:ascii="Times New Roman" w:hAnsi="Times New Roman"/>
        </w:rPr>
        <w:t xml:space="preserve">. These changes disrupt glucose homeostasis and contribute to insulin resistance </w:t>
      </w:r>
      <w:r>
        <w:rPr>
          <w:rFonts w:ascii="Times New Roman" w:hAnsi="Times New Roman"/>
          <w:highlight w:val="yellow"/>
        </w:rPr>
        <w:t>(Galicia</w:t>
      </w:r>
      <w:r>
        <w:rPr>
          <w:rFonts w:ascii="Times New Roman" w:hAnsi="Times New Roman"/>
        </w:rPr>
        <w:t>-</w:t>
      </w:r>
      <w:r>
        <w:rPr>
          <w:rFonts w:ascii="Times New Roman" w:hAnsi="Times New Roman"/>
          <w:highlight w:val="yellow"/>
        </w:rPr>
        <w:t>Garcia et al., 2020; Tramullas et al., 20</w:t>
      </w:r>
      <w:r>
        <w:rPr>
          <w:rFonts w:ascii="Times New Roman" w:hAnsi="Times New Roman"/>
        </w:rPr>
        <w:t>1</w:t>
      </w:r>
      <w:r>
        <w:rPr>
          <w:rFonts w:ascii="Times New Roman" w:hAnsi="Times New Roman"/>
          <w:highlight w:val="yellow"/>
        </w:rPr>
        <w:t>6)</w:t>
      </w:r>
      <w:r>
        <w:rPr>
          <w:rFonts w:ascii="Times New Roman" w:hAnsi="Times New Roman"/>
        </w:rPr>
        <w:t>. Experimental studies have further shown that HFD induces hyperglyc</w:t>
      </w:r>
      <w:r>
        <w:rPr>
          <w:rFonts w:ascii="Times New Roman" w:hAnsi="Times New Roman"/>
          <w:highlight w:val="yellow"/>
        </w:rPr>
        <w:t>a</w:t>
      </w:r>
      <w:r>
        <w:rPr>
          <w:rFonts w:ascii="Times New Roman" w:hAnsi="Times New Roman"/>
        </w:rPr>
        <w:t>emia, hyperinsulin</w:t>
      </w:r>
      <w:r>
        <w:rPr>
          <w:rFonts w:ascii="Times New Roman" w:hAnsi="Times New Roman"/>
          <w:highlight w:val="yellow"/>
        </w:rPr>
        <w:t>a</w:t>
      </w:r>
      <w:r>
        <w:rPr>
          <w:rFonts w:ascii="Times New Roman" w:hAnsi="Times New Roman"/>
        </w:rPr>
        <w:t>emia, and hyperleptin</w:t>
      </w:r>
      <w:r>
        <w:rPr>
          <w:rFonts w:ascii="Times New Roman" w:hAnsi="Times New Roman"/>
          <w:highlight w:val="yellow"/>
        </w:rPr>
        <w:t>a</w:t>
      </w:r>
      <w:r>
        <w:rPr>
          <w:rFonts w:ascii="Times New Roman" w:hAnsi="Times New Roman"/>
        </w:rPr>
        <w:t xml:space="preserve">emia in animal models </w:t>
      </w:r>
      <w:r>
        <w:rPr>
          <w:rFonts w:ascii="Times New Roman" w:hAnsi="Times New Roman"/>
          <w:highlight w:val="yellow"/>
        </w:rPr>
        <w:t>(Gujjala et al., 20</w:t>
      </w:r>
      <w:r>
        <w:rPr>
          <w:rFonts w:ascii="Times New Roman" w:hAnsi="Times New Roman"/>
        </w:rPr>
        <w:t>1</w:t>
      </w:r>
      <w:r>
        <w:rPr>
          <w:rFonts w:ascii="Times New Roman" w:hAnsi="Times New Roman"/>
          <w:highlight w:val="yellow"/>
        </w:rPr>
        <w:t>6, 20</w:t>
      </w:r>
      <w:r>
        <w:rPr>
          <w:rFonts w:ascii="Times New Roman" w:hAnsi="Times New Roman"/>
        </w:rPr>
        <w:t>1</w:t>
      </w:r>
      <w:r>
        <w:rPr>
          <w:rFonts w:ascii="Times New Roman" w:hAnsi="Times New Roman"/>
          <w:highlight w:val="yellow"/>
        </w:rPr>
        <w:t>7, 2022)</w:t>
      </w:r>
      <w:r>
        <w:rPr>
          <w:rFonts w:ascii="Times New Roman" w:hAnsi="Times New Roman"/>
        </w:rPr>
        <w:t>.</w:t>
      </w:r>
    </w:p>
    <w:p w14:paraId="092FADF2" w14:textId="77777777" w:rsidR="0047660E" w:rsidRPr="00F576D3" w:rsidRDefault="00000000">
      <w:pPr>
        <w:spacing w:line="360" w:lineRule="auto"/>
        <w:jc w:val="both"/>
        <w:rPr>
          <w:rFonts w:ascii="Times New Roman" w:hAnsi="Times New Roman" w:cs="Times New Roman"/>
          <w:bCs/>
        </w:rPr>
      </w:pPr>
      <w:r w:rsidRPr="00F576D3">
        <w:rPr>
          <w:rFonts w:ascii="Times New Roman" w:hAnsi="Times New Roman"/>
          <w:bCs/>
          <w:highlight w:val="yellow"/>
        </w:rPr>
        <w:t>In an obese Wistar-rat model, a hydroalcoholic medicinal-plant extract was similarly evaluated using body-weight indices and hepatic markers of lipid peroxidation and antioxidant defence (Akotegnon et al., 2025).</w:t>
      </w:r>
    </w:p>
    <w:p w14:paraId="0530DF28" w14:textId="77777777" w:rsidR="00341C30" w:rsidRPr="001753F3" w:rsidRDefault="00341C30" w:rsidP="007C7736">
      <w:pPr>
        <w:spacing w:line="360" w:lineRule="auto"/>
        <w:jc w:val="both"/>
        <w:rPr>
          <w:rFonts w:ascii="Times New Roman" w:hAnsi="Times New Roman" w:cs="Times New Roman"/>
          <w:b/>
        </w:rPr>
      </w:pPr>
      <w:r>
        <w:rPr>
          <w:rFonts w:ascii="Times New Roman" w:hAnsi="Times New Roman"/>
        </w:rPr>
        <w:t xml:space="preserve">Given the growing burden of obesity-related complications, there is an urgent need to develop effective strategies for prevention and management. In this context, </w:t>
      </w:r>
      <w:r>
        <w:rPr>
          <w:rFonts w:ascii="Times New Roman" w:hAnsi="Times New Roman"/>
          <w:i/>
        </w:rPr>
        <w:t>Caralluma fimbriata</w:t>
      </w:r>
      <w:r>
        <w:rPr>
          <w:rFonts w:ascii="Times New Roman" w:hAnsi="Times New Roman"/>
        </w:rPr>
        <w:t xml:space="preserve">, an edible succulent plant with known appetite-suppressing and antioxidant properties, has gained attention. It contains bioactive compounds that may reduce energy intake, enhance thermogenesis, and regulate lipid metabolism </w:t>
      </w:r>
      <w:r>
        <w:rPr>
          <w:rFonts w:ascii="Times New Roman" w:hAnsi="Times New Roman"/>
          <w:highlight w:val="yellow"/>
        </w:rPr>
        <w:t>(Gujjala et al., 20</w:t>
      </w:r>
      <w:r>
        <w:rPr>
          <w:rFonts w:ascii="Times New Roman" w:hAnsi="Times New Roman"/>
        </w:rPr>
        <w:t>1</w:t>
      </w:r>
      <w:r>
        <w:rPr>
          <w:rFonts w:ascii="Times New Roman" w:hAnsi="Times New Roman"/>
          <w:highlight w:val="yellow"/>
        </w:rPr>
        <w:t>6, 20</w:t>
      </w:r>
      <w:r>
        <w:rPr>
          <w:rFonts w:ascii="Times New Roman" w:hAnsi="Times New Roman"/>
        </w:rPr>
        <w:t>1</w:t>
      </w:r>
      <w:r>
        <w:rPr>
          <w:rFonts w:ascii="Times New Roman" w:hAnsi="Times New Roman"/>
          <w:highlight w:val="yellow"/>
        </w:rPr>
        <w:t>7, 2022)</w:t>
      </w:r>
      <w:r>
        <w:rPr>
          <w:rFonts w:ascii="Times New Roman" w:hAnsi="Times New Roman"/>
        </w:rPr>
        <w:t>.</w:t>
      </w:r>
      <w:r>
        <w:rPr>
          <w:rFonts w:ascii="Times New Roman" w:hAnsi="Times New Roman"/>
          <w:b/>
          <w:highlight w:val="yellow"/>
        </w:rPr>
        <w:t xml:space="preserve"> </w:t>
      </w:r>
      <w:r w:rsidRPr="00F576D3">
        <w:rPr>
          <w:rFonts w:ascii="Times New Roman" w:hAnsi="Times New Roman"/>
          <w:bCs/>
          <w:highlight w:val="yellow"/>
        </w:rPr>
        <w:t xml:space="preserve">Recent Wistar-rat research has also assessed plant-derived preparations through the combined evaluation of body weight, lipid profiles, and oxidative-stress biomarkers (Odia &amp; Akpevwe-Erhieyovwe, 2025). However, the available evidence does not clearly establish whether CFE can provide both preventive and </w:t>
      </w:r>
      <w:r w:rsidRPr="00F576D3">
        <w:rPr>
          <w:rFonts w:ascii="Times New Roman" w:hAnsi="Times New Roman"/>
          <w:bCs/>
          <w:highlight w:val="yellow"/>
        </w:rPr>
        <w:lastRenderedPageBreak/>
        <w:t>therapeutic benefits against HFD-induced hepatic lipid accumulation, oxidative imbalance, and associated tissue injury within a single long-term experimental design.</w:t>
      </w:r>
      <w:r>
        <w:rPr>
          <w:rFonts w:ascii="Times New Roman" w:hAnsi="Times New Roman"/>
        </w:rPr>
        <w:t xml:space="preserve"> Therefore, the present study investigates the protective and therapeutic effects of </w:t>
      </w:r>
      <w:r>
        <w:rPr>
          <w:rFonts w:ascii="Times New Roman" w:hAnsi="Times New Roman"/>
          <w:i/>
        </w:rPr>
        <w:t>Caralluma fimbriata</w:t>
      </w:r>
      <w:r>
        <w:rPr>
          <w:rFonts w:ascii="Times New Roman" w:hAnsi="Times New Roman"/>
        </w:rPr>
        <w:t xml:space="preserve"> extract on oxidative stress, inflammation, and tissue damage in HFD-induced obese rats.</w:t>
      </w:r>
    </w:p>
    <w:p w14:paraId="3EEDA486" w14:textId="77777777" w:rsidR="0085011A" w:rsidRPr="00970C91" w:rsidRDefault="00641566" w:rsidP="00970C91">
      <w:pPr>
        <w:spacing w:before="240" w:line="360" w:lineRule="auto"/>
        <w:jc w:val="both"/>
        <w:rPr>
          <w:rFonts w:ascii="Times New Roman" w:hAnsi="Times New Roman" w:cs="Times New Roman"/>
          <w:b/>
        </w:rPr>
      </w:pPr>
      <w:r>
        <w:rPr>
          <w:rFonts w:ascii="Times New Roman" w:hAnsi="Times New Roman" w:cs="Times New Roman"/>
          <w:b/>
        </w:rPr>
        <w:t>METHODS</w:t>
      </w:r>
    </w:p>
    <w:p w14:paraId="3DCD7BDA" w14:textId="77777777" w:rsidR="001753F3" w:rsidRPr="001753F3" w:rsidRDefault="0085011A" w:rsidP="001753F3">
      <w:pPr>
        <w:autoSpaceDE w:val="0"/>
        <w:autoSpaceDN w:val="0"/>
        <w:adjustRightInd w:val="0"/>
        <w:spacing w:line="360" w:lineRule="auto"/>
        <w:jc w:val="both"/>
        <w:rPr>
          <w:rFonts w:ascii="Times New Roman" w:hAnsi="Times New Roman" w:cs="Times New Roman"/>
          <w:b/>
          <w:bCs/>
          <w:iCs/>
          <w:color w:val="131413"/>
        </w:rPr>
      </w:pPr>
      <w:r w:rsidRPr="001753F3">
        <w:rPr>
          <w:rFonts w:ascii="Times New Roman" w:hAnsi="Times New Roman" w:cs="Times New Roman"/>
          <w:b/>
          <w:bCs/>
          <w:iCs/>
          <w:color w:val="131413"/>
        </w:rPr>
        <w:t>Chemicals</w:t>
      </w:r>
    </w:p>
    <w:p w14:paraId="0F152580" w14:textId="77777777" w:rsidR="0085011A" w:rsidRPr="001753F3" w:rsidRDefault="0085011A" w:rsidP="001753F3">
      <w:pPr>
        <w:autoSpaceDE w:val="0"/>
        <w:autoSpaceDN w:val="0"/>
        <w:adjustRightInd w:val="0"/>
        <w:spacing w:line="360" w:lineRule="auto"/>
        <w:jc w:val="both"/>
        <w:rPr>
          <w:rFonts w:ascii="Times New Roman" w:hAnsi="Times New Roman" w:cs="Times New Roman"/>
          <w:iCs/>
          <w:color w:val="131413"/>
        </w:rPr>
      </w:pPr>
      <w:r>
        <w:rPr>
          <w:rFonts w:ascii="Times New Roman" w:hAnsi="Times New Roman"/>
        </w:rPr>
        <w:t>Reduced and oxidi</w:t>
      </w:r>
      <w:r>
        <w:rPr>
          <w:rFonts w:ascii="Times New Roman" w:hAnsi="Times New Roman"/>
          <w:highlight w:val="yellow"/>
        </w:rPr>
        <w:t>s</w:t>
      </w:r>
      <w:r>
        <w:rPr>
          <w:rFonts w:ascii="Times New Roman" w:hAnsi="Times New Roman"/>
        </w:rPr>
        <w:t>ed glutathione, thiobarbituric acid (TBA), 1-chloro-2,4-dinitrobenzene (CDNB), and pyrogallol were purchased from SISCO Research Laboratories (P) Ltd, Mumbai, India. All other chemicals and solvents were of analytical grade and were purchased from Sisco Research Laboratories (P) Ltd.</w:t>
      </w:r>
      <w:r>
        <w:rPr>
          <w:rFonts w:ascii="Times New Roman" w:hAnsi="Times New Roman"/>
          <w:highlight w:val="yellow"/>
        </w:rPr>
        <w:t>,</w:t>
      </w:r>
      <w:r>
        <w:rPr>
          <w:rFonts w:ascii="Times New Roman" w:hAnsi="Times New Roman"/>
        </w:rPr>
        <w:t xml:space="preserve"> Mumbai, India.</w:t>
      </w:r>
    </w:p>
    <w:p w14:paraId="394C6808" w14:textId="77777777" w:rsidR="001753F3" w:rsidRPr="001753F3" w:rsidRDefault="00FE09F4" w:rsidP="001753F3">
      <w:pPr>
        <w:spacing w:line="360" w:lineRule="auto"/>
        <w:jc w:val="both"/>
        <w:rPr>
          <w:rFonts w:ascii="Times New Roman" w:hAnsi="Times New Roman" w:cs="Times New Roman"/>
          <w:b/>
          <w:bCs/>
          <w:iCs/>
          <w:color w:val="131413"/>
        </w:rPr>
      </w:pPr>
      <w:r w:rsidRPr="001753F3">
        <w:rPr>
          <w:rFonts w:ascii="Times New Roman" w:hAnsi="Times New Roman" w:cs="Times New Roman"/>
          <w:b/>
          <w:bCs/>
          <w:iCs/>
          <w:color w:val="131413"/>
        </w:rPr>
        <w:t>Preparation of plant extract</w:t>
      </w:r>
    </w:p>
    <w:p w14:paraId="433FCE27" w14:textId="77777777" w:rsidR="001753F3" w:rsidRDefault="00FE09F4" w:rsidP="001753F3">
      <w:pPr>
        <w:spacing w:line="360" w:lineRule="auto"/>
        <w:jc w:val="both"/>
        <w:rPr>
          <w:rFonts w:ascii="Times New Roman" w:hAnsi="Times New Roman" w:cs="Times New Roman"/>
          <w:iCs/>
          <w:color w:val="131413"/>
        </w:rPr>
      </w:pPr>
      <w:r w:rsidRPr="00970C91">
        <w:rPr>
          <w:rFonts w:ascii="Times New Roman" w:hAnsi="Times New Roman" w:cs="Times New Roman"/>
        </w:rPr>
        <w:t xml:space="preserve">The extract of </w:t>
      </w:r>
      <w:proofErr w:type="spellStart"/>
      <w:r w:rsidRPr="00970C91">
        <w:rPr>
          <w:rFonts w:ascii="Times New Roman" w:hAnsi="Times New Roman" w:cs="Times New Roman"/>
          <w:i/>
          <w:iCs/>
        </w:rPr>
        <w:t>Caralluma</w:t>
      </w:r>
      <w:proofErr w:type="spellEnd"/>
      <w:r w:rsidRPr="00970C91">
        <w:rPr>
          <w:rFonts w:ascii="Times New Roman" w:hAnsi="Times New Roman" w:cs="Times New Roman"/>
          <w:i/>
          <w:iCs/>
        </w:rPr>
        <w:t xml:space="preserve"> fimbriata</w:t>
      </w:r>
      <w:r w:rsidRPr="00970C91">
        <w:rPr>
          <w:rFonts w:ascii="Times New Roman" w:hAnsi="Times New Roman" w:cs="Times New Roman"/>
        </w:rPr>
        <w:t xml:space="preserve"> was prepared from the aerial parts of the plant using 40% aqueous alcohol (40 parts alcohol and 60 parts water). Approximately 12 kg of dried plant material was obtained from 100 kg of fresh plant, yielding 1 kg of final extract.</w:t>
      </w:r>
    </w:p>
    <w:p w14:paraId="01D48071" w14:textId="77777777" w:rsidR="00FE09F4" w:rsidRPr="001753F3" w:rsidRDefault="00FE09F4" w:rsidP="001753F3">
      <w:pPr>
        <w:spacing w:line="360" w:lineRule="auto"/>
        <w:jc w:val="both"/>
        <w:rPr>
          <w:rFonts w:ascii="Times New Roman" w:hAnsi="Times New Roman" w:cs="Times New Roman"/>
          <w:iCs/>
          <w:color w:val="131413"/>
        </w:rPr>
      </w:pPr>
      <w:r w:rsidRPr="00970C91">
        <w:rPr>
          <w:rFonts w:ascii="Times New Roman" w:hAnsi="Times New Roman" w:cs="Times New Roman"/>
        </w:rPr>
        <w:t xml:space="preserve">The hydroalcoholic extract of </w:t>
      </w:r>
      <w:r w:rsidRPr="00970C91">
        <w:rPr>
          <w:rFonts w:ascii="Times New Roman" w:hAnsi="Times New Roman" w:cs="Times New Roman"/>
          <w:i/>
          <w:iCs/>
        </w:rPr>
        <w:t>C. fimbriata</w:t>
      </w:r>
      <w:r w:rsidRPr="00970C91">
        <w:rPr>
          <w:rFonts w:ascii="Times New Roman" w:hAnsi="Times New Roman" w:cs="Times New Roman"/>
        </w:rPr>
        <w:t xml:space="preserve"> (CFE; light brown, dry powder; batch number: CFE/10011) was supplied by </w:t>
      </w:r>
      <w:r w:rsidRPr="00970C91">
        <w:rPr>
          <w:rFonts w:ascii="Times New Roman" w:hAnsi="Times New Roman" w:cs="Times New Roman"/>
          <w:i/>
          <w:iCs/>
        </w:rPr>
        <w:t>Green Chem Herbal Extracts and Formulations</w:t>
      </w:r>
      <w:r w:rsidRPr="00970C91">
        <w:rPr>
          <w:rFonts w:ascii="Times New Roman" w:hAnsi="Times New Roman" w:cs="Times New Roman"/>
        </w:rPr>
        <w:t>, Bangalore, India. The plant material used for extraction was originally collected from the Kolli Hills and subsequently cultivated at the company’s farm in Hosur, Tamil Nadu, India. Prior to administration, the extract was dissolved in distilled water.</w:t>
      </w:r>
    </w:p>
    <w:p w14:paraId="50503376" w14:textId="77777777" w:rsidR="001753F3" w:rsidRDefault="00C8764D" w:rsidP="001753F3">
      <w:pPr>
        <w:spacing w:before="240" w:line="360" w:lineRule="auto"/>
        <w:jc w:val="both"/>
        <w:rPr>
          <w:rFonts w:ascii="Times New Roman" w:hAnsi="Times New Roman" w:cs="Times New Roman"/>
          <w:b/>
          <w:bCs/>
          <w:iCs/>
        </w:rPr>
      </w:pPr>
      <w:r w:rsidRPr="001753F3">
        <w:rPr>
          <w:rFonts w:ascii="Times New Roman" w:hAnsi="Times New Roman" w:cs="Times New Roman"/>
          <w:b/>
          <w:bCs/>
          <w:iCs/>
        </w:rPr>
        <w:t>Experimental Animals and Diet</w:t>
      </w:r>
    </w:p>
    <w:p w14:paraId="2FD3097E" w14:textId="77777777" w:rsidR="001753F3" w:rsidRDefault="00C8764D" w:rsidP="00970C91">
      <w:pPr>
        <w:spacing w:before="240" w:line="360" w:lineRule="auto"/>
        <w:jc w:val="both"/>
        <w:rPr>
          <w:rFonts w:ascii="Times New Roman" w:hAnsi="Times New Roman" w:cs="Times New Roman"/>
          <w:b/>
          <w:bCs/>
          <w:iCs/>
        </w:rPr>
      </w:pPr>
      <w:r>
        <w:rPr>
          <w:rFonts w:ascii="Times New Roman" w:hAnsi="Times New Roman"/>
        </w:rPr>
        <w:t>A total of thirty male Wistar rats (8 weeks old), weighing 160–170 g, were procured from</w:t>
      </w:r>
      <w:r>
        <w:rPr>
          <w:rFonts w:ascii="Times New Roman" w:hAnsi="Times New Roman"/>
          <w:highlight w:val="yellow"/>
        </w:rPr>
        <w:t xml:space="preserve"> the</w:t>
      </w:r>
      <w:r>
        <w:rPr>
          <w:rFonts w:ascii="Times New Roman" w:hAnsi="Times New Roman"/>
        </w:rPr>
        <w:t xml:space="preserve"> </w:t>
      </w:r>
      <w:r>
        <w:rPr>
          <w:rFonts w:ascii="Times New Roman" w:hAnsi="Times New Roman"/>
          <w:i/>
        </w:rPr>
        <w:t>Biogen Laboratory Animal Facility</w:t>
      </w:r>
      <w:r>
        <w:rPr>
          <w:rFonts w:ascii="Times New Roman" w:hAnsi="Times New Roman"/>
        </w:rPr>
        <w:t xml:space="preserve">, Bangalore, India, and housed in the Animal House, Department of Zoology. </w:t>
      </w:r>
      <w:r>
        <w:rPr>
          <w:rFonts w:ascii="Times New Roman" w:hAnsi="Times New Roman"/>
          <w:highlight w:val="yellow"/>
        </w:rPr>
        <w:t>The a</w:t>
      </w:r>
      <w:r>
        <w:rPr>
          <w:rFonts w:ascii="Times New Roman" w:hAnsi="Times New Roman"/>
        </w:rPr>
        <w:t xml:space="preserve">nimals were maintained under standard laboratory conditions at a temperature of 23 ± 2°C with a 12 h light/12 h dark cycle. They were provided ad libitum access to a standard pellet diet or high-fat diet (HFD) and drinking water. </w:t>
      </w:r>
      <w:r>
        <w:rPr>
          <w:rFonts w:ascii="Times New Roman" w:hAnsi="Times New Roman"/>
          <w:highlight w:val="yellow"/>
        </w:rPr>
        <w:t>Bef</w:t>
      </w:r>
      <w:r>
        <w:rPr>
          <w:rFonts w:ascii="Times New Roman" w:hAnsi="Times New Roman"/>
        </w:rPr>
        <w:t>or</w:t>
      </w:r>
      <w:r>
        <w:rPr>
          <w:rFonts w:ascii="Times New Roman" w:hAnsi="Times New Roman"/>
          <w:highlight w:val="yellow"/>
        </w:rPr>
        <w:t>e</w:t>
      </w:r>
      <w:r>
        <w:rPr>
          <w:rFonts w:ascii="Times New Roman" w:hAnsi="Times New Roman"/>
        </w:rPr>
        <w:t xml:space="preserve"> the commencement of the experiment, all animals were acclimati</w:t>
      </w:r>
      <w:r>
        <w:rPr>
          <w:rFonts w:ascii="Times New Roman" w:hAnsi="Times New Roman"/>
          <w:highlight w:val="yellow"/>
        </w:rPr>
        <w:t>s</w:t>
      </w:r>
      <w:r>
        <w:rPr>
          <w:rFonts w:ascii="Times New Roman" w:hAnsi="Times New Roman"/>
        </w:rPr>
        <w:t>ed for one week. Throughout the experimental period,</w:t>
      </w:r>
      <w:r>
        <w:rPr>
          <w:rFonts w:ascii="Times New Roman" w:hAnsi="Times New Roman"/>
          <w:highlight w:val="yellow"/>
        </w:rPr>
        <w:t xml:space="preserve"> the</w:t>
      </w:r>
      <w:r>
        <w:rPr>
          <w:rFonts w:ascii="Times New Roman" w:hAnsi="Times New Roman"/>
        </w:rPr>
        <w:t xml:space="preserve"> rats were maintained under sedentary conditions without any enforced physical activity. The </w:t>
      </w:r>
      <w:r>
        <w:rPr>
          <w:rFonts w:ascii="Times New Roman" w:hAnsi="Times New Roman"/>
        </w:rPr>
        <w:lastRenderedPageBreak/>
        <w:t xml:space="preserve">dose of </w:t>
      </w:r>
      <w:r>
        <w:rPr>
          <w:rFonts w:ascii="Times New Roman" w:hAnsi="Times New Roman"/>
          <w:i/>
        </w:rPr>
        <w:t>Caralluma fimbriata</w:t>
      </w:r>
      <w:r>
        <w:rPr>
          <w:rFonts w:ascii="Times New Roman" w:hAnsi="Times New Roman"/>
        </w:rPr>
        <w:t xml:space="preserve"> extract (CFE) used in this study was based on previously reported studies </w:t>
      </w:r>
      <w:r>
        <w:rPr>
          <w:rFonts w:ascii="Times New Roman" w:hAnsi="Times New Roman"/>
          <w:highlight w:val="yellow"/>
        </w:rPr>
        <w:t>(Gujjala et al., 20</w:t>
      </w:r>
      <w:r>
        <w:rPr>
          <w:rFonts w:ascii="Times New Roman" w:hAnsi="Times New Roman"/>
        </w:rPr>
        <w:t>1</w:t>
      </w:r>
      <w:r>
        <w:rPr>
          <w:rFonts w:ascii="Times New Roman" w:hAnsi="Times New Roman"/>
          <w:highlight w:val="yellow"/>
        </w:rPr>
        <w:t>6, 20</w:t>
      </w:r>
      <w:r>
        <w:rPr>
          <w:rFonts w:ascii="Times New Roman" w:hAnsi="Times New Roman"/>
        </w:rPr>
        <w:t>1</w:t>
      </w:r>
      <w:r>
        <w:rPr>
          <w:rFonts w:ascii="Times New Roman" w:hAnsi="Times New Roman"/>
          <w:highlight w:val="yellow"/>
        </w:rPr>
        <w:t>7, 2022)</w:t>
      </w:r>
      <w:r>
        <w:rPr>
          <w:rFonts w:ascii="Times New Roman" w:hAnsi="Times New Roman"/>
        </w:rPr>
        <w:t>.</w:t>
      </w:r>
    </w:p>
    <w:p w14:paraId="4E1FE62A" w14:textId="77777777" w:rsidR="002C36CC" w:rsidRPr="001753F3" w:rsidRDefault="00C8764D" w:rsidP="00970C91">
      <w:pPr>
        <w:spacing w:before="240" w:line="360" w:lineRule="auto"/>
        <w:jc w:val="both"/>
        <w:rPr>
          <w:rFonts w:ascii="Times New Roman" w:hAnsi="Times New Roman" w:cs="Times New Roman"/>
          <w:b/>
          <w:bCs/>
          <w:iCs/>
        </w:rPr>
      </w:pPr>
      <w:r w:rsidRPr="00970C91">
        <w:rPr>
          <w:rFonts w:ascii="Times New Roman" w:hAnsi="Times New Roman" w:cs="Times New Roman"/>
          <w:iCs/>
        </w:rPr>
        <w:t xml:space="preserve">The HFD was formulated as a lard-based diet containing 60 kJ% energy from fat, 20 kJ% from protein, and 20 kJ% from carbohydrates, in accordance with Diet-Induced Obesity (DIO) diet standards (New Brunswick, NJ, USA). </w:t>
      </w:r>
    </w:p>
    <w:p w14:paraId="38CDA65C" w14:textId="77777777" w:rsidR="00801EB2" w:rsidRPr="001753F3" w:rsidRDefault="00801EB2" w:rsidP="00970C91">
      <w:pPr>
        <w:spacing w:before="240" w:line="360" w:lineRule="auto"/>
        <w:jc w:val="both"/>
        <w:rPr>
          <w:rFonts w:ascii="Times New Roman" w:hAnsi="Times New Roman" w:cs="Times New Roman"/>
          <w:b/>
          <w:bCs/>
          <w:iCs/>
        </w:rPr>
      </w:pPr>
      <w:r w:rsidRPr="001753F3">
        <w:rPr>
          <w:rFonts w:ascii="Times New Roman" w:hAnsi="Times New Roman" w:cs="Times New Roman"/>
          <w:b/>
          <w:bCs/>
          <w:iCs/>
        </w:rPr>
        <w:t>Obesity Induction and Treatment in Rats</w:t>
      </w:r>
    </w:p>
    <w:p w14:paraId="4473EDBD" w14:textId="77777777" w:rsidR="00801EB2" w:rsidRPr="00970C91" w:rsidRDefault="00801EB2" w:rsidP="001753F3">
      <w:pPr>
        <w:spacing w:before="240" w:line="360" w:lineRule="auto"/>
        <w:jc w:val="both"/>
        <w:rPr>
          <w:rFonts w:ascii="Times New Roman" w:hAnsi="Times New Roman" w:cs="Times New Roman"/>
          <w:iCs/>
        </w:rPr>
      </w:pPr>
      <w:r w:rsidRPr="00970C91">
        <w:rPr>
          <w:rFonts w:ascii="Times New Roman" w:hAnsi="Times New Roman" w:cs="Times New Roman"/>
          <w:iCs/>
        </w:rPr>
        <w:t>Male Wistar rats were randomly divided into five groups (n = 6 per group) as follows:</w:t>
      </w:r>
    </w:p>
    <w:p w14:paraId="2E744F17" w14:textId="77777777" w:rsidR="00801EB2" w:rsidRPr="00970C91" w:rsidRDefault="00801EB2" w:rsidP="00970C91">
      <w:pPr>
        <w:numPr>
          <w:ilvl w:val="0"/>
          <w:numId w:val="1"/>
        </w:numPr>
        <w:spacing w:before="240" w:line="360" w:lineRule="auto"/>
        <w:jc w:val="both"/>
        <w:rPr>
          <w:rFonts w:ascii="Times New Roman" w:hAnsi="Times New Roman" w:cs="Times New Roman"/>
          <w:iCs/>
        </w:rPr>
      </w:pPr>
      <w:r>
        <w:rPr>
          <w:rFonts w:ascii="Times New Roman" w:hAnsi="Times New Roman"/>
          <w:b/>
        </w:rPr>
        <w:t>Group C (Control):</w:t>
      </w:r>
      <w:r>
        <w:rPr>
          <w:rFonts w:ascii="Times New Roman" w:hAnsi="Times New Roman"/>
        </w:rPr>
        <w:t xml:space="preserve"> Rats were fed a standard pellet diet containing 65% carbohydrates, 8% fat, 13% protein, 12.75% fib</w:t>
      </w:r>
      <w:r>
        <w:rPr>
          <w:rFonts w:ascii="Times New Roman" w:hAnsi="Times New Roman"/>
          <w:highlight w:val="yellow"/>
        </w:rPr>
        <w:t>r</w:t>
      </w:r>
      <w:r>
        <w:rPr>
          <w:rFonts w:ascii="Times New Roman" w:hAnsi="Times New Roman"/>
        </w:rPr>
        <w:t>e, and 1.25% vitamins and minerals, along with distilled water, for 150 days.</w:t>
      </w:r>
    </w:p>
    <w:p w14:paraId="3F0B009E" w14:textId="77777777" w:rsidR="00801EB2" w:rsidRPr="00970C91" w:rsidRDefault="00801EB2" w:rsidP="00970C91">
      <w:pPr>
        <w:numPr>
          <w:ilvl w:val="0"/>
          <w:numId w:val="1"/>
        </w:numPr>
        <w:spacing w:before="240" w:line="360" w:lineRule="auto"/>
        <w:jc w:val="both"/>
        <w:rPr>
          <w:rFonts w:ascii="Times New Roman" w:hAnsi="Times New Roman" w:cs="Times New Roman"/>
          <w:iCs/>
        </w:rPr>
      </w:pPr>
      <w:r w:rsidRPr="00970C91">
        <w:rPr>
          <w:rFonts w:ascii="Times New Roman" w:hAnsi="Times New Roman" w:cs="Times New Roman"/>
          <w:b/>
          <w:bCs/>
          <w:iCs/>
        </w:rPr>
        <w:t>Group C+CFE:</w:t>
      </w:r>
      <w:r w:rsidRPr="00970C91">
        <w:rPr>
          <w:rFonts w:ascii="Times New Roman" w:hAnsi="Times New Roman" w:cs="Times New Roman"/>
          <w:iCs/>
        </w:rPr>
        <w:t xml:space="preserve"> Rats received a standard pellet diet along with </w:t>
      </w:r>
      <w:proofErr w:type="spellStart"/>
      <w:r w:rsidRPr="00970C91">
        <w:rPr>
          <w:rFonts w:ascii="Times New Roman" w:hAnsi="Times New Roman" w:cs="Times New Roman"/>
          <w:i/>
          <w:iCs/>
        </w:rPr>
        <w:t>Caralluma</w:t>
      </w:r>
      <w:proofErr w:type="spellEnd"/>
      <w:r w:rsidRPr="00970C91">
        <w:rPr>
          <w:rFonts w:ascii="Times New Roman" w:hAnsi="Times New Roman" w:cs="Times New Roman"/>
          <w:i/>
          <w:iCs/>
        </w:rPr>
        <w:t xml:space="preserve"> fimbriata</w:t>
      </w:r>
      <w:r w:rsidRPr="00970C91">
        <w:rPr>
          <w:rFonts w:ascii="Times New Roman" w:hAnsi="Times New Roman" w:cs="Times New Roman"/>
          <w:iCs/>
        </w:rPr>
        <w:t xml:space="preserve"> extract (CFE; 200 mg/kg body weight) administered concurrently for 150 days. </w:t>
      </w:r>
    </w:p>
    <w:p w14:paraId="24239061" w14:textId="77777777" w:rsidR="00801EB2" w:rsidRPr="00970C91" w:rsidRDefault="00801EB2" w:rsidP="00970C91">
      <w:pPr>
        <w:numPr>
          <w:ilvl w:val="0"/>
          <w:numId w:val="1"/>
        </w:numPr>
        <w:spacing w:before="240" w:line="360" w:lineRule="auto"/>
        <w:jc w:val="both"/>
        <w:rPr>
          <w:rFonts w:ascii="Times New Roman" w:hAnsi="Times New Roman" w:cs="Times New Roman"/>
          <w:iCs/>
        </w:rPr>
      </w:pPr>
      <w:r w:rsidRPr="00970C91">
        <w:rPr>
          <w:rFonts w:ascii="Times New Roman" w:hAnsi="Times New Roman" w:cs="Times New Roman"/>
          <w:b/>
          <w:bCs/>
          <w:iCs/>
        </w:rPr>
        <w:t>Group HFD:</w:t>
      </w:r>
      <w:r w:rsidRPr="00970C91">
        <w:rPr>
          <w:rFonts w:ascii="Times New Roman" w:hAnsi="Times New Roman" w:cs="Times New Roman"/>
          <w:iCs/>
        </w:rPr>
        <w:t xml:space="preserve"> Rats were fed a high-fat diet (HFD) for 150 days to induce obesity. </w:t>
      </w:r>
    </w:p>
    <w:p w14:paraId="0366B10F" w14:textId="77777777" w:rsidR="00801EB2" w:rsidRPr="00970C91" w:rsidRDefault="00801EB2" w:rsidP="00970C91">
      <w:pPr>
        <w:numPr>
          <w:ilvl w:val="0"/>
          <w:numId w:val="1"/>
        </w:numPr>
        <w:spacing w:before="240" w:line="360" w:lineRule="auto"/>
        <w:jc w:val="both"/>
        <w:rPr>
          <w:rFonts w:ascii="Times New Roman" w:hAnsi="Times New Roman" w:cs="Times New Roman"/>
          <w:iCs/>
        </w:rPr>
      </w:pPr>
      <w:r w:rsidRPr="00970C91">
        <w:rPr>
          <w:rFonts w:ascii="Times New Roman" w:hAnsi="Times New Roman" w:cs="Times New Roman"/>
          <w:b/>
          <w:bCs/>
          <w:iCs/>
        </w:rPr>
        <w:t>Group HFD+CFE (Protective model):</w:t>
      </w:r>
      <w:r w:rsidRPr="00970C91">
        <w:rPr>
          <w:rFonts w:ascii="Times New Roman" w:hAnsi="Times New Roman" w:cs="Times New Roman"/>
          <w:iCs/>
        </w:rPr>
        <w:t xml:space="preserve"> Rats received HFD along with CFE (200 mg/kg body weight) simultaneously for 150 days. </w:t>
      </w:r>
    </w:p>
    <w:p w14:paraId="15A33B6F" w14:textId="77777777" w:rsidR="00801EB2" w:rsidRPr="00970C91" w:rsidRDefault="00801EB2" w:rsidP="00970C91">
      <w:pPr>
        <w:numPr>
          <w:ilvl w:val="0"/>
          <w:numId w:val="1"/>
        </w:numPr>
        <w:spacing w:before="240" w:line="360" w:lineRule="auto"/>
        <w:jc w:val="both"/>
        <w:rPr>
          <w:rFonts w:ascii="Times New Roman" w:hAnsi="Times New Roman" w:cs="Times New Roman"/>
          <w:iCs/>
        </w:rPr>
      </w:pPr>
      <w:r w:rsidRPr="00970C91">
        <w:rPr>
          <w:rFonts w:ascii="Times New Roman" w:hAnsi="Times New Roman" w:cs="Times New Roman"/>
          <w:b/>
          <w:bCs/>
          <w:iCs/>
        </w:rPr>
        <w:t>Group OBS+CFE (Therapeutic model):</w:t>
      </w:r>
      <w:r w:rsidRPr="00970C91">
        <w:rPr>
          <w:rFonts w:ascii="Times New Roman" w:hAnsi="Times New Roman" w:cs="Times New Roman"/>
          <w:iCs/>
        </w:rPr>
        <w:t xml:space="preserve"> Rats were fed HFD for 90 days to induce obesity, followed by co-administration of HFD and CFE (200 mg/kg body weight) for the subsequent 60 days. </w:t>
      </w:r>
    </w:p>
    <w:p w14:paraId="322BC088" w14:textId="77777777" w:rsidR="001753F3" w:rsidRPr="001753F3" w:rsidRDefault="00801EB2" w:rsidP="001753F3">
      <w:pPr>
        <w:spacing w:before="100" w:beforeAutospacing="1" w:after="100" w:afterAutospacing="1" w:line="360" w:lineRule="auto"/>
        <w:ind w:left="360"/>
        <w:jc w:val="both"/>
        <w:outlineLvl w:val="1"/>
        <w:rPr>
          <w:rFonts w:ascii="Times New Roman" w:eastAsia="Times New Roman" w:hAnsi="Times New Roman" w:cs="Times New Roman"/>
          <w:b/>
          <w:bCs/>
          <w:kern w:val="0"/>
          <w14:ligatures w14:val="none"/>
        </w:rPr>
      </w:pPr>
      <w:r w:rsidRPr="001753F3">
        <w:rPr>
          <w:rFonts w:ascii="Times New Roman" w:eastAsia="Times New Roman" w:hAnsi="Times New Roman" w:cs="Times New Roman"/>
          <w:b/>
          <w:bCs/>
          <w:kern w:val="0"/>
          <w14:ligatures w14:val="none"/>
        </w:rPr>
        <w:t>Body Weight and Organ Weights</w:t>
      </w:r>
    </w:p>
    <w:p w14:paraId="5385E584" w14:textId="77777777" w:rsidR="00801EB2" w:rsidRPr="001753F3" w:rsidRDefault="00801EB2" w:rsidP="001753F3">
      <w:pPr>
        <w:spacing w:before="100" w:beforeAutospacing="1" w:after="100" w:afterAutospacing="1" w:line="360" w:lineRule="auto"/>
        <w:ind w:left="360"/>
        <w:jc w:val="both"/>
        <w:outlineLvl w:val="1"/>
        <w:rPr>
          <w:rFonts w:ascii="Times New Roman" w:eastAsia="Times New Roman" w:hAnsi="Times New Roman" w:cs="Times New Roman"/>
          <w:kern w:val="0"/>
          <w14:ligatures w14:val="none"/>
        </w:rPr>
      </w:pPr>
      <w:r w:rsidRPr="005B7F08">
        <w:rPr>
          <w:rFonts w:ascii="Times New Roman" w:eastAsia="Times New Roman" w:hAnsi="Times New Roman" w:cs="Times New Roman"/>
          <w:kern w:val="0"/>
          <w14:ligatures w14:val="none"/>
        </w:rPr>
        <w:t>Body weight was recorded for all animals throughout the experimental period. At the end of the study, the absolute and relative weights of the liver, abdominal fat, and epididymal fat pads were measured in all experimental groups. Relative organ weights were calculated with respect to the final body weight of each animal.</w:t>
      </w:r>
    </w:p>
    <w:p w14:paraId="52C2D710" w14:textId="77777777" w:rsidR="001753F3" w:rsidRPr="001753F3" w:rsidRDefault="001753F3" w:rsidP="001753F3">
      <w:pPr>
        <w:spacing w:line="360" w:lineRule="auto"/>
        <w:jc w:val="both"/>
        <w:rPr>
          <w:rFonts w:ascii="Times New Roman" w:eastAsia="Times New Roman" w:hAnsi="Times New Roman" w:cs="Times New Roman"/>
          <w:b/>
          <w:bCs/>
          <w:kern w:val="0"/>
          <w14:ligatures w14:val="none"/>
        </w:rPr>
      </w:pPr>
      <w:r>
        <w:rPr>
          <w:rFonts w:ascii="Times New Roman" w:hAnsi="Times New Roman"/>
          <w:b/>
        </w:rPr>
        <w:t>Biochemical Analysis</w:t>
      </w:r>
    </w:p>
    <w:p w14:paraId="17C1600D" w14:textId="77777777" w:rsidR="001F7EAF" w:rsidRPr="001753F3" w:rsidRDefault="001753F3" w:rsidP="00860B59">
      <w:pPr>
        <w:spacing w:line="360" w:lineRule="auto"/>
        <w:jc w:val="both"/>
        <w:rPr>
          <w:rFonts w:ascii="Times New Roman" w:eastAsia="Times New Roman" w:hAnsi="Times New Roman" w:cs="Times New Roman"/>
          <w:kern w:val="0"/>
          <w14:ligatures w14:val="none"/>
        </w:rPr>
      </w:pPr>
      <w:r>
        <w:rPr>
          <w:rFonts w:ascii="Times New Roman" w:hAnsi="Times New Roman"/>
        </w:rPr>
        <w:lastRenderedPageBreak/>
        <w:t>During the experimental period, blood samples were collected at 30-day intervals from 12-hour</w:t>
      </w:r>
      <w:r>
        <w:rPr>
          <w:rFonts w:ascii="Times New Roman" w:hAnsi="Times New Roman"/>
          <w:highlight w:val="yellow"/>
        </w:rPr>
        <w:t>-</w:t>
      </w:r>
      <w:r>
        <w:rPr>
          <w:rFonts w:ascii="Times New Roman" w:hAnsi="Times New Roman"/>
        </w:rPr>
        <w:t xml:space="preserve">fasted rats via the retro-orbital plexus using capillary tubes. Samples were collected into fresh vials containing EDTA (10 mg/mL) as an anticoagulant. The blood samples were centrifuged at 3,000 rpm for 5 minutes using an </w:t>
      </w:r>
      <w:r>
        <w:rPr>
          <w:rFonts w:ascii="Times New Roman" w:hAnsi="Times New Roman"/>
          <w:i/>
        </w:rPr>
        <w:t>Eppendorf Centrifuge 5805R</w:t>
      </w:r>
      <w:r>
        <w:rPr>
          <w:rFonts w:ascii="Times New Roman" w:hAnsi="Times New Roman"/>
        </w:rPr>
        <w:t xml:space="preserve"> (Germany). The separated plasma was aliquoted and stored </w:t>
      </w:r>
      <w:r>
        <w:rPr>
          <w:rFonts w:ascii="Times New Roman" w:hAnsi="Times New Roman"/>
          <w:highlight w:val="yellow"/>
        </w:rPr>
        <w:t>under</w:t>
      </w:r>
      <w:r>
        <w:rPr>
          <w:rFonts w:ascii="Times New Roman" w:hAnsi="Times New Roman"/>
        </w:rPr>
        <w:t xml:space="preserve"> appropriate fr</w:t>
      </w:r>
      <w:r>
        <w:rPr>
          <w:rFonts w:ascii="Times New Roman" w:hAnsi="Times New Roman"/>
          <w:highlight w:val="yellow"/>
        </w:rPr>
        <w:t>oz</w:t>
      </w:r>
      <w:r>
        <w:rPr>
          <w:rFonts w:ascii="Times New Roman" w:hAnsi="Times New Roman"/>
        </w:rPr>
        <w:t>en conditions for the estimation of glucose, insulin, leptin, adiponectin, and lipid</w:t>
      </w:r>
      <w:r>
        <w:rPr>
          <w:rFonts w:ascii="Times New Roman" w:hAnsi="Times New Roman"/>
          <w:highlight w:val="yellow"/>
        </w:rPr>
        <w:t>-</w:t>
      </w:r>
      <w:r>
        <w:rPr>
          <w:rFonts w:ascii="Times New Roman" w:hAnsi="Times New Roman"/>
        </w:rPr>
        <w:t>profile parameters.</w:t>
      </w:r>
      <w:r>
        <w:rPr>
          <w:rFonts w:ascii="Times New Roman" w:hAnsi="Times New Roman"/>
          <w:b/>
        </w:rPr>
        <w:t xml:space="preserve"> </w:t>
      </w:r>
      <w:r>
        <w:rPr>
          <w:rFonts w:ascii="Times New Roman" w:hAnsi="Times New Roman"/>
        </w:rPr>
        <w:t xml:space="preserve">At the end of the experimental period, </w:t>
      </w:r>
      <w:r>
        <w:rPr>
          <w:rFonts w:ascii="Times New Roman" w:hAnsi="Times New Roman"/>
          <w:highlight w:val="yellow"/>
        </w:rPr>
        <w:t xml:space="preserve">the </w:t>
      </w:r>
      <w:r>
        <w:rPr>
          <w:rFonts w:ascii="Times New Roman" w:hAnsi="Times New Roman"/>
        </w:rPr>
        <w:t>animals were fasted overnight and euthani</w:t>
      </w:r>
      <w:r>
        <w:rPr>
          <w:rFonts w:ascii="Times New Roman" w:hAnsi="Times New Roman"/>
          <w:highlight w:val="yellow"/>
        </w:rPr>
        <w:t>s</w:t>
      </w:r>
      <w:r>
        <w:rPr>
          <w:rFonts w:ascii="Times New Roman" w:hAnsi="Times New Roman"/>
        </w:rPr>
        <w:t>ed by cervical decapitation. The abdominal cavity was opened, and the liver was carefully excised, rinsed in ice-cold saline, and processed for further biochemical analyses.</w:t>
      </w:r>
    </w:p>
    <w:p w14:paraId="708E8107" w14:textId="77777777" w:rsidR="005B7F08" w:rsidRPr="001753F3" w:rsidRDefault="001F7EAF" w:rsidP="005B7F08">
      <w:pPr>
        <w:spacing w:line="360" w:lineRule="auto"/>
        <w:jc w:val="both"/>
        <w:rPr>
          <w:rFonts w:ascii="Times New Roman" w:eastAsia="Times New Roman" w:hAnsi="Times New Roman" w:cs="Times New Roman"/>
          <w:b/>
          <w:bCs/>
          <w:kern w:val="0"/>
          <w14:ligatures w14:val="none"/>
        </w:rPr>
      </w:pPr>
      <w:r w:rsidRPr="001753F3">
        <w:rPr>
          <w:rFonts w:ascii="Times New Roman" w:eastAsia="Times New Roman" w:hAnsi="Times New Roman" w:cs="Times New Roman"/>
          <w:b/>
          <w:bCs/>
          <w:kern w:val="0"/>
          <w14:ligatures w14:val="none"/>
        </w:rPr>
        <w:t>Biochemistry of Serum/Plasma</w:t>
      </w:r>
    </w:p>
    <w:p w14:paraId="25F8CD20" w14:textId="77777777" w:rsidR="001F7EAF" w:rsidRPr="005B7F08" w:rsidRDefault="001F7EAF" w:rsidP="001753F3">
      <w:pPr>
        <w:spacing w:line="360" w:lineRule="auto"/>
        <w:jc w:val="both"/>
        <w:rPr>
          <w:rFonts w:ascii="Times New Roman" w:eastAsia="Times New Roman" w:hAnsi="Times New Roman" w:cs="Times New Roman"/>
          <w:b/>
          <w:bCs/>
          <w:i/>
          <w:iCs/>
          <w:kern w:val="0"/>
          <w14:ligatures w14:val="none"/>
        </w:rPr>
      </w:pPr>
      <w:r>
        <w:rPr>
          <w:rFonts w:ascii="Times New Roman" w:hAnsi="Times New Roman"/>
        </w:rPr>
        <w:t xml:space="preserve">Plasma glucose concentration was measured using the glucose oxidase method with a commercial kit from </w:t>
      </w:r>
      <w:r>
        <w:rPr>
          <w:rFonts w:ascii="Times New Roman" w:hAnsi="Times New Roman"/>
          <w:i/>
        </w:rPr>
        <w:t>Excel Diagnostics</w:t>
      </w:r>
      <w:r>
        <w:rPr>
          <w:rFonts w:ascii="Times New Roman" w:hAnsi="Times New Roman"/>
        </w:rPr>
        <w:t xml:space="preserve">, India. Plasma insulin levels were determined by radioimmunoassay (RIAK-1) obtained from the </w:t>
      </w:r>
      <w:r>
        <w:rPr>
          <w:rFonts w:ascii="Times New Roman" w:hAnsi="Times New Roman"/>
          <w:i/>
        </w:rPr>
        <w:t>Bhabha Atomic Research Centre</w:t>
      </w:r>
      <w:r>
        <w:rPr>
          <w:rFonts w:ascii="Times New Roman" w:hAnsi="Times New Roman"/>
        </w:rPr>
        <w:t xml:space="preserve">, Mumbai, following the method of </w:t>
      </w:r>
      <w:r>
        <w:rPr>
          <w:rFonts w:ascii="Times New Roman" w:hAnsi="Times New Roman"/>
          <w:highlight w:val="yellow"/>
        </w:rPr>
        <w:t>Yalow and Berson (</w:t>
      </w:r>
      <w:r>
        <w:rPr>
          <w:rFonts w:ascii="Times New Roman" w:hAnsi="Times New Roman"/>
        </w:rPr>
        <w:t>1</w:t>
      </w:r>
      <w:r>
        <w:rPr>
          <w:rFonts w:ascii="Times New Roman" w:hAnsi="Times New Roman"/>
          <w:highlight w:val="yellow"/>
        </w:rPr>
        <w:t>961)</w:t>
      </w:r>
      <w:r>
        <w:rPr>
          <w:rFonts w:ascii="Times New Roman" w:hAnsi="Times New Roman"/>
        </w:rPr>
        <w:t xml:space="preserve">. Insulin resistance (IR) was assessed using the homeostasis model assessment (HOMA) and glucose–insulin (GI) index </w:t>
      </w:r>
      <w:r>
        <w:rPr>
          <w:rFonts w:ascii="Times New Roman" w:hAnsi="Times New Roman"/>
          <w:highlight w:val="yellow"/>
        </w:rPr>
        <w:t xml:space="preserve">(Pickavance et al., </w:t>
      </w:r>
      <w:r>
        <w:rPr>
          <w:rFonts w:ascii="Times New Roman" w:hAnsi="Times New Roman"/>
        </w:rPr>
        <w:t>1</w:t>
      </w:r>
      <w:r>
        <w:rPr>
          <w:rFonts w:ascii="Times New Roman" w:hAnsi="Times New Roman"/>
          <w:highlight w:val="yellow"/>
        </w:rPr>
        <w:t>999)</w:t>
      </w:r>
      <w:r>
        <w:rPr>
          <w:rFonts w:ascii="Times New Roman" w:hAnsi="Times New Roman"/>
        </w:rPr>
        <w:t xml:space="preserve">. The HOMA index was calculated using the formula: HOMA = [insulin (μU/mL) × glucose (mmol/L)] / 22.5. Plasma leptin levels were measured using a sandwich ELISA kit (Mouse and Rat Leptin ELISA) from </w:t>
      </w:r>
      <w:r>
        <w:rPr>
          <w:rFonts w:ascii="Times New Roman" w:hAnsi="Times New Roman"/>
          <w:i/>
        </w:rPr>
        <w:t>BioVendor Laboratory Medicine</w:t>
      </w:r>
      <w:r>
        <w:rPr>
          <w:rFonts w:ascii="Times New Roman" w:hAnsi="Times New Roman"/>
        </w:rPr>
        <w:t>, Czech Republic.</w:t>
      </w:r>
    </w:p>
    <w:p w14:paraId="54E20789" w14:textId="77777777" w:rsidR="001753F3" w:rsidRDefault="0082414C" w:rsidP="001753F3">
      <w:pPr>
        <w:spacing w:line="360" w:lineRule="auto"/>
        <w:jc w:val="both"/>
        <w:rPr>
          <w:rFonts w:ascii="Times New Roman" w:eastAsia="Times New Roman" w:hAnsi="Times New Roman" w:cs="Times New Roman"/>
          <w:b/>
          <w:bCs/>
          <w:kern w:val="0"/>
          <w14:ligatures w14:val="none"/>
        </w:rPr>
      </w:pPr>
      <w:r w:rsidRPr="001753F3">
        <w:rPr>
          <w:rFonts w:ascii="Times New Roman" w:eastAsia="Times New Roman" w:hAnsi="Times New Roman" w:cs="Times New Roman"/>
          <w:b/>
          <w:bCs/>
          <w:kern w:val="0"/>
          <w14:ligatures w14:val="none"/>
        </w:rPr>
        <w:t>Lipid Profile Analysis</w:t>
      </w:r>
    </w:p>
    <w:p w14:paraId="7E47F479" w14:textId="77777777" w:rsidR="005B7F08" w:rsidRDefault="0082414C" w:rsidP="001753F3">
      <w:pPr>
        <w:spacing w:line="360" w:lineRule="auto"/>
        <w:jc w:val="both"/>
        <w:rPr>
          <w:rFonts w:ascii="Times New Roman" w:eastAsia="Times New Roman" w:hAnsi="Times New Roman" w:cs="Times New Roman"/>
          <w:b/>
          <w:bCs/>
          <w:kern w:val="0"/>
          <w14:ligatures w14:val="none"/>
        </w:rPr>
      </w:pPr>
      <w:r>
        <w:rPr>
          <w:rFonts w:ascii="Times New Roman" w:hAnsi="Times New Roman"/>
        </w:rPr>
        <w:t xml:space="preserve">Plasma triglyceride (TG) levels were determined using the glycerol-3-phosphate oxidase–phenol aminophenazone (GPO–PAP) enzymatic method with a commercial kit from </w:t>
      </w:r>
      <w:r>
        <w:rPr>
          <w:rFonts w:ascii="Times New Roman" w:hAnsi="Times New Roman"/>
          <w:i/>
        </w:rPr>
        <w:t>Excel Diagnostics</w:t>
      </w:r>
      <w:r>
        <w:rPr>
          <w:rFonts w:ascii="Times New Roman" w:hAnsi="Times New Roman"/>
        </w:rPr>
        <w:t>, India. Total cholesterol (TC) and high-density lipoprotein cholesterol (HDL-C) were measured using standard enzymatic methods with kits from the same manufacturer.</w:t>
      </w:r>
      <w:r>
        <w:rPr>
          <w:rFonts w:ascii="Times New Roman" w:hAnsi="Times New Roman"/>
          <w:b/>
        </w:rPr>
        <w:t xml:space="preserve"> </w:t>
      </w:r>
      <w:r>
        <w:rPr>
          <w:rFonts w:ascii="Times New Roman" w:hAnsi="Times New Roman"/>
        </w:rPr>
        <w:t xml:space="preserve">Very low-density lipoprotein cholesterol (VLDL-C) and low-density lipoprotein cholesterol (LDL-C) levels were calculated using the Friedewald equation </w:t>
      </w:r>
      <w:r>
        <w:rPr>
          <w:rFonts w:ascii="Times New Roman" w:hAnsi="Times New Roman"/>
          <w:highlight w:val="yellow"/>
        </w:rPr>
        <w:t xml:space="preserve">(Friedewald et al., </w:t>
      </w:r>
      <w:r>
        <w:rPr>
          <w:rFonts w:ascii="Times New Roman" w:hAnsi="Times New Roman"/>
        </w:rPr>
        <w:t>1</w:t>
      </w:r>
      <w:r>
        <w:rPr>
          <w:rFonts w:ascii="Times New Roman" w:hAnsi="Times New Roman"/>
          <w:highlight w:val="yellow"/>
        </w:rPr>
        <w:t>972)</w:t>
      </w:r>
      <w:r>
        <w:rPr>
          <w:rFonts w:ascii="Times New Roman" w:hAnsi="Times New Roman"/>
        </w:rPr>
        <w:t xml:space="preserve"> as follows: VLDL-C = TG / 5 and LDL-C = TC − (HDL-C + VLDL-C). The atherogenic index (AI) was calculated according to Liu et al. </w:t>
      </w:r>
      <w:r>
        <w:rPr>
          <w:rFonts w:ascii="Times New Roman" w:hAnsi="Times New Roman"/>
          <w:highlight w:val="yellow"/>
        </w:rPr>
        <w:t>(</w:t>
      </w:r>
      <w:r>
        <w:rPr>
          <w:rFonts w:ascii="Times New Roman" w:hAnsi="Times New Roman"/>
        </w:rPr>
        <w:t>1</w:t>
      </w:r>
      <w:r>
        <w:rPr>
          <w:rFonts w:ascii="Times New Roman" w:hAnsi="Times New Roman"/>
          <w:highlight w:val="yellow"/>
        </w:rPr>
        <w:t>999)</w:t>
      </w:r>
      <w:r>
        <w:rPr>
          <w:rFonts w:ascii="Times New Roman" w:hAnsi="Times New Roman"/>
        </w:rPr>
        <w:t xml:space="preserve"> using the formula:</w:t>
      </w:r>
      <w:r>
        <w:rPr>
          <w:rFonts w:ascii="Times New Roman" w:hAnsi="Times New Roman"/>
          <w:b/>
        </w:rPr>
        <w:t xml:space="preserve"> </w:t>
      </w:r>
      <w:r>
        <w:rPr>
          <w:rFonts w:ascii="Times New Roman" w:hAnsi="Times New Roman"/>
        </w:rPr>
        <w:t>AI = TC / HDL-C.</w:t>
      </w:r>
    </w:p>
    <w:p w14:paraId="297AC0C4" w14:textId="77777777" w:rsidR="001753F3" w:rsidRDefault="003C5432" w:rsidP="001753F3">
      <w:pPr>
        <w:spacing w:line="360" w:lineRule="auto"/>
        <w:jc w:val="both"/>
        <w:rPr>
          <w:rFonts w:ascii="Times New Roman" w:eastAsia="Times New Roman" w:hAnsi="Times New Roman" w:cs="Times New Roman"/>
          <w:b/>
          <w:bCs/>
          <w:kern w:val="0"/>
          <w14:ligatures w14:val="none"/>
        </w:rPr>
      </w:pPr>
      <w:r w:rsidRPr="001753F3">
        <w:rPr>
          <w:rFonts w:ascii="Times New Roman" w:eastAsia="Times New Roman" w:hAnsi="Times New Roman" w:cs="Times New Roman"/>
          <w:b/>
          <w:bCs/>
          <w:kern w:val="0"/>
          <w14:ligatures w14:val="none"/>
        </w:rPr>
        <w:t>Liver Functional Tests</w:t>
      </w:r>
    </w:p>
    <w:p w14:paraId="6541EDF3" w14:textId="77777777" w:rsidR="005B7F08" w:rsidRDefault="003C5432" w:rsidP="001753F3">
      <w:pPr>
        <w:spacing w:line="360" w:lineRule="auto"/>
        <w:jc w:val="both"/>
        <w:rPr>
          <w:rFonts w:ascii="Times New Roman" w:eastAsia="Times New Roman" w:hAnsi="Times New Roman" w:cs="Times New Roman"/>
          <w:b/>
          <w:bCs/>
          <w:kern w:val="0"/>
          <w14:ligatures w14:val="none"/>
        </w:rPr>
      </w:pPr>
      <w:r w:rsidRPr="005B7F08">
        <w:rPr>
          <w:rFonts w:ascii="Times New Roman" w:eastAsia="Times New Roman" w:hAnsi="Times New Roman" w:cs="Times New Roman"/>
          <w:kern w:val="0"/>
          <w14:ligatures w14:val="none"/>
        </w:rPr>
        <w:lastRenderedPageBreak/>
        <w:t xml:space="preserve">Serum activities of alkaline phosphatase (ALP), alanine transaminase (ALT), and aspartate transaminase (AST) were measured using kinetic methods recommended by the </w:t>
      </w:r>
      <w:r w:rsidRPr="005B7F08">
        <w:rPr>
          <w:rFonts w:ascii="Times New Roman" w:eastAsia="Times New Roman" w:hAnsi="Times New Roman" w:cs="Times New Roman"/>
          <w:i/>
          <w:iCs/>
          <w:kern w:val="0"/>
          <w14:ligatures w14:val="none"/>
        </w:rPr>
        <w:t>International Federation of Clinical Chemistry</w:t>
      </w:r>
      <w:r w:rsidRPr="005B7F08">
        <w:rPr>
          <w:rFonts w:ascii="Times New Roman" w:eastAsia="Times New Roman" w:hAnsi="Times New Roman" w:cs="Times New Roman"/>
          <w:kern w:val="0"/>
          <w14:ligatures w14:val="none"/>
        </w:rPr>
        <w:t xml:space="preserve"> (IFCC). The assays were performed using commercial diagnostic kits from </w:t>
      </w:r>
      <w:r w:rsidRPr="005B7F08">
        <w:rPr>
          <w:rFonts w:ascii="Times New Roman" w:eastAsia="Times New Roman" w:hAnsi="Times New Roman" w:cs="Times New Roman"/>
          <w:i/>
          <w:iCs/>
          <w:kern w:val="0"/>
          <w14:ligatures w14:val="none"/>
        </w:rPr>
        <w:t>Erba Diagnostics Mannheim GmbH</w:t>
      </w:r>
      <w:r w:rsidRPr="005B7F08">
        <w:rPr>
          <w:rFonts w:ascii="Times New Roman" w:eastAsia="Times New Roman" w:hAnsi="Times New Roman" w:cs="Times New Roman"/>
          <w:kern w:val="0"/>
          <w14:ligatures w14:val="none"/>
        </w:rPr>
        <w:t>, Mumbai, India.</w:t>
      </w:r>
    </w:p>
    <w:p w14:paraId="2D527FCF" w14:textId="77777777" w:rsidR="001753F3" w:rsidRPr="001753F3" w:rsidRDefault="003C5432" w:rsidP="001753F3">
      <w:pPr>
        <w:spacing w:line="360" w:lineRule="auto"/>
        <w:jc w:val="both"/>
        <w:rPr>
          <w:rFonts w:ascii="Times New Roman" w:eastAsia="Times New Roman" w:hAnsi="Times New Roman" w:cs="Times New Roman"/>
          <w:b/>
          <w:bCs/>
          <w:kern w:val="0"/>
          <w14:ligatures w14:val="none"/>
        </w:rPr>
      </w:pPr>
      <w:r w:rsidRPr="001753F3">
        <w:rPr>
          <w:rFonts w:ascii="Times New Roman" w:eastAsia="Times New Roman" w:hAnsi="Times New Roman" w:cs="Times New Roman"/>
          <w:b/>
          <w:bCs/>
          <w:kern w:val="0"/>
          <w14:ligatures w14:val="none"/>
        </w:rPr>
        <w:t>Hepatic Transaminases</w:t>
      </w:r>
    </w:p>
    <w:p w14:paraId="50FDFDB1" w14:textId="77777777" w:rsidR="005B7F08" w:rsidRPr="001753F3" w:rsidRDefault="003C5432" w:rsidP="001753F3">
      <w:pPr>
        <w:spacing w:line="360" w:lineRule="auto"/>
        <w:jc w:val="both"/>
        <w:rPr>
          <w:rFonts w:ascii="Times New Roman" w:eastAsia="Times New Roman" w:hAnsi="Times New Roman" w:cs="Times New Roman"/>
          <w:kern w:val="0"/>
          <w14:ligatures w14:val="none"/>
        </w:rPr>
      </w:pPr>
      <w:r>
        <w:rPr>
          <w:rFonts w:ascii="Times New Roman" w:hAnsi="Times New Roman"/>
        </w:rPr>
        <w:t>A 10% (w/v) liver homogenate was prepared in 0.1 M Tris-HCl buffer (pH 7.4) and centrifuged at 18,514 × g for 45 minutes using a</w:t>
      </w:r>
      <w:r>
        <w:rPr>
          <w:rFonts w:ascii="Times New Roman" w:hAnsi="Times New Roman"/>
          <w:highlight w:val="yellow"/>
        </w:rPr>
        <w:t>n</w:t>
      </w:r>
      <w:r>
        <w:rPr>
          <w:rFonts w:ascii="Times New Roman" w:hAnsi="Times New Roman"/>
        </w:rPr>
        <w:t xml:space="preserve"> </w:t>
      </w:r>
      <w:r>
        <w:rPr>
          <w:rFonts w:ascii="Times New Roman" w:hAnsi="Times New Roman"/>
          <w:i/>
        </w:rPr>
        <w:t>Eppendorf Centrifuge 5804R</w:t>
      </w:r>
      <w:r>
        <w:rPr>
          <w:rFonts w:ascii="Times New Roman" w:hAnsi="Times New Roman"/>
        </w:rPr>
        <w:t xml:space="preserve"> equipped with rotor No. 14030. The resulting clear supernatant was collected and used for the estimation of hepatic transaminases.</w:t>
      </w:r>
      <w:r>
        <w:rPr>
          <w:rFonts w:ascii="Times New Roman" w:hAnsi="Times New Roman"/>
          <w:b/>
        </w:rPr>
        <w:t xml:space="preserve"> </w:t>
      </w:r>
      <w:r>
        <w:rPr>
          <w:rFonts w:ascii="Times New Roman" w:hAnsi="Times New Roman"/>
        </w:rPr>
        <w:t xml:space="preserve">The activities of glutamate oxaloacetate transaminase (GOT) and glutamate pyruvate transaminase (GPT) were determined according to the method described by Reitman and Frankel </w:t>
      </w:r>
      <w:r>
        <w:rPr>
          <w:rFonts w:ascii="Times New Roman" w:hAnsi="Times New Roman"/>
          <w:highlight w:val="yellow"/>
        </w:rPr>
        <w:t>(</w:t>
      </w:r>
      <w:r>
        <w:rPr>
          <w:rFonts w:ascii="Times New Roman" w:hAnsi="Times New Roman"/>
        </w:rPr>
        <w:t>1</w:t>
      </w:r>
      <w:r>
        <w:rPr>
          <w:rFonts w:ascii="Times New Roman" w:hAnsi="Times New Roman"/>
          <w:highlight w:val="yellow"/>
        </w:rPr>
        <w:t>957)</w:t>
      </w:r>
      <w:r>
        <w:rPr>
          <w:rFonts w:ascii="Times New Roman" w:hAnsi="Times New Roman"/>
        </w:rPr>
        <w:t>.</w:t>
      </w:r>
    </w:p>
    <w:p w14:paraId="3AFA52CE" w14:textId="77777777" w:rsidR="001753F3" w:rsidRPr="001753F3" w:rsidRDefault="003C5432" w:rsidP="001753F3">
      <w:pPr>
        <w:spacing w:line="360" w:lineRule="auto"/>
        <w:jc w:val="both"/>
        <w:rPr>
          <w:rFonts w:ascii="Times New Roman" w:eastAsia="Times New Roman" w:hAnsi="Times New Roman" w:cs="Times New Roman"/>
          <w:b/>
          <w:bCs/>
          <w:kern w:val="0"/>
          <w14:ligatures w14:val="none"/>
        </w:rPr>
      </w:pPr>
      <w:r w:rsidRPr="001753F3">
        <w:rPr>
          <w:rFonts w:ascii="Times New Roman" w:eastAsia="Times New Roman" w:hAnsi="Times New Roman" w:cs="Times New Roman"/>
          <w:b/>
          <w:bCs/>
          <w:kern w:val="0"/>
          <w14:ligatures w14:val="none"/>
        </w:rPr>
        <w:t>Hepatic Lipids</w:t>
      </w:r>
    </w:p>
    <w:p w14:paraId="30478B11" w14:textId="77777777" w:rsidR="005B7F08" w:rsidRPr="001753F3" w:rsidRDefault="003C5432" w:rsidP="001753F3">
      <w:pPr>
        <w:spacing w:line="360" w:lineRule="auto"/>
        <w:jc w:val="both"/>
        <w:rPr>
          <w:rFonts w:ascii="Times New Roman" w:eastAsia="Times New Roman" w:hAnsi="Times New Roman" w:cs="Times New Roman"/>
          <w:kern w:val="0"/>
          <w14:ligatures w14:val="none"/>
        </w:rPr>
      </w:pPr>
      <w:r>
        <w:rPr>
          <w:rFonts w:ascii="Times New Roman" w:hAnsi="Times New Roman"/>
        </w:rPr>
        <w:t xml:space="preserve">Liver lipids were extracted according to the method of Folch et al. </w:t>
      </w:r>
      <w:r>
        <w:rPr>
          <w:rFonts w:ascii="Times New Roman" w:hAnsi="Times New Roman"/>
          <w:highlight w:val="yellow"/>
        </w:rPr>
        <w:t>(</w:t>
      </w:r>
      <w:r>
        <w:rPr>
          <w:rFonts w:ascii="Times New Roman" w:hAnsi="Times New Roman"/>
        </w:rPr>
        <w:t>19</w:t>
      </w:r>
      <w:r>
        <w:rPr>
          <w:rFonts w:ascii="Times New Roman" w:hAnsi="Times New Roman"/>
          <w:highlight w:val="yellow"/>
        </w:rPr>
        <w:t>57)</w:t>
      </w:r>
      <w:r>
        <w:rPr>
          <w:rFonts w:ascii="Times New Roman" w:hAnsi="Times New Roman"/>
        </w:rPr>
        <w:t xml:space="preserve">. The levels of total cholesterol (TC) and triglycerides (TAG) were determined using enzymatic kits from </w:t>
      </w:r>
      <w:r>
        <w:rPr>
          <w:rFonts w:ascii="Times New Roman" w:hAnsi="Times New Roman"/>
          <w:i/>
        </w:rPr>
        <w:t>Excel Diagnostics</w:t>
      </w:r>
      <w:r>
        <w:rPr>
          <w:rFonts w:ascii="Times New Roman" w:hAnsi="Times New Roman"/>
        </w:rPr>
        <w:t xml:space="preserve">, India. Free fatty acids (FFA) were estimated </w:t>
      </w:r>
      <w:r>
        <w:rPr>
          <w:rFonts w:ascii="Times New Roman" w:hAnsi="Times New Roman"/>
          <w:highlight w:val="yellow"/>
        </w:rPr>
        <w:t>using</w:t>
      </w:r>
      <w:r>
        <w:rPr>
          <w:rFonts w:ascii="Times New Roman" w:hAnsi="Times New Roman"/>
        </w:rPr>
        <w:t xml:space="preserve"> the method of Duncombe </w:t>
      </w:r>
      <w:r>
        <w:rPr>
          <w:rFonts w:ascii="Times New Roman" w:hAnsi="Times New Roman"/>
          <w:highlight w:val="yellow"/>
        </w:rPr>
        <w:t>(1963)</w:t>
      </w:r>
      <w:r>
        <w:rPr>
          <w:rFonts w:ascii="Times New Roman" w:hAnsi="Times New Roman"/>
        </w:rPr>
        <w:t xml:space="preserve">. Phospholipids (PL) were determined according to Connerty et al. </w:t>
      </w:r>
      <w:r>
        <w:rPr>
          <w:rFonts w:ascii="Times New Roman" w:hAnsi="Times New Roman"/>
          <w:highlight w:val="yellow"/>
        </w:rPr>
        <w:t>(</w:t>
      </w:r>
      <w:r>
        <w:rPr>
          <w:rFonts w:ascii="Times New Roman" w:hAnsi="Times New Roman"/>
        </w:rPr>
        <w:t>1</w:t>
      </w:r>
      <w:r>
        <w:rPr>
          <w:rFonts w:ascii="Times New Roman" w:hAnsi="Times New Roman"/>
          <w:highlight w:val="yellow"/>
        </w:rPr>
        <w:t>961)</w:t>
      </w:r>
      <w:r>
        <w:rPr>
          <w:rFonts w:ascii="Times New Roman" w:hAnsi="Times New Roman"/>
        </w:rPr>
        <w:t xml:space="preserve">, while total lipids (TL) were quantified using the method described by Folch et al. </w:t>
      </w:r>
      <w:r>
        <w:rPr>
          <w:rFonts w:ascii="Times New Roman" w:hAnsi="Times New Roman"/>
          <w:highlight w:val="yellow"/>
        </w:rPr>
        <w:t>(</w:t>
      </w:r>
      <w:r>
        <w:rPr>
          <w:rFonts w:ascii="Times New Roman" w:hAnsi="Times New Roman"/>
        </w:rPr>
        <w:t>19</w:t>
      </w:r>
      <w:r>
        <w:rPr>
          <w:rFonts w:ascii="Times New Roman" w:hAnsi="Times New Roman"/>
          <w:highlight w:val="yellow"/>
        </w:rPr>
        <w:t>57)</w:t>
      </w:r>
      <w:r>
        <w:rPr>
          <w:rFonts w:ascii="Times New Roman" w:hAnsi="Times New Roman"/>
        </w:rPr>
        <w:t>.</w:t>
      </w:r>
    </w:p>
    <w:p w14:paraId="43AEEA09" w14:textId="77777777" w:rsidR="001753F3" w:rsidRPr="001753F3" w:rsidRDefault="007F12A7" w:rsidP="001753F3">
      <w:pPr>
        <w:spacing w:line="360" w:lineRule="auto"/>
        <w:jc w:val="both"/>
        <w:rPr>
          <w:rFonts w:ascii="Times New Roman" w:eastAsia="Times New Roman" w:hAnsi="Times New Roman" w:cs="Times New Roman"/>
          <w:b/>
          <w:bCs/>
          <w:kern w:val="0"/>
          <w14:ligatures w14:val="none"/>
        </w:rPr>
      </w:pPr>
      <w:r w:rsidRPr="001753F3">
        <w:rPr>
          <w:rFonts w:ascii="Times New Roman" w:eastAsia="Times New Roman" w:hAnsi="Times New Roman" w:cs="Times New Roman"/>
          <w:b/>
          <w:bCs/>
          <w:kern w:val="0"/>
          <w14:ligatures w14:val="none"/>
        </w:rPr>
        <w:t>Hepatic Oxidative Stress Markers</w:t>
      </w:r>
    </w:p>
    <w:p w14:paraId="28553376" w14:textId="77777777" w:rsidR="005B7F08" w:rsidRPr="001753F3" w:rsidRDefault="007F12A7" w:rsidP="001753F3">
      <w:pPr>
        <w:spacing w:line="360" w:lineRule="auto"/>
        <w:jc w:val="both"/>
        <w:rPr>
          <w:rFonts w:ascii="Times New Roman" w:eastAsia="Times New Roman" w:hAnsi="Times New Roman" w:cs="Times New Roman"/>
          <w:kern w:val="0"/>
          <w14:ligatures w14:val="none"/>
        </w:rPr>
      </w:pPr>
      <w:r>
        <w:rPr>
          <w:rFonts w:ascii="Times New Roman" w:hAnsi="Times New Roman"/>
        </w:rPr>
        <w:t>Lipid peroxidation (LPO) in liver tissue was assessed by measuring thiobarbituric acid</w:t>
      </w:r>
      <w:r>
        <w:rPr>
          <w:rFonts w:ascii="Times New Roman" w:hAnsi="Times New Roman"/>
          <w:highlight w:val="yellow"/>
        </w:rPr>
        <w:t>-</w:t>
      </w:r>
      <w:r>
        <w:rPr>
          <w:rFonts w:ascii="Times New Roman" w:hAnsi="Times New Roman"/>
        </w:rPr>
        <w:t xml:space="preserve">reactive substances (TBARS) according to the method of Utley et al. </w:t>
      </w:r>
      <w:r>
        <w:rPr>
          <w:rFonts w:ascii="Times New Roman" w:hAnsi="Times New Roman"/>
          <w:highlight w:val="yellow"/>
        </w:rPr>
        <w:t>(1967)</w:t>
      </w:r>
      <w:r>
        <w:rPr>
          <w:rFonts w:ascii="Times New Roman" w:hAnsi="Times New Roman"/>
        </w:rPr>
        <w:t xml:space="preserve">, using a 10% liver homogenate prepared in 0.15 M KCl. The results were expressed as nanomoles of malondialdehyde (MDA) formed per minute per milligram of protein. Protein oxidation was evaluated by estimating protein carbonyl (PC) content using the method of Levine et al. </w:t>
      </w:r>
      <w:r>
        <w:rPr>
          <w:rFonts w:ascii="Times New Roman" w:hAnsi="Times New Roman"/>
          <w:highlight w:val="yellow"/>
        </w:rPr>
        <w:t>(1990)</w:t>
      </w:r>
      <w:r>
        <w:rPr>
          <w:rFonts w:ascii="Times New Roman" w:hAnsi="Times New Roman"/>
        </w:rPr>
        <w:t xml:space="preserve">. Reduced glutathione (GSH) levels were determined according to the method of Ellman </w:t>
      </w:r>
      <w:r>
        <w:rPr>
          <w:rFonts w:ascii="Times New Roman" w:hAnsi="Times New Roman"/>
          <w:highlight w:val="yellow"/>
        </w:rPr>
        <w:t>(1959)</w:t>
      </w:r>
      <w:r>
        <w:rPr>
          <w:rFonts w:ascii="Times New Roman" w:hAnsi="Times New Roman"/>
        </w:rPr>
        <w:t>.</w:t>
      </w:r>
      <w:r>
        <w:rPr>
          <w:rFonts w:ascii="Times New Roman" w:hAnsi="Times New Roman"/>
          <w:b/>
        </w:rPr>
        <w:t xml:space="preserve"> </w:t>
      </w:r>
      <w:r>
        <w:rPr>
          <w:rFonts w:ascii="Times New Roman" w:hAnsi="Times New Roman"/>
        </w:rPr>
        <w:t xml:space="preserve">Total protein content in the liver homogenate was measured using the method of Lowry et al. </w:t>
      </w:r>
      <w:r>
        <w:rPr>
          <w:rFonts w:ascii="Times New Roman" w:hAnsi="Times New Roman"/>
          <w:highlight w:val="yellow"/>
        </w:rPr>
        <w:t>(19</w:t>
      </w:r>
      <w:r>
        <w:rPr>
          <w:rFonts w:ascii="Times New Roman" w:hAnsi="Times New Roman"/>
        </w:rPr>
        <w:t>5</w:t>
      </w:r>
      <w:r>
        <w:rPr>
          <w:rFonts w:ascii="Times New Roman" w:hAnsi="Times New Roman"/>
          <w:highlight w:val="yellow"/>
        </w:rPr>
        <w:t>1)</w:t>
      </w:r>
      <w:r>
        <w:rPr>
          <w:rFonts w:ascii="Times New Roman" w:hAnsi="Times New Roman"/>
        </w:rPr>
        <w:t xml:space="preserve"> for normali</w:t>
      </w:r>
      <w:r>
        <w:rPr>
          <w:rFonts w:ascii="Times New Roman" w:hAnsi="Times New Roman"/>
          <w:highlight w:val="yellow"/>
        </w:rPr>
        <w:t>s</w:t>
      </w:r>
      <w:r>
        <w:rPr>
          <w:rFonts w:ascii="Times New Roman" w:hAnsi="Times New Roman"/>
        </w:rPr>
        <w:t>ation of biochemical parameters.</w:t>
      </w:r>
    </w:p>
    <w:p w14:paraId="67A407B0" w14:textId="77777777" w:rsidR="001753F3" w:rsidRPr="001753F3" w:rsidRDefault="007F12A7" w:rsidP="001753F3">
      <w:pPr>
        <w:spacing w:line="360" w:lineRule="auto"/>
        <w:jc w:val="both"/>
        <w:rPr>
          <w:rFonts w:ascii="Times New Roman" w:eastAsia="Times New Roman" w:hAnsi="Times New Roman" w:cs="Times New Roman"/>
          <w:b/>
          <w:bCs/>
          <w:kern w:val="0"/>
          <w14:ligatures w14:val="none"/>
        </w:rPr>
      </w:pPr>
      <w:r w:rsidRPr="001753F3">
        <w:rPr>
          <w:rFonts w:ascii="Times New Roman" w:eastAsia="Times New Roman" w:hAnsi="Times New Roman" w:cs="Times New Roman"/>
          <w:b/>
          <w:bCs/>
          <w:kern w:val="0"/>
          <w14:ligatures w14:val="none"/>
        </w:rPr>
        <w:t>Hepatic Antioxidant Enzyme Assay</w:t>
      </w:r>
    </w:p>
    <w:p w14:paraId="1AC7D244" w14:textId="77777777" w:rsidR="005B7F08" w:rsidRPr="001753F3" w:rsidRDefault="007F12A7" w:rsidP="001753F3">
      <w:pPr>
        <w:spacing w:line="360" w:lineRule="auto"/>
        <w:jc w:val="both"/>
        <w:rPr>
          <w:rFonts w:ascii="Times New Roman" w:eastAsia="Times New Roman" w:hAnsi="Times New Roman" w:cs="Times New Roman"/>
          <w:kern w:val="0"/>
          <w14:ligatures w14:val="none"/>
        </w:rPr>
      </w:pPr>
      <w:r>
        <w:rPr>
          <w:rFonts w:ascii="Times New Roman" w:hAnsi="Times New Roman"/>
        </w:rPr>
        <w:t xml:space="preserve">A 10% (w/v) liver tissue homogenate was prepared in ice-cold 0.15 M KCl and centrifuged at 12,000 rpm for 45 minutes using a </w:t>
      </w:r>
      <w:r>
        <w:rPr>
          <w:rFonts w:ascii="Times New Roman" w:hAnsi="Times New Roman"/>
          <w:i/>
        </w:rPr>
        <w:t>Sigma 3K18 Laboratory Centrifuge</w:t>
      </w:r>
      <w:r>
        <w:rPr>
          <w:rFonts w:ascii="Times New Roman" w:hAnsi="Times New Roman"/>
        </w:rPr>
        <w:t xml:space="preserve"> (</w:t>
      </w:r>
      <w:r>
        <w:rPr>
          <w:rFonts w:ascii="Times New Roman" w:hAnsi="Times New Roman"/>
          <w:highlight w:val="yellow"/>
        </w:rPr>
        <w:t>r</w:t>
      </w:r>
      <w:r>
        <w:rPr>
          <w:rFonts w:ascii="Times New Roman" w:hAnsi="Times New Roman"/>
        </w:rPr>
        <w:t xml:space="preserve">otor No. 12150). The </w:t>
      </w:r>
      <w:r>
        <w:rPr>
          <w:rFonts w:ascii="Times New Roman" w:hAnsi="Times New Roman"/>
        </w:rPr>
        <w:lastRenderedPageBreak/>
        <w:t>resulting clear supernatant was collected and used for the estimation of antioxidant enzyme activities.</w:t>
      </w:r>
      <w:r>
        <w:rPr>
          <w:rFonts w:ascii="Times New Roman" w:hAnsi="Times New Roman"/>
          <w:b/>
        </w:rPr>
        <w:t xml:space="preserve"> </w:t>
      </w:r>
      <w:r>
        <w:rPr>
          <w:rFonts w:ascii="Times New Roman" w:hAnsi="Times New Roman"/>
        </w:rPr>
        <w:t xml:space="preserve">The activities of glutathione peroxidase (GPx; EC 1.11.1.9), glutathione-S-transferase (GST; EC 2.5.1.18), and glutathione reductase (GR; EC 1.8.1.7) </w:t>
      </w:r>
      <w:r>
        <w:rPr>
          <w:rFonts w:ascii="Times New Roman" w:hAnsi="Times New Roman"/>
          <w:highlight w:val="yellow"/>
        </w:rPr>
        <w:t>were determined using the methods of Rotruck et al. (1973), Ha</w:t>
      </w:r>
      <w:r>
        <w:rPr>
          <w:rFonts w:ascii="Times New Roman" w:hAnsi="Times New Roman"/>
        </w:rPr>
        <w:t>b</w:t>
      </w:r>
      <w:r>
        <w:rPr>
          <w:rFonts w:ascii="Times New Roman" w:hAnsi="Times New Roman"/>
          <w:highlight w:val="yellow"/>
        </w:rPr>
        <w:t>ig et al. (1974), and</w:t>
      </w:r>
      <w:r>
        <w:rPr>
          <w:rFonts w:ascii="Times New Roman" w:hAnsi="Times New Roman"/>
        </w:rPr>
        <w:t xml:space="preserve"> Pinto and Bartley </w:t>
      </w:r>
      <w:r>
        <w:rPr>
          <w:rFonts w:ascii="Times New Roman" w:hAnsi="Times New Roman"/>
          <w:highlight w:val="yellow"/>
        </w:rPr>
        <w:t>(1969), respectively</w:t>
      </w:r>
      <w:r>
        <w:rPr>
          <w:rFonts w:ascii="Times New Roman" w:hAnsi="Times New Roman"/>
        </w:rPr>
        <w:t xml:space="preserve">. Superoxide dismutase (SOD; EC 1.15.1.1) activity was measured according to Soon and Tan </w:t>
      </w:r>
      <w:r>
        <w:rPr>
          <w:rFonts w:ascii="Times New Roman" w:hAnsi="Times New Roman"/>
          <w:highlight w:val="yellow"/>
        </w:rPr>
        <w:t>(</w:t>
      </w:r>
      <w:r>
        <w:rPr>
          <w:rFonts w:ascii="Times New Roman" w:hAnsi="Times New Roman"/>
        </w:rPr>
        <w:t>2</w:t>
      </w:r>
      <w:r>
        <w:rPr>
          <w:rFonts w:ascii="Times New Roman" w:hAnsi="Times New Roman"/>
          <w:highlight w:val="yellow"/>
        </w:rPr>
        <w:t>002)</w:t>
      </w:r>
      <w:r>
        <w:rPr>
          <w:rFonts w:ascii="Times New Roman" w:hAnsi="Times New Roman"/>
        </w:rPr>
        <w:t xml:space="preserve">, while catalase (CAT; EC 1.11.1.6) activity was estimated using the method of Beers and Sizer </w:t>
      </w:r>
      <w:r>
        <w:rPr>
          <w:rFonts w:ascii="Times New Roman" w:hAnsi="Times New Roman"/>
          <w:highlight w:val="yellow"/>
        </w:rPr>
        <w:t>(1952)</w:t>
      </w:r>
      <w:r>
        <w:rPr>
          <w:rFonts w:ascii="Times New Roman" w:hAnsi="Times New Roman"/>
        </w:rPr>
        <w:t>.</w:t>
      </w:r>
    </w:p>
    <w:p w14:paraId="7EDA40AF" w14:textId="77777777" w:rsidR="001753F3" w:rsidRPr="001753F3" w:rsidRDefault="007F12A7" w:rsidP="001753F3">
      <w:pPr>
        <w:spacing w:line="360" w:lineRule="auto"/>
        <w:jc w:val="both"/>
        <w:rPr>
          <w:rFonts w:ascii="Times New Roman" w:eastAsia="Times New Roman" w:hAnsi="Times New Roman" w:cs="Times New Roman"/>
          <w:b/>
          <w:bCs/>
          <w:kern w:val="0"/>
          <w14:ligatures w14:val="none"/>
        </w:rPr>
      </w:pPr>
      <w:r w:rsidRPr="001753F3">
        <w:rPr>
          <w:rFonts w:ascii="Times New Roman" w:eastAsia="Times New Roman" w:hAnsi="Times New Roman" w:cs="Times New Roman"/>
          <w:b/>
          <w:bCs/>
          <w:kern w:val="0"/>
          <w14:ligatures w14:val="none"/>
        </w:rPr>
        <w:t>Histological Assessment of the Liver</w:t>
      </w:r>
    </w:p>
    <w:p w14:paraId="15F06C71" w14:textId="77777777" w:rsidR="005B7F08" w:rsidRPr="001753F3" w:rsidRDefault="007F12A7" w:rsidP="001753F3">
      <w:pPr>
        <w:spacing w:line="360" w:lineRule="auto"/>
        <w:jc w:val="both"/>
        <w:rPr>
          <w:rFonts w:ascii="Times New Roman" w:eastAsia="Times New Roman" w:hAnsi="Times New Roman" w:cs="Times New Roman"/>
          <w:kern w:val="0"/>
          <w14:ligatures w14:val="none"/>
        </w:rPr>
      </w:pPr>
      <w:r>
        <w:rPr>
          <w:rFonts w:ascii="Times New Roman" w:hAnsi="Times New Roman"/>
        </w:rPr>
        <w:t>Liver tissues were collected from all experimental groups and fixed in 10% neutral buffered formalin. The samples were processed, paraffin-embedded, and sectioned at a thickness of 5 µm. The sections were stained with h</w:t>
      </w:r>
      <w:r>
        <w:rPr>
          <w:rFonts w:ascii="Times New Roman" w:hAnsi="Times New Roman"/>
          <w:highlight w:val="yellow"/>
        </w:rPr>
        <w:t>a</w:t>
      </w:r>
      <w:r>
        <w:rPr>
          <w:rFonts w:ascii="Times New Roman" w:hAnsi="Times New Roman"/>
        </w:rPr>
        <w:t>ematoxylin and eosin (H&amp;E) and examined under a light microscope for histopathological evaluation.</w:t>
      </w:r>
    </w:p>
    <w:p w14:paraId="437CF00F" w14:textId="77777777" w:rsidR="001753F3" w:rsidRDefault="007D303C" w:rsidP="001753F3">
      <w:pPr>
        <w:spacing w:line="360" w:lineRule="auto"/>
        <w:jc w:val="both"/>
        <w:rPr>
          <w:rFonts w:ascii="Times New Roman" w:eastAsia="Times New Roman" w:hAnsi="Times New Roman" w:cs="Times New Roman"/>
          <w:b/>
          <w:bCs/>
          <w:kern w:val="0"/>
          <w14:ligatures w14:val="none"/>
        </w:rPr>
      </w:pPr>
      <w:r w:rsidRPr="001753F3">
        <w:rPr>
          <w:rFonts w:ascii="Times New Roman" w:eastAsia="Times New Roman" w:hAnsi="Times New Roman" w:cs="Times New Roman"/>
          <w:b/>
          <w:bCs/>
          <w:kern w:val="0"/>
          <w14:ligatures w14:val="none"/>
        </w:rPr>
        <w:t>Statistical Analysis</w:t>
      </w:r>
    </w:p>
    <w:p w14:paraId="2B125474" w14:textId="77777777" w:rsidR="007D303C" w:rsidRPr="005B7F08" w:rsidRDefault="007D303C" w:rsidP="001753F3">
      <w:pPr>
        <w:spacing w:line="360" w:lineRule="auto"/>
        <w:jc w:val="both"/>
        <w:rPr>
          <w:rFonts w:ascii="Times New Roman" w:eastAsia="Times New Roman" w:hAnsi="Times New Roman" w:cs="Times New Roman"/>
          <w:b/>
          <w:bCs/>
          <w:kern w:val="0"/>
          <w14:ligatures w14:val="none"/>
        </w:rPr>
      </w:pPr>
      <w:r>
        <w:rPr>
          <w:rFonts w:ascii="Times New Roman" w:hAnsi="Times New Roman"/>
        </w:rPr>
        <w:t>Data are expressed as</w:t>
      </w:r>
      <w:r>
        <w:rPr>
          <w:rFonts w:ascii="Times New Roman" w:hAnsi="Times New Roman"/>
          <w:highlight w:val="yellow"/>
        </w:rPr>
        <w:t xml:space="preserve"> the</w:t>
      </w:r>
      <w:r>
        <w:rPr>
          <w:rFonts w:ascii="Times New Roman" w:hAnsi="Times New Roman"/>
        </w:rPr>
        <w:t xml:space="preserve"> mean ± standard error (SE) for six animals in each group. Statistical analysis was performed using Duncan’s </w:t>
      </w:r>
      <w:r>
        <w:rPr>
          <w:rFonts w:ascii="Times New Roman" w:hAnsi="Times New Roman"/>
          <w:highlight w:val="yellow"/>
        </w:rPr>
        <w:t>m</w:t>
      </w:r>
      <w:r>
        <w:rPr>
          <w:rFonts w:ascii="Times New Roman" w:hAnsi="Times New Roman"/>
        </w:rPr>
        <w:t xml:space="preserve">ultiple </w:t>
      </w:r>
      <w:r>
        <w:rPr>
          <w:rFonts w:ascii="Times New Roman" w:hAnsi="Times New Roman"/>
          <w:highlight w:val="yellow"/>
        </w:rPr>
        <w:t>r</w:t>
      </w:r>
      <w:r>
        <w:rPr>
          <w:rFonts w:ascii="Times New Roman" w:hAnsi="Times New Roman"/>
        </w:rPr>
        <w:t xml:space="preserve">ange </w:t>
      </w:r>
      <w:r>
        <w:rPr>
          <w:rFonts w:ascii="Times New Roman" w:hAnsi="Times New Roman"/>
          <w:highlight w:val="yellow"/>
        </w:rPr>
        <w:t>t</w:t>
      </w:r>
      <w:r>
        <w:rPr>
          <w:rFonts w:ascii="Times New Roman" w:hAnsi="Times New Roman"/>
        </w:rPr>
        <w:t>est (DMRT)</w:t>
      </w:r>
      <w:r>
        <w:rPr>
          <w:rFonts w:ascii="Times New Roman" w:hAnsi="Times New Roman"/>
          <w:highlight w:val="yellow"/>
        </w:rPr>
        <w:t>,</w:t>
      </w:r>
      <w:r>
        <w:rPr>
          <w:rFonts w:ascii="Times New Roman" w:hAnsi="Times New Roman"/>
        </w:rPr>
        <w:t xml:space="preserve"> as described by Duncan </w:t>
      </w:r>
      <w:r>
        <w:rPr>
          <w:rFonts w:ascii="Times New Roman" w:hAnsi="Times New Roman"/>
          <w:highlight w:val="yellow"/>
        </w:rPr>
        <w:t>(</w:t>
      </w:r>
      <w:r>
        <w:rPr>
          <w:rFonts w:ascii="Times New Roman" w:hAnsi="Times New Roman"/>
        </w:rPr>
        <w:t>1</w:t>
      </w:r>
      <w:r>
        <w:rPr>
          <w:rFonts w:ascii="Times New Roman" w:hAnsi="Times New Roman"/>
          <w:highlight w:val="yellow"/>
        </w:rPr>
        <w:t>955)</w:t>
      </w:r>
      <w:r>
        <w:rPr>
          <w:rFonts w:ascii="Times New Roman" w:hAnsi="Times New Roman"/>
        </w:rPr>
        <w:t xml:space="preserve">, with the aid of </w:t>
      </w:r>
      <w:r>
        <w:rPr>
          <w:rFonts w:ascii="Times New Roman" w:hAnsi="Times New Roman"/>
          <w:i/>
        </w:rPr>
        <w:t>SPSS</w:t>
      </w:r>
      <w:r>
        <w:rPr>
          <w:rFonts w:ascii="Times New Roman" w:hAnsi="Times New Roman"/>
        </w:rPr>
        <w:t xml:space="preserve"> (version 13.0 for Windows; SPSS Inc., USA). A value of p &lt; 0.05 was considered statistically significant.</w:t>
      </w:r>
    </w:p>
    <w:p w14:paraId="793EBA48" w14:textId="77777777" w:rsidR="005B7F08" w:rsidRDefault="00820464" w:rsidP="005B7F08">
      <w:pPr>
        <w:spacing w:line="360" w:lineRule="auto"/>
        <w:jc w:val="both"/>
        <w:rPr>
          <w:rFonts w:ascii="Times New Roman" w:eastAsia="Times New Roman" w:hAnsi="Times New Roman" w:cs="Times New Roman"/>
          <w:b/>
          <w:bCs/>
          <w:kern w:val="0"/>
          <w14:ligatures w14:val="none"/>
        </w:rPr>
      </w:pPr>
      <w:r w:rsidRPr="005B7F08">
        <w:rPr>
          <w:rFonts w:ascii="Times New Roman" w:eastAsia="Times New Roman" w:hAnsi="Times New Roman" w:cs="Times New Roman"/>
          <w:b/>
          <w:bCs/>
          <w:kern w:val="0"/>
          <w14:ligatures w14:val="none"/>
        </w:rPr>
        <w:t>R</w:t>
      </w:r>
      <w:r w:rsidR="00641566">
        <w:rPr>
          <w:rFonts w:ascii="Times New Roman" w:eastAsia="Times New Roman" w:hAnsi="Times New Roman" w:cs="Times New Roman"/>
          <w:b/>
          <w:bCs/>
          <w:kern w:val="0"/>
          <w14:ligatures w14:val="none"/>
        </w:rPr>
        <w:t>ESULTS</w:t>
      </w:r>
    </w:p>
    <w:p w14:paraId="767D5BAE" w14:textId="77777777" w:rsidR="001753F3" w:rsidRDefault="00820464" w:rsidP="001753F3">
      <w:pPr>
        <w:spacing w:line="360" w:lineRule="auto"/>
        <w:jc w:val="both"/>
        <w:rPr>
          <w:rFonts w:ascii="Times New Roman" w:eastAsia="Times New Roman" w:hAnsi="Times New Roman" w:cs="Times New Roman"/>
          <w:b/>
          <w:bCs/>
          <w:kern w:val="0"/>
          <w14:ligatures w14:val="none"/>
        </w:rPr>
      </w:pPr>
      <w:r w:rsidRPr="001753F3">
        <w:rPr>
          <w:rFonts w:ascii="Times New Roman" w:eastAsia="Times New Roman" w:hAnsi="Times New Roman" w:cs="Times New Roman"/>
          <w:b/>
          <w:bCs/>
          <w:kern w:val="0"/>
          <w14:ligatures w14:val="none"/>
        </w:rPr>
        <w:t>Effects of CFE on Liver and Epididymal Fat Pad Weight</w:t>
      </w:r>
    </w:p>
    <w:p w14:paraId="42332868" w14:textId="77777777" w:rsidR="00C457D1" w:rsidRPr="00C457D1" w:rsidRDefault="00820464" w:rsidP="00C457D1">
      <w:pPr>
        <w:spacing w:line="360" w:lineRule="auto"/>
        <w:jc w:val="both"/>
        <w:rPr>
          <w:rFonts w:ascii="Times New Roman" w:eastAsia="Times New Roman" w:hAnsi="Times New Roman" w:cs="Times New Roman"/>
          <w:kern w:val="0"/>
          <w14:ligatures w14:val="none"/>
        </w:rPr>
      </w:pPr>
      <w:r>
        <w:rPr>
          <w:rFonts w:ascii="Times New Roman" w:hAnsi="Times New Roman"/>
        </w:rPr>
        <w:t>The absolute and relative weights of the liver and epididymal fat pads are presented in Table 1. The HFD group showed significant increase</w:t>
      </w:r>
      <w:r>
        <w:rPr>
          <w:rFonts w:ascii="Times New Roman" w:hAnsi="Times New Roman"/>
          <w:highlight w:val="yellow"/>
        </w:rPr>
        <w:t>s</w:t>
      </w:r>
      <w:r>
        <w:rPr>
          <w:rFonts w:ascii="Times New Roman" w:hAnsi="Times New Roman"/>
        </w:rPr>
        <w:t xml:space="preserve"> in both absolute and relative liver </w:t>
      </w:r>
      <w:r>
        <w:rPr>
          <w:rFonts w:ascii="Times New Roman" w:hAnsi="Times New Roman"/>
          <w:highlight w:val="yellow"/>
        </w:rPr>
        <w:t xml:space="preserve">weights </w:t>
      </w:r>
      <w:r>
        <w:rPr>
          <w:rFonts w:ascii="Times New Roman" w:hAnsi="Times New Roman"/>
        </w:rPr>
        <w:t>(25.5% and 28.8%) and epididymal fat</w:t>
      </w:r>
      <w:r>
        <w:rPr>
          <w:rFonts w:ascii="Times New Roman" w:hAnsi="Times New Roman"/>
          <w:highlight w:val="yellow"/>
        </w:rPr>
        <w:t>-pad</w:t>
      </w:r>
      <w:r>
        <w:rPr>
          <w:rFonts w:ascii="Times New Roman" w:hAnsi="Times New Roman"/>
        </w:rPr>
        <w:t xml:space="preserve"> weights (66.3% and 88.3%) compared </w:t>
      </w:r>
      <w:r>
        <w:rPr>
          <w:rFonts w:ascii="Times New Roman" w:hAnsi="Times New Roman"/>
          <w:highlight w:val="yellow"/>
        </w:rPr>
        <w:t>wi</w:t>
      </w:r>
      <w:r>
        <w:rPr>
          <w:rFonts w:ascii="Times New Roman" w:hAnsi="Times New Roman"/>
        </w:rPr>
        <w:t>t</w:t>
      </w:r>
      <w:r>
        <w:rPr>
          <w:rFonts w:ascii="Times New Roman" w:hAnsi="Times New Roman"/>
          <w:highlight w:val="yellow"/>
        </w:rPr>
        <w:t>h</w:t>
      </w:r>
      <w:r>
        <w:rPr>
          <w:rFonts w:ascii="Times New Roman" w:hAnsi="Times New Roman"/>
        </w:rPr>
        <w:t xml:space="preserve"> the control group. Co-administration of CFE in</w:t>
      </w:r>
      <w:r>
        <w:rPr>
          <w:rFonts w:ascii="Times New Roman" w:hAnsi="Times New Roman"/>
          <w:highlight w:val="yellow"/>
        </w:rPr>
        <w:t xml:space="preserve"> the</w:t>
      </w:r>
      <w:r>
        <w:rPr>
          <w:rFonts w:ascii="Times New Roman" w:hAnsi="Times New Roman"/>
        </w:rPr>
        <w:t xml:space="preserve"> HFD+CFE and OBS+CFE groups significantly prevented these increases. No notable differences were observed between </w:t>
      </w:r>
      <w:r>
        <w:rPr>
          <w:rFonts w:ascii="Times New Roman" w:hAnsi="Times New Roman"/>
          <w:highlight w:val="yellow"/>
        </w:rPr>
        <w:t xml:space="preserve">the </w:t>
      </w:r>
      <w:r>
        <w:rPr>
          <w:rFonts w:ascii="Times New Roman" w:hAnsi="Times New Roman"/>
        </w:rPr>
        <w:t>C and C+CFE groups.</w:t>
      </w:r>
    </w:p>
    <w:p w14:paraId="3FA203E9" w14:textId="77777777" w:rsidR="00C457D1" w:rsidRDefault="00C457D1" w:rsidP="00C457D1">
      <w:pPr>
        <w:autoSpaceDE w:val="0"/>
        <w:autoSpaceDN w:val="0"/>
        <w:adjustRightInd w:val="0"/>
        <w:spacing w:after="0" w:line="240" w:lineRule="auto"/>
        <w:rPr>
          <w:rFonts w:ascii="Times New Roman" w:hAnsi="Times New Roman" w:cs="Times New Roman"/>
          <w:b/>
          <w:color w:val="131413"/>
        </w:rPr>
      </w:pPr>
    </w:p>
    <w:p w14:paraId="457CCB39" w14:textId="77777777" w:rsidR="00C457D1" w:rsidRPr="00445C7D" w:rsidRDefault="00C457D1" w:rsidP="00C457D1">
      <w:pPr>
        <w:autoSpaceDE w:val="0"/>
        <w:autoSpaceDN w:val="0"/>
        <w:adjustRightInd w:val="0"/>
        <w:spacing w:after="0" w:line="240" w:lineRule="auto"/>
        <w:rPr>
          <w:rFonts w:ascii="Times New Roman" w:hAnsi="Times New Roman" w:cs="Times New Roman"/>
          <w:b/>
          <w:color w:val="131413"/>
        </w:rPr>
      </w:pPr>
      <w:r w:rsidRPr="00445C7D">
        <w:rPr>
          <w:rFonts w:ascii="Times New Roman" w:hAnsi="Times New Roman" w:cs="Times New Roman"/>
          <w:b/>
          <w:color w:val="131413"/>
        </w:rPr>
        <w:t xml:space="preserve">Table </w:t>
      </w:r>
      <w:r>
        <w:rPr>
          <w:rFonts w:ascii="Times New Roman" w:hAnsi="Times New Roman" w:cs="Times New Roman"/>
          <w:b/>
          <w:color w:val="131413"/>
        </w:rPr>
        <w:t>1</w:t>
      </w:r>
      <w:r w:rsidRPr="00445C7D">
        <w:rPr>
          <w:rFonts w:ascii="Times New Roman" w:hAnsi="Times New Roman" w:cs="Times New Roman"/>
          <w:b/>
          <w:color w:val="131413"/>
        </w:rPr>
        <w:t xml:space="preserve">  </w:t>
      </w:r>
    </w:p>
    <w:p w14:paraId="5F8D31C8" w14:textId="77777777" w:rsidR="00C457D1" w:rsidRPr="00795045" w:rsidRDefault="00C457D1" w:rsidP="00C457D1">
      <w:pPr>
        <w:autoSpaceDE w:val="0"/>
        <w:autoSpaceDN w:val="0"/>
        <w:adjustRightInd w:val="0"/>
        <w:spacing w:after="0" w:line="240" w:lineRule="auto"/>
        <w:rPr>
          <w:rFonts w:ascii="Times New Roman" w:hAnsi="Times New Roman" w:cs="Times New Roman"/>
          <w:color w:val="131413"/>
        </w:rPr>
      </w:pPr>
      <w:r w:rsidRPr="00795045">
        <w:rPr>
          <w:rFonts w:ascii="Times New Roman" w:hAnsi="Times New Roman" w:cs="Times New Roman"/>
        </w:rPr>
        <w:t xml:space="preserve">Protective and therapeutic effects of CFE on </w:t>
      </w:r>
      <w:r w:rsidRPr="00795045">
        <w:rPr>
          <w:rFonts w:ascii="Times New Roman" w:hAnsi="Times New Roman" w:cs="Times New Roman"/>
          <w:color w:val="131413"/>
        </w:rPr>
        <w:t>absolute and relative organ weights in five experimental groups</w:t>
      </w:r>
    </w:p>
    <w:p w14:paraId="46BBAAF6" w14:textId="77777777" w:rsidR="00C457D1" w:rsidRPr="00445C7D" w:rsidRDefault="00C457D1" w:rsidP="00C457D1">
      <w:pPr>
        <w:rPr>
          <w:rFonts w:ascii="Times New Roman" w:hAnsi="Times New Roman" w:cs="Times New Roman"/>
          <w:b/>
        </w:rPr>
      </w:pPr>
    </w:p>
    <w:tbl>
      <w:tblPr>
        <w:tblStyle w:val="TableGrid"/>
        <w:tblW w:w="9039" w:type="dxa"/>
        <w:tblLook w:val="04A0" w:firstRow="1" w:lastRow="0" w:firstColumn="1" w:lastColumn="0" w:noHBand="0" w:noVBand="1"/>
      </w:tblPr>
      <w:tblGrid>
        <w:gridCol w:w="1150"/>
        <w:gridCol w:w="1510"/>
        <w:gridCol w:w="1559"/>
        <w:gridCol w:w="1559"/>
        <w:gridCol w:w="1560"/>
        <w:gridCol w:w="1701"/>
      </w:tblGrid>
      <w:tr w:rsidR="00C457D1" w:rsidRPr="00445C7D" w14:paraId="006ACD10" w14:textId="77777777" w:rsidTr="00FC748A">
        <w:tc>
          <w:tcPr>
            <w:tcW w:w="1150" w:type="dxa"/>
            <w:tcBorders>
              <w:left w:val="nil"/>
              <w:bottom w:val="single" w:sz="4" w:space="0" w:color="000000" w:themeColor="text1"/>
              <w:right w:val="nil"/>
            </w:tcBorders>
          </w:tcPr>
          <w:p w14:paraId="289A6906" w14:textId="77777777" w:rsidR="00C457D1" w:rsidRPr="00795FA8" w:rsidRDefault="00C457D1" w:rsidP="00FC748A">
            <w:pPr>
              <w:rPr>
                <w:rFonts w:ascii="Times New Roman" w:hAnsi="Times New Roman" w:cs="Times New Roman"/>
                <w:sz w:val="24"/>
                <w:szCs w:val="24"/>
              </w:rPr>
            </w:pPr>
            <w:r w:rsidRPr="00795FA8">
              <w:rPr>
                <w:rFonts w:ascii="Times New Roman" w:hAnsi="Times New Roman" w:cs="Times New Roman"/>
                <w:sz w:val="24"/>
                <w:szCs w:val="24"/>
              </w:rPr>
              <w:lastRenderedPageBreak/>
              <w:t>Tissues</w:t>
            </w:r>
          </w:p>
        </w:tc>
        <w:tc>
          <w:tcPr>
            <w:tcW w:w="1510" w:type="dxa"/>
            <w:tcBorders>
              <w:left w:val="nil"/>
              <w:bottom w:val="single" w:sz="4" w:space="0" w:color="000000" w:themeColor="text1"/>
              <w:right w:val="nil"/>
            </w:tcBorders>
          </w:tcPr>
          <w:p w14:paraId="46BBD3DC" w14:textId="77777777" w:rsidR="00C457D1" w:rsidRPr="00795FA8" w:rsidRDefault="00C457D1" w:rsidP="00FC748A">
            <w:pPr>
              <w:rPr>
                <w:rFonts w:ascii="Times New Roman" w:hAnsi="Times New Roman" w:cs="Times New Roman"/>
                <w:sz w:val="24"/>
                <w:szCs w:val="24"/>
              </w:rPr>
            </w:pPr>
            <w:r w:rsidRPr="00795FA8">
              <w:rPr>
                <w:rFonts w:ascii="Times New Roman" w:hAnsi="Times New Roman" w:cs="Times New Roman"/>
                <w:sz w:val="24"/>
                <w:szCs w:val="24"/>
              </w:rPr>
              <w:t>Groups</w:t>
            </w:r>
          </w:p>
        </w:tc>
        <w:tc>
          <w:tcPr>
            <w:tcW w:w="1559" w:type="dxa"/>
            <w:tcBorders>
              <w:left w:val="nil"/>
              <w:bottom w:val="single" w:sz="4" w:space="0" w:color="000000" w:themeColor="text1"/>
              <w:right w:val="nil"/>
            </w:tcBorders>
          </w:tcPr>
          <w:p w14:paraId="2EBB801B" w14:textId="77777777" w:rsidR="00C457D1" w:rsidRPr="00795FA8" w:rsidRDefault="00C457D1" w:rsidP="00FC748A">
            <w:pPr>
              <w:rPr>
                <w:rFonts w:ascii="Times New Roman" w:hAnsi="Times New Roman" w:cs="Times New Roman"/>
                <w:sz w:val="24"/>
                <w:szCs w:val="24"/>
              </w:rPr>
            </w:pPr>
          </w:p>
        </w:tc>
        <w:tc>
          <w:tcPr>
            <w:tcW w:w="1559" w:type="dxa"/>
            <w:tcBorders>
              <w:left w:val="nil"/>
              <w:bottom w:val="single" w:sz="4" w:space="0" w:color="000000" w:themeColor="text1"/>
              <w:right w:val="nil"/>
            </w:tcBorders>
          </w:tcPr>
          <w:p w14:paraId="6A2E55D6" w14:textId="77777777" w:rsidR="00C457D1" w:rsidRPr="00795FA8" w:rsidRDefault="00C457D1" w:rsidP="00FC748A">
            <w:pPr>
              <w:rPr>
                <w:rFonts w:ascii="Times New Roman" w:hAnsi="Times New Roman" w:cs="Times New Roman"/>
                <w:sz w:val="24"/>
                <w:szCs w:val="24"/>
              </w:rPr>
            </w:pPr>
          </w:p>
        </w:tc>
        <w:tc>
          <w:tcPr>
            <w:tcW w:w="1560" w:type="dxa"/>
            <w:tcBorders>
              <w:left w:val="nil"/>
              <w:bottom w:val="single" w:sz="4" w:space="0" w:color="000000" w:themeColor="text1"/>
              <w:right w:val="nil"/>
            </w:tcBorders>
          </w:tcPr>
          <w:p w14:paraId="0E9FDE45" w14:textId="77777777" w:rsidR="00C457D1" w:rsidRPr="00795FA8" w:rsidRDefault="00C457D1" w:rsidP="00FC748A">
            <w:pPr>
              <w:rPr>
                <w:rFonts w:ascii="Times New Roman" w:hAnsi="Times New Roman" w:cs="Times New Roman"/>
                <w:sz w:val="24"/>
                <w:szCs w:val="24"/>
              </w:rPr>
            </w:pPr>
          </w:p>
        </w:tc>
        <w:tc>
          <w:tcPr>
            <w:tcW w:w="1701" w:type="dxa"/>
            <w:tcBorders>
              <w:left w:val="nil"/>
              <w:bottom w:val="single" w:sz="4" w:space="0" w:color="000000" w:themeColor="text1"/>
              <w:right w:val="nil"/>
            </w:tcBorders>
          </w:tcPr>
          <w:p w14:paraId="261EA348" w14:textId="77777777" w:rsidR="00C457D1" w:rsidRPr="00795FA8" w:rsidRDefault="00C457D1" w:rsidP="00FC748A">
            <w:pPr>
              <w:rPr>
                <w:rFonts w:ascii="Times New Roman" w:hAnsi="Times New Roman" w:cs="Times New Roman"/>
                <w:sz w:val="24"/>
                <w:szCs w:val="24"/>
              </w:rPr>
            </w:pPr>
          </w:p>
        </w:tc>
      </w:tr>
      <w:tr w:rsidR="00C457D1" w:rsidRPr="00445C7D" w14:paraId="61330C89" w14:textId="77777777" w:rsidTr="00FC748A">
        <w:tc>
          <w:tcPr>
            <w:tcW w:w="1150" w:type="dxa"/>
            <w:tcBorders>
              <w:left w:val="nil"/>
              <w:bottom w:val="single" w:sz="4" w:space="0" w:color="000000" w:themeColor="text1"/>
              <w:right w:val="nil"/>
            </w:tcBorders>
          </w:tcPr>
          <w:p w14:paraId="1C49925E" w14:textId="77777777" w:rsidR="00C457D1" w:rsidRPr="00795FA8" w:rsidRDefault="00C457D1" w:rsidP="00FC748A">
            <w:pPr>
              <w:rPr>
                <w:rFonts w:ascii="Times New Roman" w:hAnsi="Times New Roman" w:cs="Times New Roman"/>
                <w:sz w:val="24"/>
                <w:szCs w:val="24"/>
              </w:rPr>
            </w:pPr>
          </w:p>
        </w:tc>
        <w:tc>
          <w:tcPr>
            <w:tcW w:w="1510" w:type="dxa"/>
            <w:tcBorders>
              <w:left w:val="nil"/>
              <w:bottom w:val="single" w:sz="4" w:space="0" w:color="000000" w:themeColor="text1"/>
              <w:right w:val="nil"/>
            </w:tcBorders>
          </w:tcPr>
          <w:p w14:paraId="4D80D26D" w14:textId="77777777" w:rsidR="00C457D1" w:rsidRPr="00795FA8" w:rsidRDefault="00C457D1" w:rsidP="00FC748A">
            <w:pPr>
              <w:jc w:val="center"/>
              <w:rPr>
                <w:rFonts w:ascii="Times New Roman" w:hAnsi="Times New Roman" w:cs="Times New Roman"/>
                <w:sz w:val="24"/>
                <w:szCs w:val="24"/>
              </w:rPr>
            </w:pPr>
            <w:r w:rsidRPr="00795FA8">
              <w:rPr>
                <w:rFonts w:ascii="Times New Roman" w:hAnsi="Times New Roman" w:cs="Times New Roman"/>
                <w:sz w:val="24"/>
                <w:szCs w:val="24"/>
              </w:rPr>
              <w:t>Group-C</w:t>
            </w:r>
          </w:p>
        </w:tc>
        <w:tc>
          <w:tcPr>
            <w:tcW w:w="1559" w:type="dxa"/>
            <w:tcBorders>
              <w:left w:val="nil"/>
              <w:bottom w:val="single" w:sz="4" w:space="0" w:color="000000" w:themeColor="text1"/>
              <w:right w:val="nil"/>
            </w:tcBorders>
          </w:tcPr>
          <w:p w14:paraId="6215805E" w14:textId="77777777" w:rsidR="00C457D1" w:rsidRPr="00795FA8" w:rsidRDefault="00C457D1" w:rsidP="00FC748A">
            <w:pPr>
              <w:jc w:val="center"/>
              <w:rPr>
                <w:rFonts w:ascii="Times New Roman" w:hAnsi="Times New Roman" w:cs="Times New Roman"/>
                <w:sz w:val="24"/>
                <w:szCs w:val="24"/>
              </w:rPr>
            </w:pPr>
            <w:r w:rsidRPr="00795FA8">
              <w:rPr>
                <w:rFonts w:ascii="Times New Roman" w:hAnsi="Times New Roman" w:cs="Times New Roman"/>
                <w:sz w:val="24"/>
                <w:szCs w:val="24"/>
              </w:rPr>
              <w:t>Group-C+CFE</w:t>
            </w:r>
          </w:p>
        </w:tc>
        <w:tc>
          <w:tcPr>
            <w:tcW w:w="1559" w:type="dxa"/>
            <w:tcBorders>
              <w:left w:val="nil"/>
              <w:bottom w:val="single" w:sz="4" w:space="0" w:color="000000" w:themeColor="text1"/>
              <w:right w:val="nil"/>
            </w:tcBorders>
          </w:tcPr>
          <w:p w14:paraId="6DEA735B" w14:textId="77777777" w:rsidR="00C457D1" w:rsidRPr="00795FA8" w:rsidRDefault="00C457D1" w:rsidP="00FC748A">
            <w:pPr>
              <w:jc w:val="center"/>
              <w:rPr>
                <w:rFonts w:ascii="Times New Roman" w:hAnsi="Times New Roman" w:cs="Times New Roman"/>
                <w:sz w:val="24"/>
                <w:szCs w:val="24"/>
              </w:rPr>
            </w:pPr>
            <w:r w:rsidRPr="00795FA8">
              <w:rPr>
                <w:rFonts w:ascii="Times New Roman" w:hAnsi="Times New Roman" w:cs="Times New Roman"/>
                <w:sz w:val="24"/>
                <w:szCs w:val="24"/>
              </w:rPr>
              <w:t>Group-HFD+CFE</w:t>
            </w:r>
          </w:p>
        </w:tc>
        <w:tc>
          <w:tcPr>
            <w:tcW w:w="1560" w:type="dxa"/>
            <w:tcBorders>
              <w:left w:val="nil"/>
              <w:bottom w:val="single" w:sz="4" w:space="0" w:color="000000" w:themeColor="text1"/>
              <w:right w:val="nil"/>
            </w:tcBorders>
          </w:tcPr>
          <w:p w14:paraId="565868C3" w14:textId="77777777" w:rsidR="00C457D1" w:rsidRPr="00795FA8" w:rsidRDefault="00C457D1" w:rsidP="00FC748A">
            <w:pPr>
              <w:jc w:val="center"/>
              <w:rPr>
                <w:rFonts w:ascii="Times New Roman" w:hAnsi="Times New Roman" w:cs="Times New Roman"/>
                <w:sz w:val="24"/>
                <w:szCs w:val="24"/>
              </w:rPr>
            </w:pPr>
            <w:r w:rsidRPr="00795FA8">
              <w:rPr>
                <w:rFonts w:ascii="Times New Roman" w:hAnsi="Times New Roman" w:cs="Times New Roman"/>
                <w:sz w:val="24"/>
                <w:szCs w:val="24"/>
              </w:rPr>
              <w:t>Group-HFD</w:t>
            </w:r>
          </w:p>
        </w:tc>
        <w:tc>
          <w:tcPr>
            <w:tcW w:w="1701" w:type="dxa"/>
            <w:tcBorders>
              <w:left w:val="nil"/>
              <w:bottom w:val="single" w:sz="4" w:space="0" w:color="000000" w:themeColor="text1"/>
              <w:right w:val="nil"/>
            </w:tcBorders>
          </w:tcPr>
          <w:p w14:paraId="18B7E0AD" w14:textId="77777777" w:rsidR="00C457D1" w:rsidRPr="00795FA8" w:rsidRDefault="00C457D1" w:rsidP="00FC748A">
            <w:pPr>
              <w:jc w:val="center"/>
              <w:rPr>
                <w:rFonts w:ascii="Times New Roman" w:hAnsi="Times New Roman" w:cs="Times New Roman"/>
                <w:sz w:val="24"/>
                <w:szCs w:val="24"/>
              </w:rPr>
            </w:pPr>
            <w:r w:rsidRPr="00795FA8">
              <w:rPr>
                <w:rFonts w:ascii="Times New Roman" w:hAnsi="Times New Roman" w:cs="Times New Roman"/>
                <w:sz w:val="24"/>
                <w:szCs w:val="24"/>
              </w:rPr>
              <w:t>Group-OB</w:t>
            </w:r>
            <w:r>
              <w:rPr>
                <w:rFonts w:ascii="Times New Roman" w:hAnsi="Times New Roman" w:cs="Times New Roman"/>
                <w:sz w:val="24"/>
                <w:szCs w:val="24"/>
              </w:rPr>
              <w:t>S</w:t>
            </w:r>
            <w:r w:rsidRPr="00795FA8">
              <w:rPr>
                <w:rFonts w:ascii="Times New Roman" w:hAnsi="Times New Roman" w:cs="Times New Roman"/>
                <w:sz w:val="24"/>
                <w:szCs w:val="24"/>
              </w:rPr>
              <w:t>+CFE</w:t>
            </w:r>
          </w:p>
        </w:tc>
      </w:tr>
      <w:tr w:rsidR="00C457D1" w:rsidRPr="00445C7D" w14:paraId="4FB3EBAE" w14:textId="77777777" w:rsidTr="00FC748A">
        <w:tc>
          <w:tcPr>
            <w:tcW w:w="1150" w:type="dxa"/>
            <w:tcBorders>
              <w:left w:val="nil"/>
              <w:bottom w:val="single" w:sz="4" w:space="0" w:color="000000" w:themeColor="text1"/>
              <w:right w:val="nil"/>
            </w:tcBorders>
          </w:tcPr>
          <w:p w14:paraId="7E74CCBE" w14:textId="77777777" w:rsidR="00C457D1" w:rsidRPr="00795FA8" w:rsidRDefault="00C457D1" w:rsidP="00FC748A">
            <w:pPr>
              <w:rPr>
                <w:rFonts w:ascii="Times New Roman" w:hAnsi="Times New Roman" w:cs="Times New Roman"/>
                <w:sz w:val="24"/>
                <w:szCs w:val="24"/>
              </w:rPr>
            </w:pPr>
            <w:r w:rsidRPr="00795FA8">
              <w:rPr>
                <w:rFonts w:ascii="Times New Roman" w:hAnsi="Times New Roman" w:cs="Times New Roman"/>
                <w:sz w:val="24"/>
                <w:szCs w:val="24"/>
              </w:rPr>
              <w:t>Liver tissue weight (g)</w:t>
            </w:r>
          </w:p>
        </w:tc>
        <w:tc>
          <w:tcPr>
            <w:tcW w:w="1510" w:type="dxa"/>
            <w:tcBorders>
              <w:left w:val="nil"/>
              <w:bottom w:val="single" w:sz="4" w:space="0" w:color="000000" w:themeColor="text1"/>
              <w:right w:val="nil"/>
            </w:tcBorders>
          </w:tcPr>
          <w:p w14:paraId="61DF8138" w14:textId="77777777" w:rsidR="00C457D1" w:rsidRPr="00445C7D" w:rsidRDefault="00C457D1" w:rsidP="00FC748A">
            <w:pPr>
              <w:jc w:val="center"/>
              <w:rPr>
                <w:rFonts w:ascii="Times New Roman" w:hAnsi="Times New Roman" w:cs="Times New Roman"/>
                <w:sz w:val="24"/>
                <w:szCs w:val="24"/>
              </w:rPr>
            </w:pPr>
          </w:p>
        </w:tc>
        <w:tc>
          <w:tcPr>
            <w:tcW w:w="1559" w:type="dxa"/>
            <w:tcBorders>
              <w:left w:val="nil"/>
              <w:bottom w:val="single" w:sz="4" w:space="0" w:color="000000" w:themeColor="text1"/>
              <w:right w:val="nil"/>
            </w:tcBorders>
          </w:tcPr>
          <w:p w14:paraId="566D2645" w14:textId="77777777" w:rsidR="00C457D1" w:rsidRPr="00445C7D" w:rsidRDefault="00C457D1" w:rsidP="00FC748A">
            <w:pPr>
              <w:jc w:val="center"/>
              <w:rPr>
                <w:rFonts w:ascii="Times New Roman" w:hAnsi="Times New Roman" w:cs="Times New Roman"/>
                <w:sz w:val="24"/>
                <w:szCs w:val="24"/>
              </w:rPr>
            </w:pPr>
          </w:p>
        </w:tc>
        <w:tc>
          <w:tcPr>
            <w:tcW w:w="1559" w:type="dxa"/>
            <w:tcBorders>
              <w:left w:val="nil"/>
              <w:bottom w:val="single" w:sz="4" w:space="0" w:color="000000" w:themeColor="text1"/>
              <w:right w:val="nil"/>
            </w:tcBorders>
          </w:tcPr>
          <w:p w14:paraId="3462189B" w14:textId="77777777" w:rsidR="00C457D1" w:rsidRPr="00445C7D" w:rsidRDefault="00C457D1" w:rsidP="00FC748A">
            <w:pPr>
              <w:jc w:val="center"/>
              <w:rPr>
                <w:rFonts w:ascii="Times New Roman" w:hAnsi="Times New Roman" w:cs="Times New Roman"/>
                <w:sz w:val="24"/>
                <w:szCs w:val="24"/>
              </w:rPr>
            </w:pPr>
          </w:p>
        </w:tc>
        <w:tc>
          <w:tcPr>
            <w:tcW w:w="1560" w:type="dxa"/>
            <w:tcBorders>
              <w:left w:val="nil"/>
              <w:bottom w:val="single" w:sz="4" w:space="0" w:color="000000" w:themeColor="text1"/>
              <w:right w:val="nil"/>
            </w:tcBorders>
          </w:tcPr>
          <w:p w14:paraId="3256CF98" w14:textId="77777777" w:rsidR="00C457D1" w:rsidRPr="00445C7D" w:rsidRDefault="00C457D1" w:rsidP="00FC748A">
            <w:pPr>
              <w:jc w:val="center"/>
              <w:rPr>
                <w:rFonts w:ascii="Times New Roman" w:hAnsi="Times New Roman" w:cs="Times New Roman"/>
                <w:sz w:val="24"/>
                <w:szCs w:val="24"/>
              </w:rPr>
            </w:pPr>
          </w:p>
        </w:tc>
        <w:tc>
          <w:tcPr>
            <w:tcW w:w="1701" w:type="dxa"/>
            <w:tcBorders>
              <w:left w:val="nil"/>
              <w:bottom w:val="single" w:sz="4" w:space="0" w:color="000000" w:themeColor="text1"/>
              <w:right w:val="nil"/>
            </w:tcBorders>
          </w:tcPr>
          <w:p w14:paraId="4766D987" w14:textId="77777777" w:rsidR="00C457D1" w:rsidRPr="00445C7D" w:rsidRDefault="00C457D1" w:rsidP="00FC748A">
            <w:pPr>
              <w:jc w:val="center"/>
              <w:rPr>
                <w:rFonts w:ascii="Times New Roman" w:hAnsi="Times New Roman" w:cs="Times New Roman"/>
                <w:sz w:val="24"/>
                <w:szCs w:val="24"/>
              </w:rPr>
            </w:pPr>
          </w:p>
        </w:tc>
      </w:tr>
      <w:tr w:rsidR="00C457D1" w:rsidRPr="00445C7D" w14:paraId="1557511A" w14:textId="77777777" w:rsidTr="00FC748A">
        <w:tc>
          <w:tcPr>
            <w:tcW w:w="1150" w:type="dxa"/>
            <w:tcBorders>
              <w:left w:val="nil"/>
              <w:bottom w:val="nil"/>
              <w:right w:val="nil"/>
            </w:tcBorders>
          </w:tcPr>
          <w:p w14:paraId="446551AB" w14:textId="77777777" w:rsidR="00C457D1" w:rsidRPr="00795FA8" w:rsidRDefault="00C457D1" w:rsidP="00FC748A">
            <w:pPr>
              <w:rPr>
                <w:rFonts w:ascii="Times New Roman" w:hAnsi="Times New Roman" w:cs="Times New Roman"/>
                <w:sz w:val="24"/>
                <w:szCs w:val="24"/>
              </w:rPr>
            </w:pPr>
            <w:r w:rsidRPr="00795FA8">
              <w:rPr>
                <w:rFonts w:ascii="Times New Roman" w:hAnsi="Times New Roman" w:cs="Times New Roman"/>
                <w:sz w:val="24"/>
                <w:szCs w:val="24"/>
              </w:rPr>
              <w:t>Absolute</w:t>
            </w:r>
          </w:p>
        </w:tc>
        <w:tc>
          <w:tcPr>
            <w:tcW w:w="1510" w:type="dxa"/>
            <w:tcBorders>
              <w:left w:val="nil"/>
              <w:bottom w:val="nil"/>
              <w:right w:val="nil"/>
            </w:tcBorders>
          </w:tcPr>
          <w:p w14:paraId="7DFAF6B1" w14:textId="77777777" w:rsidR="00C457D1" w:rsidRPr="00445C7D" w:rsidRDefault="00C457D1" w:rsidP="00FC748A">
            <w:pPr>
              <w:spacing w:line="360" w:lineRule="auto"/>
              <w:jc w:val="center"/>
              <w:rPr>
                <w:rFonts w:ascii="Times New Roman" w:hAnsi="Times New Roman" w:cs="Times New Roman"/>
                <w:sz w:val="24"/>
                <w:szCs w:val="24"/>
              </w:rPr>
            </w:pPr>
            <w:r w:rsidRPr="00445C7D">
              <w:rPr>
                <w:rFonts w:ascii="Times New Roman" w:hAnsi="Times New Roman" w:cs="Times New Roman"/>
                <w:sz w:val="24"/>
                <w:szCs w:val="24"/>
              </w:rPr>
              <w:t>8.38 ± 0.32</w:t>
            </w:r>
            <w:r w:rsidRPr="00445C7D">
              <w:rPr>
                <w:rFonts w:ascii="Times New Roman" w:hAnsi="Times New Roman" w:cs="Times New Roman"/>
                <w:sz w:val="24"/>
                <w:szCs w:val="24"/>
                <w:vertAlign w:val="superscript"/>
              </w:rPr>
              <w:t>a</w:t>
            </w:r>
          </w:p>
        </w:tc>
        <w:tc>
          <w:tcPr>
            <w:tcW w:w="1559" w:type="dxa"/>
            <w:tcBorders>
              <w:left w:val="nil"/>
              <w:bottom w:val="nil"/>
              <w:right w:val="nil"/>
            </w:tcBorders>
          </w:tcPr>
          <w:p w14:paraId="1FD6E1E2" w14:textId="77777777" w:rsidR="00C457D1" w:rsidRPr="00445C7D" w:rsidRDefault="00C457D1" w:rsidP="00FC748A">
            <w:pPr>
              <w:spacing w:line="360" w:lineRule="auto"/>
              <w:jc w:val="center"/>
              <w:rPr>
                <w:rFonts w:ascii="Times New Roman" w:hAnsi="Times New Roman" w:cs="Times New Roman"/>
                <w:sz w:val="24"/>
                <w:szCs w:val="24"/>
              </w:rPr>
            </w:pPr>
            <w:r w:rsidRPr="00445C7D">
              <w:rPr>
                <w:rFonts w:ascii="Times New Roman" w:hAnsi="Times New Roman" w:cs="Times New Roman"/>
                <w:sz w:val="24"/>
                <w:szCs w:val="24"/>
              </w:rPr>
              <w:t>8.30 ± 0.42</w:t>
            </w:r>
            <w:r w:rsidRPr="00445C7D">
              <w:rPr>
                <w:rFonts w:ascii="Times New Roman" w:hAnsi="Times New Roman" w:cs="Times New Roman"/>
                <w:sz w:val="24"/>
                <w:szCs w:val="24"/>
                <w:vertAlign w:val="superscript"/>
              </w:rPr>
              <w:t>a</w:t>
            </w:r>
          </w:p>
        </w:tc>
        <w:tc>
          <w:tcPr>
            <w:tcW w:w="1559" w:type="dxa"/>
            <w:tcBorders>
              <w:left w:val="nil"/>
              <w:bottom w:val="nil"/>
              <w:right w:val="nil"/>
            </w:tcBorders>
          </w:tcPr>
          <w:p w14:paraId="11A45F11" w14:textId="77777777" w:rsidR="00C457D1" w:rsidRPr="00445C7D" w:rsidRDefault="00C457D1" w:rsidP="00FC748A">
            <w:pPr>
              <w:spacing w:line="360" w:lineRule="auto"/>
              <w:jc w:val="center"/>
              <w:rPr>
                <w:rFonts w:ascii="Times New Roman" w:hAnsi="Times New Roman" w:cs="Times New Roman"/>
                <w:sz w:val="24"/>
                <w:szCs w:val="24"/>
              </w:rPr>
            </w:pPr>
            <w:r w:rsidRPr="00445C7D">
              <w:rPr>
                <w:rFonts w:ascii="Times New Roman" w:hAnsi="Times New Roman" w:cs="Times New Roman"/>
                <w:sz w:val="24"/>
                <w:szCs w:val="24"/>
              </w:rPr>
              <w:t>8.45 ± 0.31</w:t>
            </w:r>
            <w:r w:rsidRPr="00445C7D">
              <w:rPr>
                <w:rFonts w:ascii="Times New Roman" w:hAnsi="Times New Roman" w:cs="Times New Roman"/>
                <w:sz w:val="24"/>
                <w:szCs w:val="24"/>
                <w:vertAlign w:val="superscript"/>
              </w:rPr>
              <w:t>a</w:t>
            </w:r>
          </w:p>
        </w:tc>
        <w:tc>
          <w:tcPr>
            <w:tcW w:w="1560" w:type="dxa"/>
            <w:tcBorders>
              <w:left w:val="nil"/>
              <w:bottom w:val="nil"/>
              <w:right w:val="nil"/>
            </w:tcBorders>
          </w:tcPr>
          <w:p w14:paraId="69DFB8FC" w14:textId="77777777" w:rsidR="00C457D1" w:rsidRPr="00445C7D" w:rsidRDefault="00C457D1" w:rsidP="00FC748A">
            <w:pPr>
              <w:spacing w:line="360" w:lineRule="auto"/>
              <w:jc w:val="center"/>
              <w:rPr>
                <w:rFonts w:ascii="Times New Roman" w:hAnsi="Times New Roman" w:cs="Times New Roman"/>
                <w:sz w:val="24"/>
                <w:szCs w:val="24"/>
              </w:rPr>
            </w:pPr>
            <w:r w:rsidRPr="00445C7D">
              <w:rPr>
                <w:rFonts w:ascii="Times New Roman" w:hAnsi="Times New Roman" w:cs="Times New Roman"/>
                <w:sz w:val="24"/>
                <w:szCs w:val="24"/>
              </w:rPr>
              <w:t>10.52 ± 0.56</w:t>
            </w:r>
            <w:r w:rsidRPr="00445C7D">
              <w:rPr>
                <w:rFonts w:ascii="Times New Roman" w:hAnsi="Times New Roman" w:cs="Times New Roman"/>
                <w:sz w:val="24"/>
                <w:szCs w:val="24"/>
                <w:vertAlign w:val="superscript"/>
              </w:rPr>
              <w:t>b</w:t>
            </w:r>
          </w:p>
        </w:tc>
        <w:tc>
          <w:tcPr>
            <w:tcW w:w="1701" w:type="dxa"/>
            <w:tcBorders>
              <w:left w:val="nil"/>
              <w:bottom w:val="nil"/>
              <w:right w:val="nil"/>
            </w:tcBorders>
          </w:tcPr>
          <w:p w14:paraId="46C88306" w14:textId="77777777" w:rsidR="00C457D1" w:rsidRPr="00445C7D" w:rsidRDefault="00C457D1" w:rsidP="00FC748A">
            <w:pPr>
              <w:spacing w:line="360" w:lineRule="auto"/>
              <w:jc w:val="center"/>
              <w:rPr>
                <w:rFonts w:ascii="Times New Roman" w:hAnsi="Times New Roman" w:cs="Times New Roman"/>
                <w:sz w:val="24"/>
                <w:szCs w:val="24"/>
              </w:rPr>
            </w:pPr>
            <w:r w:rsidRPr="00445C7D">
              <w:rPr>
                <w:rFonts w:ascii="Times New Roman" w:hAnsi="Times New Roman" w:cs="Times New Roman"/>
                <w:sz w:val="24"/>
                <w:szCs w:val="24"/>
              </w:rPr>
              <w:t>9.10 ± 0.48</w:t>
            </w:r>
            <w:r w:rsidRPr="00445C7D">
              <w:rPr>
                <w:rFonts w:ascii="Times New Roman" w:hAnsi="Times New Roman" w:cs="Times New Roman"/>
                <w:sz w:val="24"/>
                <w:szCs w:val="24"/>
                <w:vertAlign w:val="superscript"/>
              </w:rPr>
              <w:t>a</w:t>
            </w:r>
          </w:p>
        </w:tc>
      </w:tr>
      <w:tr w:rsidR="00C457D1" w:rsidRPr="00445C7D" w14:paraId="339E8D47" w14:textId="77777777" w:rsidTr="00FC748A">
        <w:tc>
          <w:tcPr>
            <w:tcW w:w="1150" w:type="dxa"/>
            <w:tcBorders>
              <w:top w:val="nil"/>
              <w:left w:val="nil"/>
              <w:bottom w:val="single" w:sz="4" w:space="0" w:color="000000" w:themeColor="text1"/>
              <w:right w:val="nil"/>
            </w:tcBorders>
          </w:tcPr>
          <w:p w14:paraId="51CF16B4" w14:textId="77777777" w:rsidR="00C457D1" w:rsidRPr="00795FA8" w:rsidRDefault="00C457D1" w:rsidP="00FC748A">
            <w:pPr>
              <w:rPr>
                <w:rFonts w:ascii="Times New Roman" w:hAnsi="Times New Roman" w:cs="Times New Roman"/>
                <w:sz w:val="24"/>
                <w:szCs w:val="24"/>
              </w:rPr>
            </w:pPr>
            <w:r w:rsidRPr="00795FA8">
              <w:rPr>
                <w:rFonts w:ascii="Times New Roman" w:hAnsi="Times New Roman" w:cs="Times New Roman"/>
                <w:sz w:val="24"/>
                <w:szCs w:val="24"/>
              </w:rPr>
              <w:t>Relative</w:t>
            </w:r>
          </w:p>
        </w:tc>
        <w:tc>
          <w:tcPr>
            <w:tcW w:w="1510" w:type="dxa"/>
            <w:tcBorders>
              <w:top w:val="nil"/>
              <w:left w:val="nil"/>
              <w:bottom w:val="single" w:sz="4" w:space="0" w:color="000000" w:themeColor="text1"/>
              <w:right w:val="nil"/>
            </w:tcBorders>
          </w:tcPr>
          <w:p w14:paraId="10A6E371" w14:textId="77777777" w:rsidR="00C457D1" w:rsidRPr="00445C7D" w:rsidRDefault="00C457D1" w:rsidP="00FC748A">
            <w:pPr>
              <w:spacing w:line="360" w:lineRule="auto"/>
              <w:jc w:val="center"/>
              <w:rPr>
                <w:rFonts w:ascii="Times New Roman" w:hAnsi="Times New Roman" w:cs="Times New Roman"/>
                <w:sz w:val="24"/>
                <w:szCs w:val="24"/>
              </w:rPr>
            </w:pPr>
            <w:r w:rsidRPr="00445C7D">
              <w:rPr>
                <w:rFonts w:ascii="Times New Roman" w:hAnsi="Times New Roman" w:cs="Times New Roman"/>
                <w:sz w:val="24"/>
                <w:szCs w:val="24"/>
              </w:rPr>
              <w:t>2.29 ± 0.08</w:t>
            </w:r>
            <w:r w:rsidRPr="00445C7D">
              <w:rPr>
                <w:rFonts w:ascii="Times New Roman" w:hAnsi="Times New Roman" w:cs="Times New Roman"/>
                <w:sz w:val="24"/>
                <w:szCs w:val="24"/>
                <w:vertAlign w:val="superscript"/>
              </w:rPr>
              <w:t>a</w:t>
            </w:r>
          </w:p>
        </w:tc>
        <w:tc>
          <w:tcPr>
            <w:tcW w:w="1559" w:type="dxa"/>
            <w:tcBorders>
              <w:top w:val="nil"/>
              <w:left w:val="nil"/>
              <w:bottom w:val="single" w:sz="4" w:space="0" w:color="000000" w:themeColor="text1"/>
              <w:right w:val="nil"/>
            </w:tcBorders>
          </w:tcPr>
          <w:p w14:paraId="6D7016AD" w14:textId="77777777" w:rsidR="00C457D1" w:rsidRPr="00445C7D" w:rsidRDefault="00C457D1" w:rsidP="00FC748A">
            <w:pPr>
              <w:spacing w:line="360" w:lineRule="auto"/>
              <w:jc w:val="center"/>
              <w:rPr>
                <w:rFonts w:ascii="Times New Roman" w:hAnsi="Times New Roman" w:cs="Times New Roman"/>
                <w:sz w:val="24"/>
                <w:szCs w:val="24"/>
              </w:rPr>
            </w:pPr>
            <w:r w:rsidRPr="00445C7D">
              <w:rPr>
                <w:rFonts w:ascii="Times New Roman" w:hAnsi="Times New Roman" w:cs="Times New Roman"/>
                <w:sz w:val="24"/>
                <w:szCs w:val="24"/>
              </w:rPr>
              <w:t>2.52 ± 0.09</w:t>
            </w:r>
            <w:r w:rsidRPr="00445C7D">
              <w:rPr>
                <w:rFonts w:ascii="Times New Roman" w:hAnsi="Times New Roman" w:cs="Times New Roman"/>
                <w:sz w:val="24"/>
                <w:szCs w:val="24"/>
                <w:vertAlign w:val="superscript"/>
              </w:rPr>
              <w:t>a</w:t>
            </w:r>
          </w:p>
        </w:tc>
        <w:tc>
          <w:tcPr>
            <w:tcW w:w="1559" w:type="dxa"/>
            <w:tcBorders>
              <w:top w:val="nil"/>
              <w:left w:val="nil"/>
              <w:bottom w:val="single" w:sz="4" w:space="0" w:color="000000" w:themeColor="text1"/>
              <w:right w:val="nil"/>
            </w:tcBorders>
          </w:tcPr>
          <w:p w14:paraId="0022E6A2" w14:textId="77777777" w:rsidR="00C457D1" w:rsidRPr="00445C7D" w:rsidRDefault="00C457D1" w:rsidP="00FC748A">
            <w:pPr>
              <w:spacing w:line="360" w:lineRule="auto"/>
              <w:jc w:val="center"/>
              <w:rPr>
                <w:rFonts w:ascii="Times New Roman" w:hAnsi="Times New Roman" w:cs="Times New Roman"/>
                <w:sz w:val="24"/>
                <w:szCs w:val="24"/>
              </w:rPr>
            </w:pPr>
            <w:r w:rsidRPr="00445C7D">
              <w:rPr>
                <w:rFonts w:ascii="Times New Roman" w:hAnsi="Times New Roman" w:cs="Times New Roman"/>
                <w:sz w:val="24"/>
                <w:szCs w:val="24"/>
              </w:rPr>
              <w:t>2.66 ± 0.11</w:t>
            </w:r>
            <w:r w:rsidRPr="00445C7D">
              <w:rPr>
                <w:rFonts w:ascii="Times New Roman" w:hAnsi="Times New Roman" w:cs="Times New Roman"/>
                <w:sz w:val="24"/>
                <w:szCs w:val="24"/>
                <w:vertAlign w:val="superscript"/>
              </w:rPr>
              <w:t>b</w:t>
            </w:r>
          </w:p>
        </w:tc>
        <w:tc>
          <w:tcPr>
            <w:tcW w:w="1560" w:type="dxa"/>
            <w:tcBorders>
              <w:top w:val="nil"/>
              <w:left w:val="nil"/>
              <w:bottom w:val="single" w:sz="4" w:space="0" w:color="000000" w:themeColor="text1"/>
              <w:right w:val="nil"/>
            </w:tcBorders>
          </w:tcPr>
          <w:p w14:paraId="55F68B06" w14:textId="77777777" w:rsidR="00C457D1" w:rsidRPr="00445C7D" w:rsidRDefault="00C457D1" w:rsidP="00FC748A">
            <w:pPr>
              <w:spacing w:line="360" w:lineRule="auto"/>
              <w:jc w:val="center"/>
              <w:rPr>
                <w:rFonts w:ascii="Times New Roman" w:hAnsi="Times New Roman" w:cs="Times New Roman"/>
                <w:sz w:val="24"/>
                <w:szCs w:val="24"/>
              </w:rPr>
            </w:pPr>
            <w:r w:rsidRPr="00445C7D">
              <w:rPr>
                <w:rFonts w:ascii="Times New Roman" w:hAnsi="Times New Roman" w:cs="Times New Roman"/>
                <w:sz w:val="24"/>
                <w:szCs w:val="24"/>
              </w:rPr>
              <w:t>2.95 ± 0.13</w:t>
            </w:r>
            <w:r w:rsidRPr="00445C7D">
              <w:rPr>
                <w:rFonts w:ascii="Times New Roman" w:hAnsi="Times New Roman" w:cs="Times New Roman"/>
                <w:sz w:val="24"/>
                <w:szCs w:val="24"/>
                <w:vertAlign w:val="superscript"/>
              </w:rPr>
              <w:t>b</w:t>
            </w:r>
          </w:p>
        </w:tc>
        <w:tc>
          <w:tcPr>
            <w:tcW w:w="1701" w:type="dxa"/>
            <w:tcBorders>
              <w:top w:val="nil"/>
              <w:left w:val="nil"/>
              <w:bottom w:val="single" w:sz="4" w:space="0" w:color="000000" w:themeColor="text1"/>
              <w:right w:val="nil"/>
            </w:tcBorders>
          </w:tcPr>
          <w:p w14:paraId="6E404B88" w14:textId="77777777" w:rsidR="00C457D1" w:rsidRPr="00445C7D" w:rsidRDefault="00C457D1" w:rsidP="00FC748A">
            <w:pPr>
              <w:spacing w:line="360" w:lineRule="auto"/>
              <w:jc w:val="center"/>
              <w:rPr>
                <w:rFonts w:ascii="Times New Roman" w:hAnsi="Times New Roman" w:cs="Times New Roman"/>
                <w:sz w:val="24"/>
                <w:szCs w:val="24"/>
              </w:rPr>
            </w:pPr>
            <w:r w:rsidRPr="00445C7D">
              <w:rPr>
                <w:rFonts w:ascii="Times New Roman" w:hAnsi="Times New Roman" w:cs="Times New Roman"/>
                <w:sz w:val="24"/>
                <w:szCs w:val="24"/>
              </w:rPr>
              <w:t>2.64 ± 0.08</w:t>
            </w:r>
            <w:r w:rsidRPr="00445C7D">
              <w:rPr>
                <w:rFonts w:ascii="Times New Roman" w:hAnsi="Times New Roman" w:cs="Times New Roman"/>
                <w:sz w:val="24"/>
                <w:szCs w:val="24"/>
                <w:vertAlign w:val="superscript"/>
              </w:rPr>
              <w:t>a</w:t>
            </w:r>
          </w:p>
        </w:tc>
      </w:tr>
      <w:tr w:rsidR="00C457D1" w:rsidRPr="00445C7D" w14:paraId="28CED825" w14:textId="77777777" w:rsidTr="00FC748A">
        <w:tc>
          <w:tcPr>
            <w:tcW w:w="1150" w:type="dxa"/>
            <w:tcBorders>
              <w:left w:val="nil"/>
              <w:bottom w:val="single" w:sz="4" w:space="0" w:color="000000" w:themeColor="text1"/>
              <w:right w:val="nil"/>
            </w:tcBorders>
          </w:tcPr>
          <w:p w14:paraId="649EB3C8" w14:textId="77777777" w:rsidR="00C457D1" w:rsidRPr="00795FA8" w:rsidRDefault="00C457D1" w:rsidP="00FC748A">
            <w:pPr>
              <w:rPr>
                <w:rFonts w:ascii="Times New Roman" w:hAnsi="Times New Roman" w:cs="Times New Roman"/>
                <w:sz w:val="24"/>
                <w:szCs w:val="24"/>
              </w:rPr>
            </w:pPr>
            <w:proofErr w:type="spellStart"/>
            <w:r w:rsidRPr="00795FA8">
              <w:rPr>
                <w:rFonts w:ascii="Times New Roman" w:hAnsi="Times New Roman" w:cs="Times New Roman"/>
                <w:sz w:val="24"/>
                <w:szCs w:val="24"/>
              </w:rPr>
              <w:t>Epidymal</w:t>
            </w:r>
            <w:proofErr w:type="spellEnd"/>
            <w:r w:rsidRPr="00795FA8">
              <w:rPr>
                <w:rFonts w:ascii="Times New Roman" w:hAnsi="Times New Roman" w:cs="Times New Roman"/>
                <w:sz w:val="24"/>
                <w:szCs w:val="24"/>
              </w:rPr>
              <w:t xml:space="preserve"> fat pads (g)</w:t>
            </w:r>
          </w:p>
        </w:tc>
        <w:tc>
          <w:tcPr>
            <w:tcW w:w="1510" w:type="dxa"/>
            <w:tcBorders>
              <w:left w:val="nil"/>
              <w:bottom w:val="single" w:sz="4" w:space="0" w:color="000000" w:themeColor="text1"/>
              <w:right w:val="nil"/>
            </w:tcBorders>
          </w:tcPr>
          <w:p w14:paraId="3763FB70" w14:textId="77777777" w:rsidR="00C457D1" w:rsidRPr="00445C7D" w:rsidRDefault="00C457D1" w:rsidP="00FC748A">
            <w:pPr>
              <w:spacing w:line="360" w:lineRule="auto"/>
              <w:jc w:val="center"/>
              <w:rPr>
                <w:rFonts w:ascii="Times New Roman" w:hAnsi="Times New Roman" w:cs="Times New Roman"/>
                <w:sz w:val="24"/>
                <w:szCs w:val="24"/>
              </w:rPr>
            </w:pPr>
          </w:p>
        </w:tc>
        <w:tc>
          <w:tcPr>
            <w:tcW w:w="1559" w:type="dxa"/>
            <w:tcBorders>
              <w:left w:val="nil"/>
              <w:bottom w:val="single" w:sz="4" w:space="0" w:color="000000" w:themeColor="text1"/>
              <w:right w:val="nil"/>
            </w:tcBorders>
          </w:tcPr>
          <w:p w14:paraId="11B1D43A" w14:textId="77777777" w:rsidR="00C457D1" w:rsidRPr="00445C7D" w:rsidRDefault="00C457D1" w:rsidP="00FC748A">
            <w:pPr>
              <w:spacing w:line="360" w:lineRule="auto"/>
              <w:jc w:val="center"/>
              <w:rPr>
                <w:rFonts w:ascii="Times New Roman" w:hAnsi="Times New Roman" w:cs="Times New Roman"/>
                <w:sz w:val="24"/>
                <w:szCs w:val="24"/>
              </w:rPr>
            </w:pPr>
          </w:p>
        </w:tc>
        <w:tc>
          <w:tcPr>
            <w:tcW w:w="1559" w:type="dxa"/>
            <w:tcBorders>
              <w:left w:val="nil"/>
              <w:bottom w:val="single" w:sz="4" w:space="0" w:color="000000" w:themeColor="text1"/>
              <w:right w:val="nil"/>
            </w:tcBorders>
          </w:tcPr>
          <w:p w14:paraId="6E27750E" w14:textId="77777777" w:rsidR="00C457D1" w:rsidRPr="00445C7D" w:rsidRDefault="00C457D1" w:rsidP="00FC748A">
            <w:pPr>
              <w:spacing w:line="360" w:lineRule="auto"/>
              <w:jc w:val="center"/>
              <w:rPr>
                <w:rFonts w:ascii="Times New Roman" w:hAnsi="Times New Roman" w:cs="Times New Roman"/>
                <w:sz w:val="24"/>
                <w:szCs w:val="24"/>
              </w:rPr>
            </w:pPr>
          </w:p>
        </w:tc>
        <w:tc>
          <w:tcPr>
            <w:tcW w:w="1560" w:type="dxa"/>
            <w:tcBorders>
              <w:left w:val="nil"/>
              <w:bottom w:val="single" w:sz="4" w:space="0" w:color="000000" w:themeColor="text1"/>
              <w:right w:val="nil"/>
            </w:tcBorders>
          </w:tcPr>
          <w:p w14:paraId="7AC29EEE" w14:textId="77777777" w:rsidR="00C457D1" w:rsidRPr="00445C7D" w:rsidRDefault="00C457D1" w:rsidP="00FC748A">
            <w:pPr>
              <w:spacing w:line="360" w:lineRule="auto"/>
              <w:jc w:val="center"/>
              <w:rPr>
                <w:rFonts w:ascii="Times New Roman" w:hAnsi="Times New Roman" w:cs="Times New Roman"/>
                <w:sz w:val="24"/>
                <w:szCs w:val="24"/>
              </w:rPr>
            </w:pPr>
          </w:p>
        </w:tc>
        <w:tc>
          <w:tcPr>
            <w:tcW w:w="1701" w:type="dxa"/>
            <w:tcBorders>
              <w:left w:val="nil"/>
              <w:bottom w:val="single" w:sz="4" w:space="0" w:color="000000" w:themeColor="text1"/>
              <w:right w:val="nil"/>
            </w:tcBorders>
          </w:tcPr>
          <w:p w14:paraId="1758129D" w14:textId="77777777" w:rsidR="00C457D1" w:rsidRPr="00445C7D" w:rsidRDefault="00C457D1" w:rsidP="00FC748A">
            <w:pPr>
              <w:spacing w:line="360" w:lineRule="auto"/>
              <w:jc w:val="center"/>
              <w:rPr>
                <w:rFonts w:ascii="Times New Roman" w:hAnsi="Times New Roman" w:cs="Times New Roman"/>
                <w:sz w:val="24"/>
                <w:szCs w:val="24"/>
              </w:rPr>
            </w:pPr>
          </w:p>
        </w:tc>
      </w:tr>
      <w:tr w:rsidR="00C457D1" w:rsidRPr="00445C7D" w14:paraId="1015B302" w14:textId="77777777" w:rsidTr="00FC748A">
        <w:tc>
          <w:tcPr>
            <w:tcW w:w="1150" w:type="dxa"/>
            <w:tcBorders>
              <w:left w:val="nil"/>
              <w:bottom w:val="nil"/>
              <w:right w:val="nil"/>
            </w:tcBorders>
          </w:tcPr>
          <w:p w14:paraId="2246C561" w14:textId="77777777" w:rsidR="00C457D1" w:rsidRPr="00795FA8" w:rsidRDefault="00C457D1" w:rsidP="00FC748A">
            <w:pPr>
              <w:rPr>
                <w:rFonts w:ascii="Times New Roman" w:hAnsi="Times New Roman" w:cs="Times New Roman"/>
                <w:sz w:val="24"/>
                <w:szCs w:val="24"/>
              </w:rPr>
            </w:pPr>
            <w:r w:rsidRPr="00795FA8">
              <w:rPr>
                <w:rFonts w:ascii="Times New Roman" w:hAnsi="Times New Roman" w:cs="Times New Roman"/>
                <w:sz w:val="24"/>
                <w:szCs w:val="24"/>
              </w:rPr>
              <w:t>Absolute</w:t>
            </w:r>
          </w:p>
        </w:tc>
        <w:tc>
          <w:tcPr>
            <w:tcW w:w="1510" w:type="dxa"/>
            <w:tcBorders>
              <w:left w:val="nil"/>
              <w:bottom w:val="nil"/>
              <w:right w:val="nil"/>
            </w:tcBorders>
          </w:tcPr>
          <w:p w14:paraId="100EEE16" w14:textId="77777777" w:rsidR="00C457D1" w:rsidRPr="00445C7D" w:rsidRDefault="00C457D1" w:rsidP="00FC748A">
            <w:pPr>
              <w:spacing w:line="360" w:lineRule="auto"/>
              <w:jc w:val="center"/>
              <w:rPr>
                <w:rFonts w:ascii="Times New Roman" w:hAnsi="Times New Roman" w:cs="Times New Roman"/>
                <w:sz w:val="24"/>
                <w:szCs w:val="24"/>
              </w:rPr>
            </w:pPr>
            <w:r w:rsidRPr="00445C7D">
              <w:rPr>
                <w:rFonts w:ascii="Times New Roman" w:hAnsi="Times New Roman" w:cs="Times New Roman"/>
                <w:sz w:val="24"/>
                <w:szCs w:val="24"/>
              </w:rPr>
              <w:t>5.35 ± 0.41</w:t>
            </w:r>
            <w:r w:rsidRPr="00445C7D">
              <w:rPr>
                <w:rFonts w:ascii="Times New Roman" w:hAnsi="Times New Roman" w:cs="Times New Roman"/>
                <w:sz w:val="24"/>
                <w:szCs w:val="24"/>
                <w:vertAlign w:val="superscript"/>
              </w:rPr>
              <w:t>a</w:t>
            </w:r>
          </w:p>
        </w:tc>
        <w:tc>
          <w:tcPr>
            <w:tcW w:w="1559" w:type="dxa"/>
            <w:tcBorders>
              <w:left w:val="nil"/>
              <w:bottom w:val="nil"/>
              <w:right w:val="nil"/>
            </w:tcBorders>
          </w:tcPr>
          <w:p w14:paraId="27D07F49" w14:textId="77777777" w:rsidR="00C457D1" w:rsidRPr="00445C7D" w:rsidRDefault="00C457D1" w:rsidP="00FC748A">
            <w:pPr>
              <w:spacing w:line="360" w:lineRule="auto"/>
              <w:jc w:val="center"/>
              <w:rPr>
                <w:rFonts w:ascii="Times New Roman" w:hAnsi="Times New Roman" w:cs="Times New Roman"/>
                <w:sz w:val="24"/>
                <w:szCs w:val="24"/>
              </w:rPr>
            </w:pPr>
            <w:r w:rsidRPr="00445C7D">
              <w:rPr>
                <w:rFonts w:ascii="Times New Roman" w:hAnsi="Times New Roman" w:cs="Times New Roman"/>
                <w:sz w:val="24"/>
                <w:szCs w:val="24"/>
              </w:rPr>
              <w:t>5.58 ± 0.25</w:t>
            </w:r>
            <w:r w:rsidRPr="00445C7D">
              <w:rPr>
                <w:rFonts w:ascii="Times New Roman" w:hAnsi="Times New Roman" w:cs="Times New Roman"/>
                <w:sz w:val="24"/>
                <w:szCs w:val="24"/>
                <w:vertAlign w:val="superscript"/>
              </w:rPr>
              <w:t>a</w:t>
            </w:r>
          </w:p>
        </w:tc>
        <w:tc>
          <w:tcPr>
            <w:tcW w:w="1559" w:type="dxa"/>
            <w:tcBorders>
              <w:left w:val="nil"/>
              <w:bottom w:val="nil"/>
              <w:right w:val="nil"/>
            </w:tcBorders>
          </w:tcPr>
          <w:p w14:paraId="04AFDD54" w14:textId="77777777" w:rsidR="00C457D1" w:rsidRPr="00445C7D" w:rsidRDefault="00C457D1" w:rsidP="00FC748A">
            <w:pPr>
              <w:spacing w:line="360" w:lineRule="auto"/>
              <w:jc w:val="center"/>
              <w:rPr>
                <w:rFonts w:ascii="Times New Roman" w:hAnsi="Times New Roman" w:cs="Times New Roman"/>
                <w:sz w:val="24"/>
                <w:szCs w:val="24"/>
              </w:rPr>
            </w:pPr>
            <w:r w:rsidRPr="00445C7D">
              <w:rPr>
                <w:rFonts w:ascii="Times New Roman" w:hAnsi="Times New Roman" w:cs="Times New Roman"/>
                <w:sz w:val="24"/>
                <w:szCs w:val="24"/>
              </w:rPr>
              <w:t>6.77 ± 0.32</w:t>
            </w:r>
            <w:r w:rsidRPr="00445C7D">
              <w:rPr>
                <w:rFonts w:ascii="Times New Roman" w:hAnsi="Times New Roman" w:cs="Times New Roman"/>
                <w:sz w:val="24"/>
                <w:szCs w:val="24"/>
                <w:vertAlign w:val="superscript"/>
              </w:rPr>
              <w:t>bc</w:t>
            </w:r>
          </w:p>
        </w:tc>
        <w:tc>
          <w:tcPr>
            <w:tcW w:w="1560" w:type="dxa"/>
            <w:tcBorders>
              <w:left w:val="nil"/>
              <w:bottom w:val="nil"/>
              <w:right w:val="nil"/>
            </w:tcBorders>
          </w:tcPr>
          <w:p w14:paraId="69CA8FC4" w14:textId="77777777" w:rsidR="00C457D1" w:rsidRPr="00445C7D" w:rsidRDefault="00C457D1" w:rsidP="00FC748A">
            <w:pPr>
              <w:spacing w:line="360" w:lineRule="auto"/>
              <w:jc w:val="center"/>
              <w:rPr>
                <w:rFonts w:ascii="Times New Roman" w:hAnsi="Times New Roman" w:cs="Times New Roman"/>
                <w:sz w:val="24"/>
                <w:szCs w:val="24"/>
              </w:rPr>
            </w:pPr>
            <w:r w:rsidRPr="00445C7D">
              <w:rPr>
                <w:rFonts w:ascii="Times New Roman" w:hAnsi="Times New Roman" w:cs="Times New Roman"/>
                <w:sz w:val="24"/>
                <w:szCs w:val="24"/>
              </w:rPr>
              <w:t>8.90 ± 0.64</w:t>
            </w:r>
            <w:r w:rsidRPr="00445C7D">
              <w:rPr>
                <w:rFonts w:ascii="Times New Roman" w:hAnsi="Times New Roman" w:cs="Times New Roman"/>
                <w:sz w:val="24"/>
                <w:szCs w:val="24"/>
                <w:vertAlign w:val="superscript"/>
              </w:rPr>
              <w:t>d</w:t>
            </w:r>
          </w:p>
        </w:tc>
        <w:tc>
          <w:tcPr>
            <w:tcW w:w="1701" w:type="dxa"/>
            <w:tcBorders>
              <w:left w:val="nil"/>
              <w:bottom w:val="nil"/>
              <w:right w:val="nil"/>
            </w:tcBorders>
          </w:tcPr>
          <w:p w14:paraId="1AFA5182" w14:textId="77777777" w:rsidR="00C457D1" w:rsidRPr="00445C7D" w:rsidRDefault="00C457D1" w:rsidP="00FC748A">
            <w:pPr>
              <w:spacing w:line="360" w:lineRule="auto"/>
              <w:jc w:val="center"/>
              <w:rPr>
                <w:rFonts w:ascii="Times New Roman" w:hAnsi="Times New Roman" w:cs="Times New Roman"/>
                <w:sz w:val="24"/>
                <w:szCs w:val="24"/>
              </w:rPr>
            </w:pPr>
            <w:r w:rsidRPr="00445C7D">
              <w:rPr>
                <w:rFonts w:ascii="Times New Roman" w:hAnsi="Times New Roman" w:cs="Times New Roman"/>
                <w:sz w:val="24"/>
                <w:szCs w:val="24"/>
              </w:rPr>
              <w:t>7.88 ± 0.47</w:t>
            </w:r>
            <w:r w:rsidRPr="00445C7D">
              <w:rPr>
                <w:rFonts w:ascii="Times New Roman" w:hAnsi="Times New Roman" w:cs="Times New Roman"/>
                <w:sz w:val="24"/>
                <w:szCs w:val="24"/>
                <w:vertAlign w:val="superscript"/>
              </w:rPr>
              <w:t>c</w:t>
            </w:r>
          </w:p>
        </w:tc>
      </w:tr>
      <w:tr w:rsidR="00C457D1" w:rsidRPr="00445C7D" w14:paraId="34CD9242" w14:textId="77777777" w:rsidTr="00FC748A">
        <w:tc>
          <w:tcPr>
            <w:tcW w:w="1150" w:type="dxa"/>
            <w:tcBorders>
              <w:top w:val="nil"/>
              <w:left w:val="nil"/>
              <w:right w:val="nil"/>
            </w:tcBorders>
          </w:tcPr>
          <w:p w14:paraId="2B8111D8" w14:textId="77777777" w:rsidR="00C457D1" w:rsidRPr="00795FA8" w:rsidRDefault="00C457D1" w:rsidP="00FC748A">
            <w:pPr>
              <w:rPr>
                <w:rFonts w:ascii="Times New Roman" w:hAnsi="Times New Roman" w:cs="Times New Roman"/>
                <w:sz w:val="24"/>
                <w:szCs w:val="24"/>
              </w:rPr>
            </w:pPr>
            <w:r w:rsidRPr="00795FA8">
              <w:rPr>
                <w:rFonts w:ascii="Times New Roman" w:hAnsi="Times New Roman" w:cs="Times New Roman"/>
                <w:sz w:val="24"/>
                <w:szCs w:val="24"/>
              </w:rPr>
              <w:t>Relative</w:t>
            </w:r>
          </w:p>
        </w:tc>
        <w:tc>
          <w:tcPr>
            <w:tcW w:w="1510" w:type="dxa"/>
            <w:tcBorders>
              <w:top w:val="nil"/>
              <w:left w:val="nil"/>
              <w:right w:val="nil"/>
            </w:tcBorders>
          </w:tcPr>
          <w:p w14:paraId="11965534" w14:textId="77777777" w:rsidR="00C457D1" w:rsidRPr="00445C7D" w:rsidRDefault="00C457D1" w:rsidP="00FC748A">
            <w:pPr>
              <w:spacing w:line="360" w:lineRule="auto"/>
              <w:jc w:val="center"/>
              <w:rPr>
                <w:rFonts w:ascii="Times New Roman" w:hAnsi="Times New Roman" w:cs="Times New Roman"/>
                <w:sz w:val="24"/>
                <w:szCs w:val="24"/>
              </w:rPr>
            </w:pPr>
            <w:r w:rsidRPr="00445C7D">
              <w:rPr>
                <w:rFonts w:ascii="Times New Roman" w:hAnsi="Times New Roman" w:cs="Times New Roman"/>
                <w:sz w:val="24"/>
                <w:szCs w:val="24"/>
              </w:rPr>
              <w:t>1.28 ± 0.06</w:t>
            </w:r>
            <w:r w:rsidRPr="00445C7D">
              <w:rPr>
                <w:rFonts w:ascii="Times New Roman" w:hAnsi="Times New Roman" w:cs="Times New Roman"/>
                <w:sz w:val="24"/>
                <w:szCs w:val="24"/>
                <w:vertAlign w:val="superscript"/>
              </w:rPr>
              <w:t>a</w:t>
            </w:r>
          </w:p>
        </w:tc>
        <w:tc>
          <w:tcPr>
            <w:tcW w:w="1559" w:type="dxa"/>
            <w:tcBorders>
              <w:top w:val="nil"/>
              <w:left w:val="nil"/>
              <w:right w:val="nil"/>
            </w:tcBorders>
          </w:tcPr>
          <w:p w14:paraId="4F4F552D" w14:textId="77777777" w:rsidR="00C457D1" w:rsidRPr="00445C7D" w:rsidRDefault="00C457D1" w:rsidP="00FC748A">
            <w:pPr>
              <w:spacing w:line="360" w:lineRule="auto"/>
              <w:jc w:val="center"/>
              <w:rPr>
                <w:rFonts w:ascii="Times New Roman" w:hAnsi="Times New Roman" w:cs="Times New Roman"/>
                <w:sz w:val="24"/>
                <w:szCs w:val="24"/>
              </w:rPr>
            </w:pPr>
            <w:r w:rsidRPr="00445C7D">
              <w:rPr>
                <w:rFonts w:ascii="Times New Roman" w:hAnsi="Times New Roman" w:cs="Times New Roman"/>
                <w:sz w:val="24"/>
                <w:szCs w:val="24"/>
              </w:rPr>
              <w:t>1.78 ± 0.03</w:t>
            </w:r>
            <w:r w:rsidRPr="00445C7D">
              <w:rPr>
                <w:rFonts w:ascii="Times New Roman" w:hAnsi="Times New Roman" w:cs="Times New Roman"/>
                <w:sz w:val="24"/>
                <w:szCs w:val="24"/>
                <w:vertAlign w:val="superscript"/>
              </w:rPr>
              <w:t>a</w:t>
            </w:r>
          </w:p>
        </w:tc>
        <w:tc>
          <w:tcPr>
            <w:tcW w:w="1559" w:type="dxa"/>
            <w:tcBorders>
              <w:top w:val="nil"/>
              <w:left w:val="nil"/>
              <w:right w:val="nil"/>
            </w:tcBorders>
          </w:tcPr>
          <w:p w14:paraId="31837C69" w14:textId="77777777" w:rsidR="00C457D1" w:rsidRPr="00445C7D" w:rsidRDefault="00C457D1" w:rsidP="00FC748A">
            <w:pPr>
              <w:spacing w:line="360" w:lineRule="auto"/>
              <w:jc w:val="center"/>
              <w:rPr>
                <w:rFonts w:ascii="Times New Roman" w:hAnsi="Times New Roman" w:cs="Times New Roman"/>
                <w:sz w:val="24"/>
                <w:szCs w:val="24"/>
              </w:rPr>
            </w:pPr>
            <w:r w:rsidRPr="00445C7D">
              <w:rPr>
                <w:rFonts w:ascii="Times New Roman" w:hAnsi="Times New Roman" w:cs="Times New Roman"/>
                <w:sz w:val="24"/>
                <w:szCs w:val="24"/>
              </w:rPr>
              <w:t>2.02 ± 0.11</w:t>
            </w:r>
            <w:r w:rsidRPr="00445C7D">
              <w:rPr>
                <w:rFonts w:ascii="Times New Roman" w:hAnsi="Times New Roman" w:cs="Times New Roman"/>
                <w:sz w:val="24"/>
                <w:szCs w:val="24"/>
                <w:vertAlign w:val="superscript"/>
              </w:rPr>
              <w:t>b</w:t>
            </w:r>
          </w:p>
        </w:tc>
        <w:tc>
          <w:tcPr>
            <w:tcW w:w="1560" w:type="dxa"/>
            <w:tcBorders>
              <w:top w:val="nil"/>
              <w:left w:val="nil"/>
              <w:right w:val="nil"/>
            </w:tcBorders>
          </w:tcPr>
          <w:p w14:paraId="1C48928D" w14:textId="77777777" w:rsidR="00C457D1" w:rsidRPr="00445C7D" w:rsidRDefault="00C457D1" w:rsidP="00FC748A">
            <w:pPr>
              <w:spacing w:line="360" w:lineRule="auto"/>
              <w:jc w:val="center"/>
              <w:rPr>
                <w:rFonts w:ascii="Times New Roman" w:hAnsi="Times New Roman" w:cs="Times New Roman"/>
                <w:sz w:val="24"/>
                <w:szCs w:val="24"/>
              </w:rPr>
            </w:pPr>
            <w:r w:rsidRPr="00445C7D">
              <w:rPr>
                <w:rFonts w:ascii="Times New Roman" w:hAnsi="Times New Roman" w:cs="Times New Roman"/>
                <w:sz w:val="24"/>
                <w:szCs w:val="24"/>
              </w:rPr>
              <w:t>2.41 ± 0.09</w:t>
            </w:r>
            <w:r w:rsidRPr="00445C7D">
              <w:rPr>
                <w:rFonts w:ascii="Times New Roman" w:hAnsi="Times New Roman" w:cs="Times New Roman"/>
                <w:sz w:val="24"/>
                <w:szCs w:val="24"/>
                <w:vertAlign w:val="superscript"/>
              </w:rPr>
              <w:t>b</w:t>
            </w:r>
          </w:p>
        </w:tc>
        <w:tc>
          <w:tcPr>
            <w:tcW w:w="1701" w:type="dxa"/>
            <w:tcBorders>
              <w:top w:val="nil"/>
              <w:left w:val="nil"/>
              <w:right w:val="nil"/>
            </w:tcBorders>
          </w:tcPr>
          <w:p w14:paraId="272AECDD" w14:textId="77777777" w:rsidR="00C457D1" w:rsidRPr="00445C7D" w:rsidRDefault="00C457D1" w:rsidP="00FC748A">
            <w:pPr>
              <w:spacing w:line="360" w:lineRule="auto"/>
              <w:jc w:val="center"/>
              <w:rPr>
                <w:rFonts w:ascii="Times New Roman" w:hAnsi="Times New Roman" w:cs="Times New Roman"/>
                <w:sz w:val="24"/>
                <w:szCs w:val="24"/>
              </w:rPr>
            </w:pPr>
            <w:r w:rsidRPr="00445C7D">
              <w:rPr>
                <w:rFonts w:ascii="Times New Roman" w:hAnsi="Times New Roman" w:cs="Times New Roman"/>
                <w:sz w:val="24"/>
                <w:szCs w:val="24"/>
              </w:rPr>
              <w:t>2.28 ± 0.12</w:t>
            </w:r>
            <w:r w:rsidRPr="00445C7D">
              <w:rPr>
                <w:rFonts w:ascii="Times New Roman" w:hAnsi="Times New Roman" w:cs="Times New Roman"/>
                <w:sz w:val="24"/>
                <w:szCs w:val="24"/>
                <w:vertAlign w:val="superscript"/>
              </w:rPr>
              <w:t>b</w:t>
            </w:r>
          </w:p>
        </w:tc>
      </w:tr>
    </w:tbl>
    <w:p w14:paraId="4D70BBC0" w14:textId="77777777" w:rsidR="00C457D1" w:rsidRDefault="00C457D1" w:rsidP="00C457D1">
      <w:pPr>
        <w:rPr>
          <w:rFonts w:ascii="Times New Roman" w:hAnsi="Times New Roman" w:cs="Times New Roman"/>
        </w:rPr>
      </w:pPr>
    </w:p>
    <w:p w14:paraId="78DFA36A" w14:textId="77777777" w:rsidR="00C457D1" w:rsidRPr="00BC04D4" w:rsidRDefault="00C457D1" w:rsidP="00C457D1">
      <w:pPr>
        <w:spacing w:line="480" w:lineRule="auto"/>
        <w:jc w:val="both"/>
        <w:rPr>
          <w:rFonts w:ascii="Times New Roman" w:hAnsi="Times New Roman" w:cs="Times New Roman"/>
        </w:rPr>
      </w:pPr>
      <w:r w:rsidRPr="00BC04D4">
        <w:rPr>
          <w:rFonts w:ascii="Times New Roman" w:hAnsi="Times New Roman" w:cs="Times New Roman"/>
        </w:rPr>
        <w:t xml:space="preserve">Data are mean </w:t>
      </w:r>
      <w:r>
        <w:rPr>
          <w:rFonts w:ascii="Times New Roman" w:hAnsi="Times New Roman" w:cs="Times New Roman"/>
        </w:rPr>
        <w:t>±</w:t>
      </w:r>
      <w:r w:rsidRPr="00BC04D4">
        <w:rPr>
          <w:rFonts w:ascii="Times New Roman" w:hAnsi="Times New Roman" w:cs="Times New Roman"/>
        </w:rPr>
        <w:t xml:space="preserve"> </w:t>
      </w:r>
      <w:r>
        <w:rPr>
          <w:rFonts w:ascii="Times New Roman" w:hAnsi="Times New Roman" w:cs="Times New Roman"/>
        </w:rPr>
        <w:t>S.E.M. values of six</w:t>
      </w:r>
      <w:r w:rsidRPr="00BC04D4">
        <w:rPr>
          <w:rFonts w:ascii="Times New Roman" w:hAnsi="Times New Roman" w:cs="Times New Roman"/>
        </w:rPr>
        <w:t xml:space="preserve"> rats per each group. </w:t>
      </w:r>
      <w:r>
        <w:rPr>
          <w:rFonts w:ascii="Times New Roman" w:hAnsi="Times New Roman" w:cs="Times New Roman"/>
          <w:color w:val="000000" w:themeColor="text1"/>
        </w:rPr>
        <w:t xml:space="preserve">Means in the same column with different superscripts are significantly different (P &lt; 0.05). </w:t>
      </w:r>
      <w:proofErr w:type="spellStart"/>
      <w:proofErr w:type="gramStart"/>
      <w:r>
        <w:rPr>
          <w:rFonts w:ascii="Times New Roman" w:hAnsi="Times New Roman" w:cs="Times New Roman"/>
          <w:color w:val="000000" w:themeColor="text1"/>
          <w:vertAlign w:val="superscript"/>
        </w:rPr>
        <w:t>a,b</w:t>
      </w:r>
      <w:proofErr w:type="gramEnd"/>
      <w:r>
        <w:rPr>
          <w:rFonts w:ascii="Times New Roman" w:hAnsi="Times New Roman" w:cs="Times New Roman"/>
          <w:color w:val="000000" w:themeColor="text1"/>
          <w:vertAlign w:val="superscript"/>
        </w:rPr>
        <w:t>,</w:t>
      </w:r>
      <w:proofErr w:type="gramStart"/>
      <w:r>
        <w:rPr>
          <w:rFonts w:ascii="Times New Roman" w:hAnsi="Times New Roman" w:cs="Times New Roman"/>
          <w:color w:val="000000" w:themeColor="text1"/>
          <w:vertAlign w:val="superscript"/>
        </w:rPr>
        <w:t>c,d</w:t>
      </w:r>
      <w:proofErr w:type="gramEnd"/>
      <w:r>
        <w:rPr>
          <w:rFonts w:ascii="Times New Roman" w:hAnsi="Times New Roman" w:cs="Times New Roman"/>
          <w:color w:val="000000" w:themeColor="text1"/>
          <w:vertAlign w:val="superscript"/>
        </w:rPr>
        <w:t>,e</w:t>
      </w:r>
      <w:proofErr w:type="spellEnd"/>
      <w:r>
        <w:rPr>
          <w:rFonts w:ascii="Times New Roman" w:hAnsi="Times New Roman" w:cs="Times New Roman"/>
          <w:color w:val="000000" w:themeColor="text1"/>
          <w:vertAlign w:val="superscript"/>
        </w:rPr>
        <w:t>:</w:t>
      </w:r>
      <w:r>
        <w:rPr>
          <w:rFonts w:ascii="Times New Roman" w:hAnsi="Times New Roman" w:cs="Times New Roman"/>
          <w:color w:val="000000" w:themeColor="text1"/>
        </w:rPr>
        <w:t xml:space="preserve"> significant differences between groups.</w:t>
      </w:r>
      <w:r>
        <w:rPr>
          <w:rFonts w:ascii="Times New Roman" w:hAnsi="Times New Roman" w:cs="Times New Roman"/>
        </w:rPr>
        <w:t xml:space="preserve"> control rats; C+CFE</w:t>
      </w:r>
      <w:r w:rsidRPr="00BC04D4">
        <w:rPr>
          <w:rFonts w:ascii="Times New Roman" w:hAnsi="Times New Roman" w:cs="Times New Roman"/>
        </w:rPr>
        <w:t>, contr</w:t>
      </w:r>
      <w:r>
        <w:rPr>
          <w:rFonts w:ascii="Times New Roman" w:hAnsi="Times New Roman" w:cs="Times New Roman"/>
        </w:rPr>
        <w:t xml:space="preserve">ol rats treated with </w:t>
      </w:r>
      <w:proofErr w:type="spellStart"/>
      <w:r>
        <w:rPr>
          <w:rFonts w:ascii="Times New Roman" w:hAnsi="Times New Roman" w:cs="Times New Roman"/>
          <w:i/>
        </w:rPr>
        <w:t>Caralluma</w:t>
      </w:r>
      <w:proofErr w:type="spellEnd"/>
      <w:r>
        <w:rPr>
          <w:rFonts w:ascii="Times New Roman" w:hAnsi="Times New Roman" w:cs="Times New Roman"/>
          <w:i/>
        </w:rPr>
        <w:t xml:space="preserve"> fimbriata</w:t>
      </w:r>
      <w:r w:rsidRPr="00BC04D4">
        <w:rPr>
          <w:rFonts w:ascii="Times New Roman" w:hAnsi="Times New Roman" w:cs="Times New Roman"/>
        </w:rPr>
        <w:t>; HFD, h</w:t>
      </w:r>
      <w:r>
        <w:rPr>
          <w:rFonts w:ascii="Times New Roman" w:hAnsi="Times New Roman" w:cs="Times New Roman"/>
        </w:rPr>
        <w:t>igh-fat diet fed rats; HFD+CFE</w:t>
      </w:r>
      <w:r w:rsidRPr="00BC04D4">
        <w:rPr>
          <w:rFonts w:ascii="Times New Roman" w:hAnsi="Times New Roman" w:cs="Times New Roman"/>
        </w:rPr>
        <w:t>, high-fat diet rats t</w:t>
      </w:r>
      <w:r>
        <w:rPr>
          <w:rFonts w:ascii="Times New Roman" w:hAnsi="Times New Roman" w:cs="Times New Roman"/>
        </w:rPr>
        <w:t xml:space="preserve">reated with </w:t>
      </w:r>
      <w:proofErr w:type="spellStart"/>
      <w:r>
        <w:rPr>
          <w:rFonts w:ascii="Times New Roman" w:hAnsi="Times New Roman" w:cs="Times New Roman"/>
          <w:i/>
        </w:rPr>
        <w:t>Caralluma</w:t>
      </w:r>
      <w:proofErr w:type="spellEnd"/>
      <w:r>
        <w:rPr>
          <w:rFonts w:ascii="Times New Roman" w:hAnsi="Times New Roman" w:cs="Times New Roman"/>
          <w:i/>
        </w:rPr>
        <w:t xml:space="preserve"> fimbriata</w:t>
      </w:r>
      <w:r>
        <w:rPr>
          <w:rFonts w:ascii="Times New Roman" w:hAnsi="Times New Roman" w:cs="Times New Roman"/>
        </w:rPr>
        <w:t xml:space="preserve"> (protective model); OBS+CFE</w:t>
      </w:r>
      <w:r w:rsidRPr="00BC04D4">
        <w:rPr>
          <w:rFonts w:ascii="Times New Roman" w:hAnsi="Times New Roman" w:cs="Times New Roman"/>
        </w:rPr>
        <w:t>, high-fat diet fe</w:t>
      </w:r>
      <w:r>
        <w:rPr>
          <w:rFonts w:ascii="Times New Roman" w:hAnsi="Times New Roman" w:cs="Times New Roman"/>
        </w:rPr>
        <w:t xml:space="preserve">d animals treated with </w:t>
      </w:r>
      <w:proofErr w:type="spellStart"/>
      <w:r>
        <w:rPr>
          <w:rFonts w:ascii="Times New Roman" w:hAnsi="Times New Roman" w:cs="Times New Roman"/>
          <w:i/>
        </w:rPr>
        <w:t>Caralluma</w:t>
      </w:r>
      <w:proofErr w:type="spellEnd"/>
      <w:r>
        <w:rPr>
          <w:rFonts w:ascii="Times New Roman" w:hAnsi="Times New Roman" w:cs="Times New Roman"/>
          <w:i/>
        </w:rPr>
        <w:t xml:space="preserve"> fimbriata</w:t>
      </w:r>
      <w:r>
        <w:rPr>
          <w:rFonts w:ascii="Times New Roman" w:hAnsi="Times New Roman" w:cs="Times New Roman"/>
        </w:rPr>
        <w:t xml:space="preserve"> (therapeutic model).</w:t>
      </w:r>
    </w:p>
    <w:p w14:paraId="368D2493" w14:textId="77777777" w:rsidR="00C457D1" w:rsidRPr="00445C7D" w:rsidRDefault="00C457D1" w:rsidP="00C457D1">
      <w:pPr>
        <w:rPr>
          <w:rFonts w:ascii="Times New Roman" w:hAnsi="Times New Roman" w:cs="Times New Roman"/>
        </w:rPr>
      </w:pPr>
    </w:p>
    <w:p w14:paraId="5FC0FA09" w14:textId="77777777" w:rsidR="00C457D1" w:rsidRDefault="00C457D1" w:rsidP="001753F3">
      <w:pPr>
        <w:spacing w:line="360" w:lineRule="auto"/>
        <w:jc w:val="both"/>
        <w:rPr>
          <w:rFonts w:ascii="Times New Roman" w:eastAsia="Times New Roman" w:hAnsi="Times New Roman" w:cs="Times New Roman"/>
          <w:b/>
          <w:bCs/>
          <w:kern w:val="0"/>
          <w14:ligatures w14:val="none"/>
        </w:rPr>
      </w:pPr>
    </w:p>
    <w:p w14:paraId="094514EC" w14:textId="77777777" w:rsidR="001753F3" w:rsidRPr="001753F3" w:rsidRDefault="00820464" w:rsidP="001753F3">
      <w:pPr>
        <w:spacing w:line="360" w:lineRule="auto"/>
        <w:jc w:val="both"/>
        <w:rPr>
          <w:rFonts w:ascii="Times New Roman" w:eastAsia="Times New Roman" w:hAnsi="Times New Roman" w:cs="Times New Roman"/>
          <w:b/>
          <w:bCs/>
          <w:kern w:val="0"/>
          <w14:ligatures w14:val="none"/>
        </w:rPr>
      </w:pPr>
      <w:r w:rsidRPr="001753F3">
        <w:rPr>
          <w:rFonts w:ascii="Times New Roman" w:eastAsia="Times New Roman" w:hAnsi="Times New Roman" w:cs="Times New Roman"/>
          <w:b/>
          <w:bCs/>
          <w:kern w:val="0"/>
          <w14:ligatures w14:val="none"/>
        </w:rPr>
        <w:t>Effects of CFE on Body Weight</w:t>
      </w:r>
    </w:p>
    <w:p w14:paraId="3A40598E" w14:textId="77777777" w:rsidR="005B7F08" w:rsidRPr="001753F3" w:rsidRDefault="00820464" w:rsidP="001753F3">
      <w:pPr>
        <w:spacing w:line="360" w:lineRule="auto"/>
        <w:jc w:val="both"/>
        <w:rPr>
          <w:rFonts w:ascii="Times New Roman" w:eastAsia="Times New Roman" w:hAnsi="Times New Roman" w:cs="Times New Roman"/>
          <w:kern w:val="0"/>
          <w14:ligatures w14:val="none"/>
        </w:rPr>
      </w:pPr>
      <w:r>
        <w:rPr>
          <w:rFonts w:ascii="Times New Roman" w:hAnsi="Times New Roman"/>
        </w:rPr>
        <w:t xml:space="preserve">HFD-fed rats exhibited a significant increase in body weight (29%) compared </w:t>
      </w:r>
      <w:r>
        <w:rPr>
          <w:rFonts w:ascii="Times New Roman" w:hAnsi="Times New Roman"/>
          <w:highlight w:val="yellow"/>
        </w:rPr>
        <w:t>wi</w:t>
      </w:r>
      <w:r>
        <w:rPr>
          <w:rFonts w:ascii="Times New Roman" w:hAnsi="Times New Roman"/>
        </w:rPr>
        <w:t>t</w:t>
      </w:r>
      <w:r>
        <w:rPr>
          <w:rFonts w:ascii="Times New Roman" w:hAnsi="Times New Roman"/>
          <w:highlight w:val="yellow"/>
        </w:rPr>
        <w:t>h</w:t>
      </w:r>
      <w:r>
        <w:rPr>
          <w:rFonts w:ascii="Times New Roman" w:hAnsi="Times New Roman"/>
        </w:rPr>
        <w:t xml:space="preserve"> controls. CFE treatment significantly reduced weight gain in </w:t>
      </w:r>
      <w:r>
        <w:rPr>
          <w:rFonts w:ascii="Times New Roman" w:hAnsi="Times New Roman"/>
          <w:highlight w:val="yellow"/>
        </w:rPr>
        <w:t xml:space="preserve">the </w:t>
      </w:r>
      <w:r>
        <w:rPr>
          <w:rFonts w:ascii="Times New Roman" w:hAnsi="Times New Roman"/>
        </w:rPr>
        <w:t xml:space="preserve">HFD+CFE (24.4%) and OBS+CFE (14.3%) groups. Additionally, </w:t>
      </w:r>
      <w:r>
        <w:rPr>
          <w:rFonts w:ascii="Times New Roman" w:hAnsi="Times New Roman"/>
          <w:highlight w:val="yellow"/>
        </w:rPr>
        <w:t xml:space="preserve">the </w:t>
      </w:r>
      <w:r>
        <w:rPr>
          <w:rFonts w:ascii="Times New Roman" w:hAnsi="Times New Roman"/>
        </w:rPr>
        <w:t>CFE-treated groups showed reduced body</w:t>
      </w:r>
      <w:r>
        <w:rPr>
          <w:rFonts w:ascii="Times New Roman" w:hAnsi="Times New Roman"/>
          <w:highlight w:val="yellow"/>
        </w:rPr>
        <w:t>-</w:t>
      </w:r>
      <w:r>
        <w:rPr>
          <w:rFonts w:ascii="Times New Roman" w:hAnsi="Times New Roman"/>
        </w:rPr>
        <w:t xml:space="preserve">weight gain compared </w:t>
      </w:r>
      <w:r>
        <w:rPr>
          <w:rFonts w:ascii="Times New Roman" w:hAnsi="Times New Roman"/>
          <w:highlight w:val="yellow"/>
        </w:rPr>
        <w:t>wi</w:t>
      </w:r>
      <w:r>
        <w:rPr>
          <w:rFonts w:ascii="Times New Roman" w:hAnsi="Times New Roman"/>
        </w:rPr>
        <w:t>t</w:t>
      </w:r>
      <w:r>
        <w:rPr>
          <w:rFonts w:ascii="Times New Roman" w:hAnsi="Times New Roman"/>
          <w:highlight w:val="yellow"/>
        </w:rPr>
        <w:t>h</w:t>
      </w:r>
      <w:r>
        <w:rPr>
          <w:rFonts w:ascii="Times New Roman" w:hAnsi="Times New Roman"/>
        </w:rPr>
        <w:t xml:space="preserve"> controls, indicating its protective and therapeutic efficacy (Fig. 1).</w:t>
      </w:r>
    </w:p>
    <w:p w14:paraId="51B882CA" w14:textId="77777777" w:rsidR="001753F3" w:rsidRPr="001753F3" w:rsidRDefault="00820464" w:rsidP="001753F3">
      <w:pPr>
        <w:spacing w:line="360" w:lineRule="auto"/>
        <w:jc w:val="both"/>
        <w:rPr>
          <w:rFonts w:ascii="Times New Roman" w:eastAsia="Times New Roman" w:hAnsi="Times New Roman" w:cs="Times New Roman"/>
          <w:b/>
          <w:bCs/>
          <w:kern w:val="0"/>
          <w14:ligatures w14:val="none"/>
        </w:rPr>
      </w:pPr>
      <w:r w:rsidRPr="001753F3">
        <w:rPr>
          <w:rFonts w:ascii="Times New Roman" w:eastAsia="Times New Roman" w:hAnsi="Times New Roman" w:cs="Times New Roman"/>
          <w:b/>
          <w:bCs/>
          <w:kern w:val="0"/>
          <w14:ligatures w14:val="none"/>
        </w:rPr>
        <w:t xml:space="preserve">Effects of CFE on Plasma Glucose, Insulin, </w:t>
      </w:r>
      <w:r w:rsidR="00532DC6">
        <w:rPr>
          <w:rFonts w:ascii="Times New Roman" w:eastAsia="Times New Roman" w:hAnsi="Times New Roman" w:cs="Times New Roman"/>
          <w:b/>
          <w:bCs/>
          <w:kern w:val="0"/>
          <w14:ligatures w14:val="none"/>
        </w:rPr>
        <w:t xml:space="preserve">Leptin </w:t>
      </w:r>
      <w:r w:rsidRPr="001753F3">
        <w:rPr>
          <w:rFonts w:ascii="Times New Roman" w:eastAsia="Times New Roman" w:hAnsi="Times New Roman" w:cs="Times New Roman"/>
          <w:b/>
          <w:bCs/>
          <w:kern w:val="0"/>
          <w14:ligatures w14:val="none"/>
        </w:rPr>
        <w:t>and HOMA</w:t>
      </w:r>
    </w:p>
    <w:p w14:paraId="2E7E4FEF" w14:textId="77777777" w:rsidR="005B7F08" w:rsidRDefault="00820464" w:rsidP="001753F3">
      <w:pPr>
        <w:spacing w:line="360" w:lineRule="auto"/>
        <w:jc w:val="both"/>
        <w:rPr>
          <w:rFonts w:ascii="Times New Roman" w:eastAsia="Times New Roman" w:hAnsi="Times New Roman" w:cs="Times New Roman"/>
          <w:kern w:val="0"/>
          <w14:ligatures w14:val="none"/>
        </w:rPr>
      </w:pPr>
      <w:r>
        <w:rPr>
          <w:rFonts w:ascii="Times New Roman" w:hAnsi="Times New Roman"/>
        </w:rPr>
        <w:t xml:space="preserve">HFD significantly increased plasma glucose (108.1%), insulin (241.9%), and </w:t>
      </w:r>
      <w:r>
        <w:rPr>
          <w:rFonts w:ascii="Times New Roman" w:hAnsi="Times New Roman"/>
          <w:highlight w:val="yellow"/>
        </w:rPr>
        <w:t xml:space="preserve">the </w:t>
      </w:r>
      <w:r>
        <w:rPr>
          <w:rFonts w:ascii="Times New Roman" w:hAnsi="Times New Roman"/>
        </w:rPr>
        <w:t xml:space="preserve">HOMA index (612.2%) compared </w:t>
      </w:r>
      <w:r>
        <w:rPr>
          <w:rFonts w:ascii="Times New Roman" w:hAnsi="Times New Roman"/>
          <w:highlight w:val="yellow"/>
        </w:rPr>
        <w:t>wi</w:t>
      </w:r>
      <w:r>
        <w:rPr>
          <w:rFonts w:ascii="Times New Roman" w:hAnsi="Times New Roman"/>
        </w:rPr>
        <w:t>t</w:t>
      </w:r>
      <w:r>
        <w:rPr>
          <w:rFonts w:ascii="Times New Roman" w:hAnsi="Times New Roman"/>
          <w:highlight w:val="yellow"/>
        </w:rPr>
        <w:t>h</w:t>
      </w:r>
      <w:r>
        <w:rPr>
          <w:rFonts w:ascii="Times New Roman" w:hAnsi="Times New Roman"/>
        </w:rPr>
        <w:t xml:space="preserve"> controls. CFE supplementation significantly reduced these parameters in </w:t>
      </w:r>
      <w:r>
        <w:rPr>
          <w:rFonts w:ascii="Times New Roman" w:hAnsi="Times New Roman"/>
        </w:rPr>
        <w:lastRenderedPageBreak/>
        <w:t xml:space="preserve">both </w:t>
      </w:r>
      <w:r>
        <w:rPr>
          <w:rFonts w:ascii="Times New Roman" w:hAnsi="Times New Roman"/>
          <w:highlight w:val="yellow"/>
        </w:rPr>
        <w:t xml:space="preserve">the </w:t>
      </w:r>
      <w:r>
        <w:rPr>
          <w:rFonts w:ascii="Times New Roman" w:hAnsi="Times New Roman"/>
        </w:rPr>
        <w:t xml:space="preserve">HFD+CFE and OBS+CFE groups, although </w:t>
      </w:r>
      <w:r>
        <w:rPr>
          <w:rFonts w:ascii="Times New Roman" w:hAnsi="Times New Roman"/>
          <w:highlight w:val="yellow"/>
        </w:rPr>
        <w:t xml:space="preserve">the </w:t>
      </w:r>
      <w:r>
        <w:rPr>
          <w:rFonts w:ascii="Times New Roman" w:hAnsi="Times New Roman"/>
        </w:rPr>
        <w:t>values remained higher than</w:t>
      </w:r>
      <w:r>
        <w:rPr>
          <w:rFonts w:ascii="Times New Roman" w:hAnsi="Times New Roman"/>
          <w:highlight w:val="yellow"/>
        </w:rPr>
        <w:t xml:space="preserve"> those of</w:t>
      </w:r>
      <w:r>
        <w:rPr>
          <w:rFonts w:ascii="Times New Roman" w:hAnsi="Times New Roman"/>
        </w:rPr>
        <w:t xml:space="preserve"> controls. The C+CFE group maintained near-normal levels (Fig. 1). Plasma leptin levels were significantly elevated in HFD</w:t>
      </w:r>
      <w:r>
        <w:rPr>
          <w:rFonts w:ascii="Times New Roman" w:hAnsi="Times New Roman"/>
          <w:highlight w:val="yellow"/>
        </w:rPr>
        <w:t>-fed</w:t>
      </w:r>
      <w:r>
        <w:rPr>
          <w:rFonts w:ascii="Times New Roman" w:hAnsi="Times New Roman"/>
        </w:rPr>
        <w:t xml:space="preserve"> rats. CFE treatment reduced leptin levels in both</w:t>
      </w:r>
      <w:r>
        <w:rPr>
          <w:rFonts w:ascii="Times New Roman" w:hAnsi="Times New Roman"/>
          <w:highlight w:val="yellow"/>
        </w:rPr>
        <w:t xml:space="preserve"> the</w:t>
      </w:r>
      <w:r>
        <w:rPr>
          <w:rFonts w:ascii="Times New Roman" w:hAnsi="Times New Roman"/>
        </w:rPr>
        <w:t xml:space="preserve"> HFD+CFE and OBS+CFE groups (Fig. 2A). The C+CFE group showed a slight reduction compared </w:t>
      </w:r>
      <w:r>
        <w:rPr>
          <w:rFonts w:ascii="Times New Roman" w:hAnsi="Times New Roman"/>
          <w:highlight w:val="yellow"/>
        </w:rPr>
        <w:t>wi</w:t>
      </w:r>
      <w:r>
        <w:rPr>
          <w:rFonts w:ascii="Times New Roman" w:hAnsi="Times New Roman"/>
        </w:rPr>
        <w:t>t</w:t>
      </w:r>
      <w:r>
        <w:rPr>
          <w:rFonts w:ascii="Times New Roman" w:hAnsi="Times New Roman"/>
          <w:highlight w:val="yellow"/>
        </w:rPr>
        <w:t>h</w:t>
      </w:r>
      <w:r>
        <w:rPr>
          <w:rFonts w:ascii="Times New Roman" w:hAnsi="Times New Roman"/>
        </w:rPr>
        <w:t xml:space="preserve"> controls, indicating protective effects of CFE against high</w:t>
      </w:r>
      <w:r>
        <w:rPr>
          <w:rFonts w:ascii="Times New Roman" w:hAnsi="Times New Roman"/>
          <w:highlight w:val="yellow"/>
        </w:rPr>
        <w:t>-</w:t>
      </w:r>
      <w:r>
        <w:rPr>
          <w:rFonts w:ascii="Times New Roman" w:hAnsi="Times New Roman"/>
        </w:rPr>
        <w:t>fat</w:t>
      </w:r>
      <w:r>
        <w:rPr>
          <w:rFonts w:ascii="Times New Roman" w:hAnsi="Times New Roman"/>
          <w:highlight w:val="yellow"/>
        </w:rPr>
        <w:t>-</w:t>
      </w:r>
      <w:r>
        <w:rPr>
          <w:rFonts w:ascii="Times New Roman" w:hAnsi="Times New Roman"/>
        </w:rPr>
        <w:t>diet</w:t>
      </w:r>
      <w:r>
        <w:rPr>
          <w:rFonts w:ascii="Times New Roman" w:hAnsi="Times New Roman"/>
          <w:highlight w:val="yellow"/>
        </w:rPr>
        <w:t>-</w:t>
      </w:r>
      <w:r>
        <w:rPr>
          <w:rFonts w:ascii="Times New Roman" w:hAnsi="Times New Roman"/>
        </w:rPr>
        <w:t>induced abnormalities in Wistar rats.</w:t>
      </w:r>
    </w:p>
    <w:p w14:paraId="3ECD416A" w14:textId="77777777" w:rsidR="00D676EB" w:rsidRPr="001E7043" w:rsidRDefault="00D676EB" w:rsidP="00D676EB">
      <w:pPr>
        <w:spacing w:line="360" w:lineRule="auto"/>
        <w:jc w:val="both"/>
        <w:rPr>
          <w:rFonts w:ascii="Times New Roman" w:hAnsi="Times New Roman" w:cs="Times New Roman"/>
          <w:color w:val="131313"/>
        </w:rPr>
      </w:pPr>
      <w:r w:rsidRPr="001E7043">
        <w:rPr>
          <w:rFonts w:ascii="Times New Roman" w:hAnsi="Times New Roman" w:cs="Times New Roman"/>
          <w:b/>
          <w:color w:val="131313"/>
        </w:rPr>
        <w:t>Fig. 1.</w:t>
      </w:r>
      <w:r w:rsidRPr="001E7043">
        <w:rPr>
          <w:rFonts w:ascii="Times New Roman" w:hAnsi="Times New Roman" w:cs="Times New Roman"/>
          <w:color w:val="131313"/>
        </w:rPr>
        <w:t xml:space="preserve"> Changes in body weight (A) plasma glucose (B), plasma insulin (C) and HOMA (D) in HFD fed rats </w:t>
      </w:r>
    </w:p>
    <w:p w14:paraId="6353652F" w14:textId="77777777" w:rsidR="00D676EB" w:rsidRDefault="00D676EB" w:rsidP="001753F3">
      <w:pPr>
        <w:spacing w:line="360" w:lineRule="auto"/>
        <w:jc w:val="both"/>
        <w:rPr>
          <w:rFonts w:ascii="Times New Roman" w:eastAsia="Times New Roman" w:hAnsi="Times New Roman" w:cs="Times New Roman"/>
          <w:kern w:val="0"/>
          <w14:ligatures w14:val="none"/>
        </w:rPr>
      </w:pPr>
    </w:p>
    <w:p w14:paraId="115DA893" w14:textId="77777777" w:rsidR="00D676EB" w:rsidRDefault="00D676EB" w:rsidP="00D676EB">
      <w:pPr>
        <w:spacing w:line="360" w:lineRule="auto"/>
        <w:jc w:val="both"/>
        <w:rPr>
          <w:rFonts w:ascii="Times New Roman" w:eastAsia="Times New Roman" w:hAnsi="Times New Roman" w:cs="Times New Roman"/>
          <w:kern w:val="0"/>
          <w14:ligatures w14:val="none"/>
        </w:rPr>
      </w:pPr>
      <w:r w:rsidRPr="00D676EB">
        <w:rPr>
          <w:rFonts w:ascii="Times New Roman" w:eastAsia="Times New Roman" w:hAnsi="Times New Roman" w:cs="Times New Roman"/>
          <w:noProof/>
          <w:kern w:val="0"/>
          <w14:ligatures w14:val="none"/>
        </w:rPr>
        <w:drawing>
          <wp:inline distT="0" distB="0" distL="0" distR="0" wp14:anchorId="0EF403C1" wp14:editId="4625DC7E">
            <wp:extent cx="4782486" cy="3161649"/>
            <wp:effectExtent l="0" t="0" r="0" b="1270"/>
            <wp:docPr id="3695636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27752" cy="3191574"/>
                    </a:xfrm>
                    <a:prstGeom prst="rect">
                      <a:avLst/>
                    </a:prstGeom>
                    <a:noFill/>
                    <a:ln>
                      <a:noFill/>
                    </a:ln>
                  </pic:spPr>
                </pic:pic>
              </a:graphicData>
            </a:graphic>
          </wp:inline>
        </w:drawing>
      </w:r>
    </w:p>
    <w:p w14:paraId="5118C37A" w14:textId="77777777" w:rsidR="00D676EB" w:rsidRPr="00D676EB" w:rsidRDefault="00D676EB" w:rsidP="001753F3">
      <w:pPr>
        <w:spacing w:line="360" w:lineRule="auto"/>
        <w:jc w:val="both"/>
        <w:rPr>
          <w:rFonts w:ascii="Times New Roman" w:hAnsi="Times New Roman" w:cs="Times New Roman"/>
        </w:rPr>
      </w:pPr>
      <w:r w:rsidRPr="001E7043">
        <w:rPr>
          <w:rFonts w:ascii="Times New Roman" w:hAnsi="Times New Roman" w:cs="Times New Roman"/>
          <w:color w:val="131313"/>
        </w:rPr>
        <w:t>Group-</w:t>
      </w:r>
      <w:r w:rsidRPr="001E7043">
        <w:rPr>
          <w:rFonts w:ascii="Times New Roman" w:hAnsi="Times New Roman" w:cs="Times New Roman"/>
        </w:rPr>
        <w:t xml:space="preserve"> C, C+CFE, control rats treated with </w:t>
      </w:r>
      <w:proofErr w:type="spellStart"/>
      <w:r w:rsidRPr="001E7043">
        <w:rPr>
          <w:rFonts w:ascii="Times New Roman" w:hAnsi="Times New Roman" w:cs="Times New Roman"/>
          <w:i/>
        </w:rPr>
        <w:t>Caralluma</w:t>
      </w:r>
      <w:proofErr w:type="spellEnd"/>
      <w:r w:rsidRPr="001E7043">
        <w:rPr>
          <w:rFonts w:ascii="Times New Roman" w:hAnsi="Times New Roman" w:cs="Times New Roman"/>
          <w:i/>
        </w:rPr>
        <w:t xml:space="preserve"> fimbriata</w:t>
      </w:r>
      <w:r w:rsidRPr="001E7043">
        <w:rPr>
          <w:rFonts w:ascii="Times New Roman" w:hAnsi="Times New Roman" w:cs="Times New Roman"/>
        </w:rPr>
        <w:t xml:space="preserve">; HFD, high-fat diet fed rats; HFD+CFE, high-fat diet rats treated with </w:t>
      </w:r>
      <w:proofErr w:type="spellStart"/>
      <w:r w:rsidRPr="001E7043">
        <w:rPr>
          <w:rFonts w:ascii="Times New Roman" w:hAnsi="Times New Roman" w:cs="Times New Roman"/>
          <w:i/>
        </w:rPr>
        <w:t>Caralluma</w:t>
      </w:r>
      <w:proofErr w:type="spellEnd"/>
      <w:r w:rsidRPr="001E7043">
        <w:rPr>
          <w:rFonts w:ascii="Times New Roman" w:hAnsi="Times New Roman" w:cs="Times New Roman"/>
          <w:i/>
        </w:rPr>
        <w:t xml:space="preserve"> fimbriata</w:t>
      </w:r>
      <w:r w:rsidRPr="001E7043">
        <w:rPr>
          <w:rFonts w:ascii="Times New Roman" w:hAnsi="Times New Roman" w:cs="Times New Roman"/>
        </w:rPr>
        <w:t xml:space="preserve"> (protective model); OBS+CFE, high-fat diet fed animals treated with </w:t>
      </w:r>
      <w:proofErr w:type="spellStart"/>
      <w:r w:rsidRPr="001E7043">
        <w:rPr>
          <w:rFonts w:ascii="Times New Roman" w:hAnsi="Times New Roman" w:cs="Times New Roman"/>
          <w:i/>
        </w:rPr>
        <w:t>Caralluma</w:t>
      </w:r>
      <w:proofErr w:type="spellEnd"/>
      <w:r w:rsidRPr="001E7043">
        <w:rPr>
          <w:rFonts w:ascii="Times New Roman" w:hAnsi="Times New Roman" w:cs="Times New Roman"/>
          <w:i/>
        </w:rPr>
        <w:t xml:space="preserve"> fimbriata</w:t>
      </w:r>
      <w:r w:rsidRPr="001E7043">
        <w:rPr>
          <w:rFonts w:ascii="Times New Roman" w:hAnsi="Times New Roman" w:cs="Times New Roman"/>
        </w:rPr>
        <w:t xml:space="preserve"> (therapeutic model). </w:t>
      </w:r>
      <w:r w:rsidRPr="001E7043">
        <w:rPr>
          <w:rFonts w:ascii="Times New Roman" w:hAnsi="Times New Roman" w:cs="Times New Roman"/>
          <w:color w:val="131313"/>
        </w:rPr>
        <w:t>(Values are mean ± SEM (n=6 animals in each group)</w:t>
      </w:r>
      <w:r w:rsidRPr="001E7043">
        <w:rPr>
          <w:rFonts w:ascii="Times New Roman" w:hAnsi="Times New Roman" w:cs="Times New Roman"/>
        </w:rPr>
        <w:t xml:space="preserve">. a-e Significant differences between groups-C, C+CFE, HFD, HFD+CFE and OBS+CFE. </w:t>
      </w:r>
    </w:p>
    <w:p w14:paraId="3E100260" w14:textId="77777777" w:rsidR="001753F3" w:rsidRPr="001753F3" w:rsidRDefault="00820464" w:rsidP="001753F3">
      <w:pPr>
        <w:spacing w:line="360" w:lineRule="auto"/>
        <w:jc w:val="both"/>
        <w:rPr>
          <w:rFonts w:ascii="Times New Roman" w:eastAsia="Times New Roman" w:hAnsi="Times New Roman" w:cs="Times New Roman"/>
          <w:b/>
          <w:bCs/>
          <w:kern w:val="0"/>
          <w14:ligatures w14:val="none"/>
        </w:rPr>
      </w:pPr>
      <w:r w:rsidRPr="001753F3">
        <w:rPr>
          <w:rFonts w:ascii="Times New Roman" w:eastAsia="Times New Roman" w:hAnsi="Times New Roman" w:cs="Times New Roman"/>
          <w:b/>
          <w:bCs/>
          <w:kern w:val="0"/>
          <w14:ligatures w14:val="none"/>
        </w:rPr>
        <w:t>Effects of CFE on Lipid Profile</w:t>
      </w:r>
    </w:p>
    <w:p w14:paraId="0737FBAA" w14:textId="77777777" w:rsidR="005B7F08" w:rsidRDefault="00820464" w:rsidP="001753F3">
      <w:pPr>
        <w:spacing w:line="360" w:lineRule="auto"/>
        <w:jc w:val="both"/>
        <w:rPr>
          <w:rFonts w:ascii="Times New Roman" w:eastAsia="Times New Roman" w:hAnsi="Times New Roman" w:cs="Times New Roman"/>
          <w:kern w:val="0"/>
          <w14:ligatures w14:val="none"/>
        </w:rPr>
      </w:pPr>
      <w:r>
        <w:rPr>
          <w:rFonts w:ascii="Times New Roman" w:hAnsi="Times New Roman"/>
        </w:rPr>
        <w:lastRenderedPageBreak/>
        <w:t>HFD significantly increased TG, TC, LDL-C, VLDL-C, and</w:t>
      </w:r>
      <w:r>
        <w:rPr>
          <w:rFonts w:ascii="Times New Roman" w:hAnsi="Times New Roman"/>
          <w:highlight w:val="yellow"/>
        </w:rPr>
        <w:t xml:space="preserve"> the</w:t>
      </w:r>
      <w:r>
        <w:rPr>
          <w:rFonts w:ascii="Times New Roman" w:hAnsi="Times New Roman"/>
        </w:rPr>
        <w:t xml:space="preserve"> atherogenic index, while decreasing HDL-C. CFE supplementation effectively reversed these alterations in both treatment groups. The C+CFE group also showed </w:t>
      </w:r>
      <w:r>
        <w:rPr>
          <w:rFonts w:ascii="Times New Roman" w:hAnsi="Times New Roman"/>
          <w:highlight w:val="yellow"/>
        </w:rPr>
        <w:t xml:space="preserve">an </w:t>
      </w:r>
      <w:r>
        <w:rPr>
          <w:rFonts w:ascii="Times New Roman" w:hAnsi="Times New Roman"/>
        </w:rPr>
        <w:t>improved lipid profile, suggesting anti-atherogenic effects (Fig</w:t>
      </w:r>
      <w:r>
        <w:rPr>
          <w:rFonts w:ascii="Times New Roman" w:hAnsi="Times New Roman"/>
          <w:highlight w:val="yellow"/>
        </w:rPr>
        <w:t>s</w:t>
      </w:r>
      <w:r>
        <w:rPr>
          <w:rFonts w:ascii="Times New Roman" w:hAnsi="Times New Roman"/>
        </w:rPr>
        <w:t xml:space="preserve">. 2A </w:t>
      </w:r>
      <w:r>
        <w:rPr>
          <w:rFonts w:ascii="Times New Roman" w:hAnsi="Times New Roman"/>
          <w:highlight w:val="yellow"/>
        </w:rPr>
        <w:t>and</w:t>
      </w:r>
      <w:r>
        <w:rPr>
          <w:rFonts w:ascii="Times New Roman" w:hAnsi="Times New Roman"/>
        </w:rPr>
        <w:t xml:space="preserve"> 3D).</w:t>
      </w:r>
    </w:p>
    <w:p w14:paraId="09BE539F" w14:textId="77777777" w:rsidR="000C2A3D" w:rsidRPr="001E7043" w:rsidRDefault="000C2A3D" w:rsidP="000C2A3D">
      <w:pPr>
        <w:spacing w:line="360" w:lineRule="auto"/>
        <w:jc w:val="both"/>
        <w:rPr>
          <w:rFonts w:ascii="Times New Roman" w:hAnsi="Times New Roman" w:cs="Times New Roman"/>
          <w:color w:val="131313"/>
        </w:rPr>
      </w:pPr>
      <w:r w:rsidRPr="001E7043">
        <w:rPr>
          <w:rFonts w:ascii="Times New Roman" w:hAnsi="Times New Roman" w:cs="Times New Roman"/>
          <w:b/>
          <w:color w:val="131313"/>
        </w:rPr>
        <w:t>Fig. 2.</w:t>
      </w:r>
      <w:r w:rsidRPr="001E7043">
        <w:rPr>
          <w:rFonts w:ascii="Times New Roman" w:hAnsi="Times New Roman" w:cs="Times New Roman"/>
          <w:color w:val="131313"/>
        </w:rPr>
        <w:t xml:space="preserve"> Changes in fasting plasma leptin (A), fasting plasma triglycerides (B), and fasting plasma cholesterol (C) in HFD fed rats </w:t>
      </w:r>
    </w:p>
    <w:p w14:paraId="659AAA57" w14:textId="77777777" w:rsidR="000C2A3D" w:rsidRDefault="000C2A3D" w:rsidP="001753F3">
      <w:pPr>
        <w:spacing w:line="360" w:lineRule="auto"/>
        <w:jc w:val="both"/>
        <w:rPr>
          <w:rFonts w:ascii="Times New Roman" w:eastAsia="Times New Roman" w:hAnsi="Times New Roman" w:cs="Times New Roman"/>
          <w:kern w:val="0"/>
          <w14:ligatures w14:val="none"/>
        </w:rPr>
      </w:pPr>
    </w:p>
    <w:p w14:paraId="7985B28E" w14:textId="77777777" w:rsidR="000C2A3D" w:rsidRDefault="000C2A3D" w:rsidP="000C2A3D">
      <w:pPr>
        <w:spacing w:line="360" w:lineRule="auto"/>
        <w:jc w:val="center"/>
        <w:rPr>
          <w:rFonts w:ascii="Times New Roman" w:eastAsia="Times New Roman" w:hAnsi="Times New Roman" w:cs="Times New Roman"/>
          <w:kern w:val="0"/>
          <w14:ligatures w14:val="none"/>
        </w:rPr>
      </w:pPr>
      <w:r w:rsidRPr="000C2A3D">
        <w:rPr>
          <w:rFonts w:ascii="Times New Roman" w:eastAsia="Times New Roman" w:hAnsi="Times New Roman" w:cs="Times New Roman"/>
          <w:noProof/>
          <w:kern w:val="0"/>
          <w14:ligatures w14:val="none"/>
        </w:rPr>
        <w:drawing>
          <wp:inline distT="0" distB="0" distL="0" distR="0" wp14:anchorId="70424CA8" wp14:editId="56C36008">
            <wp:extent cx="2731770" cy="3166711"/>
            <wp:effectExtent l="0" t="0" r="0" b="0"/>
            <wp:docPr id="82458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95663" cy="3240777"/>
                    </a:xfrm>
                    <a:prstGeom prst="rect">
                      <a:avLst/>
                    </a:prstGeom>
                    <a:noFill/>
                    <a:ln>
                      <a:noFill/>
                    </a:ln>
                  </pic:spPr>
                </pic:pic>
              </a:graphicData>
            </a:graphic>
          </wp:inline>
        </w:drawing>
      </w:r>
    </w:p>
    <w:p w14:paraId="191FE175" w14:textId="77777777" w:rsidR="000C2A3D" w:rsidRDefault="000C2A3D" w:rsidP="000C2A3D">
      <w:pPr>
        <w:spacing w:line="360" w:lineRule="auto"/>
        <w:jc w:val="both"/>
        <w:rPr>
          <w:rFonts w:ascii="Times New Roman" w:hAnsi="Times New Roman" w:cs="Times New Roman"/>
        </w:rPr>
      </w:pPr>
      <w:r w:rsidRPr="001E7043">
        <w:rPr>
          <w:rFonts w:ascii="Times New Roman" w:hAnsi="Times New Roman" w:cs="Times New Roman"/>
          <w:color w:val="131313"/>
        </w:rPr>
        <w:t>Group-</w:t>
      </w:r>
      <w:r w:rsidRPr="001E7043">
        <w:rPr>
          <w:rFonts w:ascii="Times New Roman" w:hAnsi="Times New Roman" w:cs="Times New Roman"/>
        </w:rPr>
        <w:t xml:space="preserve">C, C+CFE, control rats treated with </w:t>
      </w:r>
      <w:proofErr w:type="spellStart"/>
      <w:r w:rsidRPr="001E7043">
        <w:rPr>
          <w:rFonts w:ascii="Times New Roman" w:hAnsi="Times New Roman" w:cs="Times New Roman"/>
          <w:i/>
        </w:rPr>
        <w:t>Caralluma</w:t>
      </w:r>
      <w:proofErr w:type="spellEnd"/>
      <w:r w:rsidRPr="001E7043">
        <w:rPr>
          <w:rFonts w:ascii="Times New Roman" w:hAnsi="Times New Roman" w:cs="Times New Roman"/>
          <w:i/>
        </w:rPr>
        <w:t xml:space="preserve"> fimbriata</w:t>
      </w:r>
      <w:r w:rsidRPr="001E7043">
        <w:rPr>
          <w:rFonts w:ascii="Times New Roman" w:hAnsi="Times New Roman" w:cs="Times New Roman"/>
        </w:rPr>
        <w:t xml:space="preserve">; HFD, high-fat diet fed rats; HFD+CFE, high-fat diet rats treated with </w:t>
      </w:r>
      <w:proofErr w:type="spellStart"/>
      <w:r w:rsidRPr="001E7043">
        <w:rPr>
          <w:rFonts w:ascii="Times New Roman" w:hAnsi="Times New Roman" w:cs="Times New Roman"/>
          <w:i/>
        </w:rPr>
        <w:t>Caralluma</w:t>
      </w:r>
      <w:proofErr w:type="spellEnd"/>
      <w:r w:rsidRPr="001E7043">
        <w:rPr>
          <w:rFonts w:ascii="Times New Roman" w:hAnsi="Times New Roman" w:cs="Times New Roman"/>
          <w:i/>
        </w:rPr>
        <w:t xml:space="preserve"> fimbriata</w:t>
      </w:r>
      <w:r w:rsidRPr="001E7043">
        <w:rPr>
          <w:rFonts w:ascii="Times New Roman" w:hAnsi="Times New Roman" w:cs="Times New Roman"/>
        </w:rPr>
        <w:t xml:space="preserve"> (protective model); OBS+CFE, high-fat diet fed animals treated with </w:t>
      </w:r>
      <w:proofErr w:type="spellStart"/>
      <w:r w:rsidRPr="001E7043">
        <w:rPr>
          <w:rFonts w:ascii="Times New Roman" w:hAnsi="Times New Roman" w:cs="Times New Roman"/>
          <w:i/>
        </w:rPr>
        <w:t>Caralluma</w:t>
      </w:r>
      <w:proofErr w:type="spellEnd"/>
      <w:r w:rsidRPr="001E7043">
        <w:rPr>
          <w:rFonts w:ascii="Times New Roman" w:hAnsi="Times New Roman" w:cs="Times New Roman"/>
          <w:i/>
        </w:rPr>
        <w:t xml:space="preserve"> fimbriata</w:t>
      </w:r>
      <w:r w:rsidRPr="001E7043">
        <w:rPr>
          <w:rFonts w:ascii="Times New Roman" w:hAnsi="Times New Roman" w:cs="Times New Roman"/>
        </w:rPr>
        <w:t xml:space="preserve"> (therapeutic model). </w:t>
      </w:r>
      <w:r w:rsidRPr="001E7043">
        <w:rPr>
          <w:rFonts w:ascii="Times New Roman" w:hAnsi="Times New Roman" w:cs="Times New Roman"/>
          <w:color w:val="131313"/>
        </w:rPr>
        <w:t>(Values are mean ± SEM (n=6 animals in each group)</w:t>
      </w:r>
      <w:r w:rsidRPr="001E7043">
        <w:rPr>
          <w:rFonts w:ascii="Times New Roman" w:hAnsi="Times New Roman" w:cs="Times New Roman"/>
        </w:rPr>
        <w:t xml:space="preserve">. </w:t>
      </w:r>
    </w:p>
    <w:p w14:paraId="77190052" w14:textId="77777777" w:rsidR="000C2A3D" w:rsidRPr="000C2A3D" w:rsidRDefault="000C2A3D" w:rsidP="000C2A3D">
      <w:pPr>
        <w:spacing w:line="360" w:lineRule="auto"/>
        <w:jc w:val="both"/>
        <w:rPr>
          <w:rFonts w:ascii="Times New Roman" w:hAnsi="Times New Roman" w:cs="Times New Roman"/>
          <w:color w:val="131313"/>
        </w:rPr>
      </w:pPr>
      <w:r w:rsidRPr="001E7043">
        <w:rPr>
          <w:rFonts w:ascii="Times New Roman" w:hAnsi="Times New Roman" w:cs="Times New Roman"/>
          <w:b/>
          <w:color w:val="131313"/>
        </w:rPr>
        <w:t>Fig. 3</w:t>
      </w:r>
      <w:r w:rsidRPr="001E7043">
        <w:rPr>
          <w:rFonts w:ascii="Times New Roman" w:hAnsi="Times New Roman" w:cs="Times New Roman"/>
          <w:color w:val="131313"/>
        </w:rPr>
        <w:t>. Changes in VLDL-C (A), LDL-C (B</w:t>
      </w:r>
      <w:proofErr w:type="gramStart"/>
      <w:r w:rsidRPr="001E7043">
        <w:rPr>
          <w:rFonts w:ascii="Times New Roman" w:hAnsi="Times New Roman" w:cs="Times New Roman"/>
          <w:color w:val="131313"/>
        </w:rPr>
        <w:t>),  HDL</w:t>
      </w:r>
      <w:proofErr w:type="gramEnd"/>
      <w:r w:rsidRPr="001E7043">
        <w:rPr>
          <w:rFonts w:ascii="Times New Roman" w:hAnsi="Times New Roman" w:cs="Times New Roman"/>
          <w:color w:val="131313"/>
        </w:rPr>
        <w:t xml:space="preserve">-C (C) and </w:t>
      </w:r>
      <w:r w:rsidRPr="001E7043">
        <w:rPr>
          <w:rFonts w:ascii="Times New Roman" w:hAnsi="Times New Roman" w:cs="Times New Roman"/>
        </w:rPr>
        <w:t xml:space="preserve">Atherogenic Index (AI) </w:t>
      </w:r>
      <w:r w:rsidRPr="001E7043">
        <w:rPr>
          <w:rFonts w:ascii="Times New Roman" w:hAnsi="Times New Roman" w:cs="Times New Roman"/>
          <w:color w:val="131313"/>
        </w:rPr>
        <w:t>in HFD fed</w:t>
      </w:r>
      <w:r>
        <w:rPr>
          <w:rFonts w:ascii="Times New Roman" w:hAnsi="Times New Roman" w:cs="Times New Roman"/>
          <w:color w:val="131313"/>
        </w:rPr>
        <w:t xml:space="preserve">            rats</w:t>
      </w:r>
    </w:p>
    <w:p w14:paraId="152E3A2F" w14:textId="77777777" w:rsidR="002A49BB" w:rsidRDefault="000C2A3D" w:rsidP="002A49BB">
      <w:pPr>
        <w:pStyle w:val="NormalWeb"/>
      </w:pPr>
      <w:r>
        <w:rPr>
          <w:noProof/>
        </w:rPr>
        <w:lastRenderedPageBreak/>
        <w:drawing>
          <wp:inline distT="0" distB="0" distL="0" distR="0" wp14:anchorId="50F29A21" wp14:editId="40ECC80D">
            <wp:extent cx="2622210" cy="3457441"/>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57097" cy="3503440"/>
                    </a:xfrm>
                    <a:prstGeom prst="rect">
                      <a:avLst/>
                    </a:prstGeom>
                    <a:noFill/>
                    <a:ln>
                      <a:noFill/>
                    </a:ln>
                  </pic:spPr>
                </pic:pic>
              </a:graphicData>
            </a:graphic>
          </wp:inline>
        </w:drawing>
      </w:r>
      <w:r w:rsidR="002A49BB" w:rsidRPr="002A49BB">
        <w:rPr>
          <w:noProof/>
        </w:rPr>
        <w:t xml:space="preserve"> </w:t>
      </w:r>
      <w:r w:rsidR="002A49BB">
        <w:rPr>
          <w:noProof/>
        </w:rPr>
        <w:drawing>
          <wp:inline distT="0" distB="0" distL="0" distR="0" wp14:anchorId="2ABF4A87" wp14:editId="4DE5BE24">
            <wp:extent cx="2054913" cy="1572375"/>
            <wp:effectExtent l="0" t="0" r="2540" b="8890"/>
            <wp:docPr id="1673432743" name="Picture 1673432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76981" cy="1589261"/>
                    </a:xfrm>
                    <a:prstGeom prst="rect">
                      <a:avLst/>
                    </a:prstGeom>
                    <a:noFill/>
                    <a:ln>
                      <a:noFill/>
                    </a:ln>
                  </pic:spPr>
                </pic:pic>
              </a:graphicData>
            </a:graphic>
          </wp:inline>
        </w:drawing>
      </w:r>
    </w:p>
    <w:p w14:paraId="297AE23C" w14:textId="77777777" w:rsidR="000C2A3D" w:rsidRDefault="000C2A3D" w:rsidP="000C2A3D">
      <w:pPr>
        <w:spacing w:line="360" w:lineRule="auto"/>
        <w:jc w:val="both"/>
        <w:rPr>
          <w:rFonts w:ascii="Times New Roman" w:hAnsi="Times New Roman" w:cs="Times New Roman"/>
        </w:rPr>
      </w:pPr>
      <w:r w:rsidRPr="001E7043">
        <w:rPr>
          <w:rFonts w:ascii="Times New Roman" w:hAnsi="Times New Roman" w:cs="Times New Roman"/>
          <w:color w:val="131313"/>
        </w:rPr>
        <w:t>Group-</w:t>
      </w:r>
      <w:r w:rsidRPr="001E7043">
        <w:rPr>
          <w:rFonts w:ascii="Times New Roman" w:hAnsi="Times New Roman" w:cs="Times New Roman"/>
        </w:rPr>
        <w:t xml:space="preserve">C, C+CFE, control rats treated with </w:t>
      </w:r>
      <w:proofErr w:type="spellStart"/>
      <w:r w:rsidRPr="001E7043">
        <w:rPr>
          <w:rFonts w:ascii="Times New Roman" w:hAnsi="Times New Roman" w:cs="Times New Roman"/>
          <w:i/>
        </w:rPr>
        <w:t>Caralluma</w:t>
      </w:r>
      <w:proofErr w:type="spellEnd"/>
      <w:r w:rsidRPr="001E7043">
        <w:rPr>
          <w:rFonts w:ascii="Times New Roman" w:hAnsi="Times New Roman" w:cs="Times New Roman"/>
          <w:i/>
        </w:rPr>
        <w:t xml:space="preserve"> fimbriata</w:t>
      </w:r>
      <w:r w:rsidRPr="001E7043">
        <w:rPr>
          <w:rFonts w:ascii="Times New Roman" w:hAnsi="Times New Roman" w:cs="Times New Roman"/>
        </w:rPr>
        <w:t xml:space="preserve">; HFD, high-fat diet fed rats; HFD+CFE, high-fat diet rats treated with </w:t>
      </w:r>
      <w:proofErr w:type="spellStart"/>
      <w:r w:rsidRPr="001E7043">
        <w:rPr>
          <w:rFonts w:ascii="Times New Roman" w:hAnsi="Times New Roman" w:cs="Times New Roman"/>
          <w:i/>
        </w:rPr>
        <w:t>Caralluma</w:t>
      </w:r>
      <w:proofErr w:type="spellEnd"/>
      <w:r w:rsidRPr="001E7043">
        <w:rPr>
          <w:rFonts w:ascii="Times New Roman" w:hAnsi="Times New Roman" w:cs="Times New Roman"/>
          <w:i/>
        </w:rPr>
        <w:t xml:space="preserve"> fimbriata</w:t>
      </w:r>
      <w:r w:rsidRPr="001E7043">
        <w:rPr>
          <w:rFonts w:ascii="Times New Roman" w:hAnsi="Times New Roman" w:cs="Times New Roman"/>
        </w:rPr>
        <w:t xml:space="preserve"> (protective model); OBS+CFE, high-fat diet fed animals treated with </w:t>
      </w:r>
      <w:proofErr w:type="spellStart"/>
      <w:r w:rsidRPr="001E7043">
        <w:rPr>
          <w:rFonts w:ascii="Times New Roman" w:hAnsi="Times New Roman" w:cs="Times New Roman"/>
          <w:i/>
        </w:rPr>
        <w:t>Caralluma</w:t>
      </w:r>
      <w:proofErr w:type="spellEnd"/>
      <w:r w:rsidRPr="001E7043">
        <w:rPr>
          <w:rFonts w:ascii="Times New Roman" w:hAnsi="Times New Roman" w:cs="Times New Roman"/>
          <w:i/>
        </w:rPr>
        <w:t xml:space="preserve"> fimbriata</w:t>
      </w:r>
      <w:r w:rsidRPr="001E7043">
        <w:rPr>
          <w:rFonts w:ascii="Times New Roman" w:hAnsi="Times New Roman" w:cs="Times New Roman"/>
        </w:rPr>
        <w:t xml:space="preserve"> (therapeutic model). </w:t>
      </w:r>
      <w:r w:rsidRPr="001E7043">
        <w:rPr>
          <w:rFonts w:ascii="Times New Roman" w:hAnsi="Times New Roman" w:cs="Times New Roman"/>
          <w:color w:val="131313"/>
        </w:rPr>
        <w:t>(Values are mean ± SEM (n=6 animals in each group)</w:t>
      </w:r>
      <w:r w:rsidRPr="001E7043">
        <w:rPr>
          <w:rFonts w:ascii="Times New Roman" w:hAnsi="Times New Roman" w:cs="Times New Roman"/>
        </w:rPr>
        <w:t xml:space="preserve">. a-e Significant differences between groups-C, C+CFE, HFD, HFD+CFE and OBS+CFE. </w:t>
      </w:r>
    </w:p>
    <w:p w14:paraId="6A45E45F" w14:textId="77777777" w:rsidR="000C2A3D" w:rsidRPr="001753F3" w:rsidRDefault="000C2A3D" w:rsidP="000C2A3D">
      <w:pPr>
        <w:spacing w:line="360" w:lineRule="auto"/>
        <w:jc w:val="both"/>
        <w:rPr>
          <w:rFonts w:ascii="Times New Roman" w:eastAsia="Times New Roman" w:hAnsi="Times New Roman" w:cs="Times New Roman"/>
          <w:b/>
          <w:bCs/>
          <w:kern w:val="0"/>
          <w14:ligatures w14:val="none"/>
        </w:rPr>
      </w:pPr>
      <w:r w:rsidRPr="001753F3">
        <w:rPr>
          <w:rFonts w:ascii="Times New Roman" w:eastAsia="Times New Roman" w:hAnsi="Times New Roman" w:cs="Times New Roman"/>
          <w:b/>
          <w:bCs/>
          <w:kern w:val="0"/>
          <w14:ligatures w14:val="none"/>
        </w:rPr>
        <w:t>Effects of CFE on Hepatic Lipid Content</w:t>
      </w:r>
    </w:p>
    <w:p w14:paraId="165702C8" w14:textId="77777777" w:rsidR="000C2A3D" w:rsidRDefault="000C2A3D" w:rsidP="000C2A3D">
      <w:pPr>
        <w:spacing w:line="360" w:lineRule="auto"/>
        <w:jc w:val="both"/>
        <w:rPr>
          <w:rFonts w:ascii="Times New Roman" w:eastAsia="Times New Roman" w:hAnsi="Times New Roman" w:cs="Times New Roman"/>
          <w:kern w:val="0"/>
          <w14:ligatures w14:val="none"/>
        </w:rPr>
      </w:pPr>
      <w:r>
        <w:rPr>
          <w:rFonts w:ascii="Times New Roman" w:hAnsi="Times New Roman"/>
        </w:rPr>
        <w:t>As shown in Table 2, rats fed a high-fat diet (HFD) exhibited significant increase</w:t>
      </w:r>
      <w:r>
        <w:rPr>
          <w:rFonts w:ascii="Times New Roman" w:hAnsi="Times New Roman"/>
          <w:highlight w:val="yellow"/>
        </w:rPr>
        <w:t>s</w:t>
      </w:r>
      <w:r>
        <w:rPr>
          <w:rFonts w:ascii="Times New Roman" w:hAnsi="Times New Roman"/>
        </w:rPr>
        <w:t xml:space="preserve"> in hepatic total cholesterol (38.7%), triglycerides (75%), total lipids (45.7%), and free fatty acids (100%), along with a significant decrease in phospholipids (24.4%) compared </w:t>
      </w:r>
      <w:r>
        <w:rPr>
          <w:rFonts w:ascii="Times New Roman" w:hAnsi="Times New Roman"/>
          <w:highlight w:val="yellow"/>
        </w:rPr>
        <w:t>wi</w:t>
      </w:r>
      <w:r>
        <w:rPr>
          <w:rFonts w:ascii="Times New Roman" w:hAnsi="Times New Roman"/>
        </w:rPr>
        <w:t>t</w:t>
      </w:r>
      <w:r>
        <w:rPr>
          <w:rFonts w:ascii="Times New Roman" w:hAnsi="Times New Roman"/>
          <w:highlight w:val="yellow"/>
        </w:rPr>
        <w:t>h</w:t>
      </w:r>
      <w:r>
        <w:rPr>
          <w:rFonts w:ascii="Times New Roman" w:hAnsi="Times New Roman"/>
        </w:rPr>
        <w:t xml:space="preserve"> the control group. Co-administration of CFE in both</w:t>
      </w:r>
      <w:r>
        <w:rPr>
          <w:rFonts w:ascii="Times New Roman" w:hAnsi="Times New Roman"/>
          <w:highlight w:val="yellow"/>
        </w:rPr>
        <w:t xml:space="preserve"> the</w:t>
      </w:r>
      <w:r>
        <w:rPr>
          <w:rFonts w:ascii="Times New Roman" w:hAnsi="Times New Roman"/>
        </w:rPr>
        <w:t xml:space="preserve"> protective (HFD+CFE) and therapeutic (OBS+CFE) groups significantly attenuated these alterations. In contrast, the C+CFE group showed no significant changes in hepatic total lipids, total cholesterol, triglycerides, or free fatty acids, with only a slight variation in phospholipid levels compared </w:t>
      </w:r>
      <w:r>
        <w:rPr>
          <w:rFonts w:ascii="Times New Roman" w:hAnsi="Times New Roman"/>
          <w:highlight w:val="yellow"/>
        </w:rPr>
        <w:t>wi</w:t>
      </w:r>
      <w:r>
        <w:rPr>
          <w:rFonts w:ascii="Times New Roman" w:hAnsi="Times New Roman"/>
        </w:rPr>
        <w:t>t</w:t>
      </w:r>
      <w:r>
        <w:rPr>
          <w:rFonts w:ascii="Times New Roman" w:hAnsi="Times New Roman"/>
          <w:highlight w:val="yellow"/>
        </w:rPr>
        <w:t>h</w:t>
      </w:r>
      <w:r>
        <w:rPr>
          <w:rFonts w:ascii="Times New Roman" w:hAnsi="Times New Roman"/>
        </w:rPr>
        <w:t xml:space="preserve"> the control group.</w:t>
      </w:r>
    </w:p>
    <w:p w14:paraId="23126636" w14:textId="77777777" w:rsidR="000C2A3D" w:rsidRPr="000C2A3D" w:rsidRDefault="002574CA" w:rsidP="000C2A3D">
      <w:pPr>
        <w:spacing w:line="36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Table 2: </w:t>
      </w:r>
      <w:r w:rsidRPr="00BA1B06">
        <w:rPr>
          <w:rFonts w:ascii="Times New Roman" w:hAnsi="Times New Roman" w:cs="Times New Roman"/>
        </w:rPr>
        <w:t>Protective</w:t>
      </w:r>
      <w:r w:rsidRPr="00C419BA">
        <w:rPr>
          <w:rFonts w:ascii="Times New Roman" w:hAnsi="Times New Roman" w:cs="Times New Roman"/>
          <w:b/>
        </w:rPr>
        <w:t xml:space="preserve"> </w:t>
      </w:r>
      <w:r w:rsidRPr="00BA1B06">
        <w:rPr>
          <w:rFonts w:ascii="Times New Roman" w:hAnsi="Times New Roman" w:cs="Times New Roman"/>
        </w:rPr>
        <w:t>and therapeutic effects of CFE on hepatic lipids in five experimental groups</w:t>
      </w:r>
    </w:p>
    <w:tbl>
      <w:tblPr>
        <w:tblStyle w:val="TableGrid"/>
        <w:tblpPr w:leftFromText="180" w:rightFromText="180" w:vertAnchor="page" w:horzAnchor="margin" w:tblpY="3108"/>
        <w:tblW w:w="0" w:type="auto"/>
        <w:tblLook w:val="04A0" w:firstRow="1" w:lastRow="0" w:firstColumn="1" w:lastColumn="0" w:noHBand="0" w:noVBand="1"/>
      </w:tblPr>
      <w:tblGrid>
        <w:gridCol w:w="1616"/>
        <w:gridCol w:w="1467"/>
        <w:gridCol w:w="1532"/>
        <w:gridCol w:w="1520"/>
        <w:gridCol w:w="1657"/>
        <w:gridCol w:w="1450"/>
      </w:tblGrid>
      <w:tr w:rsidR="002A49BB" w:rsidRPr="00C419BA" w14:paraId="3606B91E" w14:textId="77777777" w:rsidTr="002574CA">
        <w:tc>
          <w:tcPr>
            <w:tcW w:w="1616" w:type="dxa"/>
            <w:tcBorders>
              <w:left w:val="nil"/>
              <w:bottom w:val="single" w:sz="4" w:space="0" w:color="000000" w:themeColor="text1"/>
              <w:right w:val="nil"/>
            </w:tcBorders>
          </w:tcPr>
          <w:p w14:paraId="13E7D7E6" w14:textId="77777777" w:rsidR="002A49BB" w:rsidRPr="00520FDD" w:rsidRDefault="002A49BB" w:rsidP="002574CA">
            <w:pPr>
              <w:spacing w:line="276" w:lineRule="auto"/>
              <w:rPr>
                <w:rFonts w:ascii="Times New Roman" w:hAnsi="Times New Roman" w:cs="Times New Roman"/>
                <w:sz w:val="24"/>
                <w:szCs w:val="24"/>
              </w:rPr>
            </w:pPr>
            <w:r w:rsidRPr="00520FDD">
              <w:rPr>
                <w:rFonts w:ascii="Times New Roman" w:hAnsi="Times New Roman" w:cs="Times New Roman"/>
                <w:sz w:val="24"/>
                <w:szCs w:val="24"/>
              </w:rPr>
              <w:lastRenderedPageBreak/>
              <w:t>Experimental Groups</w:t>
            </w:r>
          </w:p>
        </w:tc>
        <w:tc>
          <w:tcPr>
            <w:tcW w:w="1467" w:type="dxa"/>
            <w:tcBorders>
              <w:left w:val="nil"/>
              <w:bottom w:val="single" w:sz="4" w:space="0" w:color="000000" w:themeColor="text1"/>
              <w:right w:val="nil"/>
            </w:tcBorders>
          </w:tcPr>
          <w:p w14:paraId="40524176" w14:textId="77777777" w:rsidR="002A49BB" w:rsidRPr="00520FDD" w:rsidRDefault="002A49BB" w:rsidP="002574CA">
            <w:pPr>
              <w:spacing w:line="276" w:lineRule="auto"/>
              <w:rPr>
                <w:rFonts w:ascii="Times New Roman" w:hAnsi="Times New Roman" w:cs="Times New Roman"/>
                <w:sz w:val="24"/>
                <w:szCs w:val="24"/>
              </w:rPr>
            </w:pPr>
            <w:r w:rsidRPr="00520FDD">
              <w:rPr>
                <w:rFonts w:ascii="Times New Roman" w:hAnsi="Times New Roman" w:cs="Times New Roman"/>
                <w:sz w:val="24"/>
                <w:szCs w:val="24"/>
              </w:rPr>
              <w:t>Total lipids (mg/g tissue)</w:t>
            </w:r>
          </w:p>
        </w:tc>
        <w:tc>
          <w:tcPr>
            <w:tcW w:w="1532" w:type="dxa"/>
            <w:tcBorders>
              <w:left w:val="nil"/>
              <w:bottom w:val="single" w:sz="4" w:space="0" w:color="000000" w:themeColor="text1"/>
              <w:right w:val="nil"/>
            </w:tcBorders>
          </w:tcPr>
          <w:p w14:paraId="2EA61A78" w14:textId="77777777" w:rsidR="002A49BB" w:rsidRPr="00520FDD" w:rsidRDefault="002A49BB" w:rsidP="002574CA">
            <w:pPr>
              <w:spacing w:line="276" w:lineRule="auto"/>
              <w:rPr>
                <w:rFonts w:ascii="Times New Roman" w:hAnsi="Times New Roman" w:cs="Times New Roman"/>
                <w:sz w:val="24"/>
                <w:szCs w:val="24"/>
              </w:rPr>
            </w:pPr>
            <w:r w:rsidRPr="00520FDD">
              <w:rPr>
                <w:rFonts w:ascii="Times New Roman" w:hAnsi="Times New Roman" w:cs="Times New Roman"/>
                <w:sz w:val="24"/>
                <w:szCs w:val="24"/>
              </w:rPr>
              <w:t>Triglyceride (mg/g tissue)</w:t>
            </w:r>
          </w:p>
        </w:tc>
        <w:tc>
          <w:tcPr>
            <w:tcW w:w="1520" w:type="dxa"/>
            <w:tcBorders>
              <w:left w:val="nil"/>
              <w:bottom w:val="single" w:sz="4" w:space="0" w:color="000000" w:themeColor="text1"/>
              <w:right w:val="nil"/>
            </w:tcBorders>
          </w:tcPr>
          <w:p w14:paraId="355235D3" w14:textId="77777777" w:rsidR="002A49BB" w:rsidRPr="00520FDD" w:rsidRDefault="002A49BB" w:rsidP="002574CA">
            <w:pPr>
              <w:spacing w:line="276" w:lineRule="auto"/>
              <w:rPr>
                <w:rFonts w:ascii="Times New Roman" w:hAnsi="Times New Roman" w:cs="Times New Roman"/>
                <w:sz w:val="24"/>
                <w:szCs w:val="24"/>
              </w:rPr>
            </w:pPr>
            <w:r w:rsidRPr="00520FDD">
              <w:rPr>
                <w:rFonts w:ascii="Times New Roman" w:hAnsi="Times New Roman" w:cs="Times New Roman"/>
                <w:sz w:val="24"/>
                <w:szCs w:val="24"/>
              </w:rPr>
              <w:t>Total Cholesterol (mg/g tissue)</w:t>
            </w:r>
          </w:p>
        </w:tc>
        <w:tc>
          <w:tcPr>
            <w:tcW w:w="1657" w:type="dxa"/>
            <w:tcBorders>
              <w:left w:val="nil"/>
              <w:bottom w:val="single" w:sz="4" w:space="0" w:color="000000" w:themeColor="text1"/>
              <w:right w:val="nil"/>
            </w:tcBorders>
          </w:tcPr>
          <w:p w14:paraId="2DE7BD64" w14:textId="77777777" w:rsidR="002A49BB" w:rsidRPr="00520FDD" w:rsidRDefault="002A49BB" w:rsidP="002574CA">
            <w:pPr>
              <w:spacing w:line="276" w:lineRule="auto"/>
              <w:rPr>
                <w:rFonts w:ascii="Times New Roman" w:hAnsi="Times New Roman" w:cs="Times New Roman"/>
                <w:sz w:val="24"/>
                <w:szCs w:val="24"/>
              </w:rPr>
            </w:pPr>
            <w:r w:rsidRPr="00520FDD">
              <w:rPr>
                <w:rFonts w:ascii="Times New Roman" w:hAnsi="Times New Roman" w:cs="Times New Roman"/>
                <w:sz w:val="24"/>
                <w:szCs w:val="24"/>
              </w:rPr>
              <w:t>Phospholipids (mg/g tissue)</w:t>
            </w:r>
          </w:p>
        </w:tc>
        <w:tc>
          <w:tcPr>
            <w:tcW w:w="1450" w:type="dxa"/>
            <w:tcBorders>
              <w:left w:val="nil"/>
              <w:bottom w:val="single" w:sz="4" w:space="0" w:color="000000" w:themeColor="text1"/>
              <w:right w:val="nil"/>
            </w:tcBorders>
          </w:tcPr>
          <w:p w14:paraId="2E5961B9" w14:textId="77777777" w:rsidR="002A49BB" w:rsidRPr="00520FDD" w:rsidRDefault="002A49BB" w:rsidP="002574CA">
            <w:pPr>
              <w:spacing w:line="276" w:lineRule="auto"/>
              <w:rPr>
                <w:rFonts w:ascii="Times New Roman" w:hAnsi="Times New Roman" w:cs="Times New Roman"/>
                <w:sz w:val="24"/>
                <w:szCs w:val="24"/>
              </w:rPr>
            </w:pPr>
            <w:r w:rsidRPr="00520FDD">
              <w:rPr>
                <w:rFonts w:ascii="Times New Roman" w:hAnsi="Times New Roman" w:cs="Times New Roman"/>
                <w:sz w:val="24"/>
                <w:szCs w:val="24"/>
              </w:rPr>
              <w:t>Free fatty acids (mg/g tissue)</w:t>
            </w:r>
          </w:p>
        </w:tc>
      </w:tr>
      <w:tr w:rsidR="002A49BB" w:rsidRPr="00C419BA" w14:paraId="228EE054" w14:textId="77777777" w:rsidTr="002574CA">
        <w:tc>
          <w:tcPr>
            <w:tcW w:w="1616" w:type="dxa"/>
            <w:tcBorders>
              <w:left w:val="nil"/>
              <w:bottom w:val="nil"/>
              <w:right w:val="nil"/>
            </w:tcBorders>
          </w:tcPr>
          <w:p w14:paraId="3AF8959B" w14:textId="77777777" w:rsidR="002A49BB" w:rsidRPr="00520FDD" w:rsidRDefault="002A49BB" w:rsidP="002574CA">
            <w:pPr>
              <w:spacing w:line="360" w:lineRule="auto"/>
              <w:rPr>
                <w:rFonts w:ascii="Times New Roman" w:hAnsi="Times New Roman" w:cs="Times New Roman"/>
                <w:sz w:val="24"/>
                <w:szCs w:val="24"/>
              </w:rPr>
            </w:pPr>
            <w:r w:rsidRPr="00520FDD">
              <w:rPr>
                <w:rFonts w:ascii="Times New Roman" w:hAnsi="Times New Roman" w:cs="Times New Roman"/>
                <w:sz w:val="24"/>
                <w:szCs w:val="24"/>
              </w:rPr>
              <w:t>C</w:t>
            </w:r>
          </w:p>
        </w:tc>
        <w:tc>
          <w:tcPr>
            <w:tcW w:w="1467" w:type="dxa"/>
            <w:tcBorders>
              <w:left w:val="nil"/>
              <w:bottom w:val="nil"/>
              <w:right w:val="nil"/>
            </w:tcBorders>
          </w:tcPr>
          <w:p w14:paraId="6D902FC0"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48.6±0.02</w:t>
            </w:r>
            <w:r w:rsidRPr="00C419BA">
              <w:rPr>
                <w:rFonts w:ascii="Times New Roman" w:hAnsi="Times New Roman" w:cs="Times New Roman"/>
                <w:sz w:val="24"/>
                <w:szCs w:val="24"/>
                <w:vertAlign w:val="superscript"/>
              </w:rPr>
              <w:t>a</w:t>
            </w:r>
          </w:p>
        </w:tc>
        <w:tc>
          <w:tcPr>
            <w:tcW w:w="1532" w:type="dxa"/>
            <w:tcBorders>
              <w:left w:val="nil"/>
              <w:bottom w:val="nil"/>
              <w:right w:val="nil"/>
            </w:tcBorders>
          </w:tcPr>
          <w:p w14:paraId="4F84CDCA"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5.6±0.03</w:t>
            </w:r>
            <w:r w:rsidRPr="00C419BA">
              <w:rPr>
                <w:rFonts w:ascii="Times New Roman" w:hAnsi="Times New Roman" w:cs="Times New Roman"/>
                <w:sz w:val="24"/>
                <w:szCs w:val="24"/>
                <w:vertAlign w:val="superscript"/>
              </w:rPr>
              <w:t>a</w:t>
            </w:r>
          </w:p>
        </w:tc>
        <w:tc>
          <w:tcPr>
            <w:tcW w:w="1520" w:type="dxa"/>
            <w:tcBorders>
              <w:left w:val="nil"/>
              <w:bottom w:val="nil"/>
              <w:right w:val="nil"/>
            </w:tcBorders>
          </w:tcPr>
          <w:p w14:paraId="34D78DBC"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3.1±0.03</w:t>
            </w:r>
            <w:r w:rsidRPr="00C419BA">
              <w:rPr>
                <w:rFonts w:ascii="Times New Roman" w:hAnsi="Times New Roman" w:cs="Times New Roman"/>
                <w:sz w:val="24"/>
                <w:szCs w:val="24"/>
                <w:vertAlign w:val="superscript"/>
              </w:rPr>
              <w:t>a</w:t>
            </w:r>
          </w:p>
        </w:tc>
        <w:tc>
          <w:tcPr>
            <w:tcW w:w="1657" w:type="dxa"/>
            <w:tcBorders>
              <w:left w:val="nil"/>
              <w:bottom w:val="nil"/>
              <w:right w:val="nil"/>
            </w:tcBorders>
          </w:tcPr>
          <w:p w14:paraId="4C65267C"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26.6±0.03</w:t>
            </w:r>
            <w:r w:rsidRPr="00C419BA">
              <w:rPr>
                <w:rFonts w:ascii="Times New Roman" w:hAnsi="Times New Roman" w:cs="Times New Roman"/>
                <w:sz w:val="24"/>
                <w:szCs w:val="24"/>
                <w:vertAlign w:val="superscript"/>
              </w:rPr>
              <w:t>a</w:t>
            </w:r>
          </w:p>
        </w:tc>
        <w:tc>
          <w:tcPr>
            <w:tcW w:w="1450" w:type="dxa"/>
            <w:tcBorders>
              <w:left w:val="nil"/>
              <w:bottom w:val="nil"/>
              <w:right w:val="nil"/>
            </w:tcBorders>
          </w:tcPr>
          <w:p w14:paraId="5F823DEF"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0.90±0.04</w:t>
            </w:r>
            <w:r w:rsidRPr="00C419BA">
              <w:rPr>
                <w:rFonts w:ascii="Times New Roman" w:hAnsi="Times New Roman" w:cs="Times New Roman"/>
                <w:sz w:val="24"/>
                <w:szCs w:val="24"/>
                <w:vertAlign w:val="superscript"/>
              </w:rPr>
              <w:t>a</w:t>
            </w:r>
          </w:p>
        </w:tc>
      </w:tr>
      <w:tr w:rsidR="002A49BB" w:rsidRPr="00C419BA" w14:paraId="629E788E" w14:textId="77777777" w:rsidTr="002574CA">
        <w:tc>
          <w:tcPr>
            <w:tcW w:w="1616" w:type="dxa"/>
            <w:tcBorders>
              <w:top w:val="nil"/>
              <w:left w:val="nil"/>
              <w:bottom w:val="nil"/>
              <w:right w:val="nil"/>
            </w:tcBorders>
          </w:tcPr>
          <w:p w14:paraId="5E40BC92" w14:textId="77777777" w:rsidR="002A49BB" w:rsidRPr="00520FDD" w:rsidRDefault="002A49BB" w:rsidP="002574CA">
            <w:pPr>
              <w:spacing w:line="360" w:lineRule="auto"/>
              <w:rPr>
                <w:rFonts w:ascii="Times New Roman" w:hAnsi="Times New Roman" w:cs="Times New Roman"/>
                <w:sz w:val="24"/>
                <w:szCs w:val="24"/>
              </w:rPr>
            </w:pPr>
            <w:r w:rsidRPr="00520FDD">
              <w:rPr>
                <w:rFonts w:ascii="Times New Roman" w:hAnsi="Times New Roman" w:cs="Times New Roman"/>
                <w:sz w:val="24"/>
                <w:szCs w:val="24"/>
              </w:rPr>
              <w:t>C+CFE</w:t>
            </w:r>
          </w:p>
        </w:tc>
        <w:tc>
          <w:tcPr>
            <w:tcW w:w="1467" w:type="dxa"/>
            <w:tcBorders>
              <w:top w:val="nil"/>
              <w:left w:val="nil"/>
              <w:bottom w:val="nil"/>
              <w:right w:val="nil"/>
            </w:tcBorders>
          </w:tcPr>
          <w:p w14:paraId="748F26DF"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47.3±0.02</w:t>
            </w:r>
            <w:r w:rsidRPr="00C419BA">
              <w:rPr>
                <w:rFonts w:ascii="Times New Roman" w:hAnsi="Times New Roman" w:cs="Times New Roman"/>
                <w:sz w:val="24"/>
                <w:szCs w:val="24"/>
                <w:vertAlign w:val="superscript"/>
              </w:rPr>
              <w:t>a</w:t>
            </w:r>
          </w:p>
        </w:tc>
        <w:tc>
          <w:tcPr>
            <w:tcW w:w="1532" w:type="dxa"/>
            <w:tcBorders>
              <w:top w:val="nil"/>
              <w:left w:val="nil"/>
              <w:bottom w:val="nil"/>
              <w:right w:val="nil"/>
            </w:tcBorders>
          </w:tcPr>
          <w:p w14:paraId="32D32030"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5.5±0.03</w:t>
            </w:r>
            <w:r w:rsidRPr="00C419BA">
              <w:rPr>
                <w:rFonts w:ascii="Times New Roman" w:hAnsi="Times New Roman" w:cs="Times New Roman"/>
                <w:sz w:val="24"/>
                <w:szCs w:val="24"/>
                <w:vertAlign w:val="superscript"/>
              </w:rPr>
              <w:t>a</w:t>
            </w:r>
          </w:p>
        </w:tc>
        <w:tc>
          <w:tcPr>
            <w:tcW w:w="1520" w:type="dxa"/>
            <w:tcBorders>
              <w:top w:val="nil"/>
              <w:left w:val="nil"/>
              <w:bottom w:val="nil"/>
              <w:right w:val="nil"/>
            </w:tcBorders>
          </w:tcPr>
          <w:p w14:paraId="6886AFEC"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2.9±0.04</w:t>
            </w:r>
            <w:r w:rsidRPr="00C419BA">
              <w:rPr>
                <w:rFonts w:ascii="Times New Roman" w:hAnsi="Times New Roman" w:cs="Times New Roman"/>
                <w:sz w:val="24"/>
                <w:szCs w:val="24"/>
                <w:vertAlign w:val="superscript"/>
              </w:rPr>
              <w:t>a</w:t>
            </w:r>
          </w:p>
        </w:tc>
        <w:tc>
          <w:tcPr>
            <w:tcW w:w="1657" w:type="dxa"/>
            <w:tcBorders>
              <w:top w:val="nil"/>
              <w:left w:val="nil"/>
              <w:bottom w:val="nil"/>
              <w:right w:val="nil"/>
            </w:tcBorders>
          </w:tcPr>
          <w:p w14:paraId="1217CC73"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28.1±0.02</w:t>
            </w:r>
            <w:r w:rsidRPr="00C419BA">
              <w:rPr>
                <w:rFonts w:ascii="Times New Roman" w:hAnsi="Times New Roman" w:cs="Times New Roman"/>
                <w:sz w:val="24"/>
                <w:szCs w:val="24"/>
                <w:vertAlign w:val="superscript"/>
              </w:rPr>
              <w:t>d</w:t>
            </w:r>
          </w:p>
        </w:tc>
        <w:tc>
          <w:tcPr>
            <w:tcW w:w="1450" w:type="dxa"/>
            <w:tcBorders>
              <w:top w:val="nil"/>
              <w:left w:val="nil"/>
              <w:bottom w:val="nil"/>
              <w:right w:val="nil"/>
            </w:tcBorders>
          </w:tcPr>
          <w:p w14:paraId="360B17D8"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0.89±0.04</w:t>
            </w:r>
            <w:r w:rsidRPr="00C419BA">
              <w:rPr>
                <w:rFonts w:ascii="Times New Roman" w:hAnsi="Times New Roman" w:cs="Times New Roman"/>
                <w:sz w:val="24"/>
                <w:szCs w:val="24"/>
                <w:vertAlign w:val="superscript"/>
              </w:rPr>
              <w:t>a</w:t>
            </w:r>
          </w:p>
        </w:tc>
      </w:tr>
      <w:tr w:rsidR="002A49BB" w:rsidRPr="00C419BA" w14:paraId="407C7AC6" w14:textId="77777777" w:rsidTr="002574CA">
        <w:tc>
          <w:tcPr>
            <w:tcW w:w="1616" w:type="dxa"/>
            <w:tcBorders>
              <w:top w:val="nil"/>
              <w:left w:val="nil"/>
              <w:bottom w:val="nil"/>
              <w:right w:val="nil"/>
            </w:tcBorders>
          </w:tcPr>
          <w:p w14:paraId="7483DD8A" w14:textId="77777777" w:rsidR="002A49BB" w:rsidRPr="00520FDD" w:rsidRDefault="002A49BB" w:rsidP="002574CA">
            <w:pPr>
              <w:spacing w:line="360" w:lineRule="auto"/>
              <w:rPr>
                <w:rFonts w:ascii="Times New Roman" w:hAnsi="Times New Roman" w:cs="Times New Roman"/>
                <w:sz w:val="24"/>
                <w:szCs w:val="24"/>
              </w:rPr>
            </w:pPr>
            <w:r w:rsidRPr="00520FDD">
              <w:rPr>
                <w:rFonts w:ascii="Times New Roman" w:hAnsi="Times New Roman" w:cs="Times New Roman"/>
                <w:sz w:val="24"/>
                <w:szCs w:val="24"/>
              </w:rPr>
              <w:t>HFD+CFE</w:t>
            </w:r>
          </w:p>
        </w:tc>
        <w:tc>
          <w:tcPr>
            <w:tcW w:w="1467" w:type="dxa"/>
            <w:tcBorders>
              <w:top w:val="nil"/>
              <w:left w:val="nil"/>
              <w:bottom w:val="nil"/>
              <w:right w:val="nil"/>
            </w:tcBorders>
          </w:tcPr>
          <w:p w14:paraId="01D6DDF0"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49.0±0.06</w:t>
            </w:r>
            <w:r w:rsidRPr="00C419BA">
              <w:rPr>
                <w:rFonts w:ascii="Times New Roman" w:hAnsi="Times New Roman" w:cs="Times New Roman"/>
                <w:sz w:val="24"/>
                <w:szCs w:val="24"/>
                <w:vertAlign w:val="superscript"/>
              </w:rPr>
              <w:t>a</w:t>
            </w:r>
          </w:p>
        </w:tc>
        <w:tc>
          <w:tcPr>
            <w:tcW w:w="1532" w:type="dxa"/>
            <w:tcBorders>
              <w:top w:val="nil"/>
              <w:left w:val="nil"/>
              <w:bottom w:val="nil"/>
              <w:right w:val="nil"/>
            </w:tcBorders>
          </w:tcPr>
          <w:p w14:paraId="2B0CFBC2"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6.0±0.02</w:t>
            </w:r>
            <w:r w:rsidRPr="00C419BA">
              <w:rPr>
                <w:rFonts w:ascii="Times New Roman" w:hAnsi="Times New Roman" w:cs="Times New Roman"/>
                <w:sz w:val="24"/>
                <w:szCs w:val="24"/>
                <w:vertAlign w:val="superscript"/>
              </w:rPr>
              <w:t>b</w:t>
            </w:r>
          </w:p>
        </w:tc>
        <w:tc>
          <w:tcPr>
            <w:tcW w:w="1520" w:type="dxa"/>
            <w:tcBorders>
              <w:top w:val="nil"/>
              <w:left w:val="nil"/>
              <w:bottom w:val="nil"/>
              <w:right w:val="nil"/>
            </w:tcBorders>
          </w:tcPr>
          <w:p w14:paraId="2C230477"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3.2±0.03</w:t>
            </w:r>
            <w:r w:rsidRPr="00C419BA">
              <w:rPr>
                <w:rFonts w:ascii="Times New Roman" w:hAnsi="Times New Roman" w:cs="Times New Roman"/>
                <w:sz w:val="24"/>
                <w:szCs w:val="24"/>
                <w:vertAlign w:val="superscript"/>
              </w:rPr>
              <w:t>a</w:t>
            </w:r>
          </w:p>
        </w:tc>
        <w:tc>
          <w:tcPr>
            <w:tcW w:w="1657" w:type="dxa"/>
            <w:tcBorders>
              <w:top w:val="nil"/>
              <w:left w:val="nil"/>
              <w:bottom w:val="nil"/>
              <w:right w:val="nil"/>
            </w:tcBorders>
          </w:tcPr>
          <w:p w14:paraId="566F228B"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28.0±0.03</w:t>
            </w:r>
            <w:r w:rsidRPr="00C419BA">
              <w:rPr>
                <w:rFonts w:ascii="Times New Roman" w:hAnsi="Times New Roman" w:cs="Times New Roman"/>
                <w:sz w:val="24"/>
                <w:szCs w:val="24"/>
                <w:vertAlign w:val="superscript"/>
              </w:rPr>
              <w:t>d</w:t>
            </w:r>
          </w:p>
        </w:tc>
        <w:tc>
          <w:tcPr>
            <w:tcW w:w="1450" w:type="dxa"/>
            <w:tcBorders>
              <w:top w:val="nil"/>
              <w:left w:val="nil"/>
              <w:bottom w:val="nil"/>
              <w:right w:val="nil"/>
            </w:tcBorders>
          </w:tcPr>
          <w:p w14:paraId="008D1C1F"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1.00±0.02</w:t>
            </w:r>
            <w:r w:rsidRPr="00C419BA">
              <w:rPr>
                <w:rFonts w:ascii="Times New Roman" w:hAnsi="Times New Roman" w:cs="Times New Roman"/>
                <w:sz w:val="24"/>
                <w:szCs w:val="24"/>
                <w:vertAlign w:val="superscript"/>
              </w:rPr>
              <w:t>b</w:t>
            </w:r>
          </w:p>
        </w:tc>
      </w:tr>
      <w:tr w:rsidR="002A49BB" w:rsidRPr="00C419BA" w14:paraId="4BA78BDA" w14:textId="77777777" w:rsidTr="002574CA">
        <w:tc>
          <w:tcPr>
            <w:tcW w:w="1616" w:type="dxa"/>
            <w:tcBorders>
              <w:top w:val="nil"/>
              <w:left w:val="nil"/>
              <w:bottom w:val="nil"/>
              <w:right w:val="nil"/>
            </w:tcBorders>
          </w:tcPr>
          <w:p w14:paraId="027EC98A" w14:textId="77777777" w:rsidR="002A49BB" w:rsidRPr="00520FDD" w:rsidRDefault="002A49BB" w:rsidP="002574CA">
            <w:pPr>
              <w:spacing w:line="360" w:lineRule="auto"/>
              <w:rPr>
                <w:rFonts w:ascii="Times New Roman" w:hAnsi="Times New Roman" w:cs="Times New Roman"/>
                <w:sz w:val="24"/>
                <w:szCs w:val="24"/>
              </w:rPr>
            </w:pPr>
            <w:r w:rsidRPr="00520FDD">
              <w:rPr>
                <w:rFonts w:ascii="Times New Roman" w:hAnsi="Times New Roman" w:cs="Times New Roman"/>
                <w:sz w:val="24"/>
                <w:szCs w:val="24"/>
              </w:rPr>
              <w:t>HFD</w:t>
            </w:r>
          </w:p>
        </w:tc>
        <w:tc>
          <w:tcPr>
            <w:tcW w:w="1467" w:type="dxa"/>
            <w:tcBorders>
              <w:top w:val="nil"/>
              <w:left w:val="nil"/>
              <w:bottom w:val="nil"/>
              <w:right w:val="nil"/>
            </w:tcBorders>
          </w:tcPr>
          <w:p w14:paraId="55065646"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70.8±0.03</w:t>
            </w:r>
            <w:r w:rsidRPr="00C419BA">
              <w:rPr>
                <w:rFonts w:ascii="Times New Roman" w:hAnsi="Times New Roman" w:cs="Times New Roman"/>
                <w:sz w:val="24"/>
                <w:szCs w:val="24"/>
                <w:vertAlign w:val="superscript"/>
              </w:rPr>
              <w:t>c</w:t>
            </w:r>
          </w:p>
        </w:tc>
        <w:tc>
          <w:tcPr>
            <w:tcW w:w="1532" w:type="dxa"/>
            <w:tcBorders>
              <w:top w:val="nil"/>
              <w:left w:val="nil"/>
              <w:bottom w:val="nil"/>
              <w:right w:val="nil"/>
            </w:tcBorders>
          </w:tcPr>
          <w:p w14:paraId="6F289C89"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9.8±0.03</w:t>
            </w:r>
            <w:r w:rsidRPr="00C419BA">
              <w:rPr>
                <w:rFonts w:ascii="Times New Roman" w:hAnsi="Times New Roman" w:cs="Times New Roman"/>
                <w:sz w:val="24"/>
                <w:szCs w:val="24"/>
                <w:vertAlign w:val="superscript"/>
              </w:rPr>
              <w:t>d</w:t>
            </w:r>
          </w:p>
        </w:tc>
        <w:tc>
          <w:tcPr>
            <w:tcW w:w="1520" w:type="dxa"/>
            <w:tcBorders>
              <w:top w:val="nil"/>
              <w:left w:val="nil"/>
              <w:bottom w:val="nil"/>
              <w:right w:val="nil"/>
            </w:tcBorders>
          </w:tcPr>
          <w:p w14:paraId="040A3433"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4.3±0.01</w:t>
            </w:r>
            <w:r w:rsidRPr="00C419BA">
              <w:rPr>
                <w:rFonts w:ascii="Times New Roman" w:hAnsi="Times New Roman" w:cs="Times New Roman"/>
                <w:sz w:val="24"/>
                <w:szCs w:val="24"/>
                <w:vertAlign w:val="superscript"/>
              </w:rPr>
              <w:t>c</w:t>
            </w:r>
          </w:p>
        </w:tc>
        <w:tc>
          <w:tcPr>
            <w:tcW w:w="1657" w:type="dxa"/>
            <w:tcBorders>
              <w:top w:val="nil"/>
              <w:left w:val="nil"/>
              <w:bottom w:val="nil"/>
              <w:right w:val="nil"/>
            </w:tcBorders>
          </w:tcPr>
          <w:p w14:paraId="168148E5"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20.1±0.02</w:t>
            </w:r>
            <w:r w:rsidRPr="00C419BA">
              <w:rPr>
                <w:rFonts w:ascii="Times New Roman" w:hAnsi="Times New Roman" w:cs="Times New Roman"/>
                <w:sz w:val="24"/>
                <w:szCs w:val="24"/>
                <w:vertAlign w:val="superscript"/>
              </w:rPr>
              <w:t>c</w:t>
            </w:r>
          </w:p>
        </w:tc>
        <w:tc>
          <w:tcPr>
            <w:tcW w:w="1450" w:type="dxa"/>
            <w:tcBorders>
              <w:top w:val="nil"/>
              <w:left w:val="nil"/>
              <w:bottom w:val="nil"/>
              <w:right w:val="nil"/>
            </w:tcBorders>
          </w:tcPr>
          <w:p w14:paraId="78D62DCA"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1.80±0.04</w:t>
            </w:r>
            <w:r w:rsidRPr="00C419BA">
              <w:rPr>
                <w:rFonts w:ascii="Times New Roman" w:hAnsi="Times New Roman" w:cs="Times New Roman"/>
                <w:sz w:val="24"/>
                <w:szCs w:val="24"/>
                <w:vertAlign w:val="superscript"/>
              </w:rPr>
              <w:t>d</w:t>
            </w:r>
          </w:p>
        </w:tc>
      </w:tr>
      <w:tr w:rsidR="002A49BB" w:rsidRPr="00C419BA" w14:paraId="47665B17" w14:textId="77777777" w:rsidTr="002574CA">
        <w:tc>
          <w:tcPr>
            <w:tcW w:w="1616" w:type="dxa"/>
            <w:tcBorders>
              <w:top w:val="nil"/>
              <w:left w:val="nil"/>
              <w:right w:val="nil"/>
            </w:tcBorders>
          </w:tcPr>
          <w:p w14:paraId="75AD1291" w14:textId="77777777" w:rsidR="002A49BB" w:rsidRPr="00520FDD" w:rsidRDefault="002A49BB" w:rsidP="002574CA">
            <w:pPr>
              <w:spacing w:line="360" w:lineRule="auto"/>
              <w:rPr>
                <w:rFonts w:ascii="Times New Roman" w:hAnsi="Times New Roman" w:cs="Times New Roman"/>
                <w:sz w:val="24"/>
                <w:szCs w:val="24"/>
              </w:rPr>
            </w:pPr>
            <w:r w:rsidRPr="00520FDD">
              <w:rPr>
                <w:rFonts w:ascii="Times New Roman" w:hAnsi="Times New Roman" w:cs="Times New Roman"/>
                <w:sz w:val="24"/>
                <w:szCs w:val="24"/>
              </w:rPr>
              <w:t>OBS+CFE</w:t>
            </w:r>
          </w:p>
        </w:tc>
        <w:tc>
          <w:tcPr>
            <w:tcW w:w="1467" w:type="dxa"/>
            <w:tcBorders>
              <w:top w:val="nil"/>
              <w:left w:val="nil"/>
              <w:right w:val="nil"/>
            </w:tcBorders>
          </w:tcPr>
          <w:p w14:paraId="0BAE45DB"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54.1±0.03</w:t>
            </w:r>
            <w:r w:rsidRPr="00C419BA">
              <w:rPr>
                <w:rFonts w:ascii="Times New Roman" w:hAnsi="Times New Roman" w:cs="Times New Roman"/>
                <w:sz w:val="24"/>
                <w:szCs w:val="24"/>
                <w:vertAlign w:val="superscript"/>
              </w:rPr>
              <w:t>b</w:t>
            </w:r>
          </w:p>
        </w:tc>
        <w:tc>
          <w:tcPr>
            <w:tcW w:w="1532" w:type="dxa"/>
            <w:tcBorders>
              <w:top w:val="nil"/>
              <w:left w:val="nil"/>
              <w:right w:val="nil"/>
            </w:tcBorders>
          </w:tcPr>
          <w:p w14:paraId="37BA9BBB"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8.7±0.05</w:t>
            </w:r>
            <w:r w:rsidRPr="00C419BA">
              <w:rPr>
                <w:rFonts w:ascii="Times New Roman" w:hAnsi="Times New Roman" w:cs="Times New Roman"/>
                <w:sz w:val="24"/>
                <w:szCs w:val="24"/>
                <w:vertAlign w:val="superscript"/>
              </w:rPr>
              <w:t>c</w:t>
            </w:r>
          </w:p>
        </w:tc>
        <w:tc>
          <w:tcPr>
            <w:tcW w:w="1520" w:type="dxa"/>
            <w:tcBorders>
              <w:top w:val="nil"/>
              <w:left w:val="nil"/>
              <w:right w:val="nil"/>
            </w:tcBorders>
          </w:tcPr>
          <w:p w14:paraId="0CF51F1E"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3.9±0.03</w:t>
            </w:r>
            <w:r w:rsidRPr="00C419BA">
              <w:rPr>
                <w:rFonts w:ascii="Times New Roman" w:hAnsi="Times New Roman" w:cs="Times New Roman"/>
                <w:sz w:val="24"/>
                <w:szCs w:val="24"/>
                <w:vertAlign w:val="superscript"/>
              </w:rPr>
              <w:t>b</w:t>
            </w:r>
          </w:p>
        </w:tc>
        <w:tc>
          <w:tcPr>
            <w:tcW w:w="1657" w:type="dxa"/>
            <w:tcBorders>
              <w:top w:val="nil"/>
              <w:left w:val="nil"/>
              <w:right w:val="nil"/>
            </w:tcBorders>
          </w:tcPr>
          <w:p w14:paraId="32B76EA2"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25.2±0.03</w:t>
            </w:r>
            <w:r w:rsidRPr="00C419BA">
              <w:rPr>
                <w:rFonts w:ascii="Times New Roman" w:hAnsi="Times New Roman" w:cs="Times New Roman"/>
                <w:sz w:val="24"/>
                <w:szCs w:val="24"/>
                <w:vertAlign w:val="superscript"/>
              </w:rPr>
              <w:t>b</w:t>
            </w:r>
          </w:p>
        </w:tc>
        <w:tc>
          <w:tcPr>
            <w:tcW w:w="1450" w:type="dxa"/>
            <w:tcBorders>
              <w:top w:val="nil"/>
              <w:left w:val="nil"/>
              <w:right w:val="nil"/>
            </w:tcBorders>
          </w:tcPr>
          <w:p w14:paraId="421C0130"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1.30±0.02</w:t>
            </w:r>
            <w:r w:rsidRPr="00C419BA">
              <w:rPr>
                <w:rFonts w:ascii="Times New Roman" w:hAnsi="Times New Roman" w:cs="Times New Roman"/>
                <w:sz w:val="24"/>
                <w:szCs w:val="24"/>
                <w:vertAlign w:val="superscript"/>
              </w:rPr>
              <w:t>c</w:t>
            </w:r>
          </w:p>
        </w:tc>
      </w:tr>
    </w:tbl>
    <w:p w14:paraId="3CC1543A" w14:textId="77777777" w:rsidR="00160792" w:rsidRPr="002A49BB" w:rsidRDefault="002A49BB" w:rsidP="002A49BB">
      <w:pPr>
        <w:rPr>
          <w:rFonts w:ascii="Times New Roman" w:hAnsi="Times New Roman" w:cs="Times New Roman"/>
        </w:rPr>
      </w:pPr>
      <w:r w:rsidRPr="00BC04D4">
        <w:rPr>
          <w:rFonts w:ascii="Times New Roman" w:hAnsi="Times New Roman" w:cs="Times New Roman"/>
        </w:rPr>
        <w:t xml:space="preserve">Data are mean </w:t>
      </w:r>
      <w:r>
        <w:rPr>
          <w:rFonts w:ascii="Times New Roman" w:hAnsi="Times New Roman" w:cs="Times New Roman"/>
        </w:rPr>
        <w:t>±</w:t>
      </w:r>
      <w:r w:rsidRPr="00BC04D4">
        <w:rPr>
          <w:rFonts w:ascii="Times New Roman" w:hAnsi="Times New Roman" w:cs="Times New Roman"/>
        </w:rPr>
        <w:t xml:space="preserve"> </w:t>
      </w:r>
      <w:r>
        <w:rPr>
          <w:rFonts w:ascii="Times New Roman" w:hAnsi="Times New Roman" w:cs="Times New Roman"/>
        </w:rPr>
        <w:t>S.E.M. values of six</w:t>
      </w:r>
      <w:r w:rsidRPr="00BC04D4">
        <w:rPr>
          <w:rFonts w:ascii="Times New Roman" w:hAnsi="Times New Roman" w:cs="Times New Roman"/>
        </w:rPr>
        <w:t xml:space="preserve"> rats per each group. </w:t>
      </w:r>
      <w:r w:rsidRPr="00257134">
        <w:rPr>
          <w:rFonts w:ascii="Times New Roman" w:hAnsi="Times New Roman" w:cs="Times New Roman"/>
          <w:color w:val="000000" w:themeColor="text1"/>
        </w:rPr>
        <w:t xml:space="preserve">Means in the same column with different superscripts are significantly different (P &lt; 0.05). </w:t>
      </w:r>
      <w:proofErr w:type="spellStart"/>
      <w:proofErr w:type="gramStart"/>
      <w:r w:rsidRPr="00257134">
        <w:rPr>
          <w:rFonts w:ascii="Times New Roman" w:hAnsi="Times New Roman" w:cs="Times New Roman"/>
          <w:color w:val="000000" w:themeColor="text1"/>
          <w:vertAlign w:val="superscript"/>
        </w:rPr>
        <w:t>a,b</w:t>
      </w:r>
      <w:proofErr w:type="gramEnd"/>
      <w:r w:rsidRPr="00257134">
        <w:rPr>
          <w:rFonts w:ascii="Times New Roman" w:hAnsi="Times New Roman" w:cs="Times New Roman"/>
          <w:color w:val="000000" w:themeColor="text1"/>
          <w:vertAlign w:val="superscript"/>
        </w:rPr>
        <w:t>,</w:t>
      </w:r>
      <w:proofErr w:type="gramStart"/>
      <w:r w:rsidRPr="00257134">
        <w:rPr>
          <w:rFonts w:ascii="Times New Roman" w:hAnsi="Times New Roman" w:cs="Times New Roman"/>
          <w:color w:val="000000" w:themeColor="text1"/>
          <w:vertAlign w:val="superscript"/>
        </w:rPr>
        <w:t>c,d</w:t>
      </w:r>
      <w:proofErr w:type="gramEnd"/>
      <w:r w:rsidRPr="00257134">
        <w:rPr>
          <w:rFonts w:ascii="Times New Roman" w:hAnsi="Times New Roman" w:cs="Times New Roman"/>
          <w:color w:val="000000" w:themeColor="text1"/>
          <w:vertAlign w:val="superscript"/>
        </w:rPr>
        <w:t>,e</w:t>
      </w:r>
      <w:proofErr w:type="spellEnd"/>
      <w:r w:rsidRPr="00257134">
        <w:rPr>
          <w:rFonts w:ascii="Times New Roman" w:hAnsi="Times New Roman" w:cs="Times New Roman"/>
          <w:color w:val="000000" w:themeColor="text1"/>
          <w:vertAlign w:val="superscript"/>
        </w:rPr>
        <w:t>:</w:t>
      </w:r>
      <w:r w:rsidRPr="00257134">
        <w:rPr>
          <w:rFonts w:ascii="Times New Roman" w:hAnsi="Times New Roman" w:cs="Times New Roman"/>
          <w:color w:val="000000" w:themeColor="text1"/>
        </w:rPr>
        <w:t xml:space="preserve"> significant differences between groups.</w:t>
      </w:r>
      <w:r>
        <w:rPr>
          <w:rFonts w:ascii="Times New Roman" w:hAnsi="Times New Roman" w:cs="Times New Roman"/>
        </w:rPr>
        <w:t xml:space="preserve"> control rats; C+CFE</w:t>
      </w:r>
      <w:r w:rsidRPr="00BC04D4">
        <w:rPr>
          <w:rFonts w:ascii="Times New Roman" w:hAnsi="Times New Roman" w:cs="Times New Roman"/>
        </w:rPr>
        <w:t>, contr</w:t>
      </w:r>
      <w:r>
        <w:rPr>
          <w:rFonts w:ascii="Times New Roman" w:hAnsi="Times New Roman" w:cs="Times New Roman"/>
        </w:rPr>
        <w:t xml:space="preserve">ol rats treated with </w:t>
      </w:r>
      <w:proofErr w:type="spellStart"/>
      <w:r>
        <w:rPr>
          <w:rFonts w:ascii="Times New Roman" w:hAnsi="Times New Roman" w:cs="Times New Roman"/>
          <w:i/>
        </w:rPr>
        <w:t>Caralluma</w:t>
      </w:r>
      <w:proofErr w:type="spellEnd"/>
      <w:r>
        <w:rPr>
          <w:rFonts w:ascii="Times New Roman" w:hAnsi="Times New Roman" w:cs="Times New Roman"/>
          <w:i/>
        </w:rPr>
        <w:t xml:space="preserve"> fimbriata</w:t>
      </w:r>
      <w:r w:rsidRPr="00BC04D4">
        <w:rPr>
          <w:rFonts w:ascii="Times New Roman" w:hAnsi="Times New Roman" w:cs="Times New Roman"/>
        </w:rPr>
        <w:t>; HFD, h</w:t>
      </w:r>
      <w:r>
        <w:rPr>
          <w:rFonts w:ascii="Times New Roman" w:hAnsi="Times New Roman" w:cs="Times New Roman"/>
        </w:rPr>
        <w:t>igh-fat diet fed rats; HFD+CFE</w:t>
      </w:r>
      <w:r w:rsidRPr="00BC04D4">
        <w:rPr>
          <w:rFonts w:ascii="Times New Roman" w:hAnsi="Times New Roman" w:cs="Times New Roman"/>
        </w:rPr>
        <w:t>, high-fat diet rats t</w:t>
      </w:r>
      <w:r>
        <w:rPr>
          <w:rFonts w:ascii="Times New Roman" w:hAnsi="Times New Roman" w:cs="Times New Roman"/>
        </w:rPr>
        <w:t xml:space="preserve">reated with </w:t>
      </w:r>
      <w:proofErr w:type="spellStart"/>
      <w:r>
        <w:rPr>
          <w:rFonts w:ascii="Times New Roman" w:hAnsi="Times New Roman" w:cs="Times New Roman"/>
          <w:i/>
        </w:rPr>
        <w:t>Caralluma</w:t>
      </w:r>
      <w:proofErr w:type="spellEnd"/>
      <w:r>
        <w:rPr>
          <w:rFonts w:ascii="Times New Roman" w:hAnsi="Times New Roman" w:cs="Times New Roman"/>
          <w:i/>
        </w:rPr>
        <w:t xml:space="preserve"> fimbriata </w:t>
      </w:r>
      <w:r>
        <w:rPr>
          <w:rFonts w:ascii="Times New Roman" w:hAnsi="Times New Roman" w:cs="Times New Roman"/>
        </w:rPr>
        <w:t>(protective model); OBS+CFE</w:t>
      </w:r>
      <w:r w:rsidRPr="00BC04D4">
        <w:rPr>
          <w:rFonts w:ascii="Times New Roman" w:hAnsi="Times New Roman" w:cs="Times New Roman"/>
        </w:rPr>
        <w:t>, high-fat diet fe</w:t>
      </w:r>
      <w:r>
        <w:rPr>
          <w:rFonts w:ascii="Times New Roman" w:hAnsi="Times New Roman" w:cs="Times New Roman"/>
        </w:rPr>
        <w:t xml:space="preserve">d animals treated with </w:t>
      </w:r>
      <w:proofErr w:type="spellStart"/>
      <w:r>
        <w:rPr>
          <w:rFonts w:ascii="Times New Roman" w:hAnsi="Times New Roman" w:cs="Times New Roman"/>
          <w:i/>
        </w:rPr>
        <w:t>Caralluma</w:t>
      </w:r>
      <w:proofErr w:type="spellEnd"/>
      <w:r>
        <w:rPr>
          <w:rFonts w:ascii="Times New Roman" w:hAnsi="Times New Roman" w:cs="Times New Roman"/>
          <w:i/>
        </w:rPr>
        <w:t xml:space="preserve"> fimbriata</w:t>
      </w:r>
      <w:r>
        <w:rPr>
          <w:rFonts w:ascii="Times New Roman" w:hAnsi="Times New Roman" w:cs="Times New Roman"/>
        </w:rPr>
        <w:t xml:space="preserve"> (therapeutic model).</w:t>
      </w:r>
    </w:p>
    <w:p w14:paraId="5FC90ADD" w14:textId="77777777" w:rsidR="000C2A3D" w:rsidRPr="001753F3" w:rsidRDefault="000C2A3D" w:rsidP="000C2A3D">
      <w:pPr>
        <w:spacing w:line="360" w:lineRule="auto"/>
        <w:jc w:val="both"/>
        <w:rPr>
          <w:rFonts w:ascii="Times New Roman" w:eastAsia="Times New Roman" w:hAnsi="Times New Roman" w:cs="Times New Roman"/>
          <w:b/>
          <w:bCs/>
          <w:kern w:val="0"/>
          <w14:ligatures w14:val="none"/>
        </w:rPr>
      </w:pPr>
      <w:r>
        <w:rPr>
          <w:rFonts w:ascii="Times New Roman" w:hAnsi="Times New Roman"/>
          <w:b/>
        </w:rPr>
        <w:t xml:space="preserve">Effects of CFE on Serum and </w:t>
      </w:r>
      <w:r>
        <w:rPr>
          <w:rFonts w:ascii="Times New Roman" w:hAnsi="Times New Roman"/>
          <w:b/>
          <w:highlight w:val="yellow"/>
        </w:rPr>
        <w:t>H</w:t>
      </w:r>
      <w:r>
        <w:rPr>
          <w:rFonts w:ascii="Times New Roman" w:hAnsi="Times New Roman"/>
          <w:b/>
        </w:rPr>
        <w:t>epatic Transaminases</w:t>
      </w:r>
    </w:p>
    <w:p w14:paraId="3EB2994D" w14:textId="77777777" w:rsidR="005B7F08" w:rsidRDefault="000C2A3D" w:rsidP="001753F3">
      <w:pPr>
        <w:spacing w:line="360" w:lineRule="auto"/>
        <w:jc w:val="both"/>
        <w:rPr>
          <w:rFonts w:ascii="Times New Roman" w:eastAsia="Times New Roman" w:hAnsi="Times New Roman" w:cs="Times New Roman"/>
          <w:kern w:val="0"/>
          <w14:ligatures w14:val="none"/>
        </w:rPr>
      </w:pPr>
      <w:r>
        <w:rPr>
          <w:rFonts w:ascii="Times New Roman" w:hAnsi="Times New Roman"/>
        </w:rPr>
        <w:t>HFD significantly elevated serum SGOT, SGPT, and SALP activities, indicating liver damage. CFE supplementation markedly reduced these enzyme levels in t</w:t>
      </w:r>
      <w:r>
        <w:rPr>
          <w:rFonts w:ascii="Times New Roman" w:hAnsi="Times New Roman"/>
          <w:highlight w:val="yellow"/>
        </w:rPr>
        <w:t>he t</w:t>
      </w:r>
      <w:r>
        <w:rPr>
          <w:rFonts w:ascii="Times New Roman" w:hAnsi="Times New Roman"/>
        </w:rPr>
        <w:t>reated groups.</w:t>
      </w:r>
      <w:r>
        <w:rPr>
          <w:rFonts w:ascii="Times New Roman" w:hAnsi="Times New Roman"/>
          <w:b/>
        </w:rPr>
        <w:t xml:space="preserve"> </w:t>
      </w:r>
      <w:r>
        <w:rPr>
          <w:rFonts w:ascii="Times New Roman" w:hAnsi="Times New Roman"/>
        </w:rPr>
        <w:t>As shown in Fig</w:t>
      </w:r>
      <w:r>
        <w:rPr>
          <w:rFonts w:ascii="Times New Roman" w:hAnsi="Times New Roman"/>
          <w:highlight w:val="yellow"/>
        </w:rPr>
        <w:t>s</w:t>
      </w:r>
      <w:r>
        <w:rPr>
          <w:rFonts w:ascii="Times New Roman" w:hAnsi="Times New Roman"/>
        </w:rPr>
        <w:t xml:space="preserve">. 4 </w:t>
      </w:r>
      <w:r>
        <w:rPr>
          <w:rFonts w:ascii="Times New Roman" w:hAnsi="Times New Roman"/>
          <w:highlight w:val="yellow"/>
        </w:rPr>
        <w:t>and</w:t>
      </w:r>
      <w:r>
        <w:rPr>
          <w:rFonts w:ascii="Times New Roman" w:hAnsi="Times New Roman"/>
        </w:rPr>
        <w:t xml:space="preserve"> 5, rats in the high-fat diet (HFD) group exhibited significant increase</w:t>
      </w:r>
      <w:r>
        <w:rPr>
          <w:rFonts w:ascii="Times New Roman" w:hAnsi="Times New Roman"/>
          <w:highlight w:val="yellow"/>
        </w:rPr>
        <w:t>s</w:t>
      </w:r>
      <w:r>
        <w:rPr>
          <w:rFonts w:ascii="Times New Roman" w:hAnsi="Times New Roman"/>
        </w:rPr>
        <w:t xml:space="preserve"> in hepatic transaminase activities, with glutamate oxaloacetate transaminase (GOT) and glutamate pyruvate transaminase (GPT) elevated by 25.6% and 22.4%, respectively, compared </w:t>
      </w:r>
      <w:r>
        <w:rPr>
          <w:rFonts w:ascii="Times New Roman" w:hAnsi="Times New Roman"/>
          <w:highlight w:val="yellow"/>
        </w:rPr>
        <w:t>wi</w:t>
      </w:r>
      <w:r>
        <w:rPr>
          <w:rFonts w:ascii="Times New Roman" w:hAnsi="Times New Roman"/>
        </w:rPr>
        <w:t>t</w:t>
      </w:r>
      <w:r>
        <w:rPr>
          <w:rFonts w:ascii="Times New Roman" w:hAnsi="Times New Roman"/>
          <w:highlight w:val="yellow"/>
        </w:rPr>
        <w:t>h</w:t>
      </w:r>
      <w:r>
        <w:rPr>
          <w:rFonts w:ascii="Times New Roman" w:hAnsi="Times New Roman"/>
        </w:rPr>
        <w:t xml:space="preserve"> the control group.</w:t>
      </w:r>
      <w:r>
        <w:rPr>
          <w:rFonts w:ascii="Times New Roman" w:hAnsi="Times New Roman"/>
          <w:b/>
        </w:rPr>
        <w:t xml:space="preserve"> </w:t>
      </w:r>
      <w:r>
        <w:rPr>
          <w:rFonts w:ascii="Times New Roman" w:hAnsi="Times New Roman"/>
        </w:rPr>
        <w:t>Co-administration of CFE in both</w:t>
      </w:r>
      <w:r>
        <w:rPr>
          <w:rFonts w:ascii="Times New Roman" w:hAnsi="Times New Roman"/>
          <w:highlight w:val="yellow"/>
        </w:rPr>
        <w:t xml:space="preserve"> the</w:t>
      </w:r>
      <w:r>
        <w:rPr>
          <w:rFonts w:ascii="Times New Roman" w:hAnsi="Times New Roman"/>
        </w:rPr>
        <w:t xml:space="preserve"> protective (HFD+CFE) and therapeutic (OBS+CFE) groups significantly attenuated these increases. GOT activity was reduced by 17.9% and 15.4%, while GPT activity decreased by 10.7% and 8.3% in </w:t>
      </w:r>
      <w:r>
        <w:rPr>
          <w:rFonts w:ascii="Times New Roman" w:hAnsi="Times New Roman"/>
          <w:highlight w:val="yellow"/>
        </w:rPr>
        <w:t xml:space="preserve">the </w:t>
      </w:r>
      <w:r>
        <w:rPr>
          <w:rFonts w:ascii="Times New Roman" w:hAnsi="Times New Roman"/>
        </w:rPr>
        <w:t xml:space="preserve">HFD+CFE and OBS+CFE groups, respectively, compared </w:t>
      </w:r>
      <w:r>
        <w:rPr>
          <w:rFonts w:ascii="Times New Roman" w:hAnsi="Times New Roman"/>
          <w:highlight w:val="yellow"/>
        </w:rPr>
        <w:t>wi</w:t>
      </w:r>
      <w:r>
        <w:rPr>
          <w:rFonts w:ascii="Times New Roman" w:hAnsi="Times New Roman"/>
        </w:rPr>
        <w:t>t</w:t>
      </w:r>
      <w:r>
        <w:rPr>
          <w:rFonts w:ascii="Times New Roman" w:hAnsi="Times New Roman"/>
          <w:highlight w:val="yellow"/>
        </w:rPr>
        <w:t>h</w:t>
      </w:r>
      <w:r>
        <w:rPr>
          <w:rFonts w:ascii="Times New Roman" w:hAnsi="Times New Roman"/>
        </w:rPr>
        <w:t xml:space="preserve"> the HFD group.</w:t>
      </w:r>
      <w:r>
        <w:rPr>
          <w:rFonts w:ascii="Times New Roman" w:hAnsi="Times New Roman"/>
          <w:b/>
        </w:rPr>
        <w:t xml:space="preserve"> </w:t>
      </w:r>
      <w:r>
        <w:rPr>
          <w:rFonts w:ascii="Times New Roman" w:hAnsi="Times New Roman"/>
        </w:rPr>
        <w:t>No significant differences in hepatic transaminase activities were observed between the control (C) and C+CFE groups.</w:t>
      </w:r>
    </w:p>
    <w:p w14:paraId="64AFF0B8" w14:textId="77777777" w:rsidR="00AB35C5" w:rsidRDefault="00AB35C5" w:rsidP="00AB35C5">
      <w:pPr>
        <w:spacing w:line="360" w:lineRule="auto"/>
        <w:jc w:val="both"/>
        <w:rPr>
          <w:rFonts w:ascii="Times New Roman" w:hAnsi="Times New Roman" w:cs="Times New Roman"/>
          <w:b/>
        </w:rPr>
      </w:pPr>
    </w:p>
    <w:p w14:paraId="4CB2A333" w14:textId="77777777" w:rsidR="00AB35C5" w:rsidRDefault="00AB35C5" w:rsidP="00AB35C5">
      <w:pPr>
        <w:spacing w:line="360" w:lineRule="auto"/>
        <w:jc w:val="both"/>
        <w:rPr>
          <w:rFonts w:ascii="Times New Roman" w:hAnsi="Times New Roman" w:cs="Times New Roman"/>
          <w:b/>
        </w:rPr>
      </w:pPr>
    </w:p>
    <w:p w14:paraId="7C2BCBFE" w14:textId="77777777" w:rsidR="00AB35C5" w:rsidRDefault="00AB35C5" w:rsidP="00AB35C5">
      <w:pPr>
        <w:spacing w:line="360" w:lineRule="auto"/>
        <w:jc w:val="both"/>
        <w:rPr>
          <w:rFonts w:ascii="Times New Roman" w:hAnsi="Times New Roman" w:cs="Times New Roman"/>
          <w:b/>
        </w:rPr>
      </w:pPr>
    </w:p>
    <w:p w14:paraId="373DC1C4" w14:textId="77777777" w:rsidR="006F3EBB" w:rsidRDefault="00AB35C5" w:rsidP="006F3EBB">
      <w:pPr>
        <w:spacing w:line="360" w:lineRule="auto"/>
        <w:jc w:val="both"/>
        <w:rPr>
          <w:rFonts w:ascii="Times New Roman" w:hAnsi="Times New Roman" w:cs="Times New Roman"/>
          <w:color w:val="131313"/>
        </w:rPr>
      </w:pPr>
      <w:r w:rsidRPr="001E7043">
        <w:rPr>
          <w:rFonts w:ascii="Times New Roman" w:hAnsi="Times New Roman" w:cs="Times New Roman"/>
          <w:b/>
        </w:rPr>
        <w:t>Fig. 4</w:t>
      </w:r>
      <w:r w:rsidRPr="001E7043">
        <w:rPr>
          <w:rFonts w:ascii="Times New Roman" w:hAnsi="Times New Roman" w:cs="Times New Roman"/>
        </w:rPr>
        <w:t xml:space="preserve">. Effect of CFE on serum transaminases </w:t>
      </w:r>
      <w:r w:rsidRPr="001E7043">
        <w:rPr>
          <w:rFonts w:ascii="Times New Roman" w:hAnsi="Times New Roman" w:cs="Times New Roman"/>
          <w:color w:val="131313"/>
        </w:rPr>
        <w:t xml:space="preserve">in HFD fed rats </w:t>
      </w:r>
    </w:p>
    <w:p w14:paraId="573F44A8" w14:textId="77777777" w:rsidR="00DC3332" w:rsidRPr="006F3EBB" w:rsidRDefault="00AB35C5" w:rsidP="006F3EBB">
      <w:pPr>
        <w:spacing w:line="360" w:lineRule="auto"/>
        <w:jc w:val="both"/>
        <w:rPr>
          <w:rFonts w:ascii="Times New Roman" w:hAnsi="Times New Roman" w:cs="Times New Roman"/>
          <w:color w:val="131313"/>
        </w:rPr>
      </w:pPr>
      <w:r w:rsidRPr="00AB35C5">
        <w:rPr>
          <w:rFonts w:ascii="Times New Roman" w:eastAsia="Times New Roman" w:hAnsi="Times New Roman" w:cs="Times New Roman"/>
          <w:noProof/>
          <w:kern w:val="0"/>
          <w14:ligatures w14:val="none"/>
        </w:rPr>
        <w:lastRenderedPageBreak/>
        <w:drawing>
          <wp:inline distT="0" distB="0" distL="0" distR="0" wp14:anchorId="29FC7526" wp14:editId="2CAA3E6E">
            <wp:extent cx="3099335" cy="3272155"/>
            <wp:effectExtent l="0" t="0" r="6350" b="4445"/>
            <wp:docPr id="28459114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13711" cy="3287333"/>
                    </a:xfrm>
                    <a:prstGeom prst="rect">
                      <a:avLst/>
                    </a:prstGeom>
                    <a:noFill/>
                    <a:ln>
                      <a:noFill/>
                    </a:ln>
                  </pic:spPr>
                </pic:pic>
              </a:graphicData>
            </a:graphic>
          </wp:inline>
        </w:drawing>
      </w:r>
    </w:p>
    <w:p w14:paraId="3139D3AC" w14:textId="77777777" w:rsidR="00DC3332" w:rsidRDefault="00DC3332" w:rsidP="00DC3332">
      <w:pPr>
        <w:spacing w:line="480" w:lineRule="auto"/>
        <w:jc w:val="both"/>
        <w:rPr>
          <w:rFonts w:ascii="Times New Roman" w:hAnsi="Times New Roman" w:cs="Times New Roman"/>
          <w:color w:val="131313"/>
        </w:rPr>
      </w:pPr>
      <w:r w:rsidRPr="001E7043">
        <w:rPr>
          <w:rFonts w:ascii="Times New Roman" w:hAnsi="Times New Roman" w:cs="Times New Roman"/>
          <w:b/>
        </w:rPr>
        <w:t>Fig. 5</w:t>
      </w:r>
      <w:r w:rsidRPr="001E7043">
        <w:rPr>
          <w:rFonts w:ascii="Times New Roman" w:hAnsi="Times New Roman" w:cs="Times New Roman"/>
        </w:rPr>
        <w:t xml:space="preserve">. Effect of CFE on hepatic transaminases </w:t>
      </w:r>
      <w:r w:rsidRPr="001E7043">
        <w:rPr>
          <w:rFonts w:ascii="Times New Roman" w:hAnsi="Times New Roman" w:cs="Times New Roman"/>
          <w:color w:val="131313"/>
        </w:rPr>
        <w:t xml:space="preserve">in HFD fed rats </w:t>
      </w:r>
    </w:p>
    <w:p w14:paraId="127A43E1" w14:textId="77777777" w:rsidR="00AB35C5" w:rsidRPr="00AB35C5" w:rsidRDefault="00DC3332" w:rsidP="006F3EBB">
      <w:pPr>
        <w:pStyle w:val="NormalWeb"/>
      </w:pPr>
      <w:r>
        <w:rPr>
          <w:noProof/>
        </w:rPr>
        <w:drawing>
          <wp:inline distT="0" distB="0" distL="0" distR="0" wp14:anchorId="35E43B57" wp14:editId="0122BC9B">
            <wp:extent cx="3025582" cy="2316352"/>
            <wp:effectExtent l="0" t="0" r="3810" b="8255"/>
            <wp:docPr id="1037821819" name="Picture 1037821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52845" cy="2337225"/>
                    </a:xfrm>
                    <a:prstGeom prst="rect">
                      <a:avLst/>
                    </a:prstGeom>
                    <a:noFill/>
                    <a:ln>
                      <a:noFill/>
                    </a:ln>
                  </pic:spPr>
                </pic:pic>
              </a:graphicData>
            </a:graphic>
          </wp:inline>
        </w:drawing>
      </w:r>
    </w:p>
    <w:p w14:paraId="778AD2C5" w14:textId="77777777" w:rsidR="002A49BB" w:rsidRPr="00AB35C5" w:rsidRDefault="00AB35C5" w:rsidP="001753F3">
      <w:pPr>
        <w:spacing w:line="360" w:lineRule="auto"/>
        <w:jc w:val="both"/>
        <w:rPr>
          <w:rFonts w:ascii="Times New Roman" w:hAnsi="Times New Roman" w:cs="Times New Roman"/>
        </w:rPr>
      </w:pPr>
      <w:r w:rsidRPr="001E7043">
        <w:rPr>
          <w:rFonts w:ascii="Times New Roman" w:hAnsi="Times New Roman" w:cs="Times New Roman"/>
          <w:color w:val="131313"/>
        </w:rPr>
        <w:t>Group-</w:t>
      </w:r>
      <w:proofErr w:type="gramStart"/>
      <w:r w:rsidRPr="001E7043">
        <w:rPr>
          <w:rFonts w:ascii="Times New Roman" w:hAnsi="Times New Roman" w:cs="Times New Roman"/>
        </w:rPr>
        <w:t>C,  C</w:t>
      </w:r>
      <w:proofErr w:type="gramEnd"/>
      <w:r w:rsidRPr="001E7043">
        <w:rPr>
          <w:rFonts w:ascii="Times New Roman" w:hAnsi="Times New Roman" w:cs="Times New Roman"/>
        </w:rPr>
        <w:t xml:space="preserve">+CFE, control rats treated with </w:t>
      </w:r>
      <w:proofErr w:type="spellStart"/>
      <w:r w:rsidRPr="001E7043">
        <w:rPr>
          <w:rFonts w:ascii="Times New Roman" w:hAnsi="Times New Roman" w:cs="Times New Roman"/>
          <w:i/>
        </w:rPr>
        <w:t>Caralluma</w:t>
      </w:r>
      <w:proofErr w:type="spellEnd"/>
      <w:r w:rsidRPr="001E7043">
        <w:rPr>
          <w:rFonts w:ascii="Times New Roman" w:hAnsi="Times New Roman" w:cs="Times New Roman"/>
          <w:i/>
        </w:rPr>
        <w:t xml:space="preserve"> fimbriata</w:t>
      </w:r>
      <w:r w:rsidRPr="001E7043">
        <w:rPr>
          <w:rFonts w:ascii="Times New Roman" w:hAnsi="Times New Roman" w:cs="Times New Roman"/>
        </w:rPr>
        <w:t xml:space="preserve">; HFD, high-fat diet fed rats; HFD+CFE, high-fat diet rats treated with </w:t>
      </w:r>
      <w:proofErr w:type="spellStart"/>
      <w:r w:rsidRPr="001E7043">
        <w:rPr>
          <w:rFonts w:ascii="Times New Roman" w:hAnsi="Times New Roman" w:cs="Times New Roman"/>
          <w:i/>
        </w:rPr>
        <w:t>Caralluma</w:t>
      </w:r>
      <w:proofErr w:type="spellEnd"/>
      <w:r w:rsidRPr="001E7043">
        <w:rPr>
          <w:rFonts w:ascii="Times New Roman" w:hAnsi="Times New Roman" w:cs="Times New Roman"/>
          <w:i/>
        </w:rPr>
        <w:t xml:space="preserve"> fimbriata</w:t>
      </w:r>
      <w:r w:rsidRPr="001E7043">
        <w:rPr>
          <w:rFonts w:ascii="Times New Roman" w:hAnsi="Times New Roman" w:cs="Times New Roman"/>
        </w:rPr>
        <w:t xml:space="preserve"> (protective model); OBS+CFE, high-fat diet fed animals treated with </w:t>
      </w:r>
      <w:proofErr w:type="spellStart"/>
      <w:r w:rsidRPr="001E7043">
        <w:rPr>
          <w:rFonts w:ascii="Times New Roman" w:hAnsi="Times New Roman" w:cs="Times New Roman"/>
          <w:i/>
        </w:rPr>
        <w:t>Caralluma</w:t>
      </w:r>
      <w:proofErr w:type="spellEnd"/>
      <w:r w:rsidRPr="001E7043">
        <w:rPr>
          <w:rFonts w:ascii="Times New Roman" w:hAnsi="Times New Roman" w:cs="Times New Roman"/>
          <w:i/>
        </w:rPr>
        <w:t xml:space="preserve"> fimbriata</w:t>
      </w:r>
      <w:r w:rsidRPr="001E7043">
        <w:rPr>
          <w:rFonts w:ascii="Times New Roman" w:hAnsi="Times New Roman" w:cs="Times New Roman"/>
        </w:rPr>
        <w:t xml:space="preserve"> (therapeutic model). </w:t>
      </w:r>
      <w:r w:rsidRPr="001E7043">
        <w:rPr>
          <w:rFonts w:ascii="Times New Roman" w:hAnsi="Times New Roman" w:cs="Times New Roman"/>
          <w:color w:val="131313"/>
        </w:rPr>
        <w:t>(Values are mean ± SEM (n=6 animals in each group)</w:t>
      </w:r>
      <w:r w:rsidRPr="001E7043">
        <w:rPr>
          <w:rFonts w:ascii="Times New Roman" w:hAnsi="Times New Roman" w:cs="Times New Roman"/>
        </w:rPr>
        <w:t>. a-e Significant differences between groups-C, C+CFE, HFD, HFD+CFE and OBS+CFE.</w:t>
      </w:r>
    </w:p>
    <w:p w14:paraId="23C4CD13" w14:textId="77777777" w:rsidR="001753F3" w:rsidRPr="001753F3" w:rsidRDefault="00820464" w:rsidP="001753F3">
      <w:pPr>
        <w:spacing w:line="360" w:lineRule="auto"/>
        <w:jc w:val="both"/>
        <w:rPr>
          <w:rFonts w:ascii="Times New Roman" w:eastAsia="Times New Roman" w:hAnsi="Times New Roman" w:cs="Times New Roman"/>
          <w:b/>
          <w:bCs/>
          <w:kern w:val="0"/>
          <w14:ligatures w14:val="none"/>
        </w:rPr>
      </w:pPr>
      <w:r w:rsidRPr="001753F3">
        <w:rPr>
          <w:rFonts w:ascii="Times New Roman" w:eastAsia="Times New Roman" w:hAnsi="Times New Roman" w:cs="Times New Roman"/>
          <w:b/>
          <w:bCs/>
          <w:kern w:val="0"/>
          <w14:ligatures w14:val="none"/>
        </w:rPr>
        <w:t>Effects of CFE on Hepatic Oxidative Stress Markers</w:t>
      </w:r>
    </w:p>
    <w:p w14:paraId="4FFC0EF8" w14:textId="77777777" w:rsidR="005B7F08" w:rsidRPr="001753F3" w:rsidRDefault="004D5F78" w:rsidP="001753F3">
      <w:pPr>
        <w:spacing w:line="360" w:lineRule="auto"/>
        <w:jc w:val="both"/>
        <w:rPr>
          <w:rFonts w:ascii="Times New Roman" w:eastAsia="Times New Roman" w:hAnsi="Times New Roman" w:cs="Times New Roman"/>
          <w:kern w:val="0"/>
          <w14:ligatures w14:val="none"/>
        </w:rPr>
      </w:pPr>
      <w:r>
        <w:rPr>
          <w:rFonts w:ascii="Times New Roman" w:hAnsi="Times New Roman"/>
        </w:rPr>
        <w:lastRenderedPageBreak/>
        <w:t>Oxidative stress was evaluated by measuring lipid peroxidation (LPO), protein oxidation (PO), and reduced glutathione (GSH) levels in liver tissue (Table 3). Rats fed a high-fat diet (HFD) showed significant increase</w:t>
      </w:r>
      <w:r>
        <w:rPr>
          <w:rFonts w:ascii="Times New Roman" w:hAnsi="Times New Roman"/>
          <w:highlight w:val="yellow"/>
        </w:rPr>
        <w:t>s</w:t>
      </w:r>
      <w:r>
        <w:rPr>
          <w:rFonts w:ascii="Times New Roman" w:hAnsi="Times New Roman"/>
        </w:rPr>
        <w:t xml:space="preserve"> in LPO (214.0%) and PO (72.4%) levels, along with a marked decrease in GSH (47.2%) compared </w:t>
      </w:r>
      <w:r>
        <w:rPr>
          <w:rFonts w:ascii="Times New Roman" w:hAnsi="Times New Roman"/>
          <w:highlight w:val="yellow"/>
        </w:rPr>
        <w:t>wi</w:t>
      </w:r>
      <w:r>
        <w:rPr>
          <w:rFonts w:ascii="Times New Roman" w:hAnsi="Times New Roman"/>
        </w:rPr>
        <w:t>t</w:t>
      </w:r>
      <w:r>
        <w:rPr>
          <w:rFonts w:ascii="Times New Roman" w:hAnsi="Times New Roman"/>
          <w:highlight w:val="yellow"/>
        </w:rPr>
        <w:t>h</w:t>
      </w:r>
      <w:r>
        <w:rPr>
          <w:rFonts w:ascii="Times New Roman" w:hAnsi="Times New Roman"/>
        </w:rPr>
        <w:t xml:space="preserve"> the control group.</w:t>
      </w:r>
      <w:r>
        <w:rPr>
          <w:rFonts w:ascii="Times New Roman" w:hAnsi="Times New Roman"/>
          <w:b/>
          <w:i/>
        </w:rPr>
        <w:t xml:space="preserve"> </w:t>
      </w:r>
      <w:r>
        <w:rPr>
          <w:rFonts w:ascii="Times New Roman" w:hAnsi="Times New Roman"/>
        </w:rPr>
        <w:t>Co-administration of CFE in both</w:t>
      </w:r>
      <w:r>
        <w:rPr>
          <w:rFonts w:ascii="Times New Roman" w:hAnsi="Times New Roman"/>
          <w:highlight w:val="yellow"/>
        </w:rPr>
        <w:t xml:space="preserve"> the</w:t>
      </w:r>
      <w:r>
        <w:rPr>
          <w:rFonts w:ascii="Times New Roman" w:hAnsi="Times New Roman"/>
        </w:rPr>
        <w:t xml:space="preserve"> protective (HFD+CFE) and therapeutic (OBS+CFE) groups significantly reduced LPO (63.7% and 46.0%) and PO (41.7% and 29.3%) levels, while increasing GSH levels (81% and 18.4%), respectively, compared </w:t>
      </w:r>
      <w:r>
        <w:rPr>
          <w:rFonts w:ascii="Times New Roman" w:hAnsi="Times New Roman"/>
          <w:highlight w:val="yellow"/>
        </w:rPr>
        <w:t>wi</w:t>
      </w:r>
      <w:r>
        <w:rPr>
          <w:rFonts w:ascii="Times New Roman" w:hAnsi="Times New Roman"/>
        </w:rPr>
        <w:t>t</w:t>
      </w:r>
      <w:r>
        <w:rPr>
          <w:rFonts w:ascii="Times New Roman" w:hAnsi="Times New Roman"/>
          <w:highlight w:val="yellow"/>
        </w:rPr>
        <w:t>h</w:t>
      </w:r>
      <w:r>
        <w:rPr>
          <w:rFonts w:ascii="Times New Roman" w:hAnsi="Times New Roman"/>
        </w:rPr>
        <w:t xml:space="preserve"> the HFD group.</w:t>
      </w:r>
    </w:p>
    <w:tbl>
      <w:tblPr>
        <w:tblStyle w:val="TableGrid"/>
        <w:tblpPr w:leftFromText="180" w:rightFromText="180" w:vertAnchor="text" w:horzAnchor="margin" w:tblpY="1185"/>
        <w:tblW w:w="9322" w:type="dxa"/>
        <w:tblLook w:val="04A0" w:firstRow="1" w:lastRow="0" w:firstColumn="1" w:lastColumn="0" w:noHBand="0" w:noVBand="1"/>
      </w:tblPr>
      <w:tblGrid>
        <w:gridCol w:w="1809"/>
        <w:gridCol w:w="2694"/>
        <w:gridCol w:w="2835"/>
        <w:gridCol w:w="1984"/>
      </w:tblGrid>
      <w:tr w:rsidR="002E0FBC" w14:paraId="79AF9FE7" w14:textId="77777777" w:rsidTr="00FC748A">
        <w:tc>
          <w:tcPr>
            <w:tcW w:w="1809" w:type="dxa"/>
            <w:tcBorders>
              <w:left w:val="nil"/>
              <w:bottom w:val="single" w:sz="4" w:space="0" w:color="000000" w:themeColor="text1"/>
              <w:right w:val="nil"/>
            </w:tcBorders>
          </w:tcPr>
          <w:p w14:paraId="13D71B5C" w14:textId="77777777" w:rsidR="002E0FBC" w:rsidRPr="00700C01" w:rsidRDefault="002E0FBC" w:rsidP="00FC748A">
            <w:pPr>
              <w:rPr>
                <w:rFonts w:ascii="Times New Roman" w:hAnsi="Times New Roman" w:cs="Times New Roman"/>
                <w:sz w:val="24"/>
                <w:szCs w:val="24"/>
              </w:rPr>
            </w:pPr>
            <w:r w:rsidRPr="00700C01">
              <w:rPr>
                <w:rFonts w:ascii="Times New Roman" w:hAnsi="Times New Roman" w:cs="Times New Roman"/>
                <w:sz w:val="24"/>
                <w:szCs w:val="24"/>
              </w:rPr>
              <w:t>Experimental animals</w:t>
            </w:r>
          </w:p>
        </w:tc>
        <w:tc>
          <w:tcPr>
            <w:tcW w:w="2694" w:type="dxa"/>
            <w:tcBorders>
              <w:left w:val="nil"/>
              <w:bottom w:val="single" w:sz="4" w:space="0" w:color="000000" w:themeColor="text1"/>
              <w:right w:val="nil"/>
            </w:tcBorders>
          </w:tcPr>
          <w:p w14:paraId="3E41550A" w14:textId="77777777" w:rsidR="002E0FBC" w:rsidRPr="00700C01" w:rsidRDefault="002E0FBC" w:rsidP="00FC748A">
            <w:pPr>
              <w:jc w:val="center"/>
              <w:rPr>
                <w:rFonts w:ascii="Times New Roman" w:hAnsi="Times New Roman" w:cs="Times New Roman"/>
                <w:sz w:val="24"/>
                <w:szCs w:val="24"/>
              </w:rPr>
            </w:pPr>
            <w:r w:rsidRPr="00700C01">
              <w:rPr>
                <w:rFonts w:ascii="Times New Roman" w:hAnsi="Times New Roman" w:cs="Times New Roman"/>
                <w:sz w:val="24"/>
                <w:szCs w:val="24"/>
              </w:rPr>
              <w:t>Lipid peroxidation (nmol MDA formed/min/mg protein)</w:t>
            </w:r>
          </w:p>
        </w:tc>
        <w:tc>
          <w:tcPr>
            <w:tcW w:w="2835" w:type="dxa"/>
            <w:tcBorders>
              <w:left w:val="nil"/>
              <w:bottom w:val="single" w:sz="4" w:space="0" w:color="000000" w:themeColor="text1"/>
              <w:right w:val="nil"/>
            </w:tcBorders>
          </w:tcPr>
          <w:p w14:paraId="6B683872" w14:textId="77777777" w:rsidR="002E0FBC" w:rsidRPr="00700C01" w:rsidRDefault="002E0FBC" w:rsidP="00FC748A">
            <w:pPr>
              <w:jc w:val="center"/>
              <w:rPr>
                <w:rFonts w:ascii="Times New Roman" w:hAnsi="Times New Roman" w:cs="Times New Roman"/>
                <w:sz w:val="24"/>
                <w:szCs w:val="24"/>
              </w:rPr>
            </w:pPr>
            <w:r w:rsidRPr="00700C01">
              <w:rPr>
                <w:rFonts w:ascii="Times New Roman" w:hAnsi="Times New Roman" w:cs="Times New Roman"/>
                <w:sz w:val="24"/>
                <w:szCs w:val="24"/>
              </w:rPr>
              <w:t>Protein oxidation (µmol of protein carbonyls/mg protein)</w:t>
            </w:r>
          </w:p>
        </w:tc>
        <w:tc>
          <w:tcPr>
            <w:tcW w:w="1984" w:type="dxa"/>
            <w:tcBorders>
              <w:left w:val="nil"/>
              <w:bottom w:val="single" w:sz="4" w:space="0" w:color="000000" w:themeColor="text1"/>
              <w:right w:val="nil"/>
            </w:tcBorders>
          </w:tcPr>
          <w:p w14:paraId="184A6920" w14:textId="77777777" w:rsidR="002E0FBC" w:rsidRPr="00700C01" w:rsidRDefault="002E0FBC" w:rsidP="00FC748A">
            <w:pPr>
              <w:jc w:val="center"/>
              <w:rPr>
                <w:rFonts w:ascii="Times New Roman" w:hAnsi="Times New Roman" w:cs="Times New Roman"/>
                <w:sz w:val="24"/>
                <w:szCs w:val="24"/>
              </w:rPr>
            </w:pPr>
            <w:r w:rsidRPr="00700C01">
              <w:rPr>
                <w:rFonts w:ascii="Times New Roman" w:hAnsi="Times New Roman" w:cs="Times New Roman"/>
                <w:sz w:val="24"/>
                <w:szCs w:val="24"/>
              </w:rPr>
              <w:t>Reduced Glutathione (µg of GSH/mg protein)</w:t>
            </w:r>
          </w:p>
        </w:tc>
      </w:tr>
      <w:tr w:rsidR="002E0FBC" w14:paraId="555FF6B8" w14:textId="77777777" w:rsidTr="00FC748A">
        <w:tc>
          <w:tcPr>
            <w:tcW w:w="1809" w:type="dxa"/>
            <w:tcBorders>
              <w:left w:val="nil"/>
              <w:bottom w:val="nil"/>
              <w:right w:val="nil"/>
            </w:tcBorders>
          </w:tcPr>
          <w:p w14:paraId="6196525C" w14:textId="77777777" w:rsidR="002E0FBC" w:rsidRPr="00700C01" w:rsidRDefault="002E0FBC" w:rsidP="00FC748A">
            <w:pPr>
              <w:spacing w:line="360" w:lineRule="auto"/>
              <w:rPr>
                <w:rFonts w:ascii="Times New Roman" w:hAnsi="Times New Roman" w:cs="Times New Roman"/>
                <w:sz w:val="24"/>
                <w:szCs w:val="24"/>
              </w:rPr>
            </w:pPr>
            <w:r w:rsidRPr="00700C01">
              <w:rPr>
                <w:rFonts w:ascii="Times New Roman" w:hAnsi="Times New Roman" w:cs="Times New Roman"/>
                <w:sz w:val="24"/>
                <w:szCs w:val="24"/>
              </w:rPr>
              <w:t>C</w:t>
            </w:r>
          </w:p>
        </w:tc>
        <w:tc>
          <w:tcPr>
            <w:tcW w:w="2694" w:type="dxa"/>
            <w:tcBorders>
              <w:left w:val="nil"/>
              <w:bottom w:val="nil"/>
              <w:right w:val="nil"/>
            </w:tcBorders>
          </w:tcPr>
          <w:p w14:paraId="5EE26D8F" w14:textId="77777777" w:rsidR="002E0FBC" w:rsidRPr="00ED374F" w:rsidRDefault="002E0FBC" w:rsidP="00FC748A">
            <w:pPr>
              <w:spacing w:line="360" w:lineRule="auto"/>
              <w:jc w:val="center"/>
              <w:rPr>
                <w:rFonts w:ascii="Times New Roman" w:hAnsi="Times New Roman" w:cs="Times New Roman"/>
                <w:sz w:val="24"/>
                <w:szCs w:val="24"/>
              </w:rPr>
            </w:pPr>
            <w:r w:rsidRPr="00ED374F">
              <w:rPr>
                <w:rFonts w:ascii="Times New Roman" w:hAnsi="Times New Roman" w:cs="Times New Roman"/>
                <w:sz w:val="24"/>
                <w:szCs w:val="24"/>
              </w:rPr>
              <w:t>24.95±0.04</w:t>
            </w:r>
            <w:r w:rsidRPr="00ED374F">
              <w:rPr>
                <w:rFonts w:ascii="Times New Roman" w:hAnsi="Times New Roman" w:cs="Times New Roman"/>
                <w:sz w:val="24"/>
                <w:szCs w:val="24"/>
                <w:vertAlign w:val="superscript"/>
              </w:rPr>
              <w:t>a</w:t>
            </w:r>
          </w:p>
        </w:tc>
        <w:tc>
          <w:tcPr>
            <w:tcW w:w="2835" w:type="dxa"/>
            <w:tcBorders>
              <w:left w:val="nil"/>
              <w:bottom w:val="nil"/>
              <w:right w:val="nil"/>
            </w:tcBorders>
          </w:tcPr>
          <w:p w14:paraId="2F91F47F" w14:textId="77777777" w:rsidR="002E0FBC" w:rsidRPr="00ED374F" w:rsidRDefault="002E0FBC" w:rsidP="00FC748A">
            <w:pPr>
              <w:spacing w:line="360" w:lineRule="auto"/>
              <w:jc w:val="center"/>
              <w:rPr>
                <w:rFonts w:ascii="Times New Roman" w:hAnsi="Times New Roman" w:cs="Times New Roman"/>
                <w:sz w:val="24"/>
                <w:szCs w:val="24"/>
              </w:rPr>
            </w:pPr>
            <w:r w:rsidRPr="00ED374F">
              <w:rPr>
                <w:rFonts w:ascii="Times New Roman" w:hAnsi="Times New Roman" w:cs="Times New Roman"/>
                <w:sz w:val="24"/>
                <w:szCs w:val="24"/>
              </w:rPr>
              <w:t>1.74±0.03</w:t>
            </w:r>
            <w:r w:rsidRPr="00ED374F">
              <w:rPr>
                <w:rFonts w:ascii="Times New Roman" w:hAnsi="Times New Roman" w:cs="Times New Roman"/>
                <w:sz w:val="24"/>
                <w:szCs w:val="24"/>
                <w:vertAlign w:val="superscript"/>
              </w:rPr>
              <w:t>a</w:t>
            </w:r>
          </w:p>
        </w:tc>
        <w:tc>
          <w:tcPr>
            <w:tcW w:w="1984" w:type="dxa"/>
            <w:tcBorders>
              <w:left w:val="nil"/>
              <w:bottom w:val="nil"/>
              <w:right w:val="nil"/>
            </w:tcBorders>
          </w:tcPr>
          <w:p w14:paraId="0D5D750C" w14:textId="77777777" w:rsidR="002E0FBC" w:rsidRPr="00ED374F" w:rsidRDefault="002E0FBC" w:rsidP="00FC748A">
            <w:pPr>
              <w:spacing w:line="360" w:lineRule="auto"/>
              <w:jc w:val="center"/>
              <w:rPr>
                <w:rFonts w:ascii="Times New Roman" w:hAnsi="Times New Roman" w:cs="Times New Roman"/>
                <w:sz w:val="24"/>
                <w:szCs w:val="24"/>
              </w:rPr>
            </w:pPr>
            <w:r w:rsidRPr="00ED374F">
              <w:rPr>
                <w:rFonts w:ascii="Times New Roman" w:hAnsi="Times New Roman" w:cs="Times New Roman"/>
                <w:sz w:val="24"/>
                <w:szCs w:val="24"/>
              </w:rPr>
              <w:t>7.20±0.02</w:t>
            </w:r>
            <w:r w:rsidRPr="00ED374F">
              <w:rPr>
                <w:rFonts w:ascii="Times New Roman" w:hAnsi="Times New Roman" w:cs="Times New Roman"/>
                <w:sz w:val="24"/>
                <w:szCs w:val="24"/>
                <w:vertAlign w:val="superscript"/>
              </w:rPr>
              <w:t>a</w:t>
            </w:r>
          </w:p>
        </w:tc>
      </w:tr>
      <w:tr w:rsidR="002E0FBC" w14:paraId="21609AC1" w14:textId="77777777" w:rsidTr="00FC748A">
        <w:tc>
          <w:tcPr>
            <w:tcW w:w="1809" w:type="dxa"/>
            <w:tcBorders>
              <w:top w:val="nil"/>
              <w:left w:val="nil"/>
              <w:bottom w:val="nil"/>
              <w:right w:val="nil"/>
            </w:tcBorders>
          </w:tcPr>
          <w:p w14:paraId="5D88D4DF" w14:textId="77777777" w:rsidR="002E0FBC" w:rsidRPr="00700C01" w:rsidRDefault="002E0FBC" w:rsidP="00FC748A">
            <w:pPr>
              <w:spacing w:line="360" w:lineRule="auto"/>
              <w:rPr>
                <w:rFonts w:ascii="Times New Roman" w:hAnsi="Times New Roman" w:cs="Times New Roman"/>
                <w:sz w:val="24"/>
                <w:szCs w:val="24"/>
              </w:rPr>
            </w:pPr>
            <w:r w:rsidRPr="00700C01">
              <w:rPr>
                <w:rFonts w:ascii="Times New Roman" w:hAnsi="Times New Roman" w:cs="Times New Roman"/>
                <w:sz w:val="24"/>
                <w:szCs w:val="24"/>
              </w:rPr>
              <w:t>C+CFE</w:t>
            </w:r>
          </w:p>
        </w:tc>
        <w:tc>
          <w:tcPr>
            <w:tcW w:w="2694" w:type="dxa"/>
            <w:tcBorders>
              <w:top w:val="nil"/>
              <w:left w:val="nil"/>
              <w:bottom w:val="nil"/>
              <w:right w:val="nil"/>
            </w:tcBorders>
          </w:tcPr>
          <w:p w14:paraId="655B5BA8" w14:textId="77777777" w:rsidR="002E0FBC" w:rsidRPr="00ED374F" w:rsidRDefault="002E0FBC" w:rsidP="00FC748A">
            <w:pPr>
              <w:spacing w:line="360" w:lineRule="auto"/>
              <w:jc w:val="center"/>
              <w:rPr>
                <w:rFonts w:ascii="Times New Roman" w:hAnsi="Times New Roman" w:cs="Times New Roman"/>
                <w:sz w:val="24"/>
                <w:szCs w:val="24"/>
              </w:rPr>
            </w:pPr>
            <w:r w:rsidRPr="00ED374F">
              <w:rPr>
                <w:rFonts w:ascii="Times New Roman" w:hAnsi="Times New Roman" w:cs="Times New Roman"/>
                <w:sz w:val="24"/>
                <w:szCs w:val="24"/>
              </w:rPr>
              <w:t>23.00±0.04</w:t>
            </w:r>
            <w:r w:rsidRPr="00ED374F">
              <w:rPr>
                <w:rFonts w:ascii="Times New Roman" w:hAnsi="Times New Roman" w:cs="Times New Roman"/>
                <w:sz w:val="24"/>
                <w:szCs w:val="24"/>
                <w:vertAlign w:val="superscript"/>
              </w:rPr>
              <w:t>b</w:t>
            </w:r>
          </w:p>
        </w:tc>
        <w:tc>
          <w:tcPr>
            <w:tcW w:w="2835" w:type="dxa"/>
            <w:tcBorders>
              <w:top w:val="nil"/>
              <w:left w:val="nil"/>
              <w:bottom w:val="nil"/>
              <w:right w:val="nil"/>
            </w:tcBorders>
          </w:tcPr>
          <w:p w14:paraId="7CD82467" w14:textId="77777777" w:rsidR="002E0FBC" w:rsidRPr="00ED374F" w:rsidRDefault="002E0FBC" w:rsidP="00FC748A">
            <w:pPr>
              <w:spacing w:line="360" w:lineRule="auto"/>
              <w:jc w:val="center"/>
              <w:rPr>
                <w:rFonts w:ascii="Times New Roman" w:hAnsi="Times New Roman" w:cs="Times New Roman"/>
                <w:sz w:val="24"/>
                <w:szCs w:val="24"/>
              </w:rPr>
            </w:pPr>
            <w:r w:rsidRPr="00ED374F">
              <w:rPr>
                <w:rFonts w:ascii="Times New Roman" w:hAnsi="Times New Roman" w:cs="Times New Roman"/>
                <w:sz w:val="24"/>
                <w:szCs w:val="24"/>
              </w:rPr>
              <w:t>1.65±0.03</w:t>
            </w:r>
            <w:r w:rsidRPr="00ED374F">
              <w:rPr>
                <w:rFonts w:ascii="Times New Roman" w:hAnsi="Times New Roman" w:cs="Times New Roman"/>
                <w:sz w:val="24"/>
                <w:szCs w:val="24"/>
                <w:vertAlign w:val="superscript"/>
              </w:rPr>
              <w:t>b</w:t>
            </w:r>
          </w:p>
        </w:tc>
        <w:tc>
          <w:tcPr>
            <w:tcW w:w="1984" w:type="dxa"/>
            <w:tcBorders>
              <w:top w:val="nil"/>
              <w:left w:val="nil"/>
              <w:bottom w:val="nil"/>
              <w:right w:val="nil"/>
            </w:tcBorders>
          </w:tcPr>
          <w:p w14:paraId="0AF98499" w14:textId="77777777" w:rsidR="002E0FBC" w:rsidRPr="00ED374F" w:rsidRDefault="002E0FBC" w:rsidP="00FC748A">
            <w:pPr>
              <w:spacing w:line="360" w:lineRule="auto"/>
              <w:jc w:val="center"/>
              <w:rPr>
                <w:rFonts w:ascii="Times New Roman" w:hAnsi="Times New Roman" w:cs="Times New Roman"/>
                <w:sz w:val="24"/>
                <w:szCs w:val="24"/>
              </w:rPr>
            </w:pPr>
            <w:r w:rsidRPr="00ED374F">
              <w:rPr>
                <w:rFonts w:ascii="Times New Roman" w:hAnsi="Times New Roman" w:cs="Times New Roman"/>
                <w:sz w:val="24"/>
                <w:szCs w:val="24"/>
              </w:rPr>
              <w:t>7.84±0.04</w:t>
            </w:r>
            <w:r w:rsidRPr="00ED374F">
              <w:rPr>
                <w:rFonts w:ascii="Times New Roman" w:hAnsi="Times New Roman" w:cs="Times New Roman"/>
                <w:sz w:val="24"/>
                <w:szCs w:val="24"/>
                <w:vertAlign w:val="superscript"/>
              </w:rPr>
              <w:t>b</w:t>
            </w:r>
          </w:p>
        </w:tc>
      </w:tr>
      <w:tr w:rsidR="002E0FBC" w14:paraId="4ECAD4DB" w14:textId="77777777" w:rsidTr="00FC748A">
        <w:tc>
          <w:tcPr>
            <w:tcW w:w="1809" w:type="dxa"/>
            <w:tcBorders>
              <w:top w:val="nil"/>
              <w:left w:val="nil"/>
              <w:bottom w:val="nil"/>
              <w:right w:val="nil"/>
            </w:tcBorders>
          </w:tcPr>
          <w:p w14:paraId="121DA84C" w14:textId="77777777" w:rsidR="002E0FBC" w:rsidRPr="00700C01" w:rsidRDefault="002E0FBC" w:rsidP="00FC748A">
            <w:pPr>
              <w:spacing w:line="360" w:lineRule="auto"/>
              <w:rPr>
                <w:rFonts w:ascii="Times New Roman" w:hAnsi="Times New Roman" w:cs="Times New Roman"/>
                <w:sz w:val="24"/>
                <w:szCs w:val="24"/>
              </w:rPr>
            </w:pPr>
            <w:r w:rsidRPr="00700C01">
              <w:rPr>
                <w:rFonts w:ascii="Times New Roman" w:hAnsi="Times New Roman" w:cs="Times New Roman"/>
                <w:sz w:val="24"/>
                <w:szCs w:val="24"/>
              </w:rPr>
              <w:t>HFD+CFE</w:t>
            </w:r>
          </w:p>
        </w:tc>
        <w:tc>
          <w:tcPr>
            <w:tcW w:w="2694" w:type="dxa"/>
            <w:tcBorders>
              <w:top w:val="nil"/>
              <w:left w:val="nil"/>
              <w:bottom w:val="nil"/>
              <w:right w:val="nil"/>
            </w:tcBorders>
          </w:tcPr>
          <w:p w14:paraId="16CE1858" w14:textId="77777777" w:rsidR="002E0FBC" w:rsidRPr="00ED374F" w:rsidRDefault="002E0FBC" w:rsidP="00FC748A">
            <w:pPr>
              <w:spacing w:line="360" w:lineRule="auto"/>
              <w:jc w:val="center"/>
              <w:rPr>
                <w:rFonts w:ascii="Times New Roman" w:hAnsi="Times New Roman" w:cs="Times New Roman"/>
                <w:sz w:val="24"/>
                <w:szCs w:val="24"/>
              </w:rPr>
            </w:pPr>
            <w:r w:rsidRPr="00ED374F">
              <w:rPr>
                <w:rFonts w:ascii="Times New Roman" w:hAnsi="Times New Roman" w:cs="Times New Roman"/>
                <w:sz w:val="24"/>
                <w:szCs w:val="24"/>
              </w:rPr>
              <w:t>28.40±0.03</w:t>
            </w:r>
            <w:r w:rsidRPr="00ED374F">
              <w:rPr>
                <w:rFonts w:ascii="Times New Roman" w:hAnsi="Times New Roman" w:cs="Times New Roman"/>
                <w:sz w:val="24"/>
                <w:szCs w:val="24"/>
                <w:vertAlign w:val="superscript"/>
              </w:rPr>
              <w:t>d</w:t>
            </w:r>
          </w:p>
        </w:tc>
        <w:tc>
          <w:tcPr>
            <w:tcW w:w="2835" w:type="dxa"/>
            <w:tcBorders>
              <w:top w:val="nil"/>
              <w:left w:val="nil"/>
              <w:bottom w:val="nil"/>
              <w:right w:val="nil"/>
            </w:tcBorders>
          </w:tcPr>
          <w:p w14:paraId="7B88AC4D" w14:textId="77777777" w:rsidR="002E0FBC" w:rsidRPr="00ED374F" w:rsidRDefault="002E0FBC" w:rsidP="00FC748A">
            <w:pPr>
              <w:spacing w:line="360" w:lineRule="auto"/>
              <w:jc w:val="center"/>
              <w:rPr>
                <w:rFonts w:ascii="Times New Roman" w:hAnsi="Times New Roman" w:cs="Times New Roman"/>
                <w:sz w:val="24"/>
                <w:szCs w:val="24"/>
              </w:rPr>
            </w:pPr>
            <w:r w:rsidRPr="00ED374F">
              <w:rPr>
                <w:rFonts w:ascii="Times New Roman" w:hAnsi="Times New Roman" w:cs="Times New Roman"/>
                <w:sz w:val="24"/>
                <w:szCs w:val="24"/>
              </w:rPr>
              <w:t>1.75±0.03</w:t>
            </w:r>
            <w:r w:rsidRPr="00ED374F">
              <w:rPr>
                <w:rFonts w:ascii="Times New Roman" w:hAnsi="Times New Roman" w:cs="Times New Roman"/>
                <w:sz w:val="24"/>
                <w:szCs w:val="24"/>
                <w:vertAlign w:val="superscript"/>
              </w:rPr>
              <w:t>a</w:t>
            </w:r>
          </w:p>
        </w:tc>
        <w:tc>
          <w:tcPr>
            <w:tcW w:w="1984" w:type="dxa"/>
            <w:tcBorders>
              <w:top w:val="nil"/>
              <w:left w:val="nil"/>
              <w:bottom w:val="nil"/>
              <w:right w:val="nil"/>
            </w:tcBorders>
          </w:tcPr>
          <w:p w14:paraId="4546F8FD" w14:textId="77777777" w:rsidR="002E0FBC" w:rsidRPr="00ED374F" w:rsidRDefault="002E0FBC" w:rsidP="00FC748A">
            <w:pPr>
              <w:spacing w:line="360" w:lineRule="auto"/>
              <w:jc w:val="center"/>
              <w:rPr>
                <w:rFonts w:ascii="Times New Roman" w:hAnsi="Times New Roman" w:cs="Times New Roman"/>
                <w:sz w:val="24"/>
                <w:szCs w:val="24"/>
              </w:rPr>
            </w:pPr>
            <w:r w:rsidRPr="00ED374F">
              <w:rPr>
                <w:rFonts w:ascii="Times New Roman" w:hAnsi="Times New Roman" w:cs="Times New Roman"/>
                <w:sz w:val="24"/>
                <w:szCs w:val="24"/>
              </w:rPr>
              <w:t>6.88±0.04</w:t>
            </w:r>
            <w:r w:rsidRPr="00ED374F">
              <w:rPr>
                <w:rFonts w:ascii="Times New Roman" w:hAnsi="Times New Roman" w:cs="Times New Roman"/>
                <w:sz w:val="24"/>
                <w:szCs w:val="24"/>
                <w:vertAlign w:val="superscript"/>
              </w:rPr>
              <w:t>d</w:t>
            </w:r>
          </w:p>
        </w:tc>
      </w:tr>
      <w:tr w:rsidR="002E0FBC" w14:paraId="604A5A5C" w14:textId="77777777" w:rsidTr="00FC748A">
        <w:tc>
          <w:tcPr>
            <w:tcW w:w="1809" w:type="dxa"/>
            <w:tcBorders>
              <w:top w:val="nil"/>
              <w:left w:val="nil"/>
              <w:bottom w:val="nil"/>
              <w:right w:val="nil"/>
            </w:tcBorders>
          </w:tcPr>
          <w:p w14:paraId="5654B252" w14:textId="77777777" w:rsidR="002E0FBC" w:rsidRPr="00700C01" w:rsidRDefault="002E0FBC" w:rsidP="00FC748A">
            <w:pPr>
              <w:spacing w:line="360" w:lineRule="auto"/>
              <w:rPr>
                <w:rFonts w:ascii="Times New Roman" w:hAnsi="Times New Roman" w:cs="Times New Roman"/>
                <w:sz w:val="24"/>
                <w:szCs w:val="24"/>
              </w:rPr>
            </w:pPr>
            <w:r w:rsidRPr="00700C01">
              <w:rPr>
                <w:rFonts w:ascii="Times New Roman" w:hAnsi="Times New Roman" w:cs="Times New Roman"/>
                <w:sz w:val="24"/>
                <w:szCs w:val="24"/>
              </w:rPr>
              <w:t>HFD</w:t>
            </w:r>
          </w:p>
        </w:tc>
        <w:tc>
          <w:tcPr>
            <w:tcW w:w="2694" w:type="dxa"/>
            <w:tcBorders>
              <w:top w:val="nil"/>
              <w:left w:val="nil"/>
              <w:bottom w:val="nil"/>
              <w:right w:val="nil"/>
            </w:tcBorders>
          </w:tcPr>
          <w:p w14:paraId="0A49C8B0" w14:textId="77777777" w:rsidR="002E0FBC" w:rsidRPr="00ED374F" w:rsidRDefault="002E0FBC" w:rsidP="00FC748A">
            <w:pPr>
              <w:spacing w:line="360" w:lineRule="auto"/>
              <w:jc w:val="center"/>
              <w:rPr>
                <w:rFonts w:ascii="Times New Roman" w:hAnsi="Times New Roman" w:cs="Times New Roman"/>
                <w:sz w:val="24"/>
                <w:szCs w:val="24"/>
              </w:rPr>
            </w:pPr>
            <w:r w:rsidRPr="00ED374F">
              <w:rPr>
                <w:rFonts w:ascii="Times New Roman" w:hAnsi="Times New Roman" w:cs="Times New Roman"/>
                <w:sz w:val="24"/>
                <w:szCs w:val="24"/>
              </w:rPr>
              <w:t>78.35±0.01</w:t>
            </w:r>
            <w:r w:rsidRPr="00ED374F">
              <w:rPr>
                <w:rFonts w:ascii="Times New Roman" w:hAnsi="Times New Roman" w:cs="Times New Roman"/>
                <w:sz w:val="24"/>
                <w:szCs w:val="24"/>
                <w:vertAlign w:val="superscript"/>
              </w:rPr>
              <w:t>c</w:t>
            </w:r>
          </w:p>
        </w:tc>
        <w:tc>
          <w:tcPr>
            <w:tcW w:w="2835" w:type="dxa"/>
            <w:tcBorders>
              <w:top w:val="nil"/>
              <w:left w:val="nil"/>
              <w:bottom w:val="nil"/>
              <w:right w:val="nil"/>
            </w:tcBorders>
          </w:tcPr>
          <w:p w14:paraId="4BA4B3B2" w14:textId="77777777" w:rsidR="002E0FBC" w:rsidRPr="00ED374F" w:rsidRDefault="002E0FBC" w:rsidP="00FC748A">
            <w:pPr>
              <w:spacing w:line="360" w:lineRule="auto"/>
              <w:jc w:val="center"/>
              <w:rPr>
                <w:rFonts w:ascii="Times New Roman" w:hAnsi="Times New Roman" w:cs="Times New Roman"/>
                <w:sz w:val="24"/>
                <w:szCs w:val="24"/>
              </w:rPr>
            </w:pPr>
            <w:r w:rsidRPr="00ED374F">
              <w:rPr>
                <w:rFonts w:ascii="Times New Roman" w:hAnsi="Times New Roman" w:cs="Times New Roman"/>
                <w:sz w:val="24"/>
                <w:szCs w:val="24"/>
              </w:rPr>
              <w:t>3.00±0.02</w:t>
            </w:r>
            <w:r w:rsidRPr="00ED374F">
              <w:rPr>
                <w:rFonts w:ascii="Times New Roman" w:hAnsi="Times New Roman" w:cs="Times New Roman"/>
                <w:sz w:val="24"/>
                <w:szCs w:val="24"/>
                <w:vertAlign w:val="superscript"/>
              </w:rPr>
              <w:t>c</w:t>
            </w:r>
          </w:p>
        </w:tc>
        <w:tc>
          <w:tcPr>
            <w:tcW w:w="1984" w:type="dxa"/>
            <w:tcBorders>
              <w:top w:val="nil"/>
              <w:left w:val="nil"/>
              <w:bottom w:val="nil"/>
              <w:right w:val="nil"/>
            </w:tcBorders>
          </w:tcPr>
          <w:p w14:paraId="088E9081" w14:textId="77777777" w:rsidR="002E0FBC" w:rsidRPr="00ED374F" w:rsidRDefault="002E0FBC" w:rsidP="00FC748A">
            <w:pPr>
              <w:spacing w:line="360" w:lineRule="auto"/>
              <w:jc w:val="center"/>
              <w:rPr>
                <w:rFonts w:ascii="Times New Roman" w:hAnsi="Times New Roman" w:cs="Times New Roman"/>
                <w:sz w:val="24"/>
                <w:szCs w:val="24"/>
              </w:rPr>
            </w:pPr>
            <w:r w:rsidRPr="00ED374F">
              <w:rPr>
                <w:rFonts w:ascii="Times New Roman" w:hAnsi="Times New Roman" w:cs="Times New Roman"/>
                <w:sz w:val="24"/>
                <w:szCs w:val="24"/>
              </w:rPr>
              <w:t>3.80±0.02</w:t>
            </w:r>
            <w:r w:rsidRPr="00ED374F">
              <w:rPr>
                <w:rFonts w:ascii="Times New Roman" w:hAnsi="Times New Roman" w:cs="Times New Roman"/>
                <w:sz w:val="24"/>
                <w:szCs w:val="24"/>
                <w:vertAlign w:val="superscript"/>
              </w:rPr>
              <w:t>c</w:t>
            </w:r>
          </w:p>
        </w:tc>
      </w:tr>
      <w:tr w:rsidR="002E0FBC" w14:paraId="5FFAB005" w14:textId="77777777" w:rsidTr="00FC748A">
        <w:tc>
          <w:tcPr>
            <w:tcW w:w="1809" w:type="dxa"/>
            <w:tcBorders>
              <w:top w:val="nil"/>
              <w:left w:val="nil"/>
              <w:right w:val="nil"/>
            </w:tcBorders>
          </w:tcPr>
          <w:p w14:paraId="1F796FCA" w14:textId="77777777" w:rsidR="002E0FBC" w:rsidRPr="00700C01" w:rsidRDefault="002E0FBC" w:rsidP="00FC748A">
            <w:pPr>
              <w:spacing w:line="360" w:lineRule="auto"/>
              <w:rPr>
                <w:rFonts w:ascii="Times New Roman" w:hAnsi="Times New Roman" w:cs="Times New Roman"/>
                <w:sz w:val="24"/>
                <w:szCs w:val="24"/>
              </w:rPr>
            </w:pPr>
            <w:r w:rsidRPr="00700C01">
              <w:rPr>
                <w:rFonts w:ascii="Times New Roman" w:hAnsi="Times New Roman" w:cs="Times New Roman"/>
                <w:sz w:val="24"/>
                <w:szCs w:val="24"/>
              </w:rPr>
              <w:t>OBS+CFE</w:t>
            </w:r>
          </w:p>
        </w:tc>
        <w:tc>
          <w:tcPr>
            <w:tcW w:w="2694" w:type="dxa"/>
            <w:tcBorders>
              <w:top w:val="nil"/>
              <w:left w:val="nil"/>
              <w:right w:val="nil"/>
            </w:tcBorders>
          </w:tcPr>
          <w:p w14:paraId="10C24F3C" w14:textId="77777777" w:rsidR="002E0FBC" w:rsidRPr="00ED374F" w:rsidRDefault="002E0FBC" w:rsidP="00FC748A">
            <w:pPr>
              <w:spacing w:line="360" w:lineRule="auto"/>
              <w:jc w:val="center"/>
              <w:rPr>
                <w:rFonts w:ascii="Times New Roman" w:hAnsi="Times New Roman" w:cs="Times New Roman"/>
                <w:sz w:val="24"/>
                <w:szCs w:val="24"/>
              </w:rPr>
            </w:pPr>
            <w:r w:rsidRPr="00ED374F">
              <w:rPr>
                <w:rFonts w:ascii="Times New Roman" w:hAnsi="Times New Roman" w:cs="Times New Roman"/>
                <w:sz w:val="24"/>
                <w:szCs w:val="24"/>
              </w:rPr>
              <w:t>42.30±0.03</w:t>
            </w:r>
            <w:r w:rsidRPr="00ED374F">
              <w:rPr>
                <w:rFonts w:ascii="Times New Roman" w:hAnsi="Times New Roman" w:cs="Times New Roman"/>
                <w:sz w:val="24"/>
                <w:szCs w:val="24"/>
                <w:vertAlign w:val="superscript"/>
              </w:rPr>
              <w:t>e</w:t>
            </w:r>
          </w:p>
        </w:tc>
        <w:tc>
          <w:tcPr>
            <w:tcW w:w="2835" w:type="dxa"/>
            <w:tcBorders>
              <w:top w:val="nil"/>
              <w:left w:val="nil"/>
              <w:right w:val="nil"/>
            </w:tcBorders>
          </w:tcPr>
          <w:p w14:paraId="096662C7" w14:textId="77777777" w:rsidR="002E0FBC" w:rsidRPr="00ED374F" w:rsidRDefault="002E0FBC" w:rsidP="00FC748A">
            <w:pPr>
              <w:spacing w:line="360" w:lineRule="auto"/>
              <w:jc w:val="center"/>
              <w:rPr>
                <w:rFonts w:ascii="Times New Roman" w:hAnsi="Times New Roman" w:cs="Times New Roman"/>
                <w:sz w:val="24"/>
                <w:szCs w:val="24"/>
              </w:rPr>
            </w:pPr>
            <w:r w:rsidRPr="00ED374F">
              <w:rPr>
                <w:rFonts w:ascii="Times New Roman" w:hAnsi="Times New Roman" w:cs="Times New Roman"/>
                <w:sz w:val="24"/>
                <w:szCs w:val="24"/>
              </w:rPr>
              <w:t>2.12±0.02</w:t>
            </w:r>
            <w:r w:rsidRPr="00ED374F">
              <w:rPr>
                <w:rFonts w:ascii="Times New Roman" w:hAnsi="Times New Roman" w:cs="Times New Roman"/>
                <w:sz w:val="24"/>
                <w:szCs w:val="24"/>
                <w:vertAlign w:val="superscript"/>
              </w:rPr>
              <w:t>d</w:t>
            </w:r>
          </w:p>
        </w:tc>
        <w:tc>
          <w:tcPr>
            <w:tcW w:w="1984" w:type="dxa"/>
            <w:tcBorders>
              <w:top w:val="nil"/>
              <w:left w:val="nil"/>
              <w:right w:val="nil"/>
            </w:tcBorders>
          </w:tcPr>
          <w:p w14:paraId="37E825B0" w14:textId="77777777" w:rsidR="002E0FBC" w:rsidRPr="00ED374F" w:rsidRDefault="002E0FBC" w:rsidP="00FC748A">
            <w:pPr>
              <w:spacing w:line="360" w:lineRule="auto"/>
              <w:jc w:val="center"/>
              <w:rPr>
                <w:rFonts w:ascii="Times New Roman" w:hAnsi="Times New Roman" w:cs="Times New Roman"/>
                <w:sz w:val="24"/>
                <w:szCs w:val="24"/>
              </w:rPr>
            </w:pPr>
            <w:r w:rsidRPr="00ED374F">
              <w:rPr>
                <w:rFonts w:ascii="Times New Roman" w:hAnsi="Times New Roman" w:cs="Times New Roman"/>
                <w:sz w:val="24"/>
                <w:szCs w:val="24"/>
              </w:rPr>
              <w:t>4.50±0.04</w:t>
            </w:r>
            <w:r w:rsidRPr="00ED374F">
              <w:rPr>
                <w:rFonts w:ascii="Times New Roman" w:hAnsi="Times New Roman" w:cs="Times New Roman"/>
                <w:sz w:val="24"/>
                <w:szCs w:val="24"/>
                <w:vertAlign w:val="superscript"/>
              </w:rPr>
              <w:t>e</w:t>
            </w:r>
          </w:p>
        </w:tc>
      </w:tr>
    </w:tbl>
    <w:p w14:paraId="2F3F9CEA" w14:textId="77777777" w:rsidR="002E0FBC" w:rsidRDefault="002E0FBC" w:rsidP="002E0FBC">
      <w:pPr>
        <w:spacing w:line="240" w:lineRule="auto"/>
        <w:rPr>
          <w:rFonts w:ascii="Times New Roman" w:hAnsi="Times New Roman" w:cs="Times New Roman"/>
          <w:b/>
        </w:rPr>
      </w:pPr>
      <w:r w:rsidRPr="00C419BA">
        <w:rPr>
          <w:rFonts w:ascii="Times New Roman" w:hAnsi="Times New Roman" w:cs="Times New Roman"/>
          <w:b/>
        </w:rPr>
        <w:t>Table</w:t>
      </w:r>
      <w:r>
        <w:rPr>
          <w:rFonts w:ascii="Times New Roman" w:hAnsi="Times New Roman" w:cs="Times New Roman"/>
          <w:b/>
        </w:rPr>
        <w:t xml:space="preserve"> 3 </w:t>
      </w:r>
    </w:p>
    <w:p w14:paraId="36738278" w14:textId="77777777" w:rsidR="002E0FBC" w:rsidRPr="00C419BA" w:rsidRDefault="002E0FBC" w:rsidP="002E0FBC">
      <w:pPr>
        <w:spacing w:line="240" w:lineRule="auto"/>
        <w:rPr>
          <w:rFonts w:ascii="Times New Roman" w:hAnsi="Times New Roman" w:cs="Times New Roman"/>
        </w:rPr>
      </w:pPr>
      <w:r w:rsidRPr="00700C01">
        <w:rPr>
          <w:rFonts w:ascii="Times New Roman" w:hAnsi="Times New Roman" w:cs="Times New Roman"/>
        </w:rPr>
        <w:t xml:space="preserve">Protective and therapeutic effects of CFE on oxidative stress markers </w:t>
      </w:r>
      <w:r>
        <w:rPr>
          <w:rFonts w:ascii="Times New Roman" w:hAnsi="Times New Roman" w:cs="Times New Roman"/>
        </w:rPr>
        <w:t>in five experimental animals</w:t>
      </w:r>
    </w:p>
    <w:p w14:paraId="0860F7AF" w14:textId="77777777" w:rsidR="002E0FBC" w:rsidRPr="002A49BB" w:rsidRDefault="002E0FBC" w:rsidP="002A49BB">
      <w:pPr>
        <w:rPr>
          <w:rFonts w:ascii="Times New Roman" w:hAnsi="Times New Roman" w:cs="Times New Roman"/>
        </w:rPr>
      </w:pPr>
      <w:r w:rsidRPr="00BC04D4">
        <w:rPr>
          <w:rFonts w:ascii="Times New Roman" w:hAnsi="Times New Roman" w:cs="Times New Roman"/>
        </w:rPr>
        <w:t xml:space="preserve">Data are mean </w:t>
      </w:r>
      <w:r>
        <w:rPr>
          <w:rFonts w:ascii="Times New Roman" w:hAnsi="Times New Roman" w:cs="Times New Roman"/>
        </w:rPr>
        <w:t>±</w:t>
      </w:r>
      <w:r w:rsidRPr="00BC04D4">
        <w:rPr>
          <w:rFonts w:ascii="Times New Roman" w:hAnsi="Times New Roman" w:cs="Times New Roman"/>
        </w:rPr>
        <w:t xml:space="preserve"> </w:t>
      </w:r>
      <w:r>
        <w:rPr>
          <w:rFonts w:ascii="Times New Roman" w:hAnsi="Times New Roman" w:cs="Times New Roman"/>
        </w:rPr>
        <w:t>S.E.M. values of six</w:t>
      </w:r>
      <w:r w:rsidRPr="00BC04D4">
        <w:rPr>
          <w:rFonts w:ascii="Times New Roman" w:hAnsi="Times New Roman" w:cs="Times New Roman"/>
        </w:rPr>
        <w:t xml:space="preserve"> rats per each group. </w:t>
      </w:r>
      <w:r w:rsidRPr="00257134">
        <w:rPr>
          <w:rFonts w:ascii="Times New Roman" w:hAnsi="Times New Roman" w:cs="Times New Roman"/>
          <w:color w:val="000000" w:themeColor="text1"/>
        </w:rPr>
        <w:t xml:space="preserve">Means in the same column with different superscripts are significantly different (P &lt; 0.05). </w:t>
      </w:r>
      <w:proofErr w:type="spellStart"/>
      <w:proofErr w:type="gramStart"/>
      <w:r w:rsidRPr="00257134">
        <w:rPr>
          <w:rFonts w:ascii="Times New Roman" w:hAnsi="Times New Roman" w:cs="Times New Roman"/>
          <w:color w:val="000000" w:themeColor="text1"/>
          <w:vertAlign w:val="superscript"/>
        </w:rPr>
        <w:t>a,b</w:t>
      </w:r>
      <w:proofErr w:type="gramEnd"/>
      <w:r w:rsidRPr="00257134">
        <w:rPr>
          <w:rFonts w:ascii="Times New Roman" w:hAnsi="Times New Roman" w:cs="Times New Roman"/>
          <w:color w:val="000000" w:themeColor="text1"/>
          <w:vertAlign w:val="superscript"/>
        </w:rPr>
        <w:t>,</w:t>
      </w:r>
      <w:proofErr w:type="gramStart"/>
      <w:r w:rsidRPr="00257134">
        <w:rPr>
          <w:rFonts w:ascii="Times New Roman" w:hAnsi="Times New Roman" w:cs="Times New Roman"/>
          <w:color w:val="000000" w:themeColor="text1"/>
          <w:vertAlign w:val="superscript"/>
        </w:rPr>
        <w:t>c,d</w:t>
      </w:r>
      <w:proofErr w:type="gramEnd"/>
      <w:r w:rsidRPr="00257134">
        <w:rPr>
          <w:rFonts w:ascii="Times New Roman" w:hAnsi="Times New Roman" w:cs="Times New Roman"/>
          <w:color w:val="000000" w:themeColor="text1"/>
          <w:vertAlign w:val="superscript"/>
        </w:rPr>
        <w:t>,e</w:t>
      </w:r>
      <w:proofErr w:type="spellEnd"/>
      <w:r w:rsidRPr="00257134">
        <w:rPr>
          <w:rFonts w:ascii="Times New Roman" w:hAnsi="Times New Roman" w:cs="Times New Roman"/>
          <w:color w:val="000000" w:themeColor="text1"/>
          <w:vertAlign w:val="superscript"/>
        </w:rPr>
        <w:t>:</w:t>
      </w:r>
      <w:r w:rsidRPr="00257134">
        <w:rPr>
          <w:rFonts w:ascii="Times New Roman" w:hAnsi="Times New Roman" w:cs="Times New Roman"/>
          <w:color w:val="000000" w:themeColor="text1"/>
        </w:rPr>
        <w:t xml:space="preserve"> significant differences between groups.</w:t>
      </w:r>
      <w:r>
        <w:rPr>
          <w:rFonts w:ascii="Times New Roman" w:hAnsi="Times New Roman" w:cs="Times New Roman"/>
        </w:rPr>
        <w:t xml:space="preserve"> control rats; C+CFE</w:t>
      </w:r>
      <w:r w:rsidRPr="00BC04D4">
        <w:rPr>
          <w:rFonts w:ascii="Times New Roman" w:hAnsi="Times New Roman" w:cs="Times New Roman"/>
        </w:rPr>
        <w:t>, contr</w:t>
      </w:r>
      <w:r>
        <w:rPr>
          <w:rFonts w:ascii="Times New Roman" w:hAnsi="Times New Roman" w:cs="Times New Roman"/>
        </w:rPr>
        <w:t xml:space="preserve">ol rats treated with </w:t>
      </w:r>
      <w:proofErr w:type="spellStart"/>
      <w:r>
        <w:rPr>
          <w:rFonts w:ascii="Times New Roman" w:hAnsi="Times New Roman" w:cs="Times New Roman"/>
          <w:i/>
        </w:rPr>
        <w:t>Caralluma</w:t>
      </w:r>
      <w:proofErr w:type="spellEnd"/>
      <w:r>
        <w:rPr>
          <w:rFonts w:ascii="Times New Roman" w:hAnsi="Times New Roman" w:cs="Times New Roman"/>
          <w:i/>
        </w:rPr>
        <w:t xml:space="preserve"> fimbriata</w:t>
      </w:r>
      <w:r w:rsidRPr="00BC04D4">
        <w:rPr>
          <w:rFonts w:ascii="Times New Roman" w:hAnsi="Times New Roman" w:cs="Times New Roman"/>
        </w:rPr>
        <w:t>; HFD, h</w:t>
      </w:r>
      <w:r>
        <w:rPr>
          <w:rFonts w:ascii="Times New Roman" w:hAnsi="Times New Roman" w:cs="Times New Roman"/>
        </w:rPr>
        <w:t>igh-fat diet fed rats; HFD+CFE</w:t>
      </w:r>
      <w:r w:rsidRPr="00BC04D4">
        <w:rPr>
          <w:rFonts w:ascii="Times New Roman" w:hAnsi="Times New Roman" w:cs="Times New Roman"/>
        </w:rPr>
        <w:t>, high-fat diet rats t</w:t>
      </w:r>
      <w:r>
        <w:rPr>
          <w:rFonts w:ascii="Times New Roman" w:hAnsi="Times New Roman" w:cs="Times New Roman"/>
        </w:rPr>
        <w:t xml:space="preserve">reated with </w:t>
      </w:r>
      <w:proofErr w:type="spellStart"/>
      <w:r>
        <w:rPr>
          <w:rFonts w:ascii="Times New Roman" w:hAnsi="Times New Roman" w:cs="Times New Roman"/>
          <w:i/>
        </w:rPr>
        <w:t>Caralluma</w:t>
      </w:r>
      <w:proofErr w:type="spellEnd"/>
      <w:r>
        <w:rPr>
          <w:rFonts w:ascii="Times New Roman" w:hAnsi="Times New Roman" w:cs="Times New Roman"/>
          <w:i/>
        </w:rPr>
        <w:t xml:space="preserve"> fimbriata </w:t>
      </w:r>
      <w:r>
        <w:rPr>
          <w:rFonts w:ascii="Times New Roman" w:hAnsi="Times New Roman" w:cs="Times New Roman"/>
        </w:rPr>
        <w:t>(protective model); OBS+CFE</w:t>
      </w:r>
      <w:r w:rsidRPr="00BC04D4">
        <w:rPr>
          <w:rFonts w:ascii="Times New Roman" w:hAnsi="Times New Roman" w:cs="Times New Roman"/>
        </w:rPr>
        <w:t>, high-fat diet fe</w:t>
      </w:r>
      <w:r>
        <w:rPr>
          <w:rFonts w:ascii="Times New Roman" w:hAnsi="Times New Roman" w:cs="Times New Roman"/>
        </w:rPr>
        <w:t xml:space="preserve">d animals treated with </w:t>
      </w:r>
      <w:proofErr w:type="spellStart"/>
      <w:r>
        <w:rPr>
          <w:rFonts w:ascii="Times New Roman" w:hAnsi="Times New Roman" w:cs="Times New Roman"/>
          <w:i/>
        </w:rPr>
        <w:t>Caralluma</w:t>
      </w:r>
      <w:proofErr w:type="spellEnd"/>
      <w:r>
        <w:rPr>
          <w:rFonts w:ascii="Times New Roman" w:hAnsi="Times New Roman" w:cs="Times New Roman"/>
          <w:i/>
        </w:rPr>
        <w:t xml:space="preserve"> fimbriata</w:t>
      </w:r>
      <w:r>
        <w:rPr>
          <w:rFonts w:ascii="Times New Roman" w:hAnsi="Times New Roman" w:cs="Times New Roman"/>
        </w:rPr>
        <w:t xml:space="preserve"> (therapeutic model).</w:t>
      </w:r>
    </w:p>
    <w:p w14:paraId="0B0AAFFF" w14:textId="77777777" w:rsidR="001753F3" w:rsidRPr="001753F3" w:rsidRDefault="00820464" w:rsidP="001753F3">
      <w:pPr>
        <w:spacing w:line="360" w:lineRule="auto"/>
        <w:jc w:val="both"/>
        <w:rPr>
          <w:rFonts w:ascii="Times New Roman" w:eastAsia="Times New Roman" w:hAnsi="Times New Roman" w:cs="Times New Roman"/>
          <w:b/>
          <w:bCs/>
          <w:kern w:val="0"/>
          <w14:ligatures w14:val="none"/>
        </w:rPr>
      </w:pPr>
      <w:r w:rsidRPr="001753F3">
        <w:rPr>
          <w:rFonts w:ascii="Times New Roman" w:eastAsia="Times New Roman" w:hAnsi="Times New Roman" w:cs="Times New Roman"/>
          <w:b/>
          <w:bCs/>
          <w:kern w:val="0"/>
          <w14:ligatures w14:val="none"/>
        </w:rPr>
        <w:t>Effects of CFE on Hepatic Antioxidant Enzymes</w:t>
      </w:r>
    </w:p>
    <w:p w14:paraId="340E7EB0" w14:textId="77777777" w:rsidR="00D14FF5" w:rsidRDefault="004D5F78" w:rsidP="001753F3">
      <w:pPr>
        <w:spacing w:line="360" w:lineRule="auto"/>
        <w:jc w:val="both"/>
        <w:rPr>
          <w:rFonts w:ascii="Times New Roman" w:eastAsia="Times New Roman" w:hAnsi="Times New Roman" w:cs="Times New Roman"/>
          <w:kern w:val="0"/>
          <w14:ligatures w14:val="none"/>
        </w:rPr>
      </w:pPr>
      <w:r>
        <w:rPr>
          <w:rFonts w:ascii="Times New Roman" w:hAnsi="Times New Roman"/>
        </w:rPr>
        <w:t>The activities of antioxidant enzymes</w:t>
      </w:r>
      <w:r>
        <w:rPr>
          <w:rFonts w:ascii="Times New Roman" w:hAnsi="Times New Roman"/>
          <w:highlight w:val="yellow"/>
        </w:rPr>
        <w:t>,</w:t>
      </w:r>
      <w:r>
        <w:rPr>
          <w:rFonts w:ascii="Times New Roman" w:hAnsi="Times New Roman"/>
        </w:rPr>
        <w:t xml:space="preserve"> i</w:t>
      </w:r>
      <w:r>
        <w:rPr>
          <w:rFonts w:ascii="Times New Roman" w:hAnsi="Times New Roman"/>
          <w:highlight w:val="yellow"/>
        </w:rPr>
        <w:t>ncluding</w:t>
      </w:r>
      <w:r>
        <w:rPr>
          <w:rFonts w:ascii="Times New Roman" w:hAnsi="Times New Roman"/>
        </w:rPr>
        <w:t xml:space="preserve"> glutathione peroxidase (GPx), glutathione-S-transferase (GST), glutathione reductase (GR), superoxide dismutase (SOD), and catalase (CAT)</w:t>
      </w:r>
      <w:r>
        <w:rPr>
          <w:rFonts w:ascii="Times New Roman" w:hAnsi="Times New Roman"/>
          <w:highlight w:val="yellow"/>
        </w:rPr>
        <w:t>,</w:t>
      </w:r>
      <w:r>
        <w:rPr>
          <w:rFonts w:ascii="Times New Roman" w:hAnsi="Times New Roman"/>
        </w:rPr>
        <w:t xml:space="preserve"> were significantly reduced in HFD-fed rats by 54.8%, 19.2%, 45.6%, 32.2%, and 18.6%, respectively, compared </w:t>
      </w:r>
      <w:r>
        <w:rPr>
          <w:rFonts w:ascii="Times New Roman" w:hAnsi="Times New Roman"/>
          <w:highlight w:val="yellow"/>
        </w:rPr>
        <w:t>wi</w:t>
      </w:r>
      <w:r>
        <w:rPr>
          <w:rFonts w:ascii="Times New Roman" w:hAnsi="Times New Roman"/>
        </w:rPr>
        <w:t>t</w:t>
      </w:r>
      <w:r>
        <w:rPr>
          <w:rFonts w:ascii="Times New Roman" w:hAnsi="Times New Roman"/>
          <w:highlight w:val="yellow"/>
        </w:rPr>
        <w:t>h</w:t>
      </w:r>
      <w:r>
        <w:rPr>
          <w:rFonts w:ascii="Times New Roman" w:hAnsi="Times New Roman"/>
        </w:rPr>
        <w:t xml:space="preserve"> controls (Figs. 6A and B).</w:t>
      </w:r>
      <w:r>
        <w:rPr>
          <w:rFonts w:ascii="Times New Roman" w:hAnsi="Times New Roman"/>
          <w:b/>
          <w:i/>
        </w:rPr>
        <w:t xml:space="preserve"> </w:t>
      </w:r>
      <w:r>
        <w:rPr>
          <w:rFonts w:ascii="Times New Roman" w:hAnsi="Times New Roman"/>
        </w:rPr>
        <w:t>CFE supplementation in both</w:t>
      </w:r>
      <w:r>
        <w:rPr>
          <w:rFonts w:ascii="Times New Roman" w:hAnsi="Times New Roman"/>
          <w:highlight w:val="yellow"/>
        </w:rPr>
        <w:t xml:space="preserve"> the</w:t>
      </w:r>
      <w:r>
        <w:rPr>
          <w:rFonts w:ascii="Times New Roman" w:hAnsi="Times New Roman"/>
        </w:rPr>
        <w:t xml:space="preserve"> HFD+CFE and OBS+CFE groups significantly restored these enzyme activities. Increases were observed in GPx (46.4% and 15.7%), GST (21.2% and 12.0%), GR (67.0% and 20.5%), SOD (46.5% and 26.8%), and CAT (20.0% and 9.8%) compared </w:t>
      </w:r>
      <w:r>
        <w:rPr>
          <w:rFonts w:ascii="Times New Roman" w:hAnsi="Times New Roman"/>
          <w:highlight w:val="yellow"/>
        </w:rPr>
        <w:t>wi</w:t>
      </w:r>
      <w:r>
        <w:rPr>
          <w:rFonts w:ascii="Times New Roman" w:hAnsi="Times New Roman"/>
        </w:rPr>
        <w:t>t</w:t>
      </w:r>
      <w:r>
        <w:rPr>
          <w:rFonts w:ascii="Times New Roman" w:hAnsi="Times New Roman"/>
          <w:highlight w:val="yellow"/>
        </w:rPr>
        <w:t>h</w:t>
      </w:r>
      <w:r>
        <w:rPr>
          <w:rFonts w:ascii="Times New Roman" w:hAnsi="Times New Roman"/>
        </w:rPr>
        <w:t xml:space="preserve"> the HFD group, indicating improved antioxidant defen</w:t>
      </w:r>
      <w:r>
        <w:rPr>
          <w:rFonts w:ascii="Times New Roman" w:hAnsi="Times New Roman"/>
          <w:highlight w:val="yellow"/>
        </w:rPr>
        <w:t>c</w:t>
      </w:r>
      <w:r>
        <w:rPr>
          <w:rFonts w:ascii="Times New Roman" w:hAnsi="Times New Roman"/>
        </w:rPr>
        <w:t>e.</w:t>
      </w:r>
    </w:p>
    <w:p w14:paraId="2B1EF07E" w14:textId="77777777" w:rsidR="006F3EBB" w:rsidRPr="006F3EBB" w:rsidRDefault="006F3EBB" w:rsidP="006F3EBB">
      <w:pPr>
        <w:spacing w:line="480" w:lineRule="auto"/>
        <w:jc w:val="both"/>
        <w:rPr>
          <w:rFonts w:ascii="Times New Roman" w:hAnsi="Times New Roman" w:cs="Times New Roman"/>
          <w:color w:val="131313"/>
        </w:rPr>
      </w:pPr>
      <w:r w:rsidRPr="001E7043">
        <w:rPr>
          <w:rFonts w:ascii="Times New Roman" w:hAnsi="Times New Roman" w:cs="Times New Roman"/>
          <w:b/>
        </w:rPr>
        <w:lastRenderedPageBreak/>
        <w:t>Fig. 6</w:t>
      </w:r>
      <w:r w:rsidRPr="001E7043">
        <w:rPr>
          <w:rFonts w:ascii="Times New Roman" w:hAnsi="Times New Roman" w:cs="Times New Roman"/>
        </w:rPr>
        <w:t xml:space="preserve">. Effect of CFE on antioxidant enzymes </w:t>
      </w:r>
      <w:r w:rsidRPr="001E7043">
        <w:rPr>
          <w:rFonts w:ascii="Times New Roman" w:hAnsi="Times New Roman" w:cs="Times New Roman"/>
          <w:color w:val="131313"/>
        </w:rPr>
        <w:t xml:space="preserve">in HFD fed rats </w:t>
      </w:r>
    </w:p>
    <w:p w14:paraId="5CFCE159" w14:textId="77777777" w:rsidR="00D14FF5" w:rsidRPr="00D14FF5" w:rsidRDefault="00D14FF5" w:rsidP="00D14FF5">
      <w:pPr>
        <w:spacing w:line="360" w:lineRule="auto"/>
        <w:jc w:val="center"/>
        <w:rPr>
          <w:b/>
          <w:bCs/>
          <w:i/>
          <w:iCs/>
        </w:rPr>
      </w:pPr>
      <w:r w:rsidRPr="00D14FF5">
        <w:rPr>
          <w:b/>
          <w:bCs/>
          <w:i/>
          <w:iCs/>
          <w:noProof/>
        </w:rPr>
        <w:drawing>
          <wp:inline distT="0" distB="0" distL="0" distR="0" wp14:anchorId="653F26AA" wp14:editId="0B826D3D">
            <wp:extent cx="3099335" cy="2872740"/>
            <wp:effectExtent l="0" t="0" r="6350" b="3810"/>
            <wp:docPr id="19231547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21265" cy="2893066"/>
                    </a:xfrm>
                    <a:prstGeom prst="rect">
                      <a:avLst/>
                    </a:prstGeom>
                    <a:noFill/>
                    <a:ln>
                      <a:noFill/>
                    </a:ln>
                  </pic:spPr>
                </pic:pic>
              </a:graphicData>
            </a:graphic>
          </wp:inline>
        </w:drawing>
      </w:r>
    </w:p>
    <w:p w14:paraId="6C5DE96C" w14:textId="77777777" w:rsidR="00D14FF5" w:rsidRPr="006F3EBB" w:rsidRDefault="006F3EBB" w:rsidP="001753F3">
      <w:pPr>
        <w:spacing w:line="360" w:lineRule="auto"/>
        <w:jc w:val="both"/>
        <w:rPr>
          <w:rFonts w:ascii="Times New Roman" w:hAnsi="Times New Roman" w:cs="Times New Roman"/>
          <w:color w:val="131313"/>
        </w:rPr>
      </w:pPr>
      <w:r w:rsidRPr="001E7043">
        <w:rPr>
          <w:rFonts w:ascii="Times New Roman" w:hAnsi="Times New Roman" w:cs="Times New Roman"/>
          <w:color w:val="131313"/>
        </w:rPr>
        <w:t>Group-</w:t>
      </w:r>
      <w:proofErr w:type="gramStart"/>
      <w:r w:rsidRPr="001E7043">
        <w:rPr>
          <w:rFonts w:ascii="Times New Roman" w:hAnsi="Times New Roman" w:cs="Times New Roman"/>
        </w:rPr>
        <w:t>C,  C</w:t>
      </w:r>
      <w:proofErr w:type="gramEnd"/>
      <w:r w:rsidRPr="001E7043">
        <w:rPr>
          <w:rFonts w:ascii="Times New Roman" w:hAnsi="Times New Roman" w:cs="Times New Roman"/>
        </w:rPr>
        <w:t xml:space="preserve">+CFE, control rats treated with </w:t>
      </w:r>
      <w:proofErr w:type="spellStart"/>
      <w:r w:rsidRPr="001E7043">
        <w:rPr>
          <w:rFonts w:ascii="Times New Roman" w:hAnsi="Times New Roman" w:cs="Times New Roman"/>
          <w:i/>
        </w:rPr>
        <w:t>Caralluma</w:t>
      </w:r>
      <w:proofErr w:type="spellEnd"/>
      <w:r w:rsidRPr="001E7043">
        <w:rPr>
          <w:rFonts w:ascii="Times New Roman" w:hAnsi="Times New Roman" w:cs="Times New Roman"/>
          <w:i/>
        </w:rPr>
        <w:t xml:space="preserve"> fimbriata</w:t>
      </w:r>
      <w:r w:rsidRPr="001E7043">
        <w:rPr>
          <w:rFonts w:ascii="Times New Roman" w:hAnsi="Times New Roman" w:cs="Times New Roman"/>
        </w:rPr>
        <w:t xml:space="preserve">; HFD, high-fat diet fed rats; HFD+CFE, high-fat diet rats treated with </w:t>
      </w:r>
      <w:proofErr w:type="spellStart"/>
      <w:r w:rsidRPr="001E7043">
        <w:rPr>
          <w:rFonts w:ascii="Times New Roman" w:hAnsi="Times New Roman" w:cs="Times New Roman"/>
          <w:i/>
        </w:rPr>
        <w:t>Caralluma</w:t>
      </w:r>
      <w:proofErr w:type="spellEnd"/>
      <w:r w:rsidRPr="001E7043">
        <w:rPr>
          <w:rFonts w:ascii="Times New Roman" w:hAnsi="Times New Roman" w:cs="Times New Roman"/>
          <w:i/>
        </w:rPr>
        <w:t xml:space="preserve"> fimbriata</w:t>
      </w:r>
      <w:r w:rsidRPr="001E7043">
        <w:rPr>
          <w:rFonts w:ascii="Times New Roman" w:hAnsi="Times New Roman" w:cs="Times New Roman"/>
        </w:rPr>
        <w:t xml:space="preserve"> (protective model); OBS+CFE, high-fat diet fed animals treated with </w:t>
      </w:r>
      <w:proofErr w:type="spellStart"/>
      <w:r w:rsidRPr="001E7043">
        <w:rPr>
          <w:rFonts w:ascii="Times New Roman" w:hAnsi="Times New Roman" w:cs="Times New Roman"/>
          <w:i/>
        </w:rPr>
        <w:t>Caralluma</w:t>
      </w:r>
      <w:proofErr w:type="spellEnd"/>
      <w:r w:rsidRPr="001E7043">
        <w:rPr>
          <w:rFonts w:ascii="Times New Roman" w:hAnsi="Times New Roman" w:cs="Times New Roman"/>
          <w:i/>
        </w:rPr>
        <w:t xml:space="preserve"> fimbriata</w:t>
      </w:r>
      <w:r w:rsidRPr="001E7043">
        <w:rPr>
          <w:rFonts w:ascii="Times New Roman" w:hAnsi="Times New Roman" w:cs="Times New Roman"/>
        </w:rPr>
        <w:t xml:space="preserve"> (therapeutic model). </w:t>
      </w:r>
      <w:r w:rsidRPr="001E7043">
        <w:rPr>
          <w:rFonts w:ascii="Times New Roman" w:hAnsi="Times New Roman" w:cs="Times New Roman"/>
          <w:color w:val="131313"/>
        </w:rPr>
        <w:t>(Values are mean ± SEM (n=6 animals in each group)</w:t>
      </w:r>
      <w:r w:rsidRPr="001E7043">
        <w:rPr>
          <w:rFonts w:ascii="Times New Roman" w:hAnsi="Times New Roman" w:cs="Times New Roman"/>
        </w:rPr>
        <w:t xml:space="preserve">. a-e Significant differences between groups-C, C+CFE, HFD, HFD+CFE and OBS+CFE. </w:t>
      </w:r>
      <w:proofErr w:type="spellStart"/>
      <w:r w:rsidRPr="001E7043">
        <w:rPr>
          <w:rFonts w:ascii="Times New Roman" w:hAnsi="Times New Roman" w:cs="Times New Roman"/>
        </w:rPr>
        <w:t>GPx</w:t>
      </w:r>
      <w:proofErr w:type="spellEnd"/>
      <w:r w:rsidRPr="001E7043">
        <w:rPr>
          <w:rFonts w:ascii="Times New Roman" w:hAnsi="Times New Roman" w:cs="Times New Roman"/>
        </w:rPr>
        <w:t xml:space="preserve"> (µg of GSH consumed/min/mg protein), GR (µmol NADPH oxidized/min/mg protein), SOD (U/mg protein), and CAT (mmol H</w:t>
      </w:r>
      <w:r w:rsidRPr="001E7043">
        <w:rPr>
          <w:rFonts w:ascii="Times New Roman" w:hAnsi="Times New Roman" w:cs="Times New Roman"/>
          <w:vertAlign w:val="subscript"/>
        </w:rPr>
        <w:t>2</w:t>
      </w:r>
      <w:r w:rsidRPr="001E7043">
        <w:rPr>
          <w:rFonts w:ascii="Times New Roman" w:hAnsi="Times New Roman" w:cs="Times New Roman"/>
        </w:rPr>
        <w:t>O</w:t>
      </w:r>
      <w:r w:rsidRPr="001E7043">
        <w:rPr>
          <w:rFonts w:ascii="Times New Roman" w:hAnsi="Times New Roman" w:cs="Times New Roman"/>
          <w:vertAlign w:val="subscript"/>
        </w:rPr>
        <w:t>2</w:t>
      </w:r>
      <w:r w:rsidRPr="001E7043">
        <w:rPr>
          <w:rFonts w:ascii="Times New Roman" w:hAnsi="Times New Roman" w:cs="Times New Roman"/>
        </w:rPr>
        <w:t xml:space="preserve"> consumed/min/mg protein).</w:t>
      </w:r>
    </w:p>
    <w:p w14:paraId="69D0C91F" w14:textId="77777777" w:rsidR="001753F3" w:rsidRPr="001753F3" w:rsidRDefault="00820464" w:rsidP="001753F3">
      <w:pPr>
        <w:spacing w:line="360" w:lineRule="auto"/>
        <w:jc w:val="both"/>
        <w:rPr>
          <w:rFonts w:ascii="Times New Roman" w:eastAsia="Times New Roman" w:hAnsi="Times New Roman" w:cs="Times New Roman"/>
          <w:b/>
          <w:bCs/>
          <w:kern w:val="0"/>
          <w14:ligatures w14:val="none"/>
        </w:rPr>
      </w:pPr>
      <w:r w:rsidRPr="001753F3">
        <w:rPr>
          <w:rFonts w:ascii="Times New Roman" w:eastAsia="Times New Roman" w:hAnsi="Times New Roman" w:cs="Times New Roman"/>
          <w:b/>
          <w:bCs/>
          <w:kern w:val="0"/>
          <w14:ligatures w14:val="none"/>
        </w:rPr>
        <w:t>Effects of CFE on Hepatic Steatosis</w:t>
      </w:r>
    </w:p>
    <w:p w14:paraId="09C091E4" w14:textId="77777777" w:rsidR="004D5F78" w:rsidRDefault="004D5F78" w:rsidP="001753F3">
      <w:pPr>
        <w:spacing w:line="360" w:lineRule="auto"/>
        <w:jc w:val="both"/>
        <w:rPr>
          <w:rFonts w:ascii="Times New Roman" w:eastAsia="Times New Roman" w:hAnsi="Times New Roman" w:cs="Times New Roman"/>
          <w:kern w:val="0"/>
          <w14:ligatures w14:val="none"/>
        </w:rPr>
      </w:pPr>
      <w:r w:rsidRPr="005B7F08">
        <w:rPr>
          <w:rFonts w:ascii="Times New Roman" w:eastAsia="Times New Roman" w:hAnsi="Times New Roman" w:cs="Times New Roman"/>
          <w:kern w:val="0"/>
          <w14:ligatures w14:val="none"/>
        </w:rPr>
        <w:t>Fig</w:t>
      </w:r>
      <w:r w:rsidR="006F3EBB">
        <w:rPr>
          <w:rFonts w:ascii="Times New Roman" w:eastAsia="Times New Roman" w:hAnsi="Times New Roman" w:cs="Times New Roman"/>
          <w:kern w:val="0"/>
          <w14:ligatures w14:val="none"/>
        </w:rPr>
        <w:t>.</w:t>
      </w:r>
      <w:r w:rsidRPr="005B7F08">
        <w:rPr>
          <w:rFonts w:ascii="Times New Roman" w:eastAsia="Times New Roman" w:hAnsi="Times New Roman" w:cs="Times New Roman"/>
          <w:kern w:val="0"/>
          <w14:ligatures w14:val="none"/>
        </w:rPr>
        <w:t xml:space="preserve"> 7 presents representative photomicrographs of liver sections from all experimental groups. The control group (C) exhibited normal hepatic architecture, characterized by well-arranged hepatocytes, intact portal triads, and clearly defined sinusoids, with no evidence of lipid accumulation (Fig. 7A).</w:t>
      </w:r>
    </w:p>
    <w:p w14:paraId="3BA99352" w14:textId="77777777" w:rsidR="006F3EBB" w:rsidRPr="006F3EBB" w:rsidRDefault="006F3EBB" w:rsidP="001753F3">
      <w:pPr>
        <w:spacing w:line="360" w:lineRule="auto"/>
        <w:jc w:val="both"/>
        <w:rPr>
          <w:rFonts w:ascii="Times New Roman" w:hAnsi="Times New Roman" w:cs="Times New Roman"/>
        </w:rPr>
      </w:pPr>
      <w:r w:rsidRPr="001E7043">
        <w:rPr>
          <w:rFonts w:ascii="Times New Roman" w:hAnsi="Times New Roman" w:cs="Times New Roman"/>
          <w:b/>
        </w:rPr>
        <w:t>Fig. 7.</w:t>
      </w:r>
      <w:r w:rsidRPr="001E7043">
        <w:rPr>
          <w:rFonts w:ascii="Times New Roman" w:hAnsi="Times New Roman" w:cs="Times New Roman"/>
        </w:rPr>
        <w:t xml:space="preserve">  Effect of CFE treatment on high fat diet induced hepatic damage in rats (H &amp; E stain) at 10X. </w:t>
      </w:r>
    </w:p>
    <w:p w14:paraId="7385932B" w14:textId="77777777" w:rsidR="006F3EBB" w:rsidRDefault="006F3EBB" w:rsidP="001753F3">
      <w:pPr>
        <w:spacing w:line="360" w:lineRule="auto"/>
        <w:jc w:val="both"/>
        <w:rPr>
          <w:rFonts w:ascii="Times New Roman" w:eastAsia="Times New Roman" w:hAnsi="Times New Roman" w:cs="Times New Roman"/>
          <w:kern w:val="0"/>
          <w14:ligatures w14:val="none"/>
        </w:rPr>
      </w:pPr>
    </w:p>
    <w:p w14:paraId="666BC56A" w14:textId="77777777" w:rsidR="006F3EBB" w:rsidRDefault="006F3EBB" w:rsidP="006F3EBB">
      <w:pPr>
        <w:pStyle w:val="NormalWeb"/>
        <w:jc w:val="center"/>
      </w:pPr>
      <w:r>
        <w:rPr>
          <w:noProof/>
        </w:rPr>
        <w:lastRenderedPageBreak/>
        <w:drawing>
          <wp:inline distT="0" distB="0" distL="0" distR="0" wp14:anchorId="21E2E74D" wp14:editId="4BB1299B">
            <wp:extent cx="2561051" cy="3622430"/>
            <wp:effectExtent l="0" t="0" r="0" b="0"/>
            <wp:docPr id="1231716728" name="Picture 1231716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75272" cy="3642545"/>
                    </a:xfrm>
                    <a:prstGeom prst="rect">
                      <a:avLst/>
                    </a:prstGeom>
                    <a:noFill/>
                    <a:ln>
                      <a:noFill/>
                    </a:ln>
                  </pic:spPr>
                </pic:pic>
              </a:graphicData>
            </a:graphic>
          </wp:inline>
        </w:drawing>
      </w:r>
    </w:p>
    <w:p w14:paraId="4F8169D2" w14:textId="77777777" w:rsidR="006F3EBB" w:rsidRPr="001E7043" w:rsidRDefault="006F3EBB" w:rsidP="006F3EBB">
      <w:pPr>
        <w:spacing w:line="360" w:lineRule="auto"/>
        <w:jc w:val="both"/>
        <w:rPr>
          <w:rFonts w:ascii="Times New Roman" w:hAnsi="Times New Roman" w:cs="Times New Roman"/>
        </w:rPr>
      </w:pPr>
      <w:r w:rsidRPr="001E7043">
        <w:rPr>
          <w:rFonts w:ascii="Times New Roman" w:hAnsi="Times New Roman" w:cs="Times New Roman"/>
        </w:rPr>
        <w:t xml:space="preserve">(A) Group-C: control group; (B) Group-C+CFE: treated with </w:t>
      </w:r>
      <w:proofErr w:type="spellStart"/>
      <w:r w:rsidRPr="001E7043">
        <w:rPr>
          <w:rFonts w:ascii="Times New Roman" w:hAnsi="Times New Roman" w:cs="Times New Roman"/>
          <w:i/>
        </w:rPr>
        <w:t>Caralluma</w:t>
      </w:r>
      <w:proofErr w:type="spellEnd"/>
      <w:r w:rsidRPr="001E7043">
        <w:rPr>
          <w:rFonts w:ascii="Times New Roman" w:hAnsi="Times New Roman" w:cs="Times New Roman"/>
          <w:i/>
        </w:rPr>
        <w:t xml:space="preserve"> fimbriata</w:t>
      </w:r>
      <w:r w:rsidRPr="001E7043">
        <w:rPr>
          <w:rFonts w:ascii="Times New Roman" w:hAnsi="Times New Roman" w:cs="Times New Roman"/>
        </w:rPr>
        <w:t xml:space="preserve"> (200 mg/kg body weight) in distilled water orally for 150 days (C+CFE); (C) Group-HFD: High fat diet fed rats; (D) Group-HFD+CFE: HFD fed rats treated with </w:t>
      </w:r>
      <w:proofErr w:type="spellStart"/>
      <w:r w:rsidRPr="001E7043">
        <w:rPr>
          <w:rFonts w:ascii="Times New Roman" w:hAnsi="Times New Roman" w:cs="Times New Roman"/>
          <w:i/>
        </w:rPr>
        <w:t>Caralluma</w:t>
      </w:r>
      <w:proofErr w:type="spellEnd"/>
      <w:r w:rsidRPr="001E7043">
        <w:rPr>
          <w:rFonts w:ascii="Times New Roman" w:hAnsi="Times New Roman" w:cs="Times New Roman"/>
          <w:i/>
        </w:rPr>
        <w:t xml:space="preserve"> fimbriata</w:t>
      </w:r>
      <w:r w:rsidRPr="001E7043">
        <w:rPr>
          <w:rFonts w:ascii="Times New Roman" w:hAnsi="Times New Roman" w:cs="Times New Roman"/>
        </w:rPr>
        <w:t xml:space="preserve"> (200 mg/kg body weight) in distilled water orally by gastric intubation for 150 days (HFD+CFE) (protective model); (E) Group-OBS+CFE: High Fat diet fed rats treated with </w:t>
      </w:r>
      <w:proofErr w:type="spellStart"/>
      <w:r w:rsidRPr="001E7043">
        <w:rPr>
          <w:rFonts w:ascii="Times New Roman" w:hAnsi="Times New Roman" w:cs="Times New Roman"/>
          <w:i/>
        </w:rPr>
        <w:t>Caralluma</w:t>
      </w:r>
      <w:proofErr w:type="spellEnd"/>
      <w:r w:rsidRPr="001E7043">
        <w:rPr>
          <w:rFonts w:ascii="Times New Roman" w:hAnsi="Times New Roman" w:cs="Times New Roman"/>
          <w:i/>
        </w:rPr>
        <w:t xml:space="preserve"> fimbriata</w:t>
      </w:r>
      <w:r w:rsidRPr="001E7043">
        <w:rPr>
          <w:rFonts w:ascii="Times New Roman" w:hAnsi="Times New Roman" w:cs="Times New Roman"/>
        </w:rPr>
        <w:t xml:space="preserve"> (200 mg/kg body weight) in distilled water orally for 60 days (OBS+CFE) (therapeutic model). SS- sinusoids space; CV, central vein; V, vacuolization; NC, necrotic changes; DC, degenerative changes; RCV;</w:t>
      </w:r>
      <w:r>
        <w:rPr>
          <w:rFonts w:ascii="Times New Roman" w:hAnsi="Times New Roman" w:cs="Times New Roman"/>
        </w:rPr>
        <w:t xml:space="preserve"> </w:t>
      </w:r>
      <w:r w:rsidRPr="001E7043">
        <w:rPr>
          <w:rFonts w:ascii="Times New Roman" w:eastAsia="Calibri" w:hAnsi="Times New Roman" w:cs="Times New Roman"/>
        </w:rPr>
        <w:t>Regeneration Central Vein</w:t>
      </w:r>
    </w:p>
    <w:p w14:paraId="32C56FDC" w14:textId="77777777" w:rsidR="006F3EBB" w:rsidRPr="001753F3" w:rsidRDefault="006F3EBB" w:rsidP="001753F3">
      <w:pPr>
        <w:spacing w:line="360" w:lineRule="auto"/>
        <w:jc w:val="both"/>
        <w:rPr>
          <w:rFonts w:ascii="Times New Roman" w:eastAsia="Times New Roman" w:hAnsi="Times New Roman" w:cs="Times New Roman"/>
          <w:kern w:val="0"/>
          <w14:ligatures w14:val="none"/>
        </w:rPr>
      </w:pPr>
    </w:p>
    <w:p w14:paraId="5B612B34" w14:textId="77777777" w:rsidR="00A365C5" w:rsidRDefault="00380A95" w:rsidP="00A365C5">
      <w:pPr>
        <w:spacing w:line="360" w:lineRule="auto"/>
        <w:jc w:val="both"/>
        <w:rPr>
          <w:rFonts w:ascii="Times New Roman" w:eastAsia="Times New Roman" w:hAnsi="Times New Roman" w:cs="Times New Roman"/>
          <w:b/>
          <w:bCs/>
          <w:kern w:val="0"/>
          <w14:ligatures w14:val="none"/>
        </w:rPr>
      </w:pPr>
      <w:r w:rsidRPr="00A365C5">
        <w:rPr>
          <w:rFonts w:ascii="Times New Roman" w:eastAsia="Times New Roman" w:hAnsi="Times New Roman" w:cs="Times New Roman"/>
          <w:b/>
          <w:bCs/>
          <w:kern w:val="0"/>
          <w14:ligatures w14:val="none"/>
        </w:rPr>
        <w:t>D</w:t>
      </w:r>
      <w:r w:rsidR="00641566">
        <w:rPr>
          <w:rFonts w:ascii="Times New Roman" w:eastAsia="Times New Roman" w:hAnsi="Times New Roman" w:cs="Times New Roman"/>
          <w:b/>
          <w:bCs/>
          <w:kern w:val="0"/>
          <w14:ligatures w14:val="none"/>
        </w:rPr>
        <w:t>ISCUSSION</w:t>
      </w:r>
    </w:p>
    <w:p w14:paraId="39C35364" w14:textId="77777777" w:rsidR="00A365C5" w:rsidRDefault="00380A95" w:rsidP="008827A9">
      <w:pPr>
        <w:spacing w:line="360" w:lineRule="auto"/>
        <w:jc w:val="both"/>
        <w:rPr>
          <w:rFonts w:ascii="Times New Roman" w:eastAsia="Times New Roman" w:hAnsi="Times New Roman" w:cs="Times New Roman"/>
          <w:b/>
          <w:bCs/>
          <w:kern w:val="0"/>
          <w14:ligatures w14:val="none"/>
        </w:rPr>
      </w:pPr>
      <w:r>
        <w:rPr>
          <w:rFonts w:ascii="Times New Roman" w:hAnsi="Times New Roman"/>
        </w:rPr>
        <w:t xml:space="preserve">The present study demonstrates that </w:t>
      </w:r>
      <w:r>
        <w:rPr>
          <w:rFonts w:ascii="Times New Roman" w:hAnsi="Times New Roman"/>
          <w:i/>
        </w:rPr>
        <w:t>Caralluma fimbriata</w:t>
      </w:r>
      <w:r>
        <w:rPr>
          <w:rFonts w:ascii="Times New Roman" w:hAnsi="Times New Roman"/>
        </w:rPr>
        <w:t xml:space="preserve"> extract (CFE) exerts both protective and therapeutic effects against high-fat diet (HFD)-induced metabolic syndrome and hepatic injury. These findings are consistent with earlier reports indicating the antioxidative and metabolic regulatory potential of CFE in multiple tissues </w:t>
      </w:r>
      <w:r>
        <w:rPr>
          <w:rFonts w:ascii="Times New Roman" w:hAnsi="Times New Roman"/>
          <w:highlight w:val="yellow"/>
        </w:rPr>
        <w:t>(Gujjala et al., 2016, 2017, 2022</w:t>
      </w:r>
      <w:r>
        <w:rPr>
          <w:rFonts w:ascii="Times New Roman" w:hAnsi="Times New Roman"/>
        </w:rPr>
        <w:t xml:space="preserve">; </w:t>
      </w:r>
      <w:r>
        <w:rPr>
          <w:rFonts w:ascii="Times New Roman" w:hAnsi="Times New Roman"/>
          <w:highlight w:val="yellow"/>
        </w:rPr>
        <w:t>Sudhakara et al., 20</w:t>
      </w:r>
      <w:r>
        <w:rPr>
          <w:rFonts w:ascii="Times New Roman" w:hAnsi="Times New Roman"/>
        </w:rPr>
        <w:t>1</w:t>
      </w:r>
      <w:r>
        <w:rPr>
          <w:rFonts w:ascii="Times New Roman" w:hAnsi="Times New Roman"/>
          <w:highlight w:val="yellow"/>
        </w:rPr>
        <w:t>4, 20</w:t>
      </w:r>
      <w:r>
        <w:rPr>
          <w:rFonts w:ascii="Times New Roman" w:hAnsi="Times New Roman"/>
        </w:rPr>
        <w:t>1</w:t>
      </w:r>
      <w:r>
        <w:rPr>
          <w:rFonts w:ascii="Times New Roman" w:hAnsi="Times New Roman"/>
          <w:highlight w:val="yellow"/>
        </w:rPr>
        <w:t>8)</w:t>
      </w:r>
      <w:r>
        <w:rPr>
          <w:rFonts w:ascii="Times New Roman" w:hAnsi="Times New Roman"/>
        </w:rPr>
        <w:t xml:space="preserve">. The results suggest that CFE effectively attenuates key features of metabolic </w:t>
      </w:r>
      <w:r>
        <w:rPr>
          <w:rFonts w:ascii="Times New Roman" w:hAnsi="Times New Roman"/>
        </w:rPr>
        <w:lastRenderedPageBreak/>
        <w:t>syndrome, including hyperglyc</w:t>
      </w:r>
      <w:r>
        <w:rPr>
          <w:rFonts w:ascii="Times New Roman" w:hAnsi="Times New Roman"/>
          <w:highlight w:val="yellow"/>
        </w:rPr>
        <w:t>a</w:t>
      </w:r>
      <w:r>
        <w:rPr>
          <w:rFonts w:ascii="Times New Roman" w:hAnsi="Times New Roman"/>
        </w:rPr>
        <w:t>emia, hyperinsulin</w:t>
      </w:r>
      <w:r>
        <w:rPr>
          <w:rFonts w:ascii="Times New Roman" w:hAnsi="Times New Roman"/>
          <w:highlight w:val="yellow"/>
        </w:rPr>
        <w:t>a</w:t>
      </w:r>
      <w:r>
        <w:rPr>
          <w:rFonts w:ascii="Times New Roman" w:hAnsi="Times New Roman"/>
        </w:rPr>
        <w:t>emia, insulin resistance, dyslipid</w:t>
      </w:r>
      <w:r>
        <w:rPr>
          <w:rFonts w:ascii="Times New Roman" w:hAnsi="Times New Roman"/>
          <w:highlight w:val="yellow"/>
        </w:rPr>
        <w:t>a</w:t>
      </w:r>
      <w:r>
        <w:rPr>
          <w:rFonts w:ascii="Times New Roman" w:hAnsi="Times New Roman"/>
        </w:rPr>
        <w:t>emia, and liver dysfunction.</w:t>
      </w:r>
    </w:p>
    <w:p w14:paraId="1562F394" w14:textId="77777777" w:rsidR="00A365C5" w:rsidRDefault="00A365C5" w:rsidP="00A365C5">
      <w:pPr>
        <w:spacing w:line="360" w:lineRule="auto"/>
        <w:jc w:val="both"/>
        <w:rPr>
          <w:rFonts w:ascii="Times New Roman" w:eastAsia="Times New Roman" w:hAnsi="Times New Roman" w:cs="Times New Roman"/>
          <w:b/>
          <w:bCs/>
          <w:kern w:val="0"/>
          <w14:ligatures w14:val="none"/>
        </w:rPr>
      </w:pPr>
      <w:r>
        <w:rPr>
          <w:rFonts w:ascii="Times New Roman" w:hAnsi="Times New Roman"/>
        </w:rPr>
        <w:t>Insulin resistance (IR) is widely recogni</w:t>
      </w:r>
      <w:r>
        <w:rPr>
          <w:rFonts w:ascii="Times New Roman" w:hAnsi="Times New Roman"/>
          <w:highlight w:val="yellow"/>
        </w:rPr>
        <w:t>s</w:t>
      </w:r>
      <w:r>
        <w:rPr>
          <w:rFonts w:ascii="Times New Roman" w:hAnsi="Times New Roman"/>
        </w:rPr>
        <w:t xml:space="preserve">ed as a central mechanism underlying metabolic syndrome. In the present study, HFD feeding significantly increased body weight, plasma glucose, insulin levels, </w:t>
      </w:r>
      <w:r>
        <w:rPr>
          <w:rFonts w:ascii="Times New Roman" w:hAnsi="Times New Roman"/>
          <w:highlight w:val="yellow"/>
        </w:rPr>
        <w:t xml:space="preserve">the </w:t>
      </w:r>
      <w:r>
        <w:rPr>
          <w:rFonts w:ascii="Times New Roman" w:hAnsi="Times New Roman"/>
        </w:rPr>
        <w:t xml:space="preserve">HOMA index, and leptin levels, confirming the development of obesity and IR </w:t>
      </w:r>
      <w:r>
        <w:rPr>
          <w:rFonts w:ascii="Times New Roman" w:hAnsi="Times New Roman"/>
          <w:highlight w:val="yellow"/>
        </w:rPr>
        <w:t xml:space="preserve">(Moller, </w:t>
      </w:r>
      <w:r>
        <w:rPr>
          <w:rFonts w:ascii="Times New Roman" w:hAnsi="Times New Roman"/>
        </w:rPr>
        <w:t>2</w:t>
      </w:r>
      <w:r>
        <w:rPr>
          <w:rFonts w:ascii="Times New Roman" w:hAnsi="Times New Roman"/>
          <w:highlight w:val="yellow"/>
        </w:rPr>
        <w:t>001)</w:t>
      </w:r>
      <w:r>
        <w:rPr>
          <w:rFonts w:ascii="Times New Roman" w:hAnsi="Times New Roman"/>
        </w:rPr>
        <w:t xml:space="preserve">. These changes were exacerbated with prolonged HFD exposure </w:t>
      </w:r>
      <w:r>
        <w:rPr>
          <w:rFonts w:ascii="Times New Roman" w:hAnsi="Times New Roman"/>
          <w:highlight w:val="yellow"/>
        </w:rPr>
        <w:t>(Labib, 200</w:t>
      </w:r>
      <w:r>
        <w:rPr>
          <w:rFonts w:ascii="Times New Roman" w:hAnsi="Times New Roman"/>
        </w:rPr>
        <w:t>3</w:t>
      </w:r>
      <w:r>
        <w:rPr>
          <w:rFonts w:ascii="Times New Roman" w:hAnsi="Times New Roman"/>
          <w:highlight w:val="yellow"/>
        </w:rPr>
        <w:t>)</w:t>
      </w:r>
      <w:r>
        <w:rPr>
          <w:rFonts w:ascii="Times New Roman" w:hAnsi="Times New Roman"/>
        </w:rPr>
        <w:t>. However, CFE administration significantly reduced body</w:t>
      </w:r>
      <w:r>
        <w:rPr>
          <w:rFonts w:ascii="Times New Roman" w:hAnsi="Times New Roman"/>
          <w:highlight w:val="yellow"/>
        </w:rPr>
        <w:t>-</w:t>
      </w:r>
      <w:r>
        <w:rPr>
          <w:rFonts w:ascii="Times New Roman" w:hAnsi="Times New Roman"/>
        </w:rPr>
        <w:t>weight gain and improved glyc</w:t>
      </w:r>
      <w:r>
        <w:rPr>
          <w:rFonts w:ascii="Times New Roman" w:hAnsi="Times New Roman"/>
          <w:highlight w:val="yellow"/>
        </w:rPr>
        <w:t>a</w:t>
      </w:r>
      <w:r>
        <w:rPr>
          <w:rFonts w:ascii="Times New Roman" w:hAnsi="Times New Roman"/>
        </w:rPr>
        <w:t>emic control and insulin sensitivity in both</w:t>
      </w:r>
      <w:r>
        <w:rPr>
          <w:rFonts w:ascii="Times New Roman" w:hAnsi="Times New Roman"/>
          <w:highlight w:val="yellow"/>
        </w:rPr>
        <w:t xml:space="preserve"> the</w:t>
      </w:r>
      <w:r>
        <w:rPr>
          <w:rFonts w:ascii="Times New Roman" w:hAnsi="Times New Roman"/>
        </w:rPr>
        <w:t xml:space="preserve"> preventive and therapeutic models. The ability of CFE to maintain normoglyc</w:t>
      </w:r>
      <w:r>
        <w:rPr>
          <w:rFonts w:ascii="Times New Roman" w:hAnsi="Times New Roman"/>
          <w:highlight w:val="yellow"/>
        </w:rPr>
        <w:t>a</w:t>
      </w:r>
      <w:r>
        <w:rPr>
          <w:rFonts w:ascii="Times New Roman" w:hAnsi="Times New Roman"/>
        </w:rPr>
        <w:t xml:space="preserve">emia and lower insulin levels suggests enhanced insulin sensitivity, which may be attributed to its bioactive constituents </w:t>
      </w:r>
      <w:r>
        <w:rPr>
          <w:rFonts w:ascii="Times New Roman" w:hAnsi="Times New Roman"/>
          <w:highlight w:val="yellow"/>
        </w:rPr>
        <w:t>(Gujjala et al., 20</w:t>
      </w:r>
      <w:r>
        <w:rPr>
          <w:rFonts w:ascii="Times New Roman" w:hAnsi="Times New Roman"/>
        </w:rPr>
        <w:t>1</w:t>
      </w:r>
      <w:r>
        <w:rPr>
          <w:rFonts w:ascii="Times New Roman" w:hAnsi="Times New Roman"/>
          <w:highlight w:val="yellow"/>
        </w:rPr>
        <w:t>6, 20</w:t>
      </w:r>
      <w:r>
        <w:rPr>
          <w:rFonts w:ascii="Times New Roman" w:hAnsi="Times New Roman"/>
        </w:rPr>
        <w:t>1</w:t>
      </w:r>
      <w:r>
        <w:rPr>
          <w:rFonts w:ascii="Times New Roman" w:hAnsi="Times New Roman"/>
          <w:highlight w:val="yellow"/>
        </w:rPr>
        <w:t>7, 2022)</w:t>
      </w:r>
      <w:r>
        <w:rPr>
          <w:rFonts w:ascii="Times New Roman" w:hAnsi="Times New Roman"/>
        </w:rPr>
        <w:t>.</w:t>
      </w:r>
    </w:p>
    <w:p w14:paraId="10273CDA" w14:textId="77777777" w:rsidR="00A365C5" w:rsidRDefault="00A365C5" w:rsidP="00A365C5">
      <w:pPr>
        <w:spacing w:line="360" w:lineRule="auto"/>
        <w:jc w:val="both"/>
        <w:rPr>
          <w:rFonts w:ascii="Times New Roman" w:eastAsia="Times New Roman" w:hAnsi="Times New Roman" w:cs="Times New Roman"/>
          <w:b/>
          <w:bCs/>
          <w:kern w:val="0"/>
          <w14:ligatures w14:val="none"/>
        </w:rPr>
      </w:pPr>
      <w:r>
        <w:rPr>
          <w:rFonts w:ascii="Times New Roman" w:hAnsi="Times New Roman"/>
        </w:rPr>
        <w:t xml:space="preserve">The liver plays a central role in lipid metabolism, and its dysfunction is a hallmark of obesity-related disorders </w:t>
      </w:r>
      <w:r>
        <w:rPr>
          <w:rFonts w:ascii="Times New Roman" w:hAnsi="Times New Roman"/>
          <w:highlight w:val="yellow"/>
        </w:rPr>
        <w:t>(Kraegen et al., 1991)</w:t>
      </w:r>
      <w:r>
        <w:rPr>
          <w:rFonts w:ascii="Times New Roman" w:hAnsi="Times New Roman"/>
        </w:rPr>
        <w:t xml:space="preserve">. HFD-fed rats showed elevated plasma and hepatic lipid levels, including TC, TG, LDL-C, and free fatty acids, along with reduced HDL-C levels. These alterations were accompanied by histological evidence of hepatic steatosis and inflammation </w:t>
      </w:r>
      <w:r>
        <w:rPr>
          <w:rFonts w:ascii="Times New Roman" w:hAnsi="Times New Roman"/>
          <w:highlight w:val="yellow"/>
        </w:rPr>
        <w:t>(Bray, 2004)</w:t>
      </w:r>
      <w:r>
        <w:rPr>
          <w:rFonts w:ascii="Times New Roman" w:hAnsi="Times New Roman"/>
        </w:rPr>
        <w:t>. CFE treatment significantly improved lipid profiles and reduced hepatic lipid accumulation, indicating its antihyperlipid</w:t>
      </w:r>
      <w:r>
        <w:rPr>
          <w:rFonts w:ascii="Times New Roman" w:hAnsi="Times New Roman"/>
          <w:highlight w:val="yellow"/>
        </w:rPr>
        <w:t>a</w:t>
      </w:r>
      <w:r>
        <w:rPr>
          <w:rFonts w:ascii="Times New Roman" w:hAnsi="Times New Roman"/>
        </w:rPr>
        <w:t xml:space="preserve">emic effect </w:t>
      </w:r>
      <w:r>
        <w:rPr>
          <w:rFonts w:ascii="Times New Roman" w:hAnsi="Times New Roman"/>
          <w:highlight w:val="yellow"/>
        </w:rPr>
        <w:t>(Gujjala et al., 2022)</w:t>
      </w:r>
      <w:r>
        <w:rPr>
          <w:rFonts w:ascii="Times New Roman" w:hAnsi="Times New Roman"/>
        </w:rPr>
        <w:t>. This may be partly due to reduced intestinal lipid absorption and modulation of lipid</w:t>
      </w:r>
      <w:r>
        <w:rPr>
          <w:rFonts w:ascii="Times New Roman" w:hAnsi="Times New Roman"/>
          <w:highlight w:val="yellow"/>
        </w:rPr>
        <w:t>-</w:t>
      </w:r>
      <w:r>
        <w:rPr>
          <w:rFonts w:ascii="Times New Roman" w:hAnsi="Times New Roman"/>
        </w:rPr>
        <w:t>metabolism pathways.</w:t>
      </w:r>
      <w:r>
        <w:rPr>
          <w:rFonts w:ascii="Times New Roman" w:hAnsi="Times New Roman"/>
          <w:highlight w:val="yellow"/>
        </w:rPr>
        <w:t xml:space="preserve"> </w:t>
      </w:r>
      <w:r>
        <w:rPr>
          <w:rFonts w:ascii="Times New Roman" w:hAnsi="Times New Roman"/>
        </w:rPr>
        <w:t>Elevated serum transaminase</w:t>
      </w:r>
      <w:r>
        <w:rPr>
          <w:rFonts w:ascii="Times New Roman" w:hAnsi="Times New Roman"/>
          <w:highlight w:val="yellow"/>
        </w:rPr>
        <w:t xml:space="preserve"> activitie</w:t>
      </w:r>
      <w:r>
        <w:rPr>
          <w:rFonts w:ascii="Times New Roman" w:hAnsi="Times New Roman"/>
        </w:rPr>
        <w:t>s observed in HFD</w:t>
      </w:r>
      <w:r>
        <w:rPr>
          <w:rFonts w:ascii="Times New Roman" w:hAnsi="Times New Roman"/>
          <w:highlight w:val="yellow"/>
        </w:rPr>
        <w:t>-fed</w:t>
      </w:r>
      <w:r>
        <w:rPr>
          <w:rFonts w:ascii="Times New Roman" w:hAnsi="Times New Roman"/>
        </w:rPr>
        <w:t xml:space="preserve"> rats indicate hepatocellular damage</w:t>
      </w:r>
      <w:r>
        <w:rPr>
          <w:rFonts w:ascii="Times New Roman" w:hAnsi="Times New Roman"/>
          <w:highlight w:val="yellow"/>
        </w:rPr>
        <w:t xml:space="preserve"> (Cohen &amp; Kaplan, 1979; Giannini et al., 2005; Khoursheed et al., 1995; Wilkes et al., 1998)</w:t>
      </w:r>
      <w:r>
        <w:rPr>
          <w:rFonts w:ascii="Times New Roman" w:hAnsi="Times New Roman"/>
        </w:rPr>
        <w:t xml:space="preserve">, which was further supported by histopathological findings </w:t>
      </w:r>
      <w:r>
        <w:rPr>
          <w:rFonts w:ascii="Times New Roman" w:hAnsi="Times New Roman"/>
          <w:highlight w:val="yellow"/>
        </w:rPr>
        <w:t>(Batista et al., 201</w:t>
      </w:r>
      <w:r>
        <w:rPr>
          <w:rFonts w:ascii="Times New Roman" w:hAnsi="Times New Roman"/>
        </w:rPr>
        <w:t>4</w:t>
      </w:r>
      <w:r>
        <w:rPr>
          <w:rFonts w:ascii="Times New Roman" w:hAnsi="Times New Roman"/>
          <w:highlight w:val="yellow"/>
        </w:rPr>
        <w:t xml:space="preserve">; Manna &amp; Jain, </w:t>
      </w:r>
      <w:r>
        <w:rPr>
          <w:rFonts w:ascii="Times New Roman" w:hAnsi="Times New Roman"/>
        </w:rPr>
        <w:t>2</w:t>
      </w:r>
      <w:r>
        <w:rPr>
          <w:rFonts w:ascii="Times New Roman" w:hAnsi="Times New Roman"/>
          <w:highlight w:val="yellow"/>
        </w:rPr>
        <w:t>015; Rockey, 2001)</w:t>
      </w:r>
      <w:r>
        <w:rPr>
          <w:rFonts w:ascii="Times New Roman" w:hAnsi="Times New Roman"/>
        </w:rPr>
        <w:t>. CFE administration effectively normali</w:t>
      </w:r>
      <w:r>
        <w:rPr>
          <w:rFonts w:ascii="Times New Roman" w:hAnsi="Times New Roman"/>
          <w:highlight w:val="yellow"/>
        </w:rPr>
        <w:t>s</w:t>
      </w:r>
      <w:r>
        <w:rPr>
          <w:rFonts w:ascii="Times New Roman" w:hAnsi="Times New Roman"/>
        </w:rPr>
        <w:t>ed these enzyme levels, suggesting hepatoprotective activity. The reduction in hepatic GOT and GPT activities further confirms the protective role of CFE against liver injury.</w:t>
      </w:r>
    </w:p>
    <w:p w14:paraId="4C5620A1" w14:textId="77777777" w:rsidR="00A365C5" w:rsidRDefault="00A365C5" w:rsidP="00A365C5">
      <w:pPr>
        <w:spacing w:line="360" w:lineRule="auto"/>
        <w:jc w:val="both"/>
        <w:rPr>
          <w:rFonts w:ascii="Times New Roman" w:eastAsia="Times New Roman" w:hAnsi="Times New Roman" w:cs="Times New Roman"/>
          <w:b/>
          <w:bCs/>
          <w:kern w:val="0"/>
          <w14:ligatures w14:val="none"/>
        </w:rPr>
      </w:pPr>
      <w:r>
        <w:rPr>
          <w:rFonts w:ascii="Times New Roman" w:hAnsi="Times New Roman"/>
        </w:rPr>
        <w:t xml:space="preserve">Oxidative stress is a critical factor linking obesity to metabolic and hepatic disorders </w:t>
      </w:r>
      <w:r>
        <w:rPr>
          <w:rFonts w:ascii="Times New Roman" w:hAnsi="Times New Roman"/>
          <w:highlight w:val="yellow"/>
        </w:rPr>
        <w:t>(Alves</w:t>
      </w:r>
      <w:r>
        <w:rPr>
          <w:rFonts w:ascii="Times New Roman" w:hAnsi="Times New Roman"/>
        </w:rPr>
        <w:t>-</w:t>
      </w:r>
      <w:r>
        <w:rPr>
          <w:rFonts w:ascii="Times New Roman" w:hAnsi="Times New Roman"/>
          <w:highlight w:val="yellow"/>
        </w:rPr>
        <w:t>Bezerra &amp; Cohen, 2018; Bechmann et al., 2012)</w:t>
      </w:r>
      <w:r>
        <w:rPr>
          <w:rFonts w:ascii="Times New Roman" w:hAnsi="Times New Roman"/>
        </w:rPr>
        <w:t>. In the present study, HFD significantly increased lipid peroxidation and protein oxidation while reducing antioxidant defen</w:t>
      </w:r>
      <w:r>
        <w:rPr>
          <w:rFonts w:ascii="Times New Roman" w:hAnsi="Times New Roman"/>
          <w:highlight w:val="yellow"/>
        </w:rPr>
        <w:t>c</w:t>
      </w:r>
      <w:r>
        <w:rPr>
          <w:rFonts w:ascii="Times New Roman" w:hAnsi="Times New Roman"/>
        </w:rPr>
        <w:t xml:space="preserve">es such as GSH and enzymatic antioxidants (SOD, CAT, GPx, GST, and GR). These findings indicate impaired redox balance due to excessive reactive oxygen species (ROS) production </w:t>
      </w:r>
      <w:r>
        <w:rPr>
          <w:rFonts w:ascii="Times New Roman" w:hAnsi="Times New Roman"/>
          <w:highlight w:val="yellow"/>
        </w:rPr>
        <w:t>(Batista et al., 201</w:t>
      </w:r>
      <w:r>
        <w:rPr>
          <w:rFonts w:ascii="Times New Roman" w:hAnsi="Times New Roman"/>
        </w:rPr>
        <w:t>4</w:t>
      </w:r>
      <w:r>
        <w:rPr>
          <w:rFonts w:ascii="Times New Roman" w:hAnsi="Times New Roman"/>
          <w:highlight w:val="yellow"/>
        </w:rPr>
        <w:t>; Manna &amp; Jain, 20</w:t>
      </w:r>
      <w:r>
        <w:rPr>
          <w:rFonts w:ascii="Times New Roman" w:hAnsi="Times New Roman"/>
        </w:rPr>
        <w:t>1</w:t>
      </w:r>
      <w:r>
        <w:rPr>
          <w:rFonts w:ascii="Times New Roman" w:hAnsi="Times New Roman"/>
          <w:highlight w:val="yellow"/>
        </w:rPr>
        <w:t>5)</w:t>
      </w:r>
      <w:r>
        <w:rPr>
          <w:rFonts w:ascii="Times New Roman" w:hAnsi="Times New Roman"/>
        </w:rPr>
        <w:t>. CFE supplementation markedly reduced oxidative</w:t>
      </w:r>
      <w:r>
        <w:rPr>
          <w:rFonts w:ascii="Times New Roman" w:hAnsi="Times New Roman"/>
          <w:highlight w:val="yellow"/>
        </w:rPr>
        <w:t>-</w:t>
      </w:r>
      <w:r>
        <w:rPr>
          <w:rFonts w:ascii="Times New Roman" w:hAnsi="Times New Roman"/>
        </w:rPr>
        <w:t xml:space="preserve">stress markers and restored antioxidant enzyme activities, highlighting its strong antioxidant potential. This effect may be </w:t>
      </w:r>
      <w:r>
        <w:rPr>
          <w:rFonts w:ascii="Times New Roman" w:hAnsi="Times New Roman"/>
        </w:rPr>
        <w:lastRenderedPageBreak/>
        <w:t xml:space="preserve">attributed to the presence of bioactive compounds such as flavonoids, saponins, and phenolic compounds </w:t>
      </w:r>
      <w:r>
        <w:rPr>
          <w:rFonts w:ascii="Times New Roman" w:hAnsi="Times New Roman"/>
          <w:highlight w:val="yellow"/>
        </w:rPr>
        <w:t>(Gujjala et al., 20</w:t>
      </w:r>
      <w:r>
        <w:rPr>
          <w:rFonts w:ascii="Times New Roman" w:hAnsi="Times New Roman"/>
        </w:rPr>
        <w:t>1</w:t>
      </w:r>
      <w:r>
        <w:rPr>
          <w:rFonts w:ascii="Times New Roman" w:hAnsi="Times New Roman"/>
          <w:highlight w:val="yellow"/>
        </w:rPr>
        <w:t xml:space="preserve">7, </w:t>
      </w:r>
      <w:r>
        <w:rPr>
          <w:rFonts w:ascii="Times New Roman" w:hAnsi="Times New Roman"/>
        </w:rPr>
        <w:t>2</w:t>
      </w:r>
      <w:r>
        <w:rPr>
          <w:rFonts w:ascii="Times New Roman" w:hAnsi="Times New Roman"/>
          <w:highlight w:val="yellow"/>
        </w:rPr>
        <w:t>022)</w:t>
      </w:r>
      <w:r>
        <w:rPr>
          <w:rFonts w:ascii="Times New Roman" w:hAnsi="Times New Roman"/>
        </w:rPr>
        <w:t>.</w:t>
      </w:r>
    </w:p>
    <w:p w14:paraId="1F2EAB7D" w14:textId="77777777" w:rsidR="00633C10" w:rsidRDefault="00A365C5" w:rsidP="001D09FB">
      <w:pPr>
        <w:spacing w:line="360" w:lineRule="auto"/>
        <w:jc w:val="both"/>
        <w:rPr>
          <w:rFonts w:ascii="Times New Roman" w:eastAsia="Times New Roman" w:hAnsi="Times New Roman" w:cs="Times New Roman"/>
          <w:b/>
          <w:bCs/>
          <w:kern w:val="0"/>
          <w14:ligatures w14:val="none"/>
        </w:rPr>
      </w:pPr>
      <w:r>
        <w:rPr>
          <w:rFonts w:ascii="Times New Roman" w:hAnsi="Times New Roman"/>
        </w:rPr>
        <w:t>Histopathological analysis further supported the biochemical findings. Severe hepatic steatosis, inflammation, and cellular degeneration observed in HFD</w:t>
      </w:r>
      <w:r>
        <w:rPr>
          <w:rFonts w:ascii="Times New Roman" w:hAnsi="Times New Roman"/>
          <w:highlight w:val="yellow"/>
        </w:rPr>
        <w:t>-fed</w:t>
      </w:r>
      <w:r>
        <w:rPr>
          <w:rFonts w:ascii="Times New Roman" w:hAnsi="Times New Roman"/>
        </w:rPr>
        <w:t xml:space="preserve"> rats were markedly attenuated by CFE treatment, although </w:t>
      </w:r>
      <w:r>
        <w:rPr>
          <w:rFonts w:ascii="Times New Roman" w:hAnsi="Times New Roman"/>
          <w:highlight w:val="yellow"/>
        </w:rPr>
        <w:t xml:space="preserve">they were </w:t>
      </w:r>
      <w:r>
        <w:rPr>
          <w:rFonts w:ascii="Times New Roman" w:hAnsi="Times New Roman"/>
        </w:rPr>
        <w:t>not completely reversed. This indicates that</w:t>
      </w:r>
      <w:r>
        <w:rPr>
          <w:rFonts w:ascii="Times New Roman" w:hAnsi="Times New Roman"/>
          <w:highlight w:val="yellow"/>
        </w:rPr>
        <w:t>,</w:t>
      </w:r>
      <w:r>
        <w:rPr>
          <w:rFonts w:ascii="Times New Roman" w:hAnsi="Times New Roman"/>
        </w:rPr>
        <w:t xml:space="preserve"> while CFE has significant protective effects, prolonged damage may require extended intervention.</w:t>
      </w:r>
      <w:r>
        <w:rPr>
          <w:rFonts w:ascii="Times New Roman" w:hAnsi="Times New Roman"/>
          <w:b/>
        </w:rPr>
        <w:t xml:space="preserve"> </w:t>
      </w:r>
      <w:r>
        <w:rPr>
          <w:rFonts w:ascii="Times New Roman" w:hAnsi="Times New Roman"/>
        </w:rPr>
        <w:t>Overall, the findings suggest that CFE mitigates HFD-induced metabolic and hepatic alterations through multiple mechanisms, including improve</w:t>
      </w:r>
      <w:r>
        <w:rPr>
          <w:rFonts w:ascii="Times New Roman" w:hAnsi="Times New Roman"/>
          <w:highlight w:val="yellow"/>
        </w:rPr>
        <w:t>d</w:t>
      </w:r>
      <w:r>
        <w:rPr>
          <w:rFonts w:ascii="Times New Roman" w:hAnsi="Times New Roman"/>
        </w:rPr>
        <w:t xml:space="preserve"> insulin sensitivity, regulation of lipid metabolism, reduction of oxidative stress, and enhancement of antioxidant defen</w:t>
      </w:r>
      <w:r>
        <w:rPr>
          <w:rFonts w:ascii="Times New Roman" w:hAnsi="Times New Roman"/>
          <w:highlight w:val="yellow"/>
        </w:rPr>
        <w:t>c</w:t>
      </w:r>
      <w:r>
        <w:rPr>
          <w:rFonts w:ascii="Times New Roman" w:hAnsi="Times New Roman"/>
        </w:rPr>
        <w:t xml:space="preserve">e systems. Therefore, CFE may serve as a promising natural therapeutic agent for the management of obesity-related metabolic disorders and </w:t>
      </w:r>
      <w:r>
        <w:rPr>
          <w:rFonts w:ascii="Times New Roman" w:hAnsi="Times New Roman"/>
          <w:highlight w:val="yellow"/>
        </w:rPr>
        <w:t xml:space="preserve">the </w:t>
      </w:r>
      <w:r>
        <w:rPr>
          <w:rFonts w:ascii="Times New Roman" w:hAnsi="Times New Roman"/>
        </w:rPr>
        <w:t>prevention of fatty liver disease progression.</w:t>
      </w:r>
    </w:p>
    <w:p w14:paraId="5C759C92" w14:textId="77777777" w:rsidR="00273361" w:rsidRDefault="002E1486" w:rsidP="00273361">
      <w:pPr>
        <w:spacing w:line="360" w:lineRule="auto"/>
        <w:jc w:val="both"/>
        <w:rPr>
          <w:rFonts w:ascii="Times New Roman" w:eastAsia="Times New Roman" w:hAnsi="Times New Roman" w:cs="Times New Roman"/>
          <w:b/>
          <w:bCs/>
          <w:kern w:val="0"/>
          <w14:ligatures w14:val="none"/>
        </w:rPr>
      </w:pPr>
      <w:r w:rsidRPr="001D09FB">
        <w:rPr>
          <w:rFonts w:ascii="Times New Roman" w:eastAsia="Times New Roman" w:hAnsi="Times New Roman" w:cs="Times New Roman"/>
          <w:b/>
          <w:bCs/>
          <w:kern w:val="0"/>
          <w14:ligatures w14:val="none"/>
        </w:rPr>
        <w:t>C</w:t>
      </w:r>
      <w:r w:rsidR="00273361">
        <w:rPr>
          <w:rFonts w:ascii="Times New Roman" w:eastAsia="Times New Roman" w:hAnsi="Times New Roman" w:cs="Times New Roman"/>
          <w:b/>
          <w:bCs/>
          <w:kern w:val="0"/>
          <w14:ligatures w14:val="none"/>
        </w:rPr>
        <w:t>onclusion</w:t>
      </w:r>
    </w:p>
    <w:p w14:paraId="270475CA" w14:textId="77777777" w:rsidR="002E1486" w:rsidRDefault="002E1486" w:rsidP="00273361">
      <w:pPr>
        <w:spacing w:line="360" w:lineRule="auto"/>
        <w:jc w:val="both"/>
        <w:rPr>
          <w:rFonts w:ascii="Times New Roman" w:hAnsi="Times New Roman"/>
        </w:rPr>
      </w:pPr>
      <w:r>
        <w:rPr>
          <w:rFonts w:ascii="Times New Roman" w:hAnsi="Times New Roman"/>
        </w:rPr>
        <w:t>The present study demonstrates that a</w:t>
      </w:r>
      <w:r>
        <w:rPr>
          <w:rFonts w:ascii="Times New Roman" w:hAnsi="Times New Roman"/>
          <w:highlight w:val="yellow"/>
        </w:rPr>
        <w:t>n</w:t>
      </w:r>
      <w:r>
        <w:rPr>
          <w:rFonts w:ascii="Times New Roman" w:hAnsi="Times New Roman"/>
        </w:rPr>
        <w:t xml:space="preserve"> HFD induces obesity-associated metabolic disturbances, leading to oxidative stress, inflammation, and hepatic injury. Supplementation with CFE effectively ameliorated these alterations in both </w:t>
      </w:r>
      <w:r>
        <w:rPr>
          <w:rFonts w:ascii="Times New Roman" w:hAnsi="Times New Roman"/>
          <w:highlight w:val="yellow"/>
        </w:rPr>
        <w:t xml:space="preserve">the </w:t>
      </w:r>
      <w:r>
        <w:rPr>
          <w:rFonts w:ascii="Times New Roman" w:hAnsi="Times New Roman"/>
        </w:rPr>
        <w:t>preventive and therapeutic models. CFE significantly improved body</w:t>
      </w:r>
      <w:r>
        <w:rPr>
          <w:rFonts w:ascii="Times New Roman" w:hAnsi="Times New Roman"/>
          <w:highlight w:val="yellow"/>
        </w:rPr>
        <w:t>-</w:t>
      </w:r>
      <w:r>
        <w:rPr>
          <w:rFonts w:ascii="Times New Roman" w:hAnsi="Times New Roman"/>
        </w:rPr>
        <w:t>weight regulation, reduced oxidative stress and inflammatory responses, and protected against liver dysfunction. These findings highlight the potential of CFE as a natural therapeutic agent for managing obesity-related metabolic and hepatic disorders. However, further studies, particularly well-designed clinical trials in humans, are required to validate its efficacy and safety.</w:t>
      </w:r>
    </w:p>
    <w:p w14:paraId="03E1B853" w14:textId="77777777" w:rsidR="00F576D3" w:rsidRDefault="00F576D3" w:rsidP="00273361">
      <w:pPr>
        <w:spacing w:line="360" w:lineRule="auto"/>
        <w:jc w:val="both"/>
        <w:rPr>
          <w:rFonts w:ascii="Times New Roman" w:hAnsi="Times New Roman"/>
        </w:rPr>
      </w:pPr>
    </w:p>
    <w:p w14:paraId="2B1B9B63" w14:textId="6CFFD126" w:rsidR="00F576D3" w:rsidRPr="00AD48AB" w:rsidRDefault="00F576D3" w:rsidP="00F576D3">
      <w:pPr>
        <w:spacing w:line="360" w:lineRule="auto"/>
        <w:jc w:val="both"/>
        <w:rPr>
          <w:rFonts w:ascii="Times New Roman" w:eastAsia="Times New Roman" w:hAnsi="Times New Roman" w:cs="Times New Roman"/>
          <w:b/>
          <w:bCs/>
          <w:kern w:val="0"/>
          <w14:ligatures w14:val="none"/>
        </w:rPr>
      </w:pPr>
      <w:r w:rsidRPr="00AD48AB">
        <w:rPr>
          <w:rFonts w:ascii="Times New Roman" w:eastAsia="Times New Roman" w:hAnsi="Times New Roman" w:cs="Times New Roman"/>
          <w:b/>
          <w:bCs/>
          <w:kern w:val="0"/>
          <w14:ligatures w14:val="none"/>
        </w:rPr>
        <w:t>Limitation</w:t>
      </w:r>
    </w:p>
    <w:p w14:paraId="2878B66E" w14:textId="2D077D24" w:rsidR="00F576D3" w:rsidRDefault="00F576D3" w:rsidP="00F576D3">
      <w:pPr>
        <w:spacing w:line="360" w:lineRule="auto"/>
        <w:jc w:val="both"/>
        <w:rPr>
          <w:rFonts w:ascii="Times New Roman" w:eastAsia="Times New Roman" w:hAnsi="Times New Roman" w:cs="Times New Roman"/>
          <w:kern w:val="0"/>
          <w14:ligatures w14:val="none"/>
        </w:rPr>
      </w:pPr>
      <w:r w:rsidRPr="00F576D3">
        <w:rPr>
          <w:rFonts w:ascii="Times New Roman" w:eastAsia="Times New Roman" w:hAnsi="Times New Roman" w:cs="Times New Roman"/>
          <w:kern w:val="0"/>
          <w14:ligatures w14:val="none"/>
        </w:rPr>
        <w:t xml:space="preserve">This study used a small sample of male Wistar rats (n = 6 per group) and evaluated a single CFE dose. The findings are therefore limited to the experimental conditions and cannot be directly </w:t>
      </w:r>
      <w:proofErr w:type="spellStart"/>
      <w:r w:rsidRPr="00F576D3">
        <w:rPr>
          <w:rFonts w:ascii="Times New Roman" w:eastAsia="Times New Roman" w:hAnsi="Times New Roman" w:cs="Times New Roman"/>
          <w:kern w:val="0"/>
          <w14:ligatures w14:val="none"/>
        </w:rPr>
        <w:t>generalised</w:t>
      </w:r>
      <w:proofErr w:type="spellEnd"/>
      <w:r w:rsidRPr="00F576D3">
        <w:rPr>
          <w:rFonts w:ascii="Times New Roman" w:eastAsia="Times New Roman" w:hAnsi="Times New Roman" w:cs="Times New Roman"/>
          <w:kern w:val="0"/>
          <w14:ligatures w14:val="none"/>
        </w:rPr>
        <w:t xml:space="preserve"> to females, other animal models, or humans. The study did not include dose–response comparisons, long-term post-treatment follow-up, or direct molecular assessment of the pathways underlying the observed metabolic and hepatic effects. </w:t>
      </w:r>
    </w:p>
    <w:p w14:paraId="71279DAC" w14:textId="77777777" w:rsidR="00BD3F2E" w:rsidRDefault="00BD3F2E" w:rsidP="00077010">
      <w:pPr>
        <w:spacing w:line="360" w:lineRule="auto"/>
        <w:jc w:val="both"/>
        <w:rPr>
          <w:rFonts w:ascii="Times New Roman" w:hAnsi="Times New Roman" w:cs="Times New Roman"/>
          <w:bCs/>
        </w:rPr>
      </w:pPr>
    </w:p>
    <w:p w14:paraId="17D8C0C7" w14:textId="77777777" w:rsidR="00BD3F2E" w:rsidRDefault="00BD3F2E" w:rsidP="00077010">
      <w:pPr>
        <w:spacing w:line="360" w:lineRule="auto"/>
        <w:jc w:val="both"/>
        <w:rPr>
          <w:rFonts w:ascii="Times New Roman" w:hAnsi="Times New Roman" w:cs="Times New Roman"/>
          <w:bCs/>
        </w:rPr>
      </w:pPr>
    </w:p>
    <w:p w14:paraId="71685E58" w14:textId="77777777" w:rsidR="00BD3F2E" w:rsidRDefault="00BD3F2E" w:rsidP="00077010">
      <w:pPr>
        <w:spacing w:line="360" w:lineRule="auto"/>
        <w:jc w:val="both"/>
        <w:rPr>
          <w:rFonts w:ascii="Times New Roman" w:hAnsi="Times New Roman" w:cs="Times New Roman"/>
          <w:bCs/>
        </w:rPr>
      </w:pPr>
      <w:r w:rsidRPr="00285CDB">
        <w:rPr>
          <w:rFonts w:ascii="Times New Roman" w:hAnsi="Times New Roman" w:cs="Times New Roman"/>
          <w:bCs/>
          <w:noProof/>
        </w:rPr>
        <w:drawing>
          <wp:inline distT="0" distB="0" distL="0" distR="0" wp14:anchorId="5C529DF5" wp14:editId="0DCD6BB0">
            <wp:extent cx="5943600" cy="4488873"/>
            <wp:effectExtent l="0" t="0" r="0" b="6985"/>
            <wp:docPr id="136199118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54326" cy="4496974"/>
                    </a:xfrm>
                    <a:prstGeom prst="rect">
                      <a:avLst/>
                    </a:prstGeom>
                    <a:noFill/>
                    <a:ln>
                      <a:noFill/>
                    </a:ln>
                  </pic:spPr>
                </pic:pic>
              </a:graphicData>
            </a:graphic>
          </wp:inline>
        </w:drawing>
      </w:r>
    </w:p>
    <w:p w14:paraId="4BF83DD2" w14:textId="1C4D1A48" w:rsidR="003A1552" w:rsidRDefault="00AD48AB" w:rsidP="003A1552">
      <w:pPr>
        <w:spacing w:line="360" w:lineRule="auto"/>
        <w:jc w:val="center"/>
        <w:rPr>
          <w:rFonts w:ascii="Times New Roman" w:hAnsi="Times New Roman" w:cs="Times New Roman"/>
          <w:bCs/>
        </w:rPr>
      </w:pPr>
      <w:r>
        <w:rPr>
          <w:rFonts w:ascii="Times New Roman" w:hAnsi="Times New Roman" w:cs="Times New Roman"/>
          <w:bCs/>
        </w:rPr>
        <w:t xml:space="preserve"> </w:t>
      </w:r>
      <w:r w:rsidRPr="00AD48AB">
        <w:rPr>
          <w:rFonts w:ascii="Times New Roman" w:hAnsi="Times New Roman" w:cs="Times New Roman"/>
          <w:bCs/>
        </w:rPr>
        <w:t xml:space="preserve">Fig. 8. Proposed mechanism of the protective effects of </w:t>
      </w:r>
      <w:proofErr w:type="spellStart"/>
      <w:r w:rsidRPr="00AD48AB">
        <w:rPr>
          <w:rFonts w:ascii="Times New Roman" w:hAnsi="Times New Roman" w:cs="Times New Roman"/>
          <w:bCs/>
        </w:rPr>
        <w:t>Caralluma</w:t>
      </w:r>
      <w:proofErr w:type="spellEnd"/>
      <w:r w:rsidRPr="00AD48AB">
        <w:rPr>
          <w:rFonts w:ascii="Times New Roman" w:hAnsi="Times New Roman" w:cs="Times New Roman"/>
          <w:bCs/>
        </w:rPr>
        <w:t xml:space="preserve"> fimbriata extract in high-fat diet–induced metabolic syndrome in Wistar rats</w:t>
      </w:r>
    </w:p>
    <w:p w14:paraId="7AE402B1" w14:textId="47C4C476" w:rsidR="00BD3F2E" w:rsidRPr="00BD3F2E" w:rsidRDefault="00BD3F2E" w:rsidP="00BD3F2E">
      <w:pPr>
        <w:spacing w:line="360" w:lineRule="auto"/>
        <w:jc w:val="both"/>
        <w:rPr>
          <w:rFonts w:ascii="Times New Roman" w:hAnsi="Times New Roman" w:cs="Times New Roman"/>
          <w:bCs/>
        </w:rPr>
      </w:pPr>
    </w:p>
    <w:p w14:paraId="18484C58" w14:textId="77777777" w:rsidR="00BD3F2E" w:rsidRPr="00BD3F2E" w:rsidRDefault="00BD3F2E" w:rsidP="00BD3F2E">
      <w:pPr>
        <w:spacing w:line="360" w:lineRule="auto"/>
        <w:jc w:val="both"/>
        <w:rPr>
          <w:rFonts w:ascii="Times New Roman" w:hAnsi="Times New Roman" w:cs="Times New Roman"/>
          <w:bCs/>
        </w:rPr>
      </w:pPr>
      <w:r w:rsidRPr="00BD3F2E">
        <w:rPr>
          <w:rFonts w:ascii="Times New Roman" w:hAnsi="Times New Roman" w:cs="Times New Roman"/>
          <w:bCs/>
        </w:rPr>
        <w:t xml:space="preserve">Ethical Approval </w:t>
      </w:r>
    </w:p>
    <w:p w14:paraId="28A5922E" w14:textId="77777777" w:rsidR="00077010" w:rsidRPr="00077010" w:rsidRDefault="00BD3F2E" w:rsidP="00077010">
      <w:pPr>
        <w:spacing w:line="360" w:lineRule="auto"/>
        <w:jc w:val="both"/>
        <w:rPr>
          <w:rFonts w:ascii="Times New Roman" w:hAnsi="Times New Roman" w:cs="Times New Roman"/>
          <w:bCs/>
        </w:rPr>
      </w:pPr>
      <w:r w:rsidRPr="00BD3F2E">
        <w:rPr>
          <w:rFonts w:ascii="Times New Roman" w:hAnsi="Times New Roman" w:cs="Times New Roman"/>
          <w:bCs/>
        </w:rPr>
        <w:t>All experimental protocols involving laboratory animals were conducted in accordance with the guidelines of the Committee for the Purpose of Control and Supervision of Experiments on Animals (CPCSEA), Government of India (Regd. N</w:t>
      </w:r>
      <w:r w:rsidR="00077010" w:rsidRPr="00077010">
        <w:rPr>
          <w:rFonts w:ascii="Times New Roman" w:hAnsi="Times New Roman" w:cs="Times New Roman"/>
          <w:bCs/>
        </w:rPr>
        <w:t>o: 1889/GO/Re/S/16/CPCSEA, dated 23 October 2021). The study was approved by the Institutional Animal Ethics Committee (IAEC), S.K. University (Regd. No: SKU/IAEC/01/2022).</w:t>
      </w:r>
    </w:p>
    <w:p w14:paraId="6FAE300B" w14:textId="636D0302" w:rsidR="00077010" w:rsidRDefault="00077010" w:rsidP="00077010">
      <w:pPr>
        <w:autoSpaceDE w:val="0"/>
        <w:autoSpaceDN w:val="0"/>
        <w:adjustRightInd w:val="0"/>
        <w:spacing w:before="240" w:line="360" w:lineRule="auto"/>
        <w:rPr>
          <w:rFonts w:ascii="Times New Roman" w:hAnsi="Times New Roman" w:cs="Times New Roman"/>
          <w:bCs/>
        </w:rPr>
      </w:pPr>
    </w:p>
    <w:p w14:paraId="08761B99" w14:textId="77777777" w:rsidR="00285CDB" w:rsidRDefault="00285CDB" w:rsidP="00C47244">
      <w:pPr>
        <w:autoSpaceDE w:val="0"/>
        <w:autoSpaceDN w:val="0"/>
        <w:adjustRightInd w:val="0"/>
        <w:spacing w:before="240" w:line="360" w:lineRule="auto"/>
        <w:rPr>
          <w:rFonts w:ascii="Times New Roman" w:hAnsi="Times New Roman" w:cs="Times New Roman"/>
          <w:bCs/>
        </w:rPr>
      </w:pPr>
    </w:p>
    <w:p w14:paraId="360D6AF7" w14:textId="77777777" w:rsidR="00DE7E45" w:rsidRPr="00DE7E45" w:rsidRDefault="00DE7E45" w:rsidP="00DE7E45">
      <w:pPr>
        <w:spacing w:after="0" w:line="240" w:lineRule="auto"/>
        <w:rPr>
          <w:rFonts w:ascii="Times New Roman" w:eastAsia="Calibri" w:hAnsi="Times New Roman" w:cs="Times New Roman"/>
          <w:b/>
          <w:kern w:val="0"/>
          <w:sz w:val="22"/>
          <w:szCs w:val="22"/>
          <w14:ligatures w14:val="none"/>
        </w:rPr>
      </w:pPr>
      <w:r w:rsidRPr="00DE7E45">
        <w:rPr>
          <w:rFonts w:ascii="Times New Roman" w:eastAsia="Calibri" w:hAnsi="Times New Roman" w:cs="Times New Roman"/>
          <w:b/>
          <w:kern w:val="0"/>
          <w:sz w:val="22"/>
          <w:szCs w:val="22"/>
          <w14:ligatures w14:val="none"/>
        </w:rPr>
        <w:t>Declaration of AI Use</w:t>
      </w:r>
    </w:p>
    <w:p w14:paraId="3BCD49EA" w14:textId="77777777" w:rsidR="00DE7E45" w:rsidRPr="00DE7E45" w:rsidRDefault="00DE7E45" w:rsidP="00DE7E45">
      <w:pPr>
        <w:spacing w:after="0" w:line="240" w:lineRule="auto"/>
        <w:rPr>
          <w:rFonts w:ascii="Times New Roman" w:eastAsia="Calibri" w:hAnsi="Times New Roman" w:cs="Times New Roman"/>
          <w:kern w:val="0"/>
          <w:sz w:val="22"/>
          <w:szCs w:val="22"/>
          <w14:ligatures w14:val="none"/>
        </w:rPr>
      </w:pPr>
    </w:p>
    <w:p w14:paraId="4D997B16" w14:textId="77777777" w:rsidR="00DE7E45" w:rsidRPr="00DE7E45" w:rsidRDefault="00DE7E45" w:rsidP="00DE7E45">
      <w:pPr>
        <w:spacing w:after="0" w:line="240" w:lineRule="auto"/>
        <w:jc w:val="both"/>
        <w:rPr>
          <w:rFonts w:ascii="Times New Roman" w:eastAsia="Calibri" w:hAnsi="Times New Roman" w:cs="Times New Roman"/>
          <w:kern w:val="0"/>
          <w:sz w:val="22"/>
          <w:szCs w:val="22"/>
          <w14:ligatures w14:val="none"/>
        </w:rPr>
      </w:pPr>
      <w:r w:rsidRPr="00DE7E45">
        <w:rPr>
          <w:rFonts w:ascii="Times New Roman" w:eastAsia="Calibri" w:hAnsi="Times New Roman" w:cs="Times New Roman"/>
          <w:kern w:val="0"/>
          <w:sz w:val="22"/>
          <w:szCs w:val="22"/>
          <w14:ligatures w14:val="none"/>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1413D61C" w14:textId="77777777" w:rsidR="00DE7E45" w:rsidRPr="00DE7E45" w:rsidRDefault="00DE7E45" w:rsidP="00DE7E45">
      <w:pPr>
        <w:spacing w:after="0" w:line="240" w:lineRule="auto"/>
        <w:jc w:val="both"/>
        <w:rPr>
          <w:rFonts w:ascii="Times New Roman" w:eastAsia="Calibri" w:hAnsi="Times New Roman" w:cs="Times New Roman"/>
          <w:kern w:val="0"/>
          <w:sz w:val="22"/>
          <w:szCs w:val="22"/>
          <w14:ligatures w14:val="none"/>
        </w:rPr>
      </w:pPr>
    </w:p>
    <w:p w14:paraId="58099EDA" w14:textId="77777777" w:rsidR="00DE7E45" w:rsidRPr="00DE7E45" w:rsidRDefault="00DE7E45" w:rsidP="00DE7E45">
      <w:pPr>
        <w:spacing w:after="0" w:line="240" w:lineRule="auto"/>
        <w:jc w:val="both"/>
        <w:rPr>
          <w:rFonts w:ascii="Times New Roman" w:eastAsia="Calibri" w:hAnsi="Times New Roman" w:cs="Times New Roman"/>
          <w:kern w:val="0"/>
          <w:sz w:val="22"/>
          <w:szCs w:val="22"/>
          <w14:ligatures w14:val="none"/>
        </w:rPr>
      </w:pPr>
    </w:p>
    <w:p w14:paraId="041FF142" w14:textId="3205CFFB" w:rsidR="00DE7E45" w:rsidRPr="00DE7E45" w:rsidRDefault="00DE7E45" w:rsidP="00DE7E45">
      <w:pPr>
        <w:spacing w:after="200" w:line="276" w:lineRule="auto"/>
        <w:rPr>
          <w:rFonts w:ascii="Cambria" w:eastAsia="Times New Roman" w:hAnsi="Cambria" w:cs="Arial"/>
          <w:b/>
          <w:bCs/>
          <w:kern w:val="0"/>
          <w:sz w:val="22"/>
          <w:szCs w:val="22"/>
          <w:lang w:val="en-GB" w:eastAsia="en-GB"/>
          <w14:ligatures w14:val="none"/>
        </w:rPr>
      </w:pPr>
      <w:r w:rsidRPr="00DE7E45">
        <w:rPr>
          <w:rFonts w:ascii="Cambria" w:eastAsia="Times New Roman" w:hAnsi="Cambria" w:cs="Arial"/>
          <w:b/>
          <w:bCs/>
          <w:kern w:val="0"/>
          <w:sz w:val="22"/>
          <w:szCs w:val="22"/>
          <w:lang w:val="en-GB" w:eastAsia="en-GB"/>
          <w14:ligatures w14:val="none"/>
        </w:rPr>
        <w:t>COMPETING INTERESTS:</w:t>
      </w:r>
    </w:p>
    <w:p w14:paraId="58771F35" w14:textId="77777777" w:rsidR="00DE7E45" w:rsidRPr="00DE7E45" w:rsidRDefault="00DE7E45" w:rsidP="00DE7E45">
      <w:pPr>
        <w:spacing w:after="200" w:line="276" w:lineRule="auto"/>
        <w:rPr>
          <w:rFonts w:ascii="Cambria" w:eastAsia="Times New Roman" w:hAnsi="Cambria" w:cs="Times New Roman"/>
          <w:kern w:val="0"/>
          <w:sz w:val="22"/>
          <w:szCs w:val="22"/>
          <w:lang w:val="en-GB" w:eastAsia="en-GB"/>
          <w14:ligatures w14:val="none"/>
        </w:rPr>
      </w:pPr>
      <w:r w:rsidRPr="00DE7E45">
        <w:rPr>
          <w:rFonts w:ascii="Cambria" w:eastAsia="Times New Roman" w:hAnsi="Cambria" w:cs="Arial"/>
          <w:kern w:val="0"/>
          <w:sz w:val="22"/>
          <w:szCs w:val="22"/>
          <w:lang w:val="en-GB" w:eastAsia="en-GB"/>
          <w14:ligatures w14:val="none"/>
        </w:rPr>
        <w:t>Authors have declared that they have no known competing financial interests OR non-financial interests OR personal relationships that could have appeared to influence the work reported in this paper.</w:t>
      </w:r>
    </w:p>
    <w:p w14:paraId="6CF510DD" w14:textId="77777777" w:rsidR="00285CDB" w:rsidRDefault="00285CDB" w:rsidP="00C47244">
      <w:pPr>
        <w:autoSpaceDE w:val="0"/>
        <w:autoSpaceDN w:val="0"/>
        <w:adjustRightInd w:val="0"/>
        <w:spacing w:before="240" w:line="360" w:lineRule="auto"/>
        <w:rPr>
          <w:rFonts w:ascii="Times New Roman" w:hAnsi="Times New Roman" w:cs="Times New Roman"/>
          <w:bCs/>
        </w:rPr>
      </w:pPr>
    </w:p>
    <w:p w14:paraId="1094DB9C" w14:textId="77777777" w:rsidR="00285CDB" w:rsidRPr="00285CDB" w:rsidRDefault="00285CDB" w:rsidP="00285CDB">
      <w:pPr>
        <w:autoSpaceDE w:val="0"/>
        <w:autoSpaceDN w:val="0"/>
        <w:adjustRightInd w:val="0"/>
        <w:spacing w:before="240" w:line="360" w:lineRule="auto"/>
        <w:rPr>
          <w:rFonts w:ascii="Times New Roman" w:hAnsi="Times New Roman" w:cs="Times New Roman"/>
          <w:bCs/>
        </w:rPr>
      </w:pPr>
    </w:p>
    <w:p w14:paraId="39B9A3BF" w14:textId="77777777" w:rsidR="00FC5F1B" w:rsidRDefault="00FC5F1B" w:rsidP="00EF794B">
      <w:pPr>
        <w:autoSpaceDE w:val="0"/>
        <w:autoSpaceDN w:val="0"/>
        <w:adjustRightInd w:val="0"/>
        <w:spacing w:after="0" w:line="360" w:lineRule="auto"/>
        <w:jc w:val="both"/>
        <w:rPr>
          <w:rFonts w:ascii="Times New Roman" w:hAnsi="Times New Roman" w:cs="Times New Roman"/>
          <w:bCs/>
        </w:rPr>
      </w:pPr>
    </w:p>
    <w:p w14:paraId="21CBB972" w14:textId="77777777" w:rsidR="00285CDB" w:rsidRDefault="00285CDB" w:rsidP="00EF794B">
      <w:pPr>
        <w:autoSpaceDE w:val="0"/>
        <w:autoSpaceDN w:val="0"/>
        <w:adjustRightInd w:val="0"/>
        <w:spacing w:after="0" w:line="360" w:lineRule="auto"/>
        <w:jc w:val="both"/>
        <w:rPr>
          <w:rFonts w:ascii="Times New Roman" w:hAnsi="Times New Roman" w:cs="Times New Roman"/>
          <w:b/>
          <w:shd w:val="clear" w:color="auto" w:fill="FFFFFF"/>
        </w:rPr>
      </w:pPr>
    </w:p>
    <w:p w14:paraId="1F9602D6" w14:textId="77777777" w:rsidR="00C44F19" w:rsidRPr="001E7043" w:rsidRDefault="00C44F19" w:rsidP="00EF794B">
      <w:pPr>
        <w:autoSpaceDE w:val="0"/>
        <w:autoSpaceDN w:val="0"/>
        <w:adjustRightInd w:val="0"/>
        <w:spacing w:after="0" w:line="360" w:lineRule="auto"/>
        <w:jc w:val="both"/>
        <w:rPr>
          <w:rFonts w:ascii="Times New Roman" w:hAnsi="Times New Roman" w:cs="Times New Roman"/>
          <w:b/>
          <w:shd w:val="clear" w:color="auto" w:fill="FFFFFF"/>
        </w:rPr>
      </w:pPr>
      <w:r w:rsidRPr="001E7043">
        <w:rPr>
          <w:rFonts w:ascii="Times New Roman" w:hAnsi="Times New Roman" w:cs="Times New Roman"/>
          <w:b/>
          <w:shd w:val="clear" w:color="auto" w:fill="FFFFFF"/>
        </w:rPr>
        <w:t>R</w:t>
      </w:r>
      <w:r w:rsidR="00FC5F1B">
        <w:rPr>
          <w:rFonts w:ascii="Times New Roman" w:hAnsi="Times New Roman" w:cs="Times New Roman"/>
          <w:b/>
          <w:shd w:val="clear" w:color="auto" w:fill="FFFFFF"/>
        </w:rPr>
        <w:t>EFERENCES</w:t>
      </w:r>
    </w:p>
    <w:p w14:paraId="77C95A24"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proofErr w:type="spellStart"/>
      <w:r w:rsidRPr="00167718">
        <w:rPr>
          <w:rFonts w:ascii="Times New Roman" w:eastAsia="Times New Roman" w:hAnsi="Times New Roman" w:cs="Times New Roman"/>
          <w:kern w:val="0"/>
          <w14:ligatures w14:val="none"/>
        </w:rPr>
        <w:t>Akotegnon</w:t>
      </w:r>
      <w:proofErr w:type="spellEnd"/>
      <w:r w:rsidRPr="00167718">
        <w:rPr>
          <w:rFonts w:ascii="Times New Roman" w:eastAsia="Times New Roman" w:hAnsi="Times New Roman" w:cs="Times New Roman"/>
          <w:kern w:val="0"/>
          <w14:ligatures w14:val="none"/>
        </w:rPr>
        <w:t xml:space="preserve">, A. R., Faton, E. O. M., Chokki, S., Bah, F., </w:t>
      </w:r>
      <w:proofErr w:type="spellStart"/>
      <w:r w:rsidRPr="00167718">
        <w:rPr>
          <w:rFonts w:ascii="Times New Roman" w:eastAsia="Times New Roman" w:hAnsi="Times New Roman" w:cs="Times New Roman"/>
          <w:kern w:val="0"/>
          <w14:ligatures w14:val="none"/>
        </w:rPr>
        <w:t>Michodjehoun</w:t>
      </w:r>
      <w:proofErr w:type="spellEnd"/>
      <w:r w:rsidRPr="00167718">
        <w:rPr>
          <w:rFonts w:ascii="Times New Roman" w:eastAsia="Times New Roman" w:hAnsi="Times New Roman" w:cs="Times New Roman"/>
          <w:kern w:val="0"/>
          <w14:ligatures w14:val="none"/>
        </w:rPr>
        <w:t xml:space="preserve">, C., Sezan, A., &amp; Baba-Moussa, L. (2025). Effect of </w:t>
      </w:r>
      <w:r w:rsidRPr="00167718">
        <w:rPr>
          <w:rFonts w:ascii="Times New Roman" w:eastAsia="Times New Roman" w:hAnsi="Times New Roman" w:cs="Times New Roman"/>
          <w:i/>
          <w:iCs/>
          <w:kern w:val="0"/>
          <w14:ligatures w14:val="none"/>
        </w:rPr>
        <w:t xml:space="preserve">Ficus </w:t>
      </w:r>
      <w:proofErr w:type="spellStart"/>
      <w:r w:rsidRPr="00167718">
        <w:rPr>
          <w:rFonts w:ascii="Times New Roman" w:eastAsia="Times New Roman" w:hAnsi="Times New Roman" w:cs="Times New Roman"/>
          <w:i/>
          <w:iCs/>
          <w:kern w:val="0"/>
          <w14:ligatures w14:val="none"/>
        </w:rPr>
        <w:t>umbellata</w:t>
      </w:r>
      <w:proofErr w:type="spellEnd"/>
      <w:r w:rsidRPr="00167718">
        <w:rPr>
          <w:rFonts w:ascii="Times New Roman" w:eastAsia="Times New Roman" w:hAnsi="Times New Roman" w:cs="Times New Roman"/>
          <w:kern w:val="0"/>
          <w14:ligatures w14:val="none"/>
        </w:rPr>
        <w:t xml:space="preserve"> (Vahl.) leaves on oxidative stress in obese Wistar rats. </w:t>
      </w:r>
      <w:r w:rsidRPr="00167718">
        <w:rPr>
          <w:rFonts w:ascii="Times New Roman" w:eastAsia="Times New Roman" w:hAnsi="Times New Roman" w:cs="Times New Roman"/>
          <w:i/>
          <w:iCs/>
          <w:kern w:val="0"/>
          <w14:ligatures w14:val="none"/>
        </w:rPr>
        <w:t>Journal of Pharmaceutical Research International, 37</w:t>
      </w:r>
      <w:r w:rsidRPr="00167718">
        <w:rPr>
          <w:rFonts w:ascii="Times New Roman" w:eastAsia="Times New Roman" w:hAnsi="Times New Roman" w:cs="Times New Roman"/>
          <w:kern w:val="0"/>
          <w14:ligatures w14:val="none"/>
        </w:rPr>
        <w:t xml:space="preserve">(6), 1–10. </w:t>
      </w:r>
      <w:hyperlink r:id="rId16" w:history="1">
        <w:r w:rsidRPr="00167718">
          <w:rPr>
            <w:rFonts w:ascii="Times New Roman" w:eastAsia="Times New Roman" w:hAnsi="Times New Roman" w:cs="Times New Roman"/>
            <w:color w:val="0000FF"/>
            <w:kern w:val="0"/>
            <w:u w:val="single"/>
            <w14:ligatures w14:val="none"/>
          </w:rPr>
          <w:t>https://doi.org/10.9734/jpri/2025/v37i67699</w:t>
        </w:r>
      </w:hyperlink>
    </w:p>
    <w:p w14:paraId="0293FBF0"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167718">
        <w:rPr>
          <w:rFonts w:ascii="Times New Roman" w:eastAsia="Times New Roman" w:hAnsi="Times New Roman" w:cs="Times New Roman"/>
          <w:kern w:val="0"/>
          <w14:ligatures w14:val="none"/>
        </w:rPr>
        <w:t xml:space="preserve">Alves-Bezerra, M., &amp; Cohen, D. E. (2018). Triglyceride metabolism in the liver. </w:t>
      </w:r>
      <w:r w:rsidRPr="00167718">
        <w:rPr>
          <w:rFonts w:ascii="Times New Roman" w:eastAsia="Times New Roman" w:hAnsi="Times New Roman" w:cs="Times New Roman"/>
          <w:i/>
          <w:iCs/>
          <w:kern w:val="0"/>
          <w14:ligatures w14:val="none"/>
        </w:rPr>
        <w:t>Comprehensive Physiology, 8</w:t>
      </w:r>
      <w:r w:rsidRPr="00167718">
        <w:rPr>
          <w:rFonts w:ascii="Times New Roman" w:eastAsia="Times New Roman" w:hAnsi="Times New Roman" w:cs="Times New Roman"/>
          <w:kern w:val="0"/>
          <w14:ligatures w14:val="none"/>
        </w:rPr>
        <w:t xml:space="preserve">(1), 1–22. </w:t>
      </w:r>
      <w:hyperlink r:id="rId17" w:history="1">
        <w:r w:rsidRPr="00167718">
          <w:rPr>
            <w:rFonts w:ascii="Times New Roman" w:eastAsia="Times New Roman" w:hAnsi="Times New Roman" w:cs="Times New Roman"/>
            <w:color w:val="0000FF"/>
            <w:kern w:val="0"/>
            <w:u w:val="single"/>
            <w14:ligatures w14:val="none"/>
          </w:rPr>
          <w:t>https://doi.org/10.1002/cphy.c170012</w:t>
        </w:r>
      </w:hyperlink>
    </w:p>
    <w:p w14:paraId="0234C630"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167718">
        <w:rPr>
          <w:rFonts w:ascii="Times New Roman" w:eastAsia="Times New Roman" w:hAnsi="Times New Roman" w:cs="Times New Roman"/>
          <w:kern w:val="0"/>
          <w14:ligatures w14:val="none"/>
        </w:rPr>
        <w:t xml:space="preserve">Batista, Â. G., </w:t>
      </w:r>
      <w:proofErr w:type="spellStart"/>
      <w:r w:rsidRPr="00167718">
        <w:rPr>
          <w:rFonts w:ascii="Times New Roman" w:eastAsia="Times New Roman" w:hAnsi="Times New Roman" w:cs="Times New Roman"/>
          <w:kern w:val="0"/>
          <w14:ligatures w14:val="none"/>
        </w:rPr>
        <w:t>Lenquiste</w:t>
      </w:r>
      <w:proofErr w:type="spellEnd"/>
      <w:r w:rsidRPr="00167718">
        <w:rPr>
          <w:rFonts w:ascii="Times New Roman" w:eastAsia="Times New Roman" w:hAnsi="Times New Roman" w:cs="Times New Roman"/>
          <w:kern w:val="0"/>
          <w14:ligatures w14:val="none"/>
        </w:rPr>
        <w:t xml:space="preserve">, S. A., Cazarin, C. B. B., da Silva, J. K., Luiz-Ferreira, A., Bogusz, S., Jr., </w:t>
      </w:r>
      <w:proofErr w:type="spellStart"/>
      <w:r w:rsidRPr="00167718">
        <w:rPr>
          <w:rFonts w:ascii="Times New Roman" w:eastAsia="Times New Roman" w:hAnsi="Times New Roman" w:cs="Times New Roman"/>
          <w:kern w:val="0"/>
          <w14:ligatures w14:val="none"/>
        </w:rPr>
        <w:t>Hantao</w:t>
      </w:r>
      <w:proofErr w:type="spellEnd"/>
      <w:r w:rsidRPr="00167718">
        <w:rPr>
          <w:rFonts w:ascii="Times New Roman" w:eastAsia="Times New Roman" w:hAnsi="Times New Roman" w:cs="Times New Roman"/>
          <w:kern w:val="0"/>
          <w14:ligatures w14:val="none"/>
        </w:rPr>
        <w:t xml:space="preserve">, L. W., de Souza, R. N., Augusto, F., Prado, M. A., &amp; </w:t>
      </w:r>
      <w:proofErr w:type="spellStart"/>
      <w:r w:rsidRPr="00167718">
        <w:rPr>
          <w:rFonts w:ascii="Times New Roman" w:eastAsia="Times New Roman" w:hAnsi="Times New Roman" w:cs="Times New Roman"/>
          <w:kern w:val="0"/>
          <w14:ligatures w14:val="none"/>
        </w:rPr>
        <w:t>Maróstica</w:t>
      </w:r>
      <w:proofErr w:type="spellEnd"/>
      <w:r w:rsidRPr="00167718">
        <w:rPr>
          <w:rFonts w:ascii="Times New Roman" w:eastAsia="Times New Roman" w:hAnsi="Times New Roman" w:cs="Times New Roman"/>
          <w:kern w:val="0"/>
          <w14:ligatures w14:val="none"/>
        </w:rPr>
        <w:t xml:space="preserve">, M. R., Jr. (2014). Intake of jaboticaba peel attenuates oxidative stress in tissues and reduces circulating saturated lipids of rats with high-fat diet-induced obesity. </w:t>
      </w:r>
      <w:r w:rsidRPr="00167718">
        <w:rPr>
          <w:rFonts w:ascii="Times New Roman" w:eastAsia="Times New Roman" w:hAnsi="Times New Roman" w:cs="Times New Roman"/>
          <w:i/>
          <w:iCs/>
          <w:kern w:val="0"/>
          <w14:ligatures w14:val="none"/>
        </w:rPr>
        <w:t>Journal of Functional Foods, 6</w:t>
      </w:r>
      <w:r w:rsidRPr="00167718">
        <w:rPr>
          <w:rFonts w:ascii="Times New Roman" w:eastAsia="Times New Roman" w:hAnsi="Times New Roman" w:cs="Times New Roman"/>
          <w:kern w:val="0"/>
          <w14:ligatures w14:val="none"/>
        </w:rPr>
        <w:t xml:space="preserve">, 450–461. </w:t>
      </w:r>
      <w:hyperlink r:id="rId18" w:history="1">
        <w:r w:rsidRPr="00167718">
          <w:rPr>
            <w:rFonts w:ascii="Times New Roman" w:eastAsia="Times New Roman" w:hAnsi="Times New Roman" w:cs="Times New Roman"/>
            <w:color w:val="0000FF"/>
            <w:kern w:val="0"/>
            <w:u w:val="single"/>
            <w14:ligatures w14:val="none"/>
          </w:rPr>
          <w:t>https://doi.org/10.1016/j.jff.2013.11.011</w:t>
        </w:r>
      </w:hyperlink>
    </w:p>
    <w:p w14:paraId="3DA3C20F"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167718">
        <w:rPr>
          <w:rFonts w:ascii="Times New Roman" w:eastAsia="Times New Roman" w:hAnsi="Times New Roman" w:cs="Times New Roman"/>
          <w:kern w:val="0"/>
          <w14:ligatures w14:val="none"/>
        </w:rPr>
        <w:t xml:space="preserve">Bechmann, L. P., </w:t>
      </w:r>
      <w:proofErr w:type="spellStart"/>
      <w:r w:rsidRPr="00167718">
        <w:rPr>
          <w:rFonts w:ascii="Times New Roman" w:eastAsia="Times New Roman" w:hAnsi="Times New Roman" w:cs="Times New Roman"/>
          <w:kern w:val="0"/>
          <w14:ligatures w14:val="none"/>
        </w:rPr>
        <w:t>Hannivoort</w:t>
      </w:r>
      <w:proofErr w:type="spellEnd"/>
      <w:r w:rsidRPr="00167718">
        <w:rPr>
          <w:rFonts w:ascii="Times New Roman" w:eastAsia="Times New Roman" w:hAnsi="Times New Roman" w:cs="Times New Roman"/>
          <w:kern w:val="0"/>
          <w14:ligatures w14:val="none"/>
        </w:rPr>
        <w:t xml:space="preserve">, R. A., Gerken, G., </w:t>
      </w:r>
      <w:proofErr w:type="spellStart"/>
      <w:r w:rsidRPr="00167718">
        <w:rPr>
          <w:rFonts w:ascii="Times New Roman" w:eastAsia="Times New Roman" w:hAnsi="Times New Roman" w:cs="Times New Roman"/>
          <w:kern w:val="0"/>
          <w14:ligatures w14:val="none"/>
        </w:rPr>
        <w:t>Hotamisligil</w:t>
      </w:r>
      <w:proofErr w:type="spellEnd"/>
      <w:r w:rsidRPr="00167718">
        <w:rPr>
          <w:rFonts w:ascii="Times New Roman" w:eastAsia="Times New Roman" w:hAnsi="Times New Roman" w:cs="Times New Roman"/>
          <w:kern w:val="0"/>
          <w14:ligatures w14:val="none"/>
        </w:rPr>
        <w:t xml:space="preserve">, G. S., Trauner, M., &amp; </w:t>
      </w:r>
      <w:proofErr w:type="spellStart"/>
      <w:r w:rsidRPr="00167718">
        <w:rPr>
          <w:rFonts w:ascii="Times New Roman" w:eastAsia="Times New Roman" w:hAnsi="Times New Roman" w:cs="Times New Roman"/>
          <w:kern w:val="0"/>
          <w14:ligatures w14:val="none"/>
        </w:rPr>
        <w:t>Canbay</w:t>
      </w:r>
      <w:proofErr w:type="spellEnd"/>
      <w:r w:rsidRPr="00167718">
        <w:rPr>
          <w:rFonts w:ascii="Times New Roman" w:eastAsia="Times New Roman" w:hAnsi="Times New Roman" w:cs="Times New Roman"/>
          <w:kern w:val="0"/>
          <w14:ligatures w14:val="none"/>
        </w:rPr>
        <w:t xml:space="preserve">, A. (2012). The interaction of hepatic lipid and glucose metabolism in liver diseases. </w:t>
      </w:r>
      <w:r w:rsidRPr="00167718">
        <w:rPr>
          <w:rFonts w:ascii="Times New Roman" w:eastAsia="Times New Roman" w:hAnsi="Times New Roman" w:cs="Times New Roman"/>
          <w:i/>
          <w:iCs/>
          <w:kern w:val="0"/>
          <w14:ligatures w14:val="none"/>
        </w:rPr>
        <w:t>Journal of Hepatology, 56</w:t>
      </w:r>
      <w:r w:rsidRPr="00167718">
        <w:rPr>
          <w:rFonts w:ascii="Times New Roman" w:eastAsia="Times New Roman" w:hAnsi="Times New Roman" w:cs="Times New Roman"/>
          <w:kern w:val="0"/>
          <w14:ligatures w14:val="none"/>
        </w:rPr>
        <w:t xml:space="preserve">(4), 952–964. </w:t>
      </w:r>
      <w:hyperlink r:id="rId19" w:history="1">
        <w:r w:rsidRPr="00167718">
          <w:rPr>
            <w:rFonts w:ascii="Times New Roman" w:eastAsia="Times New Roman" w:hAnsi="Times New Roman" w:cs="Times New Roman"/>
            <w:color w:val="0000FF"/>
            <w:kern w:val="0"/>
            <w:u w:val="single"/>
            <w14:ligatures w14:val="none"/>
          </w:rPr>
          <w:t>https://doi.org/10.1016/j.jhep.2011.08.025</w:t>
        </w:r>
      </w:hyperlink>
    </w:p>
    <w:p w14:paraId="4E5880C7"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167718">
        <w:rPr>
          <w:rFonts w:ascii="Times New Roman" w:eastAsia="Times New Roman" w:hAnsi="Times New Roman" w:cs="Times New Roman"/>
          <w:kern w:val="0"/>
          <w14:ligatures w14:val="none"/>
        </w:rPr>
        <w:lastRenderedPageBreak/>
        <w:t xml:space="preserve">Beers, R. F., Jr., &amp; Sizer, I. W. (1952). A spectrophotometric method for measuring the breakdown of hydrogen peroxide by catalase. </w:t>
      </w:r>
      <w:r w:rsidRPr="00167718">
        <w:rPr>
          <w:rFonts w:ascii="Times New Roman" w:eastAsia="Times New Roman" w:hAnsi="Times New Roman" w:cs="Times New Roman"/>
          <w:i/>
          <w:iCs/>
          <w:kern w:val="0"/>
          <w14:ligatures w14:val="none"/>
        </w:rPr>
        <w:t>Journal of Biological Chemistry, 195</w:t>
      </w:r>
      <w:r w:rsidRPr="00167718">
        <w:rPr>
          <w:rFonts w:ascii="Times New Roman" w:eastAsia="Times New Roman" w:hAnsi="Times New Roman" w:cs="Times New Roman"/>
          <w:kern w:val="0"/>
          <w14:ligatures w14:val="none"/>
        </w:rPr>
        <w:t xml:space="preserve">(1), 133–140. </w:t>
      </w:r>
      <w:hyperlink r:id="rId20" w:history="1">
        <w:r w:rsidRPr="00167718">
          <w:rPr>
            <w:rFonts w:ascii="Times New Roman" w:eastAsia="Times New Roman" w:hAnsi="Times New Roman" w:cs="Times New Roman"/>
            <w:color w:val="0000FF"/>
            <w:kern w:val="0"/>
            <w:u w:val="single"/>
            <w14:ligatures w14:val="none"/>
          </w:rPr>
          <w:t>https://doi.org/10.1016/S0021-9258(19)50881-X</w:t>
        </w:r>
      </w:hyperlink>
    </w:p>
    <w:p w14:paraId="3451217E"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lang w:val="nl-BE"/>
          <w14:ligatures w14:val="none"/>
        </w:rPr>
      </w:pPr>
      <w:r w:rsidRPr="00167718">
        <w:rPr>
          <w:rFonts w:ascii="Times New Roman" w:eastAsia="Times New Roman" w:hAnsi="Times New Roman" w:cs="Times New Roman"/>
          <w:kern w:val="0"/>
          <w14:ligatures w14:val="none"/>
        </w:rPr>
        <w:t xml:space="preserve">Bray, G. A. (2004). Medical consequences of obesity. </w:t>
      </w:r>
      <w:r w:rsidRPr="00167718">
        <w:rPr>
          <w:rFonts w:ascii="Times New Roman" w:eastAsia="Times New Roman" w:hAnsi="Times New Roman" w:cs="Times New Roman"/>
          <w:i/>
          <w:iCs/>
          <w:kern w:val="0"/>
          <w14:ligatures w14:val="none"/>
        </w:rPr>
        <w:t>The Journal of Clinical Endocrinology &amp; Metabolism, 89</w:t>
      </w:r>
      <w:r w:rsidRPr="00167718">
        <w:rPr>
          <w:rFonts w:ascii="Times New Roman" w:eastAsia="Times New Roman" w:hAnsi="Times New Roman" w:cs="Times New Roman"/>
          <w:kern w:val="0"/>
          <w14:ligatures w14:val="none"/>
        </w:rPr>
        <w:t xml:space="preserve">(6), 2583–2589. </w:t>
      </w:r>
      <w:hyperlink r:id="rId21" w:history="1">
        <w:r w:rsidRPr="00167718">
          <w:rPr>
            <w:rFonts w:ascii="Times New Roman" w:eastAsia="Times New Roman" w:hAnsi="Times New Roman" w:cs="Times New Roman"/>
            <w:color w:val="0000FF"/>
            <w:kern w:val="0"/>
            <w:u w:val="single"/>
            <w:lang w:val="nl-BE"/>
            <w14:ligatures w14:val="none"/>
          </w:rPr>
          <w:t>https://doi.org/10.1210/jc.2004-0535</w:t>
        </w:r>
      </w:hyperlink>
    </w:p>
    <w:p w14:paraId="277EB864"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167718">
        <w:rPr>
          <w:rFonts w:ascii="Times New Roman" w:eastAsia="Times New Roman" w:hAnsi="Times New Roman" w:cs="Times New Roman"/>
          <w:kern w:val="0"/>
          <w:lang w:val="nl-BE"/>
          <w14:ligatures w14:val="none"/>
        </w:rPr>
        <w:t xml:space="preserve">Cohen, J. A., &amp; Kaplan, M. M. (1979). </w:t>
      </w:r>
      <w:r w:rsidRPr="00167718">
        <w:rPr>
          <w:rFonts w:ascii="Times New Roman" w:eastAsia="Times New Roman" w:hAnsi="Times New Roman" w:cs="Times New Roman"/>
          <w:kern w:val="0"/>
          <w14:ligatures w14:val="none"/>
        </w:rPr>
        <w:t xml:space="preserve">The SGOT/SGPT ratio—An indicator of alcoholic liver disease. </w:t>
      </w:r>
      <w:r w:rsidRPr="00167718">
        <w:rPr>
          <w:rFonts w:ascii="Times New Roman" w:eastAsia="Times New Roman" w:hAnsi="Times New Roman" w:cs="Times New Roman"/>
          <w:i/>
          <w:iCs/>
          <w:kern w:val="0"/>
          <w14:ligatures w14:val="none"/>
        </w:rPr>
        <w:t>Digestive Diseases and Sciences, 24</w:t>
      </w:r>
      <w:r w:rsidRPr="00167718">
        <w:rPr>
          <w:rFonts w:ascii="Times New Roman" w:eastAsia="Times New Roman" w:hAnsi="Times New Roman" w:cs="Times New Roman"/>
          <w:kern w:val="0"/>
          <w14:ligatures w14:val="none"/>
        </w:rPr>
        <w:t xml:space="preserve">(11), 835–838. </w:t>
      </w:r>
      <w:hyperlink r:id="rId22" w:history="1">
        <w:r w:rsidRPr="00167718">
          <w:rPr>
            <w:rFonts w:ascii="Times New Roman" w:eastAsia="Times New Roman" w:hAnsi="Times New Roman" w:cs="Times New Roman"/>
            <w:color w:val="0000FF"/>
            <w:kern w:val="0"/>
            <w:u w:val="single"/>
            <w14:ligatures w14:val="none"/>
          </w:rPr>
          <w:t>https://doi.org/10.1007/BF01324898</w:t>
        </w:r>
      </w:hyperlink>
    </w:p>
    <w:p w14:paraId="43749118"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167718">
        <w:rPr>
          <w:rFonts w:ascii="Times New Roman" w:eastAsia="Times New Roman" w:hAnsi="Times New Roman" w:cs="Times New Roman"/>
          <w:kern w:val="0"/>
          <w14:ligatures w14:val="none"/>
        </w:rPr>
        <w:t xml:space="preserve">Connerty, H. V., Briggs, A. R., &amp; Eaton, E. H., Jr. (1961). Simplified determination of the lipid components of blood serum. </w:t>
      </w:r>
      <w:r w:rsidRPr="00167718">
        <w:rPr>
          <w:rFonts w:ascii="Times New Roman" w:eastAsia="Times New Roman" w:hAnsi="Times New Roman" w:cs="Times New Roman"/>
          <w:i/>
          <w:iCs/>
          <w:kern w:val="0"/>
          <w14:ligatures w14:val="none"/>
        </w:rPr>
        <w:t>Clinical Chemistry, 7</w:t>
      </w:r>
      <w:r w:rsidRPr="00167718">
        <w:rPr>
          <w:rFonts w:ascii="Times New Roman" w:eastAsia="Times New Roman" w:hAnsi="Times New Roman" w:cs="Times New Roman"/>
          <w:kern w:val="0"/>
          <w14:ligatures w14:val="none"/>
        </w:rPr>
        <w:t xml:space="preserve">(1), 37–53. </w:t>
      </w:r>
      <w:hyperlink r:id="rId23" w:history="1">
        <w:r w:rsidRPr="00167718">
          <w:rPr>
            <w:rFonts w:ascii="Times New Roman" w:eastAsia="Times New Roman" w:hAnsi="Times New Roman" w:cs="Times New Roman"/>
            <w:color w:val="0000FF"/>
            <w:kern w:val="0"/>
            <w:u w:val="single"/>
            <w14:ligatures w14:val="none"/>
          </w:rPr>
          <w:t>https://doi.org/10.1093/clinchem/7.1.37</w:t>
        </w:r>
      </w:hyperlink>
    </w:p>
    <w:p w14:paraId="69EF2B78"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167718">
        <w:rPr>
          <w:rFonts w:ascii="Times New Roman" w:eastAsia="Times New Roman" w:hAnsi="Times New Roman" w:cs="Times New Roman"/>
          <w:kern w:val="0"/>
          <w14:ligatures w14:val="none"/>
        </w:rPr>
        <w:t xml:space="preserve">Duncan, D. B. (1955). Multiple range and multiple </w:t>
      </w:r>
      <w:r w:rsidRPr="00167718">
        <w:rPr>
          <w:rFonts w:ascii="Times New Roman" w:eastAsia="Times New Roman" w:hAnsi="Times New Roman" w:cs="Times New Roman"/>
          <w:i/>
          <w:iCs/>
          <w:kern w:val="0"/>
          <w14:ligatures w14:val="none"/>
        </w:rPr>
        <w:t>F</w:t>
      </w:r>
      <w:r w:rsidRPr="00167718">
        <w:rPr>
          <w:rFonts w:ascii="Times New Roman" w:eastAsia="Times New Roman" w:hAnsi="Times New Roman" w:cs="Times New Roman"/>
          <w:kern w:val="0"/>
          <w14:ligatures w14:val="none"/>
        </w:rPr>
        <w:t xml:space="preserve"> tests. </w:t>
      </w:r>
      <w:r w:rsidRPr="00167718">
        <w:rPr>
          <w:rFonts w:ascii="Times New Roman" w:eastAsia="Times New Roman" w:hAnsi="Times New Roman" w:cs="Times New Roman"/>
          <w:i/>
          <w:iCs/>
          <w:kern w:val="0"/>
          <w14:ligatures w14:val="none"/>
        </w:rPr>
        <w:t>Biometrics, 11</w:t>
      </w:r>
      <w:r w:rsidRPr="00167718">
        <w:rPr>
          <w:rFonts w:ascii="Times New Roman" w:eastAsia="Times New Roman" w:hAnsi="Times New Roman" w:cs="Times New Roman"/>
          <w:kern w:val="0"/>
          <w14:ligatures w14:val="none"/>
        </w:rPr>
        <w:t xml:space="preserve">(1), 1–42. </w:t>
      </w:r>
      <w:hyperlink r:id="rId24" w:history="1">
        <w:r w:rsidRPr="00167718">
          <w:rPr>
            <w:rFonts w:ascii="Times New Roman" w:eastAsia="Times New Roman" w:hAnsi="Times New Roman" w:cs="Times New Roman"/>
            <w:color w:val="0000FF"/>
            <w:kern w:val="0"/>
            <w:u w:val="single"/>
            <w14:ligatures w14:val="none"/>
          </w:rPr>
          <w:t>https://doi.org/10.2307/3001478</w:t>
        </w:r>
      </w:hyperlink>
    </w:p>
    <w:p w14:paraId="17638E10"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167718">
        <w:rPr>
          <w:rFonts w:ascii="Times New Roman" w:eastAsia="Times New Roman" w:hAnsi="Times New Roman" w:cs="Times New Roman"/>
          <w:kern w:val="0"/>
          <w14:ligatures w14:val="none"/>
        </w:rPr>
        <w:t xml:space="preserve">Duncombe, W. G. (1963). The colorimetric micro-determination of long-chain fatty acids. </w:t>
      </w:r>
      <w:r w:rsidRPr="00167718">
        <w:rPr>
          <w:rFonts w:ascii="Times New Roman" w:eastAsia="Times New Roman" w:hAnsi="Times New Roman" w:cs="Times New Roman"/>
          <w:i/>
          <w:iCs/>
          <w:kern w:val="0"/>
          <w14:ligatures w14:val="none"/>
        </w:rPr>
        <w:t>Biochemical Journal, 88</w:t>
      </w:r>
      <w:r w:rsidRPr="00167718">
        <w:rPr>
          <w:rFonts w:ascii="Times New Roman" w:eastAsia="Times New Roman" w:hAnsi="Times New Roman" w:cs="Times New Roman"/>
          <w:kern w:val="0"/>
          <w14:ligatures w14:val="none"/>
        </w:rPr>
        <w:t xml:space="preserve">(1), 7–10. </w:t>
      </w:r>
      <w:hyperlink r:id="rId25" w:history="1">
        <w:r w:rsidRPr="00167718">
          <w:rPr>
            <w:rFonts w:ascii="Times New Roman" w:eastAsia="Times New Roman" w:hAnsi="Times New Roman" w:cs="Times New Roman"/>
            <w:color w:val="0000FF"/>
            <w:kern w:val="0"/>
            <w:u w:val="single"/>
            <w14:ligatures w14:val="none"/>
          </w:rPr>
          <w:t>https://doi.org/10.1042/bj0880007</w:t>
        </w:r>
      </w:hyperlink>
    </w:p>
    <w:p w14:paraId="614DABC4"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lang w:val="nl-BE"/>
          <w14:ligatures w14:val="none"/>
        </w:rPr>
      </w:pPr>
      <w:r w:rsidRPr="00167718">
        <w:rPr>
          <w:rFonts w:ascii="Times New Roman" w:eastAsia="Times New Roman" w:hAnsi="Times New Roman" w:cs="Times New Roman"/>
          <w:kern w:val="0"/>
          <w14:ligatures w14:val="none"/>
        </w:rPr>
        <w:t xml:space="preserve">Ellman, G. L. (1959). Tissue sulfhydryl groups. </w:t>
      </w:r>
      <w:r w:rsidRPr="00167718">
        <w:rPr>
          <w:rFonts w:ascii="Times New Roman" w:eastAsia="Times New Roman" w:hAnsi="Times New Roman" w:cs="Times New Roman"/>
          <w:i/>
          <w:iCs/>
          <w:kern w:val="0"/>
          <w14:ligatures w14:val="none"/>
        </w:rPr>
        <w:t>Archives of Biochemistry and Biophysics, 82</w:t>
      </w:r>
      <w:r w:rsidRPr="00167718">
        <w:rPr>
          <w:rFonts w:ascii="Times New Roman" w:eastAsia="Times New Roman" w:hAnsi="Times New Roman" w:cs="Times New Roman"/>
          <w:kern w:val="0"/>
          <w14:ligatures w14:val="none"/>
        </w:rPr>
        <w:t xml:space="preserve">(1), 70–77. </w:t>
      </w:r>
      <w:hyperlink r:id="rId26" w:history="1">
        <w:r w:rsidRPr="00167718">
          <w:rPr>
            <w:rFonts w:ascii="Times New Roman" w:eastAsia="Times New Roman" w:hAnsi="Times New Roman" w:cs="Times New Roman"/>
            <w:color w:val="0000FF"/>
            <w:kern w:val="0"/>
            <w:u w:val="single"/>
            <w:lang w:val="nl-BE"/>
            <w14:ligatures w14:val="none"/>
          </w:rPr>
          <w:t>https://doi.org/10.1016/0003-9861(59)90090-6</w:t>
        </w:r>
      </w:hyperlink>
    </w:p>
    <w:p w14:paraId="7BC361A1"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167718">
        <w:rPr>
          <w:rFonts w:ascii="Times New Roman" w:eastAsia="Times New Roman" w:hAnsi="Times New Roman" w:cs="Times New Roman"/>
          <w:kern w:val="0"/>
          <w:lang w:val="nl-BE"/>
          <w14:ligatures w14:val="none"/>
        </w:rPr>
        <w:t xml:space="preserve">Folch, J., Lees, M., &amp; Sloane Stanley, G. H. (1957). </w:t>
      </w:r>
      <w:r w:rsidRPr="00167718">
        <w:rPr>
          <w:rFonts w:ascii="Times New Roman" w:eastAsia="Times New Roman" w:hAnsi="Times New Roman" w:cs="Times New Roman"/>
          <w:kern w:val="0"/>
          <w14:ligatures w14:val="none"/>
        </w:rPr>
        <w:t xml:space="preserve">A simple method for the isolation and purification of total lipides from animal tissues. </w:t>
      </w:r>
      <w:r w:rsidRPr="00167718">
        <w:rPr>
          <w:rFonts w:ascii="Times New Roman" w:eastAsia="Times New Roman" w:hAnsi="Times New Roman" w:cs="Times New Roman"/>
          <w:i/>
          <w:iCs/>
          <w:kern w:val="0"/>
          <w14:ligatures w14:val="none"/>
        </w:rPr>
        <w:t>Journal of Biological Chemistry, 226</w:t>
      </w:r>
      <w:r w:rsidRPr="00167718">
        <w:rPr>
          <w:rFonts w:ascii="Times New Roman" w:eastAsia="Times New Roman" w:hAnsi="Times New Roman" w:cs="Times New Roman"/>
          <w:kern w:val="0"/>
          <w14:ligatures w14:val="none"/>
        </w:rPr>
        <w:t xml:space="preserve">(1), 497–509. </w:t>
      </w:r>
      <w:hyperlink r:id="rId27" w:history="1">
        <w:r w:rsidRPr="00167718">
          <w:rPr>
            <w:rFonts w:ascii="Times New Roman" w:eastAsia="Times New Roman" w:hAnsi="Times New Roman" w:cs="Times New Roman"/>
            <w:color w:val="0000FF"/>
            <w:kern w:val="0"/>
            <w:u w:val="single"/>
            <w14:ligatures w14:val="none"/>
          </w:rPr>
          <w:t>https://doi.org/10.1016/S0021-9258(18)64849-5</w:t>
        </w:r>
      </w:hyperlink>
    </w:p>
    <w:p w14:paraId="11855F1E"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proofErr w:type="spellStart"/>
      <w:r w:rsidRPr="00167718">
        <w:rPr>
          <w:rFonts w:ascii="Times New Roman" w:eastAsia="Times New Roman" w:hAnsi="Times New Roman" w:cs="Times New Roman"/>
          <w:kern w:val="0"/>
          <w14:ligatures w14:val="none"/>
        </w:rPr>
        <w:t>Friedewald</w:t>
      </w:r>
      <w:proofErr w:type="spellEnd"/>
      <w:r w:rsidRPr="00167718">
        <w:rPr>
          <w:rFonts w:ascii="Times New Roman" w:eastAsia="Times New Roman" w:hAnsi="Times New Roman" w:cs="Times New Roman"/>
          <w:kern w:val="0"/>
          <w14:ligatures w14:val="none"/>
        </w:rPr>
        <w:t xml:space="preserve">, W. T., Levy, R. I., &amp; Fredrickson, D. S. (1972). Estimation of the concentration of low-density lipoprotein cholesterol in plasma, without use of the preparative ultracentrifuge. </w:t>
      </w:r>
      <w:r w:rsidRPr="00167718">
        <w:rPr>
          <w:rFonts w:ascii="Times New Roman" w:eastAsia="Times New Roman" w:hAnsi="Times New Roman" w:cs="Times New Roman"/>
          <w:i/>
          <w:iCs/>
          <w:kern w:val="0"/>
          <w14:ligatures w14:val="none"/>
        </w:rPr>
        <w:t>Clinical Chemistry, 18</w:t>
      </w:r>
      <w:r w:rsidRPr="00167718">
        <w:rPr>
          <w:rFonts w:ascii="Times New Roman" w:eastAsia="Times New Roman" w:hAnsi="Times New Roman" w:cs="Times New Roman"/>
          <w:kern w:val="0"/>
          <w14:ligatures w14:val="none"/>
        </w:rPr>
        <w:t xml:space="preserve">(6), 499–502. </w:t>
      </w:r>
      <w:hyperlink r:id="rId28" w:history="1">
        <w:r w:rsidRPr="00167718">
          <w:rPr>
            <w:rFonts w:ascii="Times New Roman" w:eastAsia="Times New Roman" w:hAnsi="Times New Roman" w:cs="Times New Roman"/>
            <w:color w:val="0000FF"/>
            <w:kern w:val="0"/>
            <w:u w:val="single"/>
            <w14:ligatures w14:val="none"/>
          </w:rPr>
          <w:t>https://doi.org/10.1093/clinchem/18.6.499</w:t>
        </w:r>
      </w:hyperlink>
    </w:p>
    <w:p w14:paraId="449EBEAA"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167718">
        <w:rPr>
          <w:rFonts w:ascii="Times New Roman" w:eastAsia="Times New Roman" w:hAnsi="Times New Roman" w:cs="Times New Roman"/>
          <w:kern w:val="0"/>
          <w14:ligatures w14:val="none"/>
        </w:rPr>
        <w:t xml:space="preserve">Galicia-Garcia, U., Benito-Vicente, A., </w:t>
      </w:r>
      <w:proofErr w:type="spellStart"/>
      <w:r w:rsidRPr="00167718">
        <w:rPr>
          <w:rFonts w:ascii="Times New Roman" w:eastAsia="Times New Roman" w:hAnsi="Times New Roman" w:cs="Times New Roman"/>
          <w:kern w:val="0"/>
          <w14:ligatures w14:val="none"/>
        </w:rPr>
        <w:t>Jebari</w:t>
      </w:r>
      <w:proofErr w:type="spellEnd"/>
      <w:r w:rsidRPr="00167718">
        <w:rPr>
          <w:rFonts w:ascii="Times New Roman" w:eastAsia="Times New Roman" w:hAnsi="Times New Roman" w:cs="Times New Roman"/>
          <w:kern w:val="0"/>
          <w14:ligatures w14:val="none"/>
        </w:rPr>
        <w:t>, S., Larrea-</w:t>
      </w:r>
      <w:proofErr w:type="spellStart"/>
      <w:r w:rsidRPr="00167718">
        <w:rPr>
          <w:rFonts w:ascii="Times New Roman" w:eastAsia="Times New Roman" w:hAnsi="Times New Roman" w:cs="Times New Roman"/>
          <w:kern w:val="0"/>
          <w14:ligatures w14:val="none"/>
        </w:rPr>
        <w:t>Sebal</w:t>
      </w:r>
      <w:proofErr w:type="spellEnd"/>
      <w:r w:rsidRPr="00167718">
        <w:rPr>
          <w:rFonts w:ascii="Times New Roman" w:eastAsia="Times New Roman" w:hAnsi="Times New Roman" w:cs="Times New Roman"/>
          <w:kern w:val="0"/>
          <w14:ligatures w14:val="none"/>
        </w:rPr>
        <w:t xml:space="preserve">, A., Siddiqi, H., Uribe, K. B., Ostolaza, H., &amp; Martín, C. (2020). Pathophysiology of type 2 diabetes mellitus. </w:t>
      </w:r>
      <w:r w:rsidRPr="00167718">
        <w:rPr>
          <w:rFonts w:ascii="Times New Roman" w:eastAsia="Times New Roman" w:hAnsi="Times New Roman" w:cs="Times New Roman"/>
          <w:i/>
          <w:iCs/>
          <w:kern w:val="0"/>
          <w14:ligatures w14:val="none"/>
        </w:rPr>
        <w:t>International Journal of Molecular Sciences, 21</w:t>
      </w:r>
      <w:r w:rsidRPr="00167718">
        <w:rPr>
          <w:rFonts w:ascii="Times New Roman" w:eastAsia="Times New Roman" w:hAnsi="Times New Roman" w:cs="Times New Roman"/>
          <w:kern w:val="0"/>
          <w14:ligatures w14:val="none"/>
        </w:rPr>
        <w:t xml:space="preserve">(17), 6275. </w:t>
      </w:r>
      <w:hyperlink r:id="rId29" w:history="1">
        <w:r w:rsidRPr="00167718">
          <w:rPr>
            <w:rFonts w:ascii="Times New Roman" w:eastAsia="Times New Roman" w:hAnsi="Times New Roman" w:cs="Times New Roman"/>
            <w:color w:val="0000FF"/>
            <w:kern w:val="0"/>
            <w:u w:val="single"/>
            <w14:ligatures w14:val="none"/>
          </w:rPr>
          <w:t>https://doi.org/10.3390/ijms21176275</w:t>
        </w:r>
      </w:hyperlink>
    </w:p>
    <w:p w14:paraId="19056583"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167718">
        <w:rPr>
          <w:rFonts w:ascii="Times New Roman" w:eastAsia="Times New Roman" w:hAnsi="Times New Roman" w:cs="Times New Roman"/>
          <w:kern w:val="0"/>
          <w14:ligatures w14:val="none"/>
        </w:rPr>
        <w:t xml:space="preserve">Giannini, E. G., Testa, R., &amp; Savarino, V. (2005). Liver enzyme alteration: A guide for clinicians. </w:t>
      </w:r>
      <w:r w:rsidRPr="00167718">
        <w:rPr>
          <w:rFonts w:ascii="Times New Roman" w:eastAsia="Times New Roman" w:hAnsi="Times New Roman" w:cs="Times New Roman"/>
          <w:i/>
          <w:iCs/>
          <w:kern w:val="0"/>
          <w14:ligatures w14:val="none"/>
        </w:rPr>
        <w:t>CMAJ, 172</w:t>
      </w:r>
      <w:r w:rsidRPr="00167718">
        <w:rPr>
          <w:rFonts w:ascii="Times New Roman" w:eastAsia="Times New Roman" w:hAnsi="Times New Roman" w:cs="Times New Roman"/>
          <w:kern w:val="0"/>
          <w14:ligatures w14:val="none"/>
        </w:rPr>
        <w:t xml:space="preserve">(3), 367–379. </w:t>
      </w:r>
      <w:hyperlink r:id="rId30" w:history="1">
        <w:r w:rsidRPr="00167718">
          <w:rPr>
            <w:rFonts w:ascii="Times New Roman" w:eastAsia="Times New Roman" w:hAnsi="Times New Roman" w:cs="Times New Roman"/>
            <w:color w:val="0000FF"/>
            <w:kern w:val="0"/>
            <w:u w:val="single"/>
            <w14:ligatures w14:val="none"/>
          </w:rPr>
          <w:t>https://doi.org/10.1503/cmaj.1040752</w:t>
        </w:r>
      </w:hyperlink>
    </w:p>
    <w:p w14:paraId="7F141FB0"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proofErr w:type="spellStart"/>
      <w:r w:rsidRPr="00167718">
        <w:rPr>
          <w:rFonts w:ascii="Times New Roman" w:eastAsia="Times New Roman" w:hAnsi="Times New Roman" w:cs="Times New Roman"/>
          <w:kern w:val="0"/>
          <w14:ligatures w14:val="none"/>
        </w:rPr>
        <w:t>Gujjala</w:t>
      </w:r>
      <w:proofErr w:type="spellEnd"/>
      <w:r w:rsidRPr="00167718">
        <w:rPr>
          <w:rFonts w:ascii="Times New Roman" w:eastAsia="Times New Roman" w:hAnsi="Times New Roman" w:cs="Times New Roman"/>
          <w:kern w:val="0"/>
          <w14:ligatures w14:val="none"/>
        </w:rPr>
        <w:t xml:space="preserve">, S., </w:t>
      </w:r>
      <w:proofErr w:type="spellStart"/>
      <w:r w:rsidRPr="00167718">
        <w:rPr>
          <w:rFonts w:ascii="Times New Roman" w:eastAsia="Times New Roman" w:hAnsi="Times New Roman" w:cs="Times New Roman"/>
          <w:kern w:val="0"/>
          <w14:ligatures w14:val="none"/>
        </w:rPr>
        <w:t>Putakala</w:t>
      </w:r>
      <w:proofErr w:type="spellEnd"/>
      <w:r w:rsidRPr="00167718">
        <w:rPr>
          <w:rFonts w:ascii="Times New Roman" w:eastAsia="Times New Roman" w:hAnsi="Times New Roman" w:cs="Times New Roman"/>
          <w:kern w:val="0"/>
          <w14:ligatures w14:val="none"/>
        </w:rPr>
        <w:t xml:space="preserve">, M., Nukala, S., </w:t>
      </w:r>
      <w:proofErr w:type="spellStart"/>
      <w:r w:rsidRPr="00167718">
        <w:rPr>
          <w:rFonts w:ascii="Times New Roman" w:eastAsia="Times New Roman" w:hAnsi="Times New Roman" w:cs="Times New Roman"/>
          <w:kern w:val="0"/>
          <w14:ligatures w14:val="none"/>
        </w:rPr>
        <w:t>Bangeppagari</w:t>
      </w:r>
      <w:proofErr w:type="spellEnd"/>
      <w:r w:rsidRPr="00167718">
        <w:rPr>
          <w:rFonts w:ascii="Times New Roman" w:eastAsia="Times New Roman" w:hAnsi="Times New Roman" w:cs="Times New Roman"/>
          <w:kern w:val="0"/>
          <w14:ligatures w14:val="none"/>
        </w:rPr>
        <w:t xml:space="preserve">, M., Ramaswamy, R., &amp; </w:t>
      </w:r>
      <w:proofErr w:type="spellStart"/>
      <w:r w:rsidRPr="00167718">
        <w:rPr>
          <w:rFonts w:ascii="Times New Roman" w:eastAsia="Times New Roman" w:hAnsi="Times New Roman" w:cs="Times New Roman"/>
          <w:kern w:val="0"/>
          <w14:ligatures w14:val="none"/>
        </w:rPr>
        <w:t>Desireddy</w:t>
      </w:r>
      <w:proofErr w:type="spellEnd"/>
      <w:r w:rsidRPr="00167718">
        <w:rPr>
          <w:rFonts w:ascii="Times New Roman" w:eastAsia="Times New Roman" w:hAnsi="Times New Roman" w:cs="Times New Roman"/>
          <w:kern w:val="0"/>
          <w14:ligatures w14:val="none"/>
        </w:rPr>
        <w:t xml:space="preserve">, S. (2016). </w:t>
      </w:r>
      <w:proofErr w:type="spellStart"/>
      <w:r w:rsidRPr="00167718">
        <w:rPr>
          <w:rFonts w:ascii="Times New Roman" w:eastAsia="Times New Roman" w:hAnsi="Times New Roman" w:cs="Times New Roman"/>
          <w:kern w:val="0"/>
          <w14:ligatures w14:val="none"/>
        </w:rPr>
        <w:t>Renoprotective</w:t>
      </w:r>
      <w:proofErr w:type="spellEnd"/>
      <w:r w:rsidRPr="00167718">
        <w:rPr>
          <w:rFonts w:ascii="Times New Roman" w:eastAsia="Times New Roman" w:hAnsi="Times New Roman" w:cs="Times New Roman"/>
          <w:kern w:val="0"/>
          <w14:ligatures w14:val="none"/>
        </w:rPr>
        <w:t xml:space="preserve"> effect of </w:t>
      </w:r>
      <w:proofErr w:type="spellStart"/>
      <w:r w:rsidRPr="00167718">
        <w:rPr>
          <w:rFonts w:ascii="Times New Roman" w:eastAsia="Times New Roman" w:hAnsi="Times New Roman" w:cs="Times New Roman"/>
          <w:i/>
          <w:iCs/>
          <w:kern w:val="0"/>
          <w14:ligatures w14:val="none"/>
        </w:rPr>
        <w:t>Caralluma</w:t>
      </w:r>
      <w:proofErr w:type="spellEnd"/>
      <w:r w:rsidRPr="00167718">
        <w:rPr>
          <w:rFonts w:ascii="Times New Roman" w:eastAsia="Times New Roman" w:hAnsi="Times New Roman" w:cs="Times New Roman"/>
          <w:i/>
          <w:iCs/>
          <w:kern w:val="0"/>
          <w14:ligatures w14:val="none"/>
        </w:rPr>
        <w:t xml:space="preserve"> fimbriata</w:t>
      </w:r>
      <w:r w:rsidRPr="00167718">
        <w:rPr>
          <w:rFonts w:ascii="Times New Roman" w:eastAsia="Times New Roman" w:hAnsi="Times New Roman" w:cs="Times New Roman"/>
          <w:kern w:val="0"/>
          <w14:ligatures w14:val="none"/>
        </w:rPr>
        <w:t xml:space="preserve"> against high-fat diet-induced oxidative stress in Wistar rats. </w:t>
      </w:r>
      <w:r w:rsidRPr="00167718">
        <w:rPr>
          <w:rFonts w:ascii="Times New Roman" w:eastAsia="Times New Roman" w:hAnsi="Times New Roman" w:cs="Times New Roman"/>
          <w:i/>
          <w:iCs/>
          <w:kern w:val="0"/>
          <w14:ligatures w14:val="none"/>
        </w:rPr>
        <w:t>Journal of Food and Drug Analysis, 24</w:t>
      </w:r>
      <w:r w:rsidRPr="00167718">
        <w:rPr>
          <w:rFonts w:ascii="Times New Roman" w:eastAsia="Times New Roman" w:hAnsi="Times New Roman" w:cs="Times New Roman"/>
          <w:kern w:val="0"/>
          <w14:ligatures w14:val="none"/>
        </w:rPr>
        <w:t xml:space="preserve">(3), 586–593. </w:t>
      </w:r>
      <w:hyperlink r:id="rId31" w:history="1">
        <w:r w:rsidRPr="00167718">
          <w:rPr>
            <w:rFonts w:ascii="Times New Roman" w:eastAsia="Times New Roman" w:hAnsi="Times New Roman" w:cs="Times New Roman"/>
            <w:color w:val="0000FF"/>
            <w:kern w:val="0"/>
            <w:u w:val="single"/>
            <w14:ligatures w14:val="none"/>
          </w:rPr>
          <w:t>https://doi.org/10.1016/j.jfda.2016.01.013</w:t>
        </w:r>
      </w:hyperlink>
    </w:p>
    <w:p w14:paraId="42109F9E"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proofErr w:type="spellStart"/>
      <w:r w:rsidRPr="00167718">
        <w:rPr>
          <w:rFonts w:ascii="Times New Roman" w:eastAsia="Times New Roman" w:hAnsi="Times New Roman" w:cs="Times New Roman"/>
          <w:kern w:val="0"/>
          <w14:ligatures w14:val="none"/>
        </w:rPr>
        <w:t>Gujjala</w:t>
      </w:r>
      <w:proofErr w:type="spellEnd"/>
      <w:r w:rsidRPr="00167718">
        <w:rPr>
          <w:rFonts w:ascii="Times New Roman" w:eastAsia="Times New Roman" w:hAnsi="Times New Roman" w:cs="Times New Roman"/>
          <w:kern w:val="0"/>
          <w14:ligatures w14:val="none"/>
        </w:rPr>
        <w:t xml:space="preserve">, S., </w:t>
      </w:r>
      <w:proofErr w:type="spellStart"/>
      <w:r w:rsidRPr="00167718">
        <w:rPr>
          <w:rFonts w:ascii="Times New Roman" w:eastAsia="Times New Roman" w:hAnsi="Times New Roman" w:cs="Times New Roman"/>
          <w:kern w:val="0"/>
          <w14:ligatures w14:val="none"/>
        </w:rPr>
        <w:t>Putakala</w:t>
      </w:r>
      <w:proofErr w:type="spellEnd"/>
      <w:r w:rsidRPr="00167718">
        <w:rPr>
          <w:rFonts w:ascii="Times New Roman" w:eastAsia="Times New Roman" w:hAnsi="Times New Roman" w:cs="Times New Roman"/>
          <w:kern w:val="0"/>
          <w14:ligatures w14:val="none"/>
        </w:rPr>
        <w:t xml:space="preserve">, M., Nukala, S., </w:t>
      </w:r>
      <w:proofErr w:type="spellStart"/>
      <w:r w:rsidRPr="00167718">
        <w:rPr>
          <w:rFonts w:ascii="Times New Roman" w:eastAsia="Times New Roman" w:hAnsi="Times New Roman" w:cs="Times New Roman"/>
          <w:kern w:val="0"/>
          <w14:ligatures w14:val="none"/>
        </w:rPr>
        <w:t>Bangeppagari</w:t>
      </w:r>
      <w:proofErr w:type="spellEnd"/>
      <w:r w:rsidRPr="00167718">
        <w:rPr>
          <w:rFonts w:ascii="Times New Roman" w:eastAsia="Times New Roman" w:hAnsi="Times New Roman" w:cs="Times New Roman"/>
          <w:kern w:val="0"/>
          <w14:ligatures w14:val="none"/>
        </w:rPr>
        <w:t xml:space="preserve">, M., Rajendran, R., &amp; </w:t>
      </w:r>
      <w:proofErr w:type="spellStart"/>
      <w:r w:rsidRPr="00167718">
        <w:rPr>
          <w:rFonts w:ascii="Times New Roman" w:eastAsia="Times New Roman" w:hAnsi="Times New Roman" w:cs="Times New Roman"/>
          <w:kern w:val="0"/>
          <w14:ligatures w14:val="none"/>
        </w:rPr>
        <w:t>Desireddy</w:t>
      </w:r>
      <w:proofErr w:type="spellEnd"/>
      <w:r w:rsidRPr="00167718">
        <w:rPr>
          <w:rFonts w:ascii="Times New Roman" w:eastAsia="Times New Roman" w:hAnsi="Times New Roman" w:cs="Times New Roman"/>
          <w:kern w:val="0"/>
          <w14:ligatures w14:val="none"/>
        </w:rPr>
        <w:t xml:space="preserve">, S. (2017). Modulatory effects of </w:t>
      </w:r>
      <w:proofErr w:type="spellStart"/>
      <w:r w:rsidRPr="00167718">
        <w:rPr>
          <w:rFonts w:ascii="Times New Roman" w:eastAsia="Times New Roman" w:hAnsi="Times New Roman" w:cs="Times New Roman"/>
          <w:i/>
          <w:iCs/>
          <w:kern w:val="0"/>
          <w14:ligatures w14:val="none"/>
        </w:rPr>
        <w:t>Caralluma</w:t>
      </w:r>
      <w:proofErr w:type="spellEnd"/>
      <w:r w:rsidRPr="00167718">
        <w:rPr>
          <w:rFonts w:ascii="Times New Roman" w:eastAsia="Times New Roman" w:hAnsi="Times New Roman" w:cs="Times New Roman"/>
          <w:i/>
          <w:iCs/>
          <w:kern w:val="0"/>
          <w14:ligatures w14:val="none"/>
        </w:rPr>
        <w:t xml:space="preserve"> fimbriata</w:t>
      </w:r>
      <w:r w:rsidRPr="00167718">
        <w:rPr>
          <w:rFonts w:ascii="Times New Roman" w:eastAsia="Times New Roman" w:hAnsi="Times New Roman" w:cs="Times New Roman"/>
          <w:kern w:val="0"/>
          <w14:ligatures w14:val="none"/>
        </w:rPr>
        <w:t xml:space="preserve"> extract against high-fat diet-induced </w:t>
      </w:r>
      <w:r w:rsidRPr="00167718">
        <w:rPr>
          <w:rFonts w:ascii="Times New Roman" w:eastAsia="Times New Roman" w:hAnsi="Times New Roman" w:cs="Times New Roman"/>
          <w:kern w:val="0"/>
          <w14:ligatures w14:val="none"/>
        </w:rPr>
        <w:lastRenderedPageBreak/>
        <w:t xml:space="preserve">abnormalities in carbohydrate metabolism in Wistar rats. </w:t>
      </w:r>
      <w:r w:rsidRPr="00167718">
        <w:rPr>
          <w:rFonts w:ascii="Times New Roman" w:eastAsia="Times New Roman" w:hAnsi="Times New Roman" w:cs="Times New Roman"/>
          <w:i/>
          <w:iCs/>
          <w:kern w:val="0"/>
          <w14:ligatures w14:val="none"/>
        </w:rPr>
        <w:t>Biomedicine &amp; Pharmacotherapy, 92</w:t>
      </w:r>
      <w:r w:rsidRPr="00167718">
        <w:rPr>
          <w:rFonts w:ascii="Times New Roman" w:eastAsia="Times New Roman" w:hAnsi="Times New Roman" w:cs="Times New Roman"/>
          <w:kern w:val="0"/>
          <w14:ligatures w14:val="none"/>
        </w:rPr>
        <w:t xml:space="preserve">, 1062–1072. </w:t>
      </w:r>
      <w:hyperlink r:id="rId32" w:history="1">
        <w:r w:rsidRPr="00167718">
          <w:rPr>
            <w:rFonts w:ascii="Times New Roman" w:eastAsia="Times New Roman" w:hAnsi="Times New Roman" w:cs="Times New Roman"/>
            <w:color w:val="0000FF"/>
            <w:kern w:val="0"/>
            <w:u w:val="single"/>
            <w14:ligatures w14:val="none"/>
          </w:rPr>
          <w:t>https://doi.org/10.1016/j.biopha.2017.06.016</w:t>
        </w:r>
      </w:hyperlink>
    </w:p>
    <w:p w14:paraId="12C853D5"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proofErr w:type="spellStart"/>
      <w:r w:rsidRPr="00167718">
        <w:rPr>
          <w:rFonts w:ascii="Times New Roman" w:eastAsia="Times New Roman" w:hAnsi="Times New Roman" w:cs="Times New Roman"/>
          <w:kern w:val="0"/>
          <w14:ligatures w14:val="none"/>
        </w:rPr>
        <w:t>Gujjala</w:t>
      </w:r>
      <w:proofErr w:type="spellEnd"/>
      <w:r w:rsidRPr="00167718">
        <w:rPr>
          <w:rFonts w:ascii="Times New Roman" w:eastAsia="Times New Roman" w:hAnsi="Times New Roman" w:cs="Times New Roman"/>
          <w:kern w:val="0"/>
          <w14:ligatures w14:val="none"/>
        </w:rPr>
        <w:t xml:space="preserve">, S., </w:t>
      </w:r>
      <w:proofErr w:type="spellStart"/>
      <w:r w:rsidRPr="00167718">
        <w:rPr>
          <w:rFonts w:ascii="Times New Roman" w:eastAsia="Times New Roman" w:hAnsi="Times New Roman" w:cs="Times New Roman"/>
          <w:kern w:val="0"/>
          <w14:ligatures w14:val="none"/>
        </w:rPr>
        <w:t>Putakala</w:t>
      </w:r>
      <w:proofErr w:type="spellEnd"/>
      <w:r w:rsidRPr="00167718">
        <w:rPr>
          <w:rFonts w:ascii="Times New Roman" w:eastAsia="Times New Roman" w:hAnsi="Times New Roman" w:cs="Times New Roman"/>
          <w:kern w:val="0"/>
          <w14:ligatures w14:val="none"/>
        </w:rPr>
        <w:t xml:space="preserve">, M., Bongu, S. B. R., Ramaswamy, R., &amp; </w:t>
      </w:r>
      <w:proofErr w:type="spellStart"/>
      <w:r w:rsidRPr="00167718">
        <w:rPr>
          <w:rFonts w:ascii="Times New Roman" w:eastAsia="Times New Roman" w:hAnsi="Times New Roman" w:cs="Times New Roman"/>
          <w:kern w:val="0"/>
          <w14:ligatures w14:val="none"/>
        </w:rPr>
        <w:t>Desireddy</w:t>
      </w:r>
      <w:proofErr w:type="spellEnd"/>
      <w:r w:rsidRPr="00167718">
        <w:rPr>
          <w:rFonts w:ascii="Times New Roman" w:eastAsia="Times New Roman" w:hAnsi="Times New Roman" w:cs="Times New Roman"/>
          <w:kern w:val="0"/>
          <w14:ligatures w14:val="none"/>
        </w:rPr>
        <w:t xml:space="preserve">, S. (2022). Preventive effect of </w:t>
      </w:r>
      <w:proofErr w:type="spellStart"/>
      <w:r w:rsidRPr="00167718">
        <w:rPr>
          <w:rFonts w:ascii="Times New Roman" w:eastAsia="Times New Roman" w:hAnsi="Times New Roman" w:cs="Times New Roman"/>
          <w:i/>
          <w:iCs/>
          <w:kern w:val="0"/>
          <w14:ligatures w14:val="none"/>
        </w:rPr>
        <w:t>Caralluma</w:t>
      </w:r>
      <w:proofErr w:type="spellEnd"/>
      <w:r w:rsidRPr="00167718">
        <w:rPr>
          <w:rFonts w:ascii="Times New Roman" w:eastAsia="Times New Roman" w:hAnsi="Times New Roman" w:cs="Times New Roman"/>
          <w:i/>
          <w:iCs/>
          <w:kern w:val="0"/>
          <w14:ligatures w14:val="none"/>
        </w:rPr>
        <w:t xml:space="preserve"> fimbriata</w:t>
      </w:r>
      <w:r w:rsidRPr="00167718">
        <w:rPr>
          <w:rFonts w:ascii="Times New Roman" w:eastAsia="Times New Roman" w:hAnsi="Times New Roman" w:cs="Times New Roman"/>
          <w:kern w:val="0"/>
          <w14:ligatures w14:val="none"/>
        </w:rPr>
        <w:t xml:space="preserve"> against high-fat diet-induced injury to the heart by modulation of tissue lipids, oxidative stress, and histological changes in Wistar rats. </w:t>
      </w:r>
      <w:r w:rsidRPr="00167718">
        <w:rPr>
          <w:rFonts w:ascii="Times New Roman" w:eastAsia="Times New Roman" w:hAnsi="Times New Roman" w:cs="Times New Roman"/>
          <w:i/>
          <w:iCs/>
          <w:kern w:val="0"/>
          <w14:ligatures w14:val="none"/>
        </w:rPr>
        <w:t>Archives of Physiology and Biochemistry, 128</w:t>
      </w:r>
      <w:r w:rsidRPr="00167718">
        <w:rPr>
          <w:rFonts w:ascii="Times New Roman" w:eastAsia="Times New Roman" w:hAnsi="Times New Roman" w:cs="Times New Roman"/>
          <w:kern w:val="0"/>
          <w14:ligatures w14:val="none"/>
        </w:rPr>
        <w:t xml:space="preserve">(2), 474–482. </w:t>
      </w:r>
      <w:hyperlink r:id="rId33" w:history="1">
        <w:r w:rsidRPr="00167718">
          <w:rPr>
            <w:rFonts w:ascii="Times New Roman" w:eastAsia="Times New Roman" w:hAnsi="Times New Roman" w:cs="Times New Roman"/>
            <w:color w:val="0000FF"/>
            <w:kern w:val="0"/>
            <w:u w:val="single"/>
            <w14:ligatures w14:val="none"/>
          </w:rPr>
          <w:t>https://doi.org/10.1080/13813455.2019.1693601</w:t>
        </w:r>
      </w:hyperlink>
    </w:p>
    <w:p w14:paraId="2A44C748"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proofErr w:type="spellStart"/>
      <w:r w:rsidRPr="00167718">
        <w:rPr>
          <w:rFonts w:ascii="Times New Roman" w:eastAsia="Times New Roman" w:hAnsi="Times New Roman" w:cs="Times New Roman"/>
          <w:kern w:val="0"/>
          <w14:ligatures w14:val="none"/>
        </w:rPr>
        <w:t>Gujjala</w:t>
      </w:r>
      <w:proofErr w:type="spellEnd"/>
      <w:r w:rsidRPr="00167718">
        <w:rPr>
          <w:rFonts w:ascii="Times New Roman" w:eastAsia="Times New Roman" w:hAnsi="Times New Roman" w:cs="Times New Roman"/>
          <w:kern w:val="0"/>
          <w14:ligatures w14:val="none"/>
        </w:rPr>
        <w:t xml:space="preserve">, S., </w:t>
      </w:r>
      <w:proofErr w:type="spellStart"/>
      <w:r w:rsidRPr="00167718">
        <w:rPr>
          <w:rFonts w:ascii="Times New Roman" w:eastAsia="Times New Roman" w:hAnsi="Times New Roman" w:cs="Times New Roman"/>
          <w:kern w:val="0"/>
          <w14:ligatures w14:val="none"/>
        </w:rPr>
        <w:t>Bangeppagari</w:t>
      </w:r>
      <w:proofErr w:type="spellEnd"/>
      <w:r w:rsidRPr="00167718">
        <w:rPr>
          <w:rFonts w:ascii="Times New Roman" w:eastAsia="Times New Roman" w:hAnsi="Times New Roman" w:cs="Times New Roman"/>
          <w:kern w:val="0"/>
          <w14:ligatures w14:val="none"/>
        </w:rPr>
        <w:t xml:space="preserve">, M., Devarakonda, V. L. N. P., Bellamkonda, R., </w:t>
      </w:r>
      <w:proofErr w:type="spellStart"/>
      <w:r w:rsidRPr="00167718">
        <w:rPr>
          <w:rFonts w:ascii="Times New Roman" w:eastAsia="Times New Roman" w:hAnsi="Times New Roman" w:cs="Times New Roman"/>
          <w:kern w:val="0"/>
          <w14:ligatures w14:val="none"/>
        </w:rPr>
        <w:t>Bhadramraju</w:t>
      </w:r>
      <w:proofErr w:type="spellEnd"/>
      <w:r w:rsidRPr="00167718">
        <w:rPr>
          <w:rFonts w:ascii="Times New Roman" w:eastAsia="Times New Roman" w:hAnsi="Times New Roman" w:cs="Times New Roman"/>
          <w:kern w:val="0"/>
          <w14:ligatures w14:val="none"/>
        </w:rPr>
        <w:t xml:space="preserve">, R., </w:t>
      </w:r>
      <w:proofErr w:type="spellStart"/>
      <w:r w:rsidRPr="00167718">
        <w:rPr>
          <w:rFonts w:ascii="Times New Roman" w:eastAsia="Times New Roman" w:hAnsi="Times New Roman" w:cs="Times New Roman"/>
          <w:kern w:val="0"/>
          <w14:ligatures w14:val="none"/>
        </w:rPr>
        <w:t>Kameswaran</w:t>
      </w:r>
      <w:proofErr w:type="spellEnd"/>
      <w:r w:rsidRPr="00167718">
        <w:rPr>
          <w:rFonts w:ascii="Times New Roman" w:eastAsia="Times New Roman" w:hAnsi="Times New Roman" w:cs="Times New Roman"/>
          <w:kern w:val="0"/>
          <w14:ligatures w14:val="none"/>
        </w:rPr>
        <w:t xml:space="preserve">, S., Ramaswamy, R., &amp; </w:t>
      </w:r>
      <w:proofErr w:type="spellStart"/>
      <w:r w:rsidRPr="00167718">
        <w:rPr>
          <w:rFonts w:ascii="Times New Roman" w:eastAsia="Times New Roman" w:hAnsi="Times New Roman" w:cs="Times New Roman"/>
          <w:kern w:val="0"/>
          <w14:ligatures w14:val="none"/>
        </w:rPr>
        <w:t>Desireddy</w:t>
      </w:r>
      <w:proofErr w:type="spellEnd"/>
      <w:r w:rsidRPr="00167718">
        <w:rPr>
          <w:rFonts w:ascii="Times New Roman" w:eastAsia="Times New Roman" w:hAnsi="Times New Roman" w:cs="Times New Roman"/>
          <w:kern w:val="0"/>
          <w14:ligatures w14:val="none"/>
        </w:rPr>
        <w:t xml:space="preserve">, S. (2023). Pleiotropic effects of </w:t>
      </w:r>
      <w:r w:rsidRPr="00167718">
        <w:rPr>
          <w:rFonts w:ascii="Times New Roman" w:eastAsia="Times New Roman" w:hAnsi="Times New Roman" w:cs="Times New Roman"/>
          <w:i/>
          <w:iCs/>
          <w:kern w:val="0"/>
          <w14:ligatures w14:val="none"/>
        </w:rPr>
        <w:t>Salacia reticulata</w:t>
      </w:r>
      <w:r w:rsidRPr="00167718">
        <w:rPr>
          <w:rFonts w:ascii="Times New Roman" w:eastAsia="Times New Roman" w:hAnsi="Times New Roman" w:cs="Times New Roman"/>
          <w:kern w:val="0"/>
          <w14:ligatures w14:val="none"/>
        </w:rPr>
        <w:t xml:space="preserve"> and simvastatin on oxidative stress and insulin resistance in a rat model. </w:t>
      </w:r>
      <w:r w:rsidRPr="00167718">
        <w:rPr>
          <w:rFonts w:ascii="Times New Roman" w:eastAsia="Times New Roman" w:hAnsi="Times New Roman" w:cs="Times New Roman"/>
          <w:i/>
          <w:iCs/>
          <w:kern w:val="0"/>
          <w14:ligatures w14:val="none"/>
        </w:rPr>
        <w:t>Biomedicine &amp; Pharmacotherapy, 164</w:t>
      </w:r>
      <w:r w:rsidRPr="00167718">
        <w:rPr>
          <w:rFonts w:ascii="Times New Roman" w:eastAsia="Times New Roman" w:hAnsi="Times New Roman" w:cs="Times New Roman"/>
          <w:kern w:val="0"/>
          <w14:ligatures w14:val="none"/>
        </w:rPr>
        <w:t xml:space="preserve">, 114960. </w:t>
      </w:r>
      <w:hyperlink r:id="rId34" w:history="1">
        <w:r w:rsidRPr="00167718">
          <w:rPr>
            <w:rFonts w:ascii="Times New Roman" w:eastAsia="Times New Roman" w:hAnsi="Times New Roman" w:cs="Times New Roman"/>
            <w:color w:val="0000FF"/>
            <w:kern w:val="0"/>
            <w:u w:val="single"/>
            <w14:ligatures w14:val="none"/>
          </w:rPr>
          <w:t>https://doi.org/10.1016/j.biopha.2023.114960</w:t>
        </w:r>
      </w:hyperlink>
    </w:p>
    <w:p w14:paraId="2B9DD1C6"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167718">
        <w:rPr>
          <w:rFonts w:ascii="Times New Roman" w:eastAsia="Times New Roman" w:hAnsi="Times New Roman" w:cs="Times New Roman"/>
          <w:kern w:val="0"/>
          <w14:ligatures w14:val="none"/>
        </w:rPr>
        <w:t xml:space="preserve">Habig, W. H., Pabst, M. J., &amp; Jakoby, W. B. (1974). Glutathione S-transferases: The first enzymatic step in mercapturic acid formation. </w:t>
      </w:r>
      <w:r w:rsidRPr="00167718">
        <w:rPr>
          <w:rFonts w:ascii="Times New Roman" w:eastAsia="Times New Roman" w:hAnsi="Times New Roman" w:cs="Times New Roman"/>
          <w:i/>
          <w:iCs/>
          <w:kern w:val="0"/>
          <w14:ligatures w14:val="none"/>
        </w:rPr>
        <w:t>Journal of Biological Chemistry, 249</w:t>
      </w:r>
      <w:r w:rsidRPr="00167718">
        <w:rPr>
          <w:rFonts w:ascii="Times New Roman" w:eastAsia="Times New Roman" w:hAnsi="Times New Roman" w:cs="Times New Roman"/>
          <w:kern w:val="0"/>
          <w14:ligatures w14:val="none"/>
        </w:rPr>
        <w:t xml:space="preserve">(22), 7130–7139. </w:t>
      </w:r>
      <w:hyperlink r:id="rId35" w:history="1">
        <w:r w:rsidRPr="00167718">
          <w:rPr>
            <w:rFonts w:ascii="Times New Roman" w:eastAsia="Times New Roman" w:hAnsi="Times New Roman" w:cs="Times New Roman"/>
            <w:color w:val="0000FF"/>
            <w:kern w:val="0"/>
            <w:u w:val="single"/>
            <w14:ligatures w14:val="none"/>
          </w:rPr>
          <w:t>https://doi.org/10.1016/S0021-9258(19)42083-8</w:t>
        </w:r>
      </w:hyperlink>
    </w:p>
    <w:p w14:paraId="608570BE"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proofErr w:type="spellStart"/>
      <w:r w:rsidRPr="00167718">
        <w:rPr>
          <w:rFonts w:ascii="Times New Roman" w:eastAsia="Times New Roman" w:hAnsi="Times New Roman" w:cs="Times New Roman"/>
          <w:kern w:val="0"/>
          <w14:ligatures w14:val="none"/>
        </w:rPr>
        <w:t>Khoursheed</w:t>
      </w:r>
      <w:proofErr w:type="spellEnd"/>
      <w:r w:rsidRPr="00167718">
        <w:rPr>
          <w:rFonts w:ascii="Times New Roman" w:eastAsia="Times New Roman" w:hAnsi="Times New Roman" w:cs="Times New Roman"/>
          <w:kern w:val="0"/>
          <w14:ligatures w14:val="none"/>
        </w:rPr>
        <w:t xml:space="preserve">, M., Miles, P. D., Gao, K. M., Lee, M. K., </w:t>
      </w:r>
      <w:proofErr w:type="spellStart"/>
      <w:r w:rsidRPr="00167718">
        <w:rPr>
          <w:rFonts w:ascii="Times New Roman" w:eastAsia="Times New Roman" w:hAnsi="Times New Roman" w:cs="Times New Roman"/>
          <w:kern w:val="0"/>
          <w14:ligatures w14:val="none"/>
        </w:rPr>
        <w:t>Moossa</w:t>
      </w:r>
      <w:proofErr w:type="spellEnd"/>
      <w:r w:rsidRPr="00167718">
        <w:rPr>
          <w:rFonts w:ascii="Times New Roman" w:eastAsia="Times New Roman" w:hAnsi="Times New Roman" w:cs="Times New Roman"/>
          <w:kern w:val="0"/>
          <w14:ligatures w14:val="none"/>
        </w:rPr>
        <w:t xml:space="preserve">, A. R., &amp; Olefsky, J. M. (1995). Metabolic effects of troglitazone on fat-induced insulin resistance in the rat. </w:t>
      </w:r>
      <w:r w:rsidRPr="00167718">
        <w:rPr>
          <w:rFonts w:ascii="Times New Roman" w:eastAsia="Times New Roman" w:hAnsi="Times New Roman" w:cs="Times New Roman"/>
          <w:i/>
          <w:iCs/>
          <w:kern w:val="0"/>
          <w14:ligatures w14:val="none"/>
        </w:rPr>
        <w:t>Metabolism, 44</w:t>
      </w:r>
      <w:r w:rsidRPr="00167718">
        <w:rPr>
          <w:rFonts w:ascii="Times New Roman" w:eastAsia="Times New Roman" w:hAnsi="Times New Roman" w:cs="Times New Roman"/>
          <w:kern w:val="0"/>
          <w14:ligatures w14:val="none"/>
        </w:rPr>
        <w:t xml:space="preserve">(11), 1489–1494. </w:t>
      </w:r>
      <w:hyperlink r:id="rId36" w:history="1">
        <w:r w:rsidRPr="00167718">
          <w:rPr>
            <w:rFonts w:ascii="Times New Roman" w:eastAsia="Times New Roman" w:hAnsi="Times New Roman" w:cs="Times New Roman"/>
            <w:color w:val="0000FF"/>
            <w:kern w:val="0"/>
            <w:u w:val="single"/>
            <w14:ligatures w14:val="none"/>
          </w:rPr>
          <w:t>https://doi.org/10.1016/0026-0495(95)90151-5</w:t>
        </w:r>
      </w:hyperlink>
    </w:p>
    <w:p w14:paraId="7A4324BA"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proofErr w:type="spellStart"/>
      <w:r w:rsidRPr="00167718">
        <w:rPr>
          <w:rFonts w:ascii="Times New Roman" w:eastAsia="Times New Roman" w:hAnsi="Times New Roman" w:cs="Times New Roman"/>
          <w:kern w:val="0"/>
          <w14:ligatures w14:val="none"/>
        </w:rPr>
        <w:t>Kraegen</w:t>
      </w:r>
      <w:proofErr w:type="spellEnd"/>
      <w:r w:rsidRPr="00167718">
        <w:rPr>
          <w:rFonts w:ascii="Times New Roman" w:eastAsia="Times New Roman" w:hAnsi="Times New Roman" w:cs="Times New Roman"/>
          <w:kern w:val="0"/>
          <w14:ligatures w14:val="none"/>
        </w:rPr>
        <w:t xml:space="preserve">, E. W., Clark, P. W., Jenkins, A. B., Daley, E. A., Chisholm, D. J., &amp; Storlien, L. H. (1991). Development of muscle insulin resistance after liver insulin resistance in high-fat-fed rats. </w:t>
      </w:r>
      <w:r w:rsidRPr="00167718">
        <w:rPr>
          <w:rFonts w:ascii="Times New Roman" w:eastAsia="Times New Roman" w:hAnsi="Times New Roman" w:cs="Times New Roman"/>
          <w:i/>
          <w:iCs/>
          <w:kern w:val="0"/>
          <w14:ligatures w14:val="none"/>
        </w:rPr>
        <w:t>Diabetes, 40</w:t>
      </w:r>
      <w:r w:rsidRPr="00167718">
        <w:rPr>
          <w:rFonts w:ascii="Times New Roman" w:eastAsia="Times New Roman" w:hAnsi="Times New Roman" w:cs="Times New Roman"/>
          <w:kern w:val="0"/>
          <w14:ligatures w14:val="none"/>
        </w:rPr>
        <w:t xml:space="preserve">(11), 1397–1403. </w:t>
      </w:r>
      <w:hyperlink r:id="rId37" w:history="1">
        <w:r w:rsidRPr="00167718">
          <w:rPr>
            <w:rFonts w:ascii="Times New Roman" w:eastAsia="Times New Roman" w:hAnsi="Times New Roman" w:cs="Times New Roman"/>
            <w:color w:val="0000FF"/>
            <w:kern w:val="0"/>
            <w:u w:val="single"/>
            <w14:ligatures w14:val="none"/>
          </w:rPr>
          <w:t>https://doi.org/10.2337/diab.40.11.1397</w:t>
        </w:r>
      </w:hyperlink>
    </w:p>
    <w:p w14:paraId="7CE4EF80"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167718">
        <w:rPr>
          <w:rFonts w:ascii="Times New Roman" w:eastAsia="Times New Roman" w:hAnsi="Times New Roman" w:cs="Times New Roman"/>
          <w:kern w:val="0"/>
          <w14:ligatures w14:val="none"/>
        </w:rPr>
        <w:t xml:space="preserve">Kyrou, I., </w:t>
      </w:r>
      <w:proofErr w:type="spellStart"/>
      <w:r w:rsidRPr="00167718">
        <w:rPr>
          <w:rFonts w:ascii="Times New Roman" w:eastAsia="Times New Roman" w:hAnsi="Times New Roman" w:cs="Times New Roman"/>
          <w:kern w:val="0"/>
          <w14:ligatures w14:val="none"/>
        </w:rPr>
        <w:t>Randeva</w:t>
      </w:r>
      <w:proofErr w:type="spellEnd"/>
      <w:r w:rsidRPr="00167718">
        <w:rPr>
          <w:rFonts w:ascii="Times New Roman" w:eastAsia="Times New Roman" w:hAnsi="Times New Roman" w:cs="Times New Roman"/>
          <w:kern w:val="0"/>
          <w14:ligatures w14:val="none"/>
        </w:rPr>
        <w:t xml:space="preserve">, H. S., </w:t>
      </w:r>
      <w:proofErr w:type="spellStart"/>
      <w:r w:rsidRPr="00167718">
        <w:rPr>
          <w:rFonts w:ascii="Times New Roman" w:eastAsia="Times New Roman" w:hAnsi="Times New Roman" w:cs="Times New Roman"/>
          <w:kern w:val="0"/>
          <w14:ligatures w14:val="none"/>
        </w:rPr>
        <w:t>Tsigos</w:t>
      </w:r>
      <w:proofErr w:type="spellEnd"/>
      <w:r w:rsidRPr="00167718">
        <w:rPr>
          <w:rFonts w:ascii="Times New Roman" w:eastAsia="Times New Roman" w:hAnsi="Times New Roman" w:cs="Times New Roman"/>
          <w:kern w:val="0"/>
          <w14:ligatures w14:val="none"/>
        </w:rPr>
        <w:t xml:space="preserve">, C., Kaltsas, G., &amp; Weickert, M. O. (2018). Clinical problems caused by obesity. In </w:t>
      </w:r>
      <w:proofErr w:type="spellStart"/>
      <w:r w:rsidRPr="00167718">
        <w:rPr>
          <w:rFonts w:ascii="Times New Roman" w:eastAsia="Times New Roman" w:hAnsi="Times New Roman" w:cs="Times New Roman"/>
          <w:i/>
          <w:iCs/>
          <w:kern w:val="0"/>
          <w14:ligatures w14:val="none"/>
        </w:rPr>
        <w:t>Endotext</w:t>
      </w:r>
      <w:proofErr w:type="spellEnd"/>
      <w:r w:rsidRPr="00167718">
        <w:rPr>
          <w:rFonts w:ascii="Times New Roman" w:eastAsia="Times New Roman" w:hAnsi="Times New Roman" w:cs="Times New Roman"/>
          <w:kern w:val="0"/>
          <w14:ligatures w14:val="none"/>
        </w:rPr>
        <w:t xml:space="preserve">. MDText.com, Inc. </w:t>
      </w:r>
      <w:hyperlink r:id="rId38" w:history="1">
        <w:r w:rsidRPr="00167718">
          <w:rPr>
            <w:rFonts w:ascii="Times New Roman" w:eastAsia="Times New Roman" w:hAnsi="Times New Roman" w:cs="Times New Roman"/>
            <w:color w:val="0000FF"/>
            <w:kern w:val="0"/>
            <w:u w:val="single"/>
            <w14:ligatures w14:val="none"/>
          </w:rPr>
          <w:t>https://www.ncbi.nlm.nih.gov/books/NBK278973/</w:t>
        </w:r>
      </w:hyperlink>
    </w:p>
    <w:p w14:paraId="75C4EC1F"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167718">
        <w:rPr>
          <w:rFonts w:ascii="Times New Roman" w:eastAsia="Times New Roman" w:hAnsi="Times New Roman" w:cs="Times New Roman"/>
          <w:kern w:val="0"/>
          <w14:ligatures w14:val="none"/>
        </w:rPr>
        <w:t xml:space="preserve">Labib, M. (2003). ACP best practice No. 168: The investigation and management of obesity. </w:t>
      </w:r>
      <w:r w:rsidRPr="00167718">
        <w:rPr>
          <w:rFonts w:ascii="Times New Roman" w:eastAsia="Times New Roman" w:hAnsi="Times New Roman" w:cs="Times New Roman"/>
          <w:i/>
          <w:iCs/>
          <w:kern w:val="0"/>
          <w14:ligatures w14:val="none"/>
        </w:rPr>
        <w:t>Journal of Clinical Pathology, 56</w:t>
      </w:r>
      <w:r w:rsidRPr="00167718">
        <w:rPr>
          <w:rFonts w:ascii="Times New Roman" w:eastAsia="Times New Roman" w:hAnsi="Times New Roman" w:cs="Times New Roman"/>
          <w:kern w:val="0"/>
          <w14:ligatures w14:val="none"/>
        </w:rPr>
        <w:t xml:space="preserve">(1), 17–25. </w:t>
      </w:r>
      <w:hyperlink r:id="rId39" w:history="1">
        <w:r w:rsidRPr="00167718">
          <w:rPr>
            <w:rFonts w:ascii="Times New Roman" w:eastAsia="Times New Roman" w:hAnsi="Times New Roman" w:cs="Times New Roman"/>
            <w:color w:val="0000FF"/>
            <w:kern w:val="0"/>
            <w:u w:val="single"/>
            <w14:ligatures w14:val="none"/>
          </w:rPr>
          <w:t>https://doi.org/10.1136/jcp.56.1.17</w:t>
        </w:r>
      </w:hyperlink>
    </w:p>
    <w:p w14:paraId="1EA34D63"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167718">
        <w:rPr>
          <w:rFonts w:ascii="Times New Roman" w:eastAsia="Times New Roman" w:hAnsi="Times New Roman" w:cs="Times New Roman"/>
          <w:kern w:val="0"/>
          <w14:ligatures w14:val="none"/>
        </w:rPr>
        <w:t xml:space="preserve">Levine, R. L., Garland, D., Oliver, C. N., Amici, A., Climent, I., Lenz, A. G., Ahn, B. W., Shaltiel, S., &amp; </w:t>
      </w:r>
      <w:proofErr w:type="spellStart"/>
      <w:r w:rsidRPr="00167718">
        <w:rPr>
          <w:rFonts w:ascii="Times New Roman" w:eastAsia="Times New Roman" w:hAnsi="Times New Roman" w:cs="Times New Roman"/>
          <w:kern w:val="0"/>
          <w14:ligatures w14:val="none"/>
        </w:rPr>
        <w:t>Stadtman</w:t>
      </w:r>
      <w:proofErr w:type="spellEnd"/>
      <w:r w:rsidRPr="00167718">
        <w:rPr>
          <w:rFonts w:ascii="Times New Roman" w:eastAsia="Times New Roman" w:hAnsi="Times New Roman" w:cs="Times New Roman"/>
          <w:kern w:val="0"/>
          <w14:ligatures w14:val="none"/>
        </w:rPr>
        <w:t xml:space="preserve">, E. R. (1990). Determination of carbonyl content in oxidatively modified proteins. </w:t>
      </w:r>
      <w:r w:rsidRPr="00167718">
        <w:rPr>
          <w:rFonts w:ascii="Times New Roman" w:eastAsia="Times New Roman" w:hAnsi="Times New Roman" w:cs="Times New Roman"/>
          <w:i/>
          <w:iCs/>
          <w:kern w:val="0"/>
          <w14:ligatures w14:val="none"/>
        </w:rPr>
        <w:t>Methods in Enzymology, 186</w:t>
      </w:r>
      <w:r w:rsidRPr="00167718">
        <w:rPr>
          <w:rFonts w:ascii="Times New Roman" w:eastAsia="Times New Roman" w:hAnsi="Times New Roman" w:cs="Times New Roman"/>
          <w:kern w:val="0"/>
          <w14:ligatures w14:val="none"/>
        </w:rPr>
        <w:t xml:space="preserve">, 464–478. </w:t>
      </w:r>
      <w:hyperlink r:id="rId40" w:history="1">
        <w:r w:rsidRPr="00167718">
          <w:rPr>
            <w:rFonts w:ascii="Times New Roman" w:eastAsia="Times New Roman" w:hAnsi="Times New Roman" w:cs="Times New Roman"/>
            <w:color w:val="0000FF"/>
            <w:kern w:val="0"/>
            <w:u w:val="single"/>
            <w14:ligatures w14:val="none"/>
          </w:rPr>
          <w:t>https://doi.org/10.1016/0076-6879(90)86141-H</w:t>
        </w:r>
      </w:hyperlink>
    </w:p>
    <w:p w14:paraId="79DC86A2"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167718">
        <w:rPr>
          <w:rFonts w:ascii="Times New Roman" w:eastAsia="Times New Roman" w:hAnsi="Times New Roman" w:cs="Times New Roman"/>
          <w:kern w:val="0"/>
          <w14:ligatures w14:val="none"/>
        </w:rPr>
        <w:t xml:space="preserve">Liu, C. S., Lin, C. C., &amp; Li, T. C. (1999). The relation of white blood cell </w:t>
      </w:r>
      <w:proofErr w:type="gramStart"/>
      <w:r w:rsidRPr="00167718">
        <w:rPr>
          <w:rFonts w:ascii="Times New Roman" w:eastAsia="Times New Roman" w:hAnsi="Times New Roman" w:cs="Times New Roman"/>
          <w:kern w:val="0"/>
          <w14:ligatures w14:val="none"/>
        </w:rPr>
        <w:t>count</w:t>
      </w:r>
      <w:proofErr w:type="gramEnd"/>
      <w:r w:rsidRPr="00167718">
        <w:rPr>
          <w:rFonts w:ascii="Times New Roman" w:eastAsia="Times New Roman" w:hAnsi="Times New Roman" w:cs="Times New Roman"/>
          <w:kern w:val="0"/>
          <w14:ligatures w14:val="none"/>
        </w:rPr>
        <w:t xml:space="preserve"> and atherogenic index ratio of LDL-cholesterol to HDL-cholesterol in Taiwan school children. </w:t>
      </w:r>
      <w:r w:rsidRPr="00167718">
        <w:rPr>
          <w:rFonts w:ascii="Times New Roman" w:eastAsia="Times New Roman" w:hAnsi="Times New Roman" w:cs="Times New Roman"/>
          <w:i/>
          <w:iCs/>
          <w:kern w:val="0"/>
          <w14:ligatures w14:val="none"/>
        </w:rPr>
        <w:t xml:space="preserve">Acta </w:t>
      </w:r>
      <w:proofErr w:type="spellStart"/>
      <w:r w:rsidRPr="00167718">
        <w:rPr>
          <w:rFonts w:ascii="Times New Roman" w:eastAsia="Times New Roman" w:hAnsi="Times New Roman" w:cs="Times New Roman"/>
          <w:i/>
          <w:iCs/>
          <w:kern w:val="0"/>
          <w14:ligatures w14:val="none"/>
        </w:rPr>
        <w:t>Paediatrica</w:t>
      </w:r>
      <w:proofErr w:type="spellEnd"/>
      <w:r w:rsidRPr="00167718">
        <w:rPr>
          <w:rFonts w:ascii="Times New Roman" w:eastAsia="Times New Roman" w:hAnsi="Times New Roman" w:cs="Times New Roman"/>
          <w:i/>
          <w:iCs/>
          <w:kern w:val="0"/>
          <w14:ligatures w14:val="none"/>
        </w:rPr>
        <w:t xml:space="preserve"> </w:t>
      </w:r>
      <w:proofErr w:type="spellStart"/>
      <w:r w:rsidRPr="00167718">
        <w:rPr>
          <w:rFonts w:ascii="Times New Roman" w:eastAsia="Times New Roman" w:hAnsi="Times New Roman" w:cs="Times New Roman"/>
          <w:i/>
          <w:iCs/>
          <w:kern w:val="0"/>
          <w14:ligatures w14:val="none"/>
        </w:rPr>
        <w:t>Taiwanica</w:t>
      </w:r>
      <w:proofErr w:type="spellEnd"/>
      <w:r w:rsidRPr="00167718">
        <w:rPr>
          <w:rFonts w:ascii="Times New Roman" w:eastAsia="Times New Roman" w:hAnsi="Times New Roman" w:cs="Times New Roman"/>
          <w:i/>
          <w:iCs/>
          <w:kern w:val="0"/>
          <w14:ligatures w14:val="none"/>
        </w:rPr>
        <w:t>, 40</w:t>
      </w:r>
      <w:r w:rsidRPr="00167718">
        <w:rPr>
          <w:rFonts w:ascii="Times New Roman" w:eastAsia="Times New Roman" w:hAnsi="Times New Roman" w:cs="Times New Roman"/>
          <w:kern w:val="0"/>
          <w14:ligatures w14:val="none"/>
        </w:rPr>
        <w:t xml:space="preserve">(5), 319–324. </w:t>
      </w:r>
      <w:hyperlink r:id="rId41" w:history="1">
        <w:r w:rsidRPr="00167718">
          <w:rPr>
            <w:rFonts w:ascii="Times New Roman" w:eastAsia="Times New Roman" w:hAnsi="Times New Roman" w:cs="Times New Roman"/>
            <w:color w:val="0000FF"/>
            <w:kern w:val="0"/>
            <w:u w:val="single"/>
            <w14:ligatures w14:val="none"/>
          </w:rPr>
          <w:t>https://pubmed.ncbi.nlm.nih.gov/10910541/</w:t>
        </w:r>
      </w:hyperlink>
    </w:p>
    <w:p w14:paraId="1C25F37C"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167718">
        <w:rPr>
          <w:rFonts w:ascii="Times New Roman" w:eastAsia="Times New Roman" w:hAnsi="Times New Roman" w:cs="Times New Roman"/>
          <w:kern w:val="0"/>
          <w14:ligatures w14:val="none"/>
        </w:rPr>
        <w:t xml:space="preserve">Lowry, O. H., Rosebrough, N. J., Farr, A. L., &amp; Randall, R. J. (1951). Protein measurement with the Folin phenol reagent. </w:t>
      </w:r>
      <w:r w:rsidRPr="00167718">
        <w:rPr>
          <w:rFonts w:ascii="Times New Roman" w:eastAsia="Times New Roman" w:hAnsi="Times New Roman" w:cs="Times New Roman"/>
          <w:i/>
          <w:iCs/>
          <w:kern w:val="0"/>
          <w14:ligatures w14:val="none"/>
        </w:rPr>
        <w:t>Journal of Biological Chemistry, 193</w:t>
      </w:r>
      <w:r w:rsidRPr="00167718">
        <w:rPr>
          <w:rFonts w:ascii="Times New Roman" w:eastAsia="Times New Roman" w:hAnsi="Times New Roman" w:cs="Times New Roman"/>
          <w:kern w:val="0"/>
          <w14:ligatures w14:val="none"/>
        </w:rPr>
        <w:t xml:space="preserve">(1), 265–275. </w:t>
      </w:r>
      <w:hyperlink r:id="rId42" w:history="1">
        <w:r w:rsidRPr="00167718">
          <w:rPr>
            <w:rFonts w:ascii="Times New Roman" w:eastAsia="Times New Roman" w:hAnsi="Times New Roman" w:cs="Times New Roman"/>
            <w:color w:val="0000FF"/>
            <w:kern w:val="0"/>
            <w:u w:val="single"/>
            <w14:ligatures w14:val="none"/>
          </w:rPr>
          <w:t>https://doi.org/10.1016/S0021-9258(19)52451-6</w:t>
        </w:r>
      </w:hyperlink>
    </w:p>
    <w:p w14:paraId="76FA8E9F"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167718">
        <w:rPr>
          <w:rFonts w:ascii="Times New Roman" w:eastAsia="Times New Roman" w:hAnsi="Times New Roman" w:cs="Times New Roman"/>
          <w:kern w:val="0"/>
          <w14:ligatures w14:val="none"/>
        </w:rPr>
        <w:lastRenderedPageBreak/>
        <w:t xml:space="preserve">Manna, P., &amp; Jain, S. K. (2015). Obesity, oxidative stress, adipose tissue dysfunction, and the associated health risks: Causes and therapeutic strategies. </w:t>
      </w:r>
      <w:r w:rsidRPr="00167718">
        <w:rPr>
          <w:rFonts w:ascii="Times New Roman" w:eastAsia="Times New Roman" w:hAnsi="Times New Roman" w:cs="Times New Roman"/>
          <w:i/>
          <w:iCs/>
          <w:kern w:val="0"/>
          <w14:ligatures w14:val="none"/>
        </w:rPr>
        <w:t>Metabolic Syndrome and Related Disorders, 13</w:t>
      </w:r>
      <w:r w:rsidRPr="00167718">
        <w:rPr>
          <w:rFonts w:ascii="Times New Roman" w:eastAsia="Times New Roman" w:hAnsi="Times New Roman" w:cs="Times New Roman"/>
          <w:kern w:val="0"/>
          <w14:ligatures w14:val="none"/>
        </w:rPr>
        <w:t xml:space="preserve">(10), 423–444. </w:t>
      </w:r>
      <w:hyperlink r:id="rId43" w:history="1">
        <w:r w:rsidRPr="00167718">
          <w:rPr>
            <w:rFonts w:ascii="Times New Roman" w:eastAsia="Times New Roman" w:hAnsi="Times New Roman" w:cs="Times New Roman"/>
            <w:color w:val="0000FF"/>
            <w:kern w:val="0"/>
            <w:u w:val="single"/>
            <w14:ligatures w14:val="none"/>
          </w:rPr>
          <w:t>https://doi.org/10.1089/met.2015.0095</w:t>
        </w:r>
      </w:hyperlink>
    </w:p>
    <w:p w14:paraId="053E5AE8"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proofErr w:type="spellStart"/>
      <w:r w:rsidRPr="00167718">
        <w:rPr>
          <w:rFonts w:ascii="Times New Roman" w:eastAsia="Times New Roman" w:hAnsi="Times New Roman" w:cs="Times New Roman"/>
          <w:kern w:val="0"/>
          <w14:ligatures w14:val="none"/>
        </w:rPr>
        <w:t>Młynarska</w:t>
      </w:r>
      <w:proofErr w:type="spellEnd"/>
      <w:r w:rsidRPr="00167718">
        <w:rPr>
          <w:rFonts w:ascii="Times New Roman" w:eastAsia="Times New Roman" w:hAnsi="Times New Roman" w:cs="Times New Roman"/>
          <w:kern w:val="0"/>
          <w14:ligatures w14:val="none"/>
        </w:rPr>
        <w:t xml:space="preserve">, E., </w:t>
      </w:r>
      <w:proofErr w:type="spellStart"/>
      <w:r w:rsidRPr="00167718">
        <w:rPr>
          <w:rFonts w:ascii="Times New Roman" w:eastAsia="Times New Roman" w:hAnsi="Times New Roman" w:cs="Times New Roman"/>
          <w:kern w:val="0"/>
          <w14:ligatures w14:val="none"/>
        </w:rPr>
        <w:t>Bojdo</w:t>
      </w:r>
      <w:proofErr w:type="spellEnd"/>
      <w:r w:rsidRPr="00167718">
        <w:rPr>
          <w:rFonts w:ascii="Times New Roman" w:eastAsia="Times New Roman" w:hAnsi="Times New Roman" w:cs="Times New Roman"/>
          <w:kern w:val="0"/>
          <w14:ligatures w14:val="none"/>
        </w:rPr>
        <w:t xml:space="preserve">, K., Bulicz, A., Frankenstein, H., Gąsior, M., </w:t>
      </w:r>
      <w:proofErr w:type="spellStart"/>
      <w:r w:rsidRPr="00167718">
        <w:rPr>
          <w:rFonts w:ascii="Times New Roman" w:eastAsia="Times New Roman" w:hAnsi="Times New Roman" w:cs="Times New Roman"/>
          <w:kern w:val="0"/>
          <w14:ligatures w14:val="none"/>
        </w:rPr>
        <w:t>Kustosik</w:t>
      </w:r>
      <w:proofErr w:type="spellEnd"/>
      <w:r w:rsidRPr="00167718">
        <w:rPr>
          <w:rFonts w:ascii="Times New Roman" w:eastAsia="Times New Roman" w:hAnsi="Times New Roman" w:cs="Times New Roman"/>
          <w:kern w:val="0"/>
          <w14:ligatures w14:val="none"/>
        </w:rPr>
        <w:t xml:space="preserve">, N., Rysz, J., &amp; Franczyk, B. (2025). Obesity as a multifactorial chronic disease: Molecular mechanisms, systemic impact, and emerging digital interventions. </w:t>
      </w:r>
      <w:r w:rsidRPr="00167718">
        <w:rPr>
          <w:rFonts w:ascii="Times New Roman" w:eastAsia="Times New Roman" w:hAnsi="Times New Roman" w:cs="Times New Roman"/>
          <w:i/>
          <w:iCs/>
          <w:kern w:val="0"/>
          <w14:ligatures w14:val="none"/>
        </w:rPr>
        <w:t>Current Issues in Molecular Biology, 47</w:t>
      </w:r>
      <w:r w:rsidRPr="00167718">
        <w:rPr>
          <w:rFonts w:ascii="Times New Roman" w:eastAsia="Times New Roman" w:hAnsi="Times New Roman" w:cs="Times New Roman"/>
          <w:kern w:val="0"/>
          <w14:ligatures w14:val="none"/>
        </w:rPr>
        <w:t xml:space="preserve">(10), 787. </w:t>
      </w:r>
      <w:hyperlink r:id="rId44" w:history="1">
        <w:r w:rsidRPr="00167718">
          <w:rPr>
            <w:rFonts w:ascii="Times New Roman" w:eastAsia="Times New Roman" w:hAnsi="Times New Roman" w:cs="Times New Roman"/>
            <w:color w:val="0000FF"/>
            <w:kern w:val="0"/>
            <w:u w:val="single"/>
            <w14:ligatures w14:val="none"/>
          </w:rPr>
          <w:t>https://doi.org/10.3390/cimb47100787</w:t>
        </w:r>
      </w:hyperlink>
    </w:p>
    <w:p w14:paraId="4432348C"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167718">
        <w:rPr>
          <w:rFonts w:ascii="Times New Roman" w:eastAsia="Times New Roman" w:hAnsi="Times New Roman" w:cs="Times New Roman"/>
          <w:kern w:val="0"/>
          <w14:ligatures w14:val="none"/>
        </w:rPr>
        <w:t xml:space="preserve">Moller, D. E. (2001). New drug targets for type 2 diabetes and the metabolic syndrome. </w:t>
      </w:r>
      <w:r w:rsidRPr="00167718">
        <w:rPr>
          <w:rFonts w:ascii="Times New Roman" w:eastAsia="Times New Roman" w:hAnsi="Times New Roman" w:cs="Times New Roman"/>
          <w:i/>
          <w:iCs/>
          <w:kern w:val="0"/>
          <w14:ligatures w14:val="none"/>
        </w:rPr>
        <w:t>Nature, 414</w:t>
      </w:r>
      <w:r w:rsidRPr="00167718">
        <w:rPr>
          <w:rFonts w:ascii="Times New Roman" w:eastAsia="Times New Roman" w:hAnsi="Times New Roman" w:cs="Times New Roman"/>
          <w:kern w:val="0"/>
          <w14:ligatures w14:val="none"/>
        </w:rPr>
        <w:t xml:space="preserve">(6865), 821–827. </w:t>
      </w:r>
      <w:hyperlink r:id="rId45" w:history="1">
        <w:r w:rsidRPr="00167718">
          <w:rPr>
            <w:rFonts w:ascii="Times New Roman" w:eastAsia="Times New Roman" w:hAnsi="Times New Roman" w:cs="Times New Roman"/>
            <w:color w:val="0000FF"/>
            <w:kern w:val="0"/>
            <w:u w:val="single"/>
            <w14:ligatures w14:val="none"/>
          </w:rPr>
          <w:t>https://doi.org/10.1038/414821a</w:t>
        </w:r>
      </w:hyperlink>
    </w:p>
    <w:p w14:paraId="5516B686"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167718">
        <w:rPr>
          <w:rFonts w:ascii="Times New Roman" w:eastAsia="Times New Roman" w:hAnsi="Times New Roman" w:cs="Times New Roman"/>
          <w:kern w:val="0"/>
          <w14:ligatures w14:val="none"/>
        </w:rPr>
        <w:t xml:space="preserve">Noreen, S., Shehzadi, S., Egbuna, C., &amp; Aja, P. M. (2025). Lycopene alleviates lipid dysregulation, oxidative stress, and hypercholesterolemia in obese rats subjected to a high-fat diet. </w:t>
      </w:r>
      <w:r w:rsidRPr="00167718">
        <w:rPr>
          <w:rFonts w:ascii="Times New Roman" w:eastAsia="Times New Roman" w:hAnsi="Times New Roman" w:cs="Times New Roman"/>
          <w:i/>
          <w:iCs/>
          <w:kern w:val="0"/>
          <w14:ligatures w14:val="none"/>
        </w:rPr>
        <w:t>Food Science &amp; Nutrition, 13</w:t>
      </w:r>
      <w:r w:rsidRPr="00167718">
        <w:rPr>
          <w:rFonts w:ascii="Times New Roman" w:eastAsia="Times New Roman" w:hAnsi="Times New Roman" w:cs="Times New Roman"/>
          <w:kern w:val="0"/>
          <w14:ligatures w14:val="none"/>
        </w:rPr>
        <w:t xml:space="preserve">(7), e70549. </w:t>
      </w:r>
      <w:hyperlink r:id="rId46" w:history="1">
        <w:r w:rsidRPr="00167718">
          <w:rPr>
            <w:rFonts w:ascii="Times New Roman" w:eastAsia="Times New Roman" w:hAnsi="Times New Roman" w:cs="Times New Roman"/>
            <w:color w:val="0000FF"/>
            <w:kern w:val="0"/>
            <w:u w:val="single"/>
            <w14:ligatures w14:val="none"/>
          </w:rPr>
          <w:t>https://doi.org/10.1002/fsn3.70549</w:t>
        </w:r>
      </w:hyperlink>
    </w:p>
    <w:p w14:paraId="63652073"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167718">
        <w:rPr>
          <w:rFonts w:ascii="Times New Roman" w:eastAsia="Times New Roman" w:hAnsi="Times New Roman" w:cs="Times New Roman"/>
          <w:kern w:val="0"/>
          <w14:ligatures w14:val="none"/>
        </w:rPr>
        <w:t xml:space="preserve">Odia, K. M., &amp; </w:t>
      </w:r>
      <w:proofErr w:type="spellStart"/>
      <w:r w:rsidRPr="00167718">
        <w:rPr>
          <w:rFonts w:ascii="Times New Roman" w:eastAsia="Times New Roman" w:hAnsi="Times New Roman" w:cs="Times New Roman"/>
          <w:kern w:val="0"/>
          <w14:ligatures w14:val="none"/>
        </w:rPr>
        <w:t>Akpevwe-Erhieyovwe</w:t>
      </w:r>
      <w:proofErr w:type="spellEnd"/>
      <w:r w:rsidRPr="00167718">
        <w:rPr>
          <w:rFonts w:ascii="Times New Roman" w:eastAsia="Times New Roman" w:hAnsi="Times New Roman" w:cs="Times New Roman"/>
          <w:kern w:val="0"/>
          <w14:ligatures w14:val="none"/>
        </w:rPr>
        <w:t>, C. O. (2025). Beetroot (</w:t>
      </w:r>
      <w:r w:rsidRPr="00167718">
        <w:rPr>
          <w:rFonts w:ascii="Times New Roman" w:eastAsia="Times New Roman" w:hAnsi="Times New Roman" w:cs="Times New Roman"/>
          <w:i/>
          <w:iCs/>
          <w:kern w:val="0"/>
          <w14:ligatures w14:val="none"/>
        </w:rPr>
        <w:t>Beta vulgaris</w:t>
      </w:r>
      <w:r w:rsidRPr="00167718">
        <w:rPr>
          <w:rFonts w:ascii="Times New Roman" w:eastAsia="Times New Roman" w:hAnsi="Times New Roman" w:cs="Times New Roman"/>
          <w:kern w:val="0"/>
          <w14:ligatures w14:val="none"/>
        </w:rPr>
        <w:t xml:space="preserve">) as a nutritional strategy for metabolic disorders: Effects on lipid metabolism and body weight. </w:t>
      </w:r>
      <w:r w:rsidRPr="00167718">
        <w:rPr>
          <w:rFonts w:ascii="Times New Roman" w:eastAsia="Times New Roman" w:hAnsi="Times New Roman" w:cs="Times New Roman"/>
          <w:i/>
          <w:iCs/>
          <w:kern w:val="0"/>
          <w14:ligatures w14:val="none"/>
        </w:rPr>
        <w:t>Journal of Medicine and Health Research, 10</w:t>
      </w:r>
      <w:r w:rsidRPr="00167718">
        <w:rPr>
          <w:rFonts w:ascii="Times New Roman" w:eastAsia="Times New Roman" w:hAnsi="Times New Roman" w:cs="Times New Roman"/>
          <w:kern w:val="0"/>
          <w14:ligatures w14:val="none"/>
        </w:rPr>
        <w:t xml:space="preserve">(2), 361–368. </w:t>
      </w:r>
      <w:hyperlink r:id="rId47" w:history="1">
        <w:r w:rsidRPr="00167718">
          <w:rPr>
            <w:rFonts w:ascii="Times New Roman" w:eastAsia="Times New Roman" w:hAnsi="Times New Roman" w:cs="Times New Roman"/>
            <w:color w:val="0000FF"/>
            <w:kern w:val="0"/>
            <w:u w:val="single"/>
            <w14:ligatures w14:val="none"/>
          </w:rPr>
          <w:t>https://doi.org/10.56557/jomahr/2025/v10i29825</w:t>
        </w:r>
      </w:hyperlink>
    </w:p>
    <w:p w14:paraId="399AB997"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proofErr w:type="spellStart"/>
      <w:r w:rsidRPr="00167718">
        <w:rPr>
          <w:rFonts w:ascii="Times New Roman" w:eastAsia="Times New Roman" w:hAnsi="Times New Roman" w:cs="Times New Roman"/>
          <w:kern w:val="0"/>
          <w14:ligatures w14:val="none"/>
        </w:rPr>
        <w:t>Olatona</w:t>
      </w:r>
      <w:proofErr w:type="spellEnd"/>
      <w:r w:rsidRPr="00167718">
        <w:rPr>
          <w:rFonts w:ascii="Times New Roman" w:eastAsia="Times New Roman" w:hAnsi="Times New Roman" w:cs="Times New Roman"/>
          <w:kern w:val="0"/>
          <w14:ligatures w14:val="none"/>
        </w:rPr>
        <w:t xml:space="preserve">, F. A., Onabanjo, O. O., </w:t>
      </w:r>
      <w:proofErr w:type="spellStart"/>
      <w:r w:rsidRPr="00167718">
        <w:rPr>
          <w:rFonts w:ascii="Times New Roman" w:eastAsia="Times New Roman" w:hAnsi="Times New Roman" w:cs="Times New Roman"/>
          <w:kern w:val="0"/>
          <w14:ligatures w14:val="none"/>
        </w:rPr>
        <w:t>Ugbaja</w:t>
      </w:r>
      <w:proofErr w:type="spellEnd"/>
      <w:r w:rsidRPr="00167718">
        <w:rPr>
          <w:rFonts w:ascii="Times New Roman" w:eastAsia="Times New Roman" w:hAnsi="Times New Roman" w:cs="Times New Roman"/>
          <w:kern w:val="0"/>
          <w14:ligatures w14:val="none"/>
        </w:rPr>
        <w:t xml:space="preserve">, R. N., </w:t>
      </w:r>
      <w:proofErr w:type="spellStart"/>
      <w:r w:rsidRPr="00167718">
        <w:rPr>
          <w:rFonts w:ascii="Times New Roman" w:eastAsia="Times New Roman" w:hAnsi="Times New Roman" w:cs="Times New Roman"/>
          <w:kern w:val="0"/>
          <w14:ligatures w14:val="none"/>
        </w:rPr>
        <w:t>Nnoaham</w:t>
      </w:r>
      <w:proofErr w:type="spellEnd"/>
      <w:r w:rsidRPr="00167718">
        <w:rPr>
          <w:rFonts w:ascii="Times New Roman" w:eastAsia="Times New Roman" w:hAnsi="Times New Roman" w:cs="Times New Roman"/>
          <w:kern w:val="0"/>
          <w14:ligatures w14:val="none"/>
        </w:rPr>
        <w:t xml:space="preserve">, K. E., &amp; Adelekan, D. A. (2018). Dietary habits and metabolic risk factors for non-communicable diseases in a university undergraduate population. </w:t>
      </w:r>
      <w:r w:rsidRPr="00167718">
        <w:rPr>
          <w:rFonts w:ascii="Times New Roman" w:eastAsia="Times New Roman" w:hAnsi="Times New Roman" w:cs="Times New Roman"/>
          <w:i/>
          <w:iCs/>
          <w:kern w:val="0"/>
          <w14:ligatures w14:val="none"/>
        </w:rPr>
        <w:t>Journal of Health, Population and Nutrition, 37</w:t>
      </w:r>
      <w:r w:rsidRPr="00167718">
        <w:rPr>
          <w:rFonts w:ascii="Times New Roman" w:eastAsia="Times New Roman" w:hAnsi="Times New Roman" w:cs="Times New Roman"/>
          <w:kern w:val="0"/>
          <w14:ligatures w14:val="none"/>
        </w:rPr>
        <w:t xml:space="preserve">(1), 21. </w:t>
      </w:r>
      <w:hyperlink r:id="rId48" w:history="1">
        <w:r w:rsidRPr="00167718">
          <w:rPr>
            <w:rFonts w:ascii="Times New Roman" w:eastAsia="Times New Roman" w:hAnsi="Times New Roman" w:cs="Times New Roman"/>
            <w:color w:val="0000FF"/>
            <w:kern w:val="0"/>
            <w:u w:val="single"/>
            <w14:ligatures w14:val="none"/>
          </w:rPr>
          <w:t>https://doi.org/10.1186/s41043-018-0152-2</w:t>
        </w:r>
      </w:hyperlink>
    </w:p>
    <w:p w14:paraId="7FCE9936"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167718">
        <w:rPr>
          <w:rFonts w:ascii="Times New Roman" w:eastAsia="Times New Roman" w:hAnsi="Times New Roman" w:cs="Times New Roman"/>
          <w:kern w:val="0"/>
          <w14:ligatures w14:val="none"/>
        </w:rPr>
        <w:t xml:space="preserve">Pati, S., Irfan, W., Jameel, A., Ahmed, S., &amp; Shahid, R. K. (2023). Obesity and cancer: A current overview of epidemiology, pathogenesis, outcomes, and management. </w:t>
      </w:r>
      <w:r w:rsidRPr="00167718">
        <w:rPr>
          <w:rFonts w:ascii="Times New Roman" w:eastAsia="Times New Roman" w:hAnsi="Times New Roman" w:cs="Times New Roman"/>
          <w:i/>
          <w:iCs/>
          <w:kern w:val="0"/>
          <w14:ligatures w14:val="none"/>
        </w:rPr>
        <w:t>Cancers, 15</w:t>
      </w:r>
      <w:r w:rsidRPr="00167718">
        <w:rPr>
          <w:rFonts w:ascii="Times New Roman" w:eastAsia="Times New Roman" w:hAnsi="Times New Roman" w:cs="Times New Roman"/>
          <w:kern w:val="0"/>
          <w14:ligatures w14:val="none"/>
        </w:rPr>
        <w:t xml:space="preserve">(2), 485. </w:t>
      </w:r>
      <w:hyperlink r:id="rId49" w:history="1">
        <w:r w:rsidRPr="00167718">
          <w:rPr>
            <w:rFonts w:ascii="Times New Roman" w:eastAsia="Times New Roman" w:hAnsi="Times New Roman" w:cs="Times New Roman"/>
            <w:color w:val="0000FF"/>
            <w:kern w:val="0"/>
            <w:u w:val="single"/>
            <w14:ligatures w14:val="none"/>
          </w:rPr>
          <w:t>https://doi.org/10.3390/cancers15020485</w:t>
        </w:r>
      </w:hyperlink>
    </w:p>
    <w:p w14:paraId="33D8B822"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167718">
        <w:rPr>
          <w:rFonts w:ascii="Times New Roman" w:eastAsia="Times New Roman" w:hAnsi="Times New Roman" w:cs="Times New Roman"/>
          <w:kern w:val="0"/>
          <w14:ligatures w14:val="none"/>
        </w:rPr>
        <w:t xml:space="preserve">Pickavance, L. C., Tadayyon, M., Widdowson, P. S., Buckingham, R. E., &amp; Wilding, J. P. H. (1999). Therapeutic index for rosiglitazone in dietary obese rats: Separation of efficacy and </w:t>
      </w:r>
      <w:proofErr w:type="spellStart"/>
      <w:r w:rsidRPr="00167718">
        <w:rPr>
          <w:rFonts w:ascii="Times New Roman" w:eastAsia="Times New Roman" w:hAnsi="Times New Roman" w:cs="Times New Roman"/>
          <w:kern w:val="0"/>
          <w14:ligatures w14:val="none"/>
        </w:rPr>
        <w:t>haemodilution</w:t>
      </w:r>
      <w:proofErr w:type="spellEnd"/>
      <w:r w:rsidRPr="00167718">
        <w:rPr>
          <w:rFonts w:ascii="Times New Roman" w:eastAsia="Times New Roman" w:hAnsi="Times New Roman" w:cs="Times New Roman"/>
          <w:kern w:val="0"/>
          <w14:ligatures w14:val="none"/>
        </w:rPr>
        <w:t xml:space="preserve">. </w:t>
      </w:r>
      <w:r w:rsidRPr="00167718">
        <w:rPr>
          <w:rFonts w:ascii="Times New Roman" w:eastAsia="Times New Roman" w:hAnsi="Times New Roman" w:cs="Times New Roman"/>
          <w:i/>
          <w:iCs/>
          <w:kern w:val="0"/>
          <w14:ligatures w14:val="none"/>
        </w:rPr>
        <w:t>British Journal of Pharmacology, 128</w:t>
      </w:r>
      <w:r w:rsidRPr="00167718">
        <w:rPr>
          <w:rFonts w:ascii="Times New Roman" w:eastAsia="Times New Roman" w:hAnsi="Times New Roman" w:cs="Times New Roman"/>
          <w:kern w:val="0"/>
          <w14:ligatures w14:val="none"/>
        </w:rPr>
        <w:t xml:space="preserve">(7), 1570–1576. </w:t>
      </w:r>
      <w:hyperlink r:id="rId50" w:history="1">
        <w:r w:rsidRPr="00167718">
          <w:rPr>
            <w:rFonts w:ascii="Times New Roman" w:eastAsia="Times New Roman" w:hAnsi="Times New Roman" w:cs="Times New Roman"/>
            <w:color w:val="0000FF"/>
            <w:kern w:val="0"/>
            <w:u w:val="single"/>
            <w14:ligatures w14:val="none"/>
          </w:rPr>
          <w:t>https://doi.org/10.1038/sj.bjp.0702932</w:t>
        </w:r>
      </w:hyperlink>
    </w:p>
    <w:p w14:paraId="1C1CD296"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167718">
        <w:rPr>
          <w:rFonts w:ascii="Times New Roman" w:eastAsia="Times New Roman" w:hAnsi="Times New Roman" w:cs="Times New Roman"/>
          <w:kern w:val="0"/>
          <w14:ligatures w14:val="none"/>
        </w:rPr>
        <w:t xml:space="preserve">Pinto, R. E., &amp; Bartley, W. (1969). The effect of age and sex on glutathione reductase and glutathione peroxidase activities and on aerobic glutathione oxidation in rat liver homogenates. </w:t>
      </w:r>
      <w:r w:rsidRPr="00167718">
        <w:rPr>
          <w:rFonts w:ascii="Times New Roman" w:eastAsia="Times New Roman" w:hAnsi="Times New Roman" w:cs="Times New Roman"/>
          <w:i/>
          <w:iCs/>
          <w:kern w:val="0"/>
          <w14:ligatures w14:val="none"/>
        </w:rPr>
        <w:t>Biochemical Journal, 112</w:t>
      </w:r>
      <w:r w:rsidRPr="00167718">
        <w:rPr>
          <w:rFonts w:ascii="Times New Roman" w:eastAsia="Times New Roman" w:hAnsi="Times New Roman" w:cs="Times New Roman"/>
          <w:kern w:val="0"/>
          <w14:ligatures w14:val="none"/>
        </w:rPr>
        <w:t xml:space="preserve">(1), 109–115. </w:t>
      </w:r>
      <w:hyperlink r:id="rId51" w:history="1">
        <w:r w:rsidRPr="00167718">
          <w:rPr>
            <w:rFonts w:ascii="Times New Roman" w:eastAsia="Times New Roman" w:hAnsi="Times New Roman" w:cs="Times New Roman"/>
            <w:color w:val="0000FF"/>
            <w:kern w:val="0"/>
            <w:u w:val="single"/>
            <w14:ligatures w14:val="none"/>
          </w:rPr>
          <w:t>https://doi.org/10.1042/bj1120109</w:t>
        </w:r>
      </w:hyperlink>
    </w:p>
    <w:p w14:paraId="18C77CFE"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167718">
        <w:rPr>
          <w:rFonts w:ascii="Times New Roman" w:eastAsia="Times New Roman" w:hAnsi="Times New Roman" w:cs="Times New Roman"/>
          <w:kern w:val="0"/>
          <w14:ligatures w14:val="none"/>
        </w:rPr>
        <w:t xml:space="preserve">Reitman, S., &amp; Frankel, S. (1957). A colorimetric method for the determination of serum glutamic </w:t>
      </w:r>
      <w:proofErr w:type="spellStart"/>
      <w:r w:rsidRPr="00167718">
        <w:rPr>
          <w:rFonts w:ascii="Times New Roman" w:eastAsia="Times New Roman" w:hAnsi="Times New Roman" w:cs="Times New Roman"/>
          <w:kern w:val="0"/>
          <w14:ligatures w14:val="none"/>
        </w:rPr>
        <w:t>oxalacetic</w:t>
      </w:r>
      <w:proofErr w:type="spellEnd"/>
      <w:r w:rsidRPr="00167718">
        <w:rPr>
          <w:rFonts w:ascii="Times New Roman" w:eastAsia="Times New Roman" w:hAnsi="Times New Roman" w:cs="Times New Roman"/>
          <w:kern w:val="0"/>
          <w14:ligatures w14:val="none"/>
        </w:rPr>
        <w:t xml:space="preserve"> and glutamic pyruvic transaminases. </w:t>
      </w:r>
      <w:r w:rsidRPr="00167718">
        <w:rPr>
          <w:rFonts w:ascii="Times New Roman" w:eastAsia="Times New Roman" w:hAnsi="Times New Roman" w:cs="Times New Roman"/>
          <w:i/>
          <w:iCs/>
          <w:kern w:val="0"/>
          <w14:ligatures w14:val="none"/>
        </w:rPr>
        <w:t>American Journal of Clinical Pathology, 28</w:t>
      </w:r>
      <w:r w:rsidRPr="00167718">
        <w:rPr>
          <w:rFonts w:ascii="Times New Roman" w:eastAsia="Times New Roman" w:hAnsi="Times New Roman" w:cs="Times New Roman"/>
          <w:kern w:val="0"/>
          <w14:ligatures w14:val="none"/>
        </w:rPr>
        <w:t xml:space="preserve">(1), 56–63. </w:t>
      </w:r>
      <w:hyperlink r:id="rId52" w:history="1">
        <w:r w:rsidRPr="00167718">
          <w:rPr>
            <w:rFonts w:ascii="Times New Roman" w:eastAsia="Times New Roman" w:hAnsi="Times New Roman" w:cs="Times New Roman"/>
            <w:color w:val="0000FF"/>
            <w:kern w:val="0"/>
            <w:u w:val="single"/>
            <w14:ligatures w14:val="none"/>
          </w:rPr>
          <w:t>https://doi.org/10.1093/ajcp/28.1.56</w:t>
        </w:r>
      </w:hyperlink>
    </w:p>
    <w:p w14:paraId="3812CE1A"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167718">
        <w:rPr>
          <w:rFonts w:ascii="Times New Roman" w:eastAsia="Times New Roman" w:hAnsi="Times New Roman" w:cs="Times New Roman"/>
          <w:kern w:val="0"/>
          <w14:ligatures w14:val="none"/>
        </w:rPr>
        <w:t xml:space="preserve">Rockey, D. C. (2001). Hepatic blood flow regulation by stellate cells in normal and injured liver. </w:t>
      </w:r>
      <w:r w:rsidRPr="00167718">
        <w:rPr>
          <w:rFonts w:ascii="Times New Roman" w:eastAsia="Times New Roman" w:hAnsi="Times New Roman" w:cs="Times New Roman"/>
          <w:i/>
          <w:iCs/>
          <w:kern w:val="0"/>
          <w14:ligatures w14:val="none"/>
        </w:rPr>
        <w:t>Seminars in Liver Disease, 21</w:t>
      </w:r>
      <w:r w:rsidRPr="00167718">
        <w:rPr>
          <w:rFonts w:ascii="Times New Roman" w:eastAsia="Times New Roman" w:hAnsi="Times New Roman" w:cs="Times New Roman"/>
          <w:kern w:val="0"/>
          <w14:ligatures w14:val="none"/>
        </w:rPr>
        <w:t xml:space="preserve">(3), 337–350. </w:t>
      </w:r>
      <w:hyperlink r:id="rId53" w:history="1">
        <w:r w:rsidRPr="00167718">
          <w:rPr>
            <w:rFonts w:ascii="Times New Roman" w:eastAsia="Times New Roman" w:hAnsi="Times New Roman" w:cs="Times New Roman"/>
            <w:color w:val="0000FF"/>
            <w:kern w:val="0"/>
            <w:u w:val="single"/>
            <w14:ligatures w14:val="none"/>
          </w:rPr>
          <w:t>https://doi.org/10.1055/s-2001-17551</w:t>
        </w:r>
      </w:hyperlink>
    </w:p>
    <w:p w14:paraId="44798D44"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167718">
        <w:rPr>
          <w:rFonts w:ascii="Times New Roman" w:eastAsia="Times New Roman" w:hAnsi="Times New Roman" w:cs="Times New Roman"/>
          <w:kern w:val="0"/>
          <w14:ligatures w14:val="none"/>
        </w:rPr>
        <w:lastRenderedPageBreak/>
        <w:t xml:space="preserve">Rotruck, J. T., Pope, A. L., Ganther, H. E., Swanson, A. B., Hafeman, D. G., &amp; Hoekstra, W. G. (1973). Selenium: Biochemical role as a component of glutathione peroxidase. </w:t>
      </w:r>
      <w:r w:rsidRPr="00167718">
        <w:rPr>
          <w:rFonts w:ascii="Times New Roman" w:eastAsia="Times New Roman" w:hAnsi="Times New Roman" w:cs="Times New Roman"/>
          <w:i/>
          <w:iCs/>
          <w:kern w:val="0"/>
          <w14:ligatures w14:val="none"/>
        </w:rPr>
        <w:t>Science, 179</w:t>
      </w:r>
      <w:r w:rsidRPr="00167718">
        <w:rPr>
          <w:rFonts w:ascii="Times New Roman" w:eastAsia="Times New Roman" w:hAnsi="Times New Roman" w:cs="Times New Roman"/>
          <w:kern w:val="0"/>
          <w14:ligatures w14:val="none"/>
        </w:rPr>
        <w:t xml:space="preserve">(4073), 588–590. </w:t>
      </w:r>
      <w:hyperlink r:id="rId54" w:history="1">
        <w:r w:rsidRPr="00167718">
          <w:rPr>
            <w:rFonts w:ascii="Times New Roman" w:eastAsia="Times New Roman" w:hAnsi="Times New Roman" w:cs="Times New Roman"/>
            <w:color w:val="0000FF"/>
            <w:kern w:val="0"/>
            <w:u w:val="single"/>
            <w14:ligatures w14:val="none"/>
          </w:rPr>
          <w:t>https://doi.org/10.1126/science.179.4073.588</w:t>
        </w:r>
      </w:hyperlink>
    </w:p>
    <w:p w14:paraId="062D5108"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167718">
        <w:rPr>
          <w:rFonts w:ascii="Times New Roman" w:eastAsia="Times New Roman" w:hAnsi="Times New Roman" w:cs="Times New Roman"/>
          <w:kern w:val="0"/>
          <w14:ligatures w14:val="none"/>
        </w:rPr>
        <w:t xml:space="preserve">Sarkar, S., Ghosh, S., &amp; Biswas, M. (2025). Naringin ameliorates high-fat diet-induced hepatotoxicity and dyslipidemia in an experimental rat model via modulation of antioxidant enzymes, AMPK, and SERBP-1c </w:t>
      </w:r>
      <w:proofErr w:type="spellStart"/>
      <w:r w:rsidRPr="00167718">
        <w:rPr>
          <w:rFonts w:ascii="Times New Roman" w:eastAsia="Times New Roman" w:hAnsi="Times New Roman" w:cs="Times New Roman"/>
          <w:kern w:val="0"/>
          <w14:ligatures w14:val="none"/>
        </w:rPr>
        <w:t>signalling</w:t>
      </w:r>
      <w:proofErr w:type="spellEnd"/>
      <w:r w:rsidRPr="00167718">
        <w:rPr>
          <w:rFonts w:ascii="Times New Roman" w:eastAsia="Times New Roman" w:hAnsi="Times New Roman" w:cs="Times New Roman"/>
          <w:kern w:val="0"/>
          <w14:ligatures w14:val="none"/>
        </w:rPr>
        <w:t xml:space="preserve"> pathways. </w:t>
      </w:r>
      <w:r w:rsidRPr="00167718">
        <w:rPr>
          <w:rFonts w:ascii="Times New Roman" w:eastAsia="Times New Roman" w:hAnsi="Times New Roman" w:cs="Times New Roman"/>
          <w:i/>
          <w:iCs/>
          <w:kern w:val="0"/>
          <w14:ligatures w14:val="none"/>
        </w:rPr>
        <w:t>Toxicology Reports, 14</w:t>
      </w:r>
      <w:r w:rsidRPr="00167718">
        <w:rPr>
          <w:rFonts w:ascii="Times New Roman" w:eastAsia="Times New Roman" w:hAnsi="Times New Roman" w:cs="Times New Roman"/>
          <w:kern w:val="0"/>
          <w14:ligatures w14:val="none"/>
        </w:rPr>
        <w:t xml:space="preserve">, 102062. </w:t>
      </w:r>
      <w:hyperlink r:id="rId55" w:history="1">
        <w:r w:rsidRPr="00167718">
          <w:rPr>
            <w:rFonts w:ascii="Times New Roman" w:eastAsia="Times New Roman" w:hAnsi="Times New Roman" w:cs="Times New Roman"/>
            <w:color w:val="0000FF"/>
            <w:kern w:val="0"/>
            <w:u w:val="single"/>
            <w14:ligatures w14:val="none"/>
          </w:rPr>
          <w:t>https://doi.org/10.1016/j.toxrep.2025.102062</w:t>
        </w:r>
      </w:hyperlink>
    </w:p>
    <w:p w14:paraId="138A65E4"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167718">
        <w:rPr>
          <w:rFonts w:ascii="Times New Roman" w:eastAsia="Times New Roman" w:hAnsi="Times New Roman" w:cs="Times New Roman"/>
          <w:kern w:val="0"/>
          <w14:ligatures w14:val="none"/>
        </w:rPr>
        <w:t xml:space="preserve">Soon, Y. Y., &amp; Tan, B. K. H. (2002). Evaluation of the hypoglycemic and anti-oxidant activities of </w:t>
      </w:r>
      <w:proofErr w:type="spellStart"/>
      <w:r w:rsidRPr="00167718">
        <w:rPr>
          <w:rFonts w:ascii="Times New Roman" w:eastAsia="Times New Roman" w:hAnsi="Times New Roman" w:cs="Times New Roman"/>
          <w:i/>
          <w:iCs/>
          <w:kern w:val="0"/>
          <w14:ligatures w14:val="none"/>
        </w:rPr>
        <w:t>Morinda</w:t>
      </w:r>
      <w:proofErr w:type="spellEnd"/>
      <w:r w:rsidRPr="00167718">
        <w:rPr>
          <w:rFonts w:ascii="Times New Roman" w:eastAsia="Times New Roman" w:hAnsi="Times New Roman" w:cs="Times New Roman"/>
          <w:i/>
          <w:iCs/>
          <w:kern w:val="0"/>
          <w14:ligatures w14:val="none"/>
        </w:rPr>
        <w:t xml:space="preserve"> officinalis</w:t>
      </w:r>
      <w:r w:rsidRPr="00167718">
        <w:rPr>
          <w:rFonts w:ascii="Times New Roman" w:eastAsia="Times New Roman" w:hAnsi="Times New Roman" w:cs="Times New Roman"/>
          <w:kern w:val="0"/>
          <w14:ligatures w14:val="none"/>
        </w:rPr>
        <w:t xml:space="preserve"> in streptozotocin-induced diabetic rats. </w:t>
      </w:r>
      <w:r w:rsidRPr="00167718">
        <w:rPr>
          <w:rFonts w:ascii="Times New Roman" w:eastAsia="Times New Roman" w:hAnsi="Times New Roman" w:cs="Times New Roman"/>
          <w:i/>
          <w:iCs/>
          <w:kern w:val="0"/>
          <w14:ligatures w14:val="none"/>
        </w:rPr>
        <w:t>Singapore Medical Journal, 43</w:t>
      </w:r>
      <w:r w:rsidRPr="00167718">
        <w:rPr>
          <w:rFonts w:ascii="Times New Roman" w:eastAsia="Times New Roman" w:hAnsi="Times New Roman" w:cs="Times New Roman"/>
          <w:kern w:val="0"/>
          <w14:ligatures w14:val="none"/>
        </w:rPr>
        <w:t xml:space="preserve">(2), 77–85. </w:t>
      </w:r>
      <w:hyperlink r:id="rId56" w:history="1">
        <w:r w:rsidRPr="00167718">
          <w:rPr>
            <w:rFonts w:ascii="Times New Roman" w:eastAsia="Times New Roman" w:hAnsi="Times New Roman" w:cs="Times New Roman"/>
            <w:color w:val="0000FF"/>
            <w:kern w:val="0"/>
            <w:u w:val="single"/>
            <w14:ligatures w14:val="none"/>
          </w:rPr>
          <w:t>https://www.smj.org.sg/article/evaluation-hypoglycemic-and-anti-oxidant-activities-morinda-officinalis-streptozotocin</w:t>
        </w:r>
      </w:hyperlink>
    </w:p>
    <w:p w14:paraId="3F73A855"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167718">
        <w:rPr>
          <w:rFonts w:ascii="Times New Roman" w:eastAsia="Times New Roman" w:hAnsi="Times New Roman" w:cs="Times New Roman"/>
          <w:kern w:val="0"/>
          <w14:ligatures w14:val="none"/>
        </w:rPr>
        <w:t xml:space="preserve">Sudhakara, G., Mallaiah, P., Sreenivasulu, N., Sasi Bhusana Rao, B., Rajendran, R., &amp; </w:t>
      </w:r>
      <w:proofErr w:type="spellStart"/>
      <w:r w:rsidRPr="00167718">
        <w:rPr>
          <w:rFonts w:ascii="Times New Roman" w:eastAsia="Times New Roman" w:hAnsi="Times New Roman" w:cs="Times New Roman"/>
          <w:kern w:val="0"/>
          <w14:ligatures w14:val="none"/>
        </w:rPr>
        <w:t>Saralakumari</w:t>
      </w:r>
      <w:proofErr w:type="spellEnd"/>
      <w:r w:rsidRPr="00167718">
        <w:rPr>
          <w:rFonts w:ascii="Times New Roman" w:eastAsia="Times New Roman" w:hAnsi="Times New Roman" w:cs="Times New Roman"/>
          <w:kern w:val="0"/>
          <w14:ligatures w14:val="none"/>
        </w:rPr>
        <w:t xml:space="preserve">, D. (2014). Beneficial effects of hydro-alcoholic extract of </w:t>
      </w:r>
      <w:proofErr w:type="spellStart"/>
      <w:r w:rsidRPr="00167718">
        <w:rPr>
          <w:rFonts w:ascii="Times New Roman" w:eastAsia="Times New Roman" w:hAnsi="Times New Roman" w:cs="Times New Roman"/>
          <w:i/>
          <w:iCs/>
          <w:kern w:val="0"/>
          <w14:ligatures w14:val="none"/>
        </w:rPr>
        <w:t>Caralluma</w:t>
      </w:r>
      <w:proofErr w:type="spellEnd"/>
      <w:r w:rsidRPr="00167718">
        <w:rPr>
          <w:rFonts w:ascii="Times New Roman" w:eastAsia="Times New Roman" w:hAnsi="Times New Roman" w:cs="Times New Roman"/>
          <w:i/>
          <w:iCs/>
          <w:kern w:val="0"/>
          <w14:ligatures w14:val="none"/>
        </w:rPr>
        <w:t xml:space="preserve"> fimbriata</w:t>
      </w:r>
      <w:r w:rsidRPr="00167718">
        <w:rPr>
          <w:rFonts w:ascii="Times New Roman" w:eastAsia="Times New Roman" w:hAnsi="Times New Roman" w:cs="Times New Roman"/>
          <w:kern w:val="0"/>
          <w14:ligatures w14:val="none"/>
        </w:rPr>
        <w:t xml:space="preserve"> against high-fat diet-induced insulin resistance and oxidative stress in Wistar male rats. </w:t>
      </w:r>
      <w:r w:rsidRPr="00167718">
        <w:rPr>
          <w:rFonts w:ascii="Times New Roman" w:eastAsia="Times New Roman" w:hAnsi="Times New Roman" w:cs="Times New Roman"/>
          <w:i/>
          <w:iCs/>
          <w:kern w:val="0"/>
          <w14:ligatures w14:val="none"/>
        </w:rPr>
        <w:t>Journal of Physiology and Biochemistry, 70</w:t>
      </w:r>
      <w:r w:rsidRPr="00167718">
        <w:rPr>
          <w:rFonts w:ascii="Times New Roman" w:eastAsia="Times New Roman" w:hAnsi="Times New Roman" w:cs="Times New Roman"/>
          <w:kern w:val="0"/>
          <w14:ligatures w14:val="none"/>
        </w:rPr>
        <w:t xml:space="preserve">(2), 311–320. </w:t>
      </w:r>
      <w:hyperlink r:id="rId57" w:history="1">
        <w:r w:rsidRPr="00167718">
          <w:rPr>
            <w:rFonts w:ascii="Times New Roman" w:eastAsia="Times New Roman" w:hAnsi="Times New Roman" w:cs="Times New Roman"/>
            <w:color w:val="0000FF"/>
            <w:kern w:val="0"/>
            <w:u w:val="single"/>
            <w14:ligatures w14:val="none"/>
          </w:rPr>
          <w:t>https://doi.org/10.1007/s13105-013-0304-1</w:t>
        </w:r>
      </w:hyperlink>
    </w:p>
    <w:p w14:paraId="530D89D0"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167718">
        <w:rPr>
          <w:rFonts w:ascii="Times New Roman" w:eastAsia="Times New Roman" w:hAnsi="Times New Roman" w:cs="Times New Roman"/>
          <w:kern w:val="0"/>
          <w14:ligatures w14:val="none"/>
        </w:rPr>
        <w:t xml:space="preserve">Sudhakara, G., Mallaiah, P., Rajendran, R., &amp; </w:t>
      </w:r>
      <w:proofErr w:type="spellStart"/>
      <w:r w:rsidRPr="00167718">
        <w:rPr>
          <w:rFonts w:ascii="Times New Roman" w:eastAsia="Times New Roman" w:hAnsi="Times New Roman" w:cs="Times New Roman"/>
          <w:kern w:val="0"/>
          <w14:ligatures w14:val="none"/>
        </w:rPr>
        <w:t>Saralakumari</w:t>
      </w:r>
      <w:proofErr w:type="spellEnd"/>
      <w:r w:rsidRPr="00167718">
        <w:rPr>
          <w:rFonts w:ascii="Times New Roman" w:eastAsia="Times New Roman" w:hAnsi="Times New Roman" w:cs="Times New Roman"/>
          <w:kern w:val="0"/>
          <w14:ligatures w14:val="none"/>
        </w:rPr>
        <w:t xml:space="preserve">, D. (2018). </w:t>
      </w:r>
      <w:proofErr w:type="spellStart"/>
      <w:r w:rsidRPr="00167718">
        <w:rPr>
          <w:rFonts w:ascii="Times New Roman" w:eastAsia="Times New Roman" w:hAnsi="Times New Roman" w:cs="Times New Roman"/>
          <w:i/>
          <w:iCs/>
          <w:kern w:val="0"/>
          <w14:ligatures w14:val="none"/>
        </w:rPr>
        <w:t>Caralluma</w:t>
      </w:r>
      <w:proofErr w:type="spellEnd"/>
      <w:r w:rsidRPr="00167718">
        <w:rPr>
          <w:rFonts w:ascii="Times New Roman" w:eastAsia="Times New Roman" w:hAnsi="Times New Roman" w:cs="Times New Roman"/>
          <w:i/>
          <w:iCs/>
          <w:kern w:val="0"/>
          <w14:ligatures w14:val="none"/>
        </w:rPr>
        <w:t xml:space="preserve"> fimbriata</w:t>
      </w:r>
      <w:r w:rsidRPr="00167718">
        <w:rPr>
          <w:rFonts w:ascii="Times New Roman" w:eastAsia="Times New Roman" w:hAnsi="Times New Roman" w:cs="Times New Roman"/>
          <w:kern w:val="0"/>
          <w14:ligatures w14:val="none"/>
        </w:rPr>
        <w:t xml:space="preserve"> and metformin protection of rat pancreas from high-fat diet-induced oxidative stress. </w:t>
      </w:r>
      <w:r w:rsidRPr="00167718">
        <w:rPr>
          <w:rFonts w:ascii="Times New Roman" w:eastAsia="Times New Roman" w:hAnsi="Times New Roman" w:cs="Times New Roman"/>
          <w:i/>
          <w:iCs/>
          <w:kern w:val="0"/>
          <w14:ligatures w14:val="none"/>
        </w:rPr>
        <w:t>Biotechnic &amp; Histochemistry, 93</w:t>
      </w:r>
      <w:r w:rsidRPr="00167718">
        <w:rPr>
          <w:rFonts w:ascii="Times New Roman" w:eastAsia="Times New Roman" w:hAnsi="Times New Roman" w:cs="Times New Roman"/>
          <w:kern w:val="0"/>
          <w14:ligatures w14:val="none"/>
        </w:rPr>
        <w:t xml:space="preserve">(3), 177–187. </w:t>
      </w:r>
      <w:hyperlink r:id="rId58" w:history="1">
        <w:r w:rsidRPr="00167718">
          <w:rPr>
            <w:rFonts w:ascii="Times New Roman" w:eastAsia="Times New Roman" w:hAnsi="Times New Roman" w:cs="Times New Roman"/>
            <w:color w:val="0000FF"/>
            <w:kern w:val="0"/>
            <w:u w:val="single"/>
            <w14:ligatures w14:val="none"/>
          </w:rPr>
          <w:t>https://doi.org/10.1080/10520295.2017.1406615</w:t>
        </w:r>
      </w:hyperlink>
    </w:p>
    <w:p w14:paraId="496CCE99"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proofErr w:type="spellStart"/>
      <w:r w:rsidRPr="00167718">
        <w:rPr>
          <w:rFonts w:ascii="Times New Roman" w:eastAsia="Times New Roman" w:hAnsi="Times New Roman" w:cs="Times New Roman"/>
          <w:kern w:val="0"/>
          <w14:ligatures w14:val="none"/>
        </w:rPr>
        <w:t>Tramullas</w:t>
      </w:r>
      <w:proofErr w:type="spellEnd"/>
      <w:r w:rsidRPr="00167718">
        <w:rPr>
          <w:rFonts w:ascii="Times New Roman" w:eastAsia="Times New Roman" w:hAnsi="Times New Roman" w:cs="Times New Roman"/>
          <w:kern w:val="0"/>
          <w14:ligatures w14:val="none"/>
        </w:rPr>
        <w:t xml:space="preserve">, M., Finger, B. C., Dinan, T. G., &amp; Cryan, J. F. (2016). Obesity takes its toll on visceral pain: High-fat diet induces Toll-like receptor 4-dependent visceral hypersensitivity. </w:t>
      </w:r>
      <w:r w:rsidRPr="00167718">
        <w:rPr>
          <w:rFonts w:ascii="Times New Roman" w:eastAsia="Times New Roman" w:hAnsi="Times New Roman" w:cs="Times New Roman"/>
          <w:i/>
          <w:iCs/>
          <w:kern w:val="0"/>
          <w14:ligatures w14:val="none"/>
        </w:rPr>
        <w:t>PLOS ONE, 11</w:t>
      </w:r>
      <w:r w:rsidRPr="00167718">
        <w:rPr>
          <w:rFonts w:ascii="Times New Roman" w:eastAsia="Times New Roman" w:hAnsi="Times New Roman" w:cs="Times New Roman"/>
          <w:kern w:val="0"/>
          <w14:ligatures w14:val="none"/>
        </w:rPr>
        <w:t xml:space="preserve">(5), e0155367. </w:t>
      </w:r>
      <w:hyperlink r:id="rId59" w:history="1">
        <w:r w:rsidRPr="00167718">
          <w:rPr>
            <w:rFonts w:ascii="Times New Roman" w:eastAsia="Times New Roman" w:hAnsi="Times New Roman" w:cs="Times New Roman"/>
            <w:color w:val="0000FF"/>
            <w:kern w:val="0"/>
            <w:u w:val="single"/>
            <w14:ligatures w14:val="none"/>
          </w:rPr>
          <w:t>https://doi.org/10.1371/journal.pone.0155367</w:t>
        </w:r>
      </w:hyperlink>
    </w:p>
    <w:p w14:paraId="6E3E9BD8"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167718">
        <w:rPr>
          <w:rFonts w:ascii="Times New Roman" w:eastAsia="Times New Roman" w:hAnsi="Times New Roman" w:cs="Times New Roman"/>
          <w:kern w:val="0"/>
          <w14:ligatures w14:val="none"/>
        </w:rPr>
        <w:t xml:space="preserve">Utley, H. G., Bernheim, F., &amp; Hochstein, P. (1967). Effect of sulfhydryl reagents on peroxidation in microsomes. </w:t>
      </w:r>
      <w:r w:rsidRPr="00167718">
        <w:rPr>
          <w:rFonts w:ascii="Times New Roman" w:eastAsia="Times New Roman" w:hAnsi="Times New Roman" w:cs="Times New Roman"/>
          <w:i/>
          <w:iCs/>
          <w:kern w:val="0"/>
          <w14:ligatures w14:val="none"/>
        </w:rPr>
        <w:t>Archives of Biochemistry and Biophysics, 118</w:t>
      </w:r>
      <w:r w:rsidRPr="00167718">
        <w:rPr>
          <w:rFonts w:ascii="Times New Roman" w:eastAsia="Times New Roman" w:hAnsi="Times New Roman" w:cs="Times New Roman"/>
          <w:kern w:val="0"/>
          <w14:ligatures w14:val="none"/>
        </w:rPr>
        <w:t xml:space="preserve">(1), 29–32. </w:t>
      </w:r>
      <w:hyperlink r:id="rId60" w:history="1">
        <w:r w:rsidRPr="00167718">
          <w:rPr>
            <w:rFonts w:ascii="Times New Roman" w:eastAsia="Times New Roman" w:hAnsi="Times New Roman" w:cs="Times New Roman"/>
            <w:color w:val="0000FF"/>
            <w:kern w:val="0"/>
            <w:u w:val="single"/>
            <w14:ligatures w14:val="none"/>
          </w:rPr>
          <w:t>https://doi.org/10.1016/0003-9861(67)90273-1</w:t>
        </w:r>
      </w:hyperlink>
    </w:p>
    <w:p w14:paraId="72EDAC9F"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167718">
        <w:rPr>
          <w:rFonts w:ascii="Times New Roman" w:eastAsia="Times New Roman" w:hAnsi="Times New Roman" w:cs="Times New Roman"/>
          <w:kern w:val="0"/>
          <w14:ligatures w14:val="none"/>
        </w:rPr>
        <w:t xml:space="preserve">Wilkes, J. J., Bonen, A., &amp; Bell, R. C. (1998). A modified high-fat diet induces insulin resistance in rat skeletal muscle but not adipocytes. </w:t>
      </w:r>
      <w:r w:rsidRPr="00167718">
        <w:rPr>
          <w:rFonts w:ascii="Times New Roman" w:eastAsia="Times New Roman" w:hAnsi="Times New Roman" w:cs="Times New Roman"/>
          <w:i/>
          <w:iCs/>
          <w:kern w:val="0"/>
          <w14:ligatures w14:val="none"/>
        </w:rPr>
        <w:t>American Journal of Physiology-Endocrinology and Metabolism, 275</w:t>
      </w:r>
      <w:r w:rsidRPr="00167718">
        <w:rPr>
          <w:rFonts w:ascii="Times New Roman" w:eastAsia="Times New Roman" w:hAnsi="Times New Roman" w:cs="Times New Roman"/>
          <w:kern w:val="0"/>
          <w14:ligatures w14:val="none"/>
        </w:rPr>
        <w:t xml:space="preserve">(4), E679–E686. </w:t>
      </w:r>
      <w:hyperlink r:id="rId61" w:history="1">
        <w:r w:rsidRPr="00167718">
          <w:rPr>
            <w:rFonts w:ascii="Times New Roman" w:eastAsia="Times New Roman" w:hAnsi="Times New Roman" w:cs="Times New Roman"/>
            <w:color w:val="0000FF"/>
            <w:kern w:val="0"/>
            <w:u w:val="single"/>
            <w14:ligatures w14:val="none"/>
          </w:rPr>
          <w:t>https://doi.org/10.1152/ajpendo.1998.275.4.E679</w:t>
        </w:r>
      </w:hyperlink>
    </w:p>
    <w:p w14:paraId="2304330B"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167718">
        <w:rPr>
          <w:rFonts w:ascii="Times New Roman" w:eastAsia="Times New Roman" w:hAnsi="Times New Roman" w:cs="Times New Roman"/>
          <w:kern w:val="0"/>
          <w14:ligatures w14:val="none"/>
        </w:rPr>
        <w:t xml:space="preserve">Xu, M., Jung, X., Hines, O. J., Eibl, G., &amp; Chen, Y. (2018). Obesity and pancreatic cancer: Overview of epidemiology and potential prevention by weight loss. </w:t>
      </w:r>
      <w:r w:rsidRPr="00167718">
        <w:rPr>
          <w:rFonts w:ascii="Times New Roman" w:eastAsia="Times New Roman" w:hAnsi="Times New Roman" w:cs="Times New Roman"/>
          <w:i/>
          <w:iCs/>
          <w:kern w:val="0"/>
          <w14:ligatures w14:val="none"/>
        </w:rPr>
        <w:t>Pancreas, 47</w:t>
      </w:r>
      <w:r w:rsidRPr="00167718">
        <w:rPr>
          <w:rFonts w:ascii="Times New Roman" w:eastAsia="Times New Roman" w:hAnsi="Times New Roman" w:cs="Times New Roman"/>
          <w:kern w:val="0"/>
          <w14:ligatures w14:val="none"/>
        </w:rPr>
        <w:t xml:space="preserve">(2), 158–162. </w:t>
      </w:r>
      <w:hyperlink r:id="rId62" w:history="1">
        <w:r w:rsidRPr="00167718">
          <w:rPr>
            <w:rFonts w:ascii="Times New Roman" w:eastAsia="Times New Roman" w:hAnsi="Times New Roman" w:cs="Times New Roman"/>
            <w:color w:val="0000FF"/>
            <w:kern w:val="0"/>
            <w:u w:val="single"/>
            <w14:ligatures w14:val="none"/>
          </w:rPr>
          <w:t>https://doi.org/10.1097/MPA.0000000000000974</w:t>
        </w:r>
      </w:hyperlink>
    </w:p>
    <w:p w14:paraId="7326FA65"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167718">
        <w:rPr>
          <w:rFonts w:ascii="Times New Roman" w:eastAsia="Times New Roman" w:hAnsi="Times New Roman" w:cs="Times New Roman"/>
          <w:kern w:val="0"/>
          <w14:ligatures w14:val="none"/>
        </w:rPr>
        <w:t xml:space="preserve">Yalow, R. S., &amp; Berson, S. A. (1961). Immunoassay of plasma insulin in man. </w:t>
      </w:r>
      <w:r w:rsidRPr="00167718">
        <w:rPr>
          <w:rFonts w:ascii="Times New Roman" w:eastAsia="Times New Roman" w:hAnsi="Times New Roman" w:cs="Times New Roman"/>
          <w:i/>
          <w:iCs/>
          <w:kern w:val="0"/>
          <w14:ligatures w14:val="none"/>
        </w:rPr>
        <w:t>Diabetes, 10</w:t>
      </w:r>
      <w:r w:rsidRPr="00167718">
        <w:rPr>
          <w:rFonts w:ascii="Times New Roman" w:eastAsia="Times New Roman" w:hAnsi="Times New Roman" w:cs="Times New Roman"/>
          <w:kern w:val="0"/>
          <w14:ligatures w14:val="none"/>
        </w:rPr>
        <w:t xml:space="preserve">(5), 339–344. </w:t>
      </w:r>
      <w:hyperlink r:id="rId63" w:history="1">
        <w:r w:rsidRPr="00167718">
          <w:rPr>
            <w:rFonts w:ascii="Times New Roman" w:eastAsia="Times New Roman" w:hAnsi="Times New Roman" w:cs="Times New Roman"/>
            <w:color w:val="0000FF"/>
            <w:kern w:val="0"/>
            <w:u w:val="single"/>
            <w14:ligatures w14:val="none"/>
          </w:rPr>
          <w:t>https://doi.org/10.2337/diab.10.5.339</w:t>
        </w:r>
      </w:hyperlink>
    </w:p>
    <w:p w14:paraId="3960E6E2" w14:textId="77777777" w:rsidR="00167718" w:rsidRPr="00167718" w:rsidRDefault="00167718" w:rsidP="00167718">
      <w:pPr>
        <w:spacing w:before="100" w:beforeAutospacing="1" w:after="100" w:afterAutospacing="1" w:line="240" w:lineRule="auto"/>
        <w:ind w:left="540" w:hanging="540"/>
        <w:jc w:val="both"/>
        <w:rPr>
          <w:rFonts w:ascii="Times New Roman" w:eastAsia="Times New Roman" w:hAnsi="Times New Roman" w:cs="Times New Roman"/>
          <w:kern w:val="0"/>
          <w14:ligatures w14:val="none"/>
        </w:rPr>
      </w:pPr>
      <w:r w:rsidRPr="00167718">
        <w:rPr>
          <w:rFonts w:ascii="Times New Roman" w:eastAsia="Times New Roman" w:hAnsi="Times New Roman" w:cs="Times New Roman"/>
          <w:kern w:val="0"/>
          <w14:ligatures w14:val="none"/>
        </w:rPr>
        <w:t xml:space="preserve">Yasmin, T., Menon, S. N., Pandey, A., Siddiqua, S., </w:t>
      </w:r>
      <w:proofErr w:type="spellStart"/>
      <w:r w:rsidRPr="00167718">
        <w:rPr>
          <w:rFonts w:ascii="Times New Roman" w:eastAsia="Times New Roman" w:hAnsi="Times New Roman" w:cs="Times New Roman"/>
          <w:kern w:val="0"/>
          <w14:ligatures w14:val="none"/>
        </w:rPr>
        <w:t>Kuddus</w:t>
      </w:r>
      <w:proofErr w:type="spellEnd"/>
      <w:r w:rsidRPr="00167718">
        <w:rPr>
          <w:rFonts w:ascii="Times New Roman" w:eastAsia="Times New Roman" w:hAnsi="Times New Roman" w:cs="Times New Roman"/>
          <w:kern w:val="0"/>
          <w14:ligatures w14:val="none"/>
        </w:rPr>
        <w:t xml:space="preserve">, S. A., Rahman, M. M., Khan, F., Hoque, N., Rana, M. S., Subhan, N., Habibi, E., Ramezani, F., Sarker, S. D., Nahar, L., Alam, M. A., &amp; Hasan, R. (2025). Resveratrol attenuates hepatic oxidative stress and preserves gut </w:t>
      </w:r>
      <w:r w:rsidRPr="00167718">
        <w:rPr>
          <w:rFonts w:ascii="Times New Roman" w:eastAsia="Times New Roman" w:hAnsi="Times New Roman" w:cs="Times New Roman"/>
          <w:kern w:val="0"/>
          <w14:ligatures w14:val="none"/>
        </w:rPr>
        <w:lastRenderedPageBreak/>
        <w:t xml:space="preserve">mucosal integrity in high-fat diet-fed rats by modulating antioxidant and anti-inflammatory pathways. </w:t>
      </w:r>
      <w:r w:rsidRPr="00167718">
        <w:rPr>
          <w:rFonts w:ascii="Times New Roman" w:eastAsia="Times New Roman" w:hAnsi="Times New Roman" w:cs="Times New Roman"/>
          <w:i/>
          <w:iCs/>
          <w:kern w:val="0"/>
          <w14:ligatures w14:val="none"/>
        </w:rPr>
        <w:t>Scientific Reports, 15</w:t>
      </w:r>
      <w:r w:rsidRPr="00167718">
        <w:rPr>
          <w:rFonts w:ascii="Times New Roman" w:eastAsia="Times New Roman" w:hAnsi="Times New Roman" w:cs="Times New Roman"/>
          <w:kern w:val="0"/>
          <w14:ligatures w14:val="none"/>
        </w:rPr>
        <w:t xml:space="preserve">, 25162. </w:t>
      </w:r>
      <w:hyperlink r:id="rId64" w:history="1">
        <w:r w:rsidRPr="00167718">
          <w:rPr>
            <w:rFonts w:ascii="Times New Roman" w:eastAsia="Times New Roman" w:hAnsi="Times New Roman" w:cs="Times New Roman"/>
            <w:color w:val="0000FF"/>
            <w:kern w:val="0"/>
            <w:u w:val="single"/>
            <w14:ligatures w14:val="none"/>
          </w:rPr>
          <w:t>https://doi.org/10.1038/s41598-025-08450-z</w:t>
        </w:r>
      </w:hyperlink>
    </w:p>
    <w:p w14:paraId="1BFB06CA" w14:textId="5FC731AB" w:rsidR="0047660E" w:rsidRDefault="0047660E" w:rsidP="00167718">
      <w:pPr>
        <w:spacing w:after="0" w:line="240" w:lineRule="auto"/>
        <w:ind w:left="720" w:hanging="720"/>
        <w:jc w:val="both"/>
        <w:rPr>
          <w:rFonts w:ascii="Times New Roman" w:hAnsi="Times New Roman" w:cs="Times New Roman"/>
          <w:shd w:val="clear" w:color="auto" w:fill="FFFFFF"/>
        </w:rPr>
      </w:pPr>
    </w:p>
    <w:sectPr w:rsidR="0047660E">
      <w:headerReference w:type="even" r:id="rId65"/>
      <w:headerReference w:type="default" r:id="rId66"/>
      <w:footerReference w:type="even" r:id="rId67"/>
      <w:footerReference w:type="default" r:id="rId68"/>
      <w:headerReference w:type="first" r:id="rId69"/>
      <w:footerReference w:type="first" r:id="rId7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14FEE" w14:textId="77777777" w:rsidR="005865DC" w:rsidRDefault="005865DC" w:rsidP="00F46F87">
      <w:pPr>
        <w:spacing w:after="0" w:line="240" w:lineRule="auto"/>
      </w:pPr>
      <w:r>
        <w:separator/>
      </w:r>
    </w:p>
  </w:endnote>
  <w:endnote w:type="continuationSeparator" w:id="0">
    <w:p w14:paraId="02E2336A" w14:textId="77777777" w:rsidR="005865DC" w:rsidRDefault="005865DC" w:rsidP="00F46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haris SIL">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2053F" w14:textId="77777777" w:rsidR="00F46F87" w:rsidRDefault="00F46F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48C8C" w14:textId="77777777" w:rsidR="00F46F87" w:rsidRDefault="00F46F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00567" w14:textId="77777777" w:rsidR="00F46F87" w:rsidRDefault="00F46F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0C668" w14:textId="77777777" w:rsidR="005865DC" w:rsidRDefault="005865DC" w:rsidP="00F46F87">
      <w:pPr>
        <w:spacing w:after="0" w:line="240" w:lineRule="auto"/>
      </w:pPr>
      <w:r>
        <w:separator/>
      </w:r>
    </w:p>
  </w:footnote>
  <w:footnote w:type="continuationSeparator" w:id="0">
    <w:p w14:paraId="01F1EBF7" w14:textId="77777777" w:rsidR="005865DC" w:rsidRDefault="005865DC" w:rsidP="00F46F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91D13" w14:textId="77777777" w:rsidR="00F46F87" w:rsidRDefault="00000000">
    <w:pPr>
      <w:pStyle w:val="Header"/>
    </w:pPr>
    <w:r>
      <w:rPr>
        <w:noProof/>
      </w:rPr>
      <w:pict w14:anchorId="43DD31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7434251"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218FF" w14:textId="77777777" w:rsidR="00F46F87" w:rsidRDefault="00000000">
    <w:pPr>
      <w:pStyle w:val="Header"/>
    </w:pPr>
    <w:r>
      <w:rPr>
        <w:noProof/>
      </w:rPr>
      <w:pict w14:anchorId="3B28F8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7434252"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43E9A" w14:textId="77777777" w:rsidR="00F46F87" w:rsidRDefault="00000000">
    <w:pPr>
      <w:pStyle w:val="Header"/>
    </w:pPr>
    <w:r>
      <w:rPr>
        <w:noProof/>
      </w:rPr>
      <w:pict w14:anchorId="3D7C18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7434250"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24448"/>
    <w:multiLevelType w:val="multilevel"/>
    <w:tmpl w:val="9D1481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4D1E67"/>
    <w:multiLevelType w:val="hybridMultilevel"/>
    <w:tmpl w:val="394A4B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980472"/>
    <w:multiLevelType w:val="multilevel"/>
    <w:tmpl w:val="5ABC6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7B6F96"/>
    <w:multiLevelType w:val="multilevel"/>
    <w:tmpl w:val="192CE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2811242">
    <w:abstractNumId w:val="0"/>
  </w:num>
  <w:num w:numId="2" w16cid:durableId="724375287">
    <w:abstractNumId w:val="3"/>
  </w:num>
  <w:num w:numId="3" w16cid:durableId="721489817">
    <w:abstractNumId w:val="2"/>
  </w:num>
  <w:num w:numId="4" w16cid:durableId="11193011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A5D"/>
    <w:rsid w:val="00005DC0"/>
    <w:rsid w:val="00006D70"/>
    <w:rsid w:val="00013AA9"/>
    <w:rsid w:val="0003444D"/>
    <w:rsid w:val="00074D26"/>
    <w:rsid w:val="00076377"/>
    <w:rsid w:val="00077010"/>
    <w:rsid w:val="00077DA9"/>
    <w:rsid w:val="000B1514"/>
    <w:rsid w:val="000C2A3D"/>
    <w:rsid w:val="000D1B53"/>
    <w:rsid w:val="000D78C6"/>
    <w:rsid w:val="000E0FAA"/>
    <w:rsid w:val="000F4A5D"/>
    <w:rsid w:val="00100250"/>
    <w:rsid w:val="001149FE"/>
    <w:rsid w:val="001249EB"/>
    <w:rsid w:val="00126F4E"/>
    <w:rsid w:val="00144401"/>
    <w:rsid w:val="00153B74"/>
    <w:rsid w:val="00160792"/>
    <w:rsid w:val="00167718"/>
    <w:rsid w:val="001753F3"/>
    <w:rsid w:val="001909CD"/>
    <w:rsid w:val="001A3671"/>
    <w:rsid w:val="001B4C67"/>
    <w:rsid w:val="001B55AF"/>
    <w:rsid w:val="001C0027"/>
    <w:rsid w:val="001C0C80"/>
    <w:rsid w:val="001C31F3"/>
    <w:rsid w:val="001D09FB"/>
    <w:rsid w:val="001F735A"/>
    <w:rsid w:val="001F7EAF"/>
    <w:rsid w:val="00204607"/>
    <w:rsid w:val="00233641"/>
    <w:rsid w:val="002352FB"/>
    <w:rsid w:val="002574CA"/>
    <w:rsid w:val="00266117"/>
    <w:rsid w:val="00273361"/>
    <w:rsid w:val="00285CDB"/>
    <w:rsid w:val="002A49BB"/>
    <w:rsid w:val="002A743B"/>
    <w:rsid w:val="002B5FD2"/>
    <w:rsid w:val="002C36CC"/>
    <w:rsid w:val="002C7180"/>
    <w:rsid w:val="002D0A4C"/>
    <w:rsid w:val="002E0FBC"/>
    <w:rsid w:val="002E1486"/>
    <w:rsid w:val="002F7BEB"/>
    <w:rsid w:val="00300864"/>
    <w:rsid w:val="003008E5"/>
    <w:rsid w:val="00301BD4"/>
    <w:rsid w:val="00304434"/>
    <w:rsid w:val="00305846"/>
    <w:rsid w:val="00310FA4"/>
    <w:rsid w:val="0031689C"/>
    <w:rsid w:val="00322009"/>
    <w:rsid w:val="003242DB"/>
    <w:rsid w:val="00326742"/>
    <w:rsid w:val="00327BB1"/>
    <w:rsid w:val="003342DE"/>
    <w:rsid w:val="00341C30"/>
    <w:rsid w:val="003563AB"/>
    <w:rsid w:val="00361C16"/>
    <w:rsid w:val="00380A95"/>
    <w:rsid w:val="003A1552"/>
    <w:rsid w:val="003B566D"/>
    <w:rsid w:val="003C5432"/>
    <w:rsid w:val="00457E9F"/>
    <w:rsid w:val="0047660E"/>
    <w:rsid w:val="004807AF"/>
    <w:rsid w:val="004A3F21"/>
    <w:rsid w:val="004A7954"/>
    <w:rsid w:val="004B676C"/>
    <w:rsid w:val="004C12EE"/>
    <w:rsid w:val="004C4342"/>
    <w:rsid w:val="004D5F78"/>
    <w:rsid w:val="004E7813"/>
    <w:rsid w:val="00503C31"/>
    <w:rsid w:val="0050735E"/>
    <w:rsid w:val="005263FF"/>
    <w:rsid w:val="00532DC6"/>
    <w:rsid w:val="005512B9"/>
    <w:rsid w:val="005554DE"/>
    <w:rsid w:val="00570E06"/>
    <w:rsid w:val="005865DC"/>
    <w:rsid w:val="0059766B"/>
    <w:rsid w:val="005A3D5C"/>
    <w:rsid w:val="005A605D"/>
    <w:rsid w:val="005B7F08"/>
    <w:rsid w:val="00611AAD"/>
    <w:rsid w:val="006143E0"/>
    <w:rsid w:val="00626911"/>
    <w:rsid w:val="00633C10"/>
    <w:rsid w:val="00640D46"/>
    <w:rsid w:val="00641566"/>
    <w:rsid w:val="00657FF1"/>
    <w:rsid w:val="006702D8"/>
    <w:rsid w:val="006836D6"/>
    <w:rsid w:val="00687ED0"/>
    <w:rsid w:val="006A1B48"/>
    <w:rsid w:val="006B3488"/>
    <w:rsid w:val="006C593A"/>
    <w:rsid w:val="006F3EBB"/>
    <w:rsid w:val="006F6930"/>
    <w:rsid w:val="00713B29"/>
    <w:rsid w:val="007144F9"/>
    <w:rsid w:val="007258A7"/>
    <w:rsid w:val="00741B09"/>
    <w:rsid w:val="007936F3"/>
    <w:rsid w:val="0079653E"/>
    <w:rsid w:val="007C7736"/>
    <w:rsid w:val="007D303C"/>
    <w:rsid w:val="007E427F"/>
    <w:rsid w:val="007F12A7"/>
    <w:rsid w:val="00801EB2"/>
    <w:rsid w:val="008101EC"/>
    <w:rsid w:val="00815E5B"/>
    <w:rsid w:val="00820464"/>
    <w:rsid w:val="008211AB"/>
    <w:rsid w:val="00823D13"/>
    <w:rsid w:val="0082414C"/>
    <w:rsid w:val="00825B38"/>
    <w:rsid w:val="00833223"/>
    <w:rsid w:val="0085011A"/>
    <w:rsid w:val="00860B59"/>
    <w:rsid w:val="0088204A"/>
    <w:rsid w:val="008827A9"/>
    <w:rsid w:val="008A7E80"/>
    <w:rsid w:val="008B1EA5"/>
    <w:rsid w:val="008B3C76"/>
    <w:rsid w:val="008C40B5"/>
    <w:rsid w:val="008C4ACD"/>
    <w:rsid w:val="00915FC2"/>
    <w:rsid w:val="00927EDA"/>
    <w:rsid w:val="009403E8"/>
    <w:rsid w:val="00957F22"/>
    <w:rsid w:val="00966017"/>
    <w:rsid w:val="00970C91"/>
    <w:rsid w:val="00977BC0"/>
    <w:rsid w:val="009A34AA"/>
    <w:rsid w:val="009A5473"/>
    <w:rsid w:val="009B508F"/>
    <w:rsid w:val="009C3B8C"/>
    <w:rsid w:val="009E06CB"/>
    <w:rsid w:val="00A11391"/>
    <w:rsid w:val="00A365C5"/>
    <w:rsid w:val="00A50752"/>
    <w:rsid w:val="00A514F1"/>
    <w:rsid w:val="00AA0329"/>
    <w:rsid w:val="00AB35C5"/>
    <w:rsid w:val="00AB46B0"/>
    <w:rsid w:val="00AD48AB"/>
    <w:rsid w:val="00AF68A9"/>
    <w:rsid w:val="00B12E97"/>
    <w:rsid w:val="00B27B2C"/>
    <w:rsid w:val="00B32ABA"/>
    <w:rsid w:val="00B43347"/>
    <w:rsid w:val="00B47A4B"/>
    <w:rsid w:val="00B51015"/>
    <w:rsid w:val="00B57793"/>
    <w:rsid w:val="00B84999"/>
    <w:rsid w:val="00BB41B2"/>
    <w:rsid w:val="00BC6E73"/>
    <w:rsid w:val="00BD3F2E"/>
    <w:rsid w:val="00C04B23"/>
    <w:rsid w:val="00C1056C"/>
    <w:rsid w:val="00C11DE4"/>
    <w:rsid w:val="00C15C90"/>
    <w:rsid w:val="00C409F5"/>
    <w:rsid w:val="00C44F19"/>
    <w:rsid w:val="00C457D1"/>
    <w:rsid w:val="00C47244"/>
    <w:rsid w:val="00C86B51"/>
    <w:rsid w:val="00C873FD"/>
    <w:rsid w:val="00C8764D"/>
    <w:rsid w:val="00C9541D"/>
    <w:rsid w:val="00C96837"/>
    <w:rsid w:val="00CB65FB"/>
    <w:rsid w:val="00CE0A3A"/>
    <w:rsid w:val="00D14FF5"/>
    <w:rsid w:val="00D25D5F"/>
    <w:rsid w:val="00D53AE0"/>
    <w:rsid w:val="00D676EB"/>
    <w:rsid w:val="00D74FED"/>
    <w:rsid w:val="00D95959"/>
    <w:rsid w:val="00DA53BC"/>
    <w:rsid w:val="00DC3332"/>
    <w:rsid w:val="00DD2975"/>
    <w:rsid w:val="00DE7E45"/>
    <w:rsid w:val="00E161CF"/>
    <w:rsid w:val="00E37126"/>
    <w:rsid w:val="00E84921"/>
    <w:rsid w:val="00EA6D20"/>
    <w:rsid w:val="00EA77FA"/>
    <w:rsid w:val="00ED49E7"/>
    <w:rsid w:val="00EE5312"/>
    <w:rsid w:val="00EE5877"/>
    <w:rsid w:val="00EF794B"/>
    <w:rsid w:val="00F241D2"/>
    <w:rsid w:val="00F46F87"/>
    <w:rsid w:val="00F576D3"/>
    <w:rsid w:val="00FA13D4"/>
    <w:rsid w:val="00FA68ED"/>
    <w:rsid w:val="00FC3BAE"/>
    <w:rsid w:val="00FC5F1B"/>
    <w:rsid w:val="00FE09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7F0E01"/>
  <w15:chartTrackingRefBased/>
  <w15:docId w15:val="{D0E4D8AE-D668-49D1-943F-2490E9D3D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4A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F4A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4A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4A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4A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4A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4A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4A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4A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4A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F4A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4A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4A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4A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4A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4A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4A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4A5D"/>
    <w:rPr>
      <w:rFonts w:eastAsiaTheme="majorEastAsia" w:cstheme="majorBidi"/>
      <w:color w:val="272727" w:themeColor="text1" w:themeTint="D8"/>
    </w:rPr>
  </w:style>
  <w:style w:type="paragraph" w:styleId="Title">
    <w:name w:val="Title"/>
    <w:basedOn w:val="Normal"/>
    <w:next w:val="Normal"/>
    <w:link w:val="TitleChar"/>
    <w:uiPriority w:val="10"/>
    <w:qFormat/>
    <w:rsid w:val="000F4A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4A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4A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4A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4A5D"/>
    <w:pPr>
      <w:spacing w:before="160"/>
      <w:jc w:val="center"/>
    </w:pPr>
    <w:rPr>
      <w:i/>
      <w:iCs/>
      <w:color w:val="404040" w:themeColor="text1" w:themeTint="BF"/>
    </w:rPr>
  </w:style>
  <w:style w:type="character" w:customStyle="1" w:styleId="QuoteChar">
    <w:name w:val="Quote Char"/>
    <w:basedOn w:val="DefaultParagraphFont"/>
    <w:link w:val="Quote"/>
    <w:uiPriority w:val="29"/>
    <w:rsid w:val="000F4A5D"/>
    <w:rPr>
      <w:i/>
      <w:iCs/>
      <w:color w:val="404040" w:themeColor="text1" w:themeTint="BF"/>
    </w:rPr>
  </w:style>
  <w:style w:type="paragraph" w:styleId="ListParagraph">
    <w:name w:val="List Paragraph"/>
    <w:basedOn w:val="Normal"/>
    <w:uiPriority w:val="34"/>
    <w:qFormat/>
    <w:rsid w:val="000F4A5D"/>
    <w:pPr>
      <w:ind w:left="720"/>
      <w:contextualSpacing/>
    </w:pPr>
  </w:style>
  <w:style w:type="character" w:styleId="IntenseEmphasis">
    <w:name w:val="Intense Emphasis"/>
    <w:basedOn w:val="DefaultParagraphFont"/>
    <w:uiPriority w:val="21"/>
    <w:qFormat/>
    <w:rsid w:val="000F4A5D"/>
    <w:rPr>
      <w:i/>
      <w:iCs/>
      <w:color w:val="0F4761" w:themeColor="accent1" w:themeShade="BF"/>
    </w:rPr>
  </w:style>
  <w:style w:type="paragraph" w:styleId="IntenseQuote">
    <w:name w:val="Intense Quote"/>
    <w:basedOn w:val="Normal"/>
    <w:next w:val="Normal"/>
    <w:link w:val="IntenseQuoteChar"/>
    <w:uiPriority w:val="30"/>
    <w:qFormat/>
    <w:rsid w:val="000F4A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4A5D"/>
    <w:rPr>
      <w:i/>
      <w:iCs/>
      <w:color w:val="0F4761" w:themeColor="accent1" w:themeShade="BF"/>
    </w:rPr>
  </w:style>
  <w:style w:type="character" w:styleId="IntenseReference">
    <w:name w:val="Intense Reference"/>
    <w:basedOn w:val="DefaultParagraphFont"/>
    <w:uiPriority w:val="32"/>
    <w:qFormat/>
    <w:rsid w:val="000F4A5D"/>
    <w:rPr>
      <w:b/>
      <w:bCs/>
      <w:smallCaps/>
      <w:color w:val="0F4761" w:themeColor="accent1" w:themeShade="BF"/>
      <w:spacing w:val="5"/>
    </w:rPr>
  </w:style>
  <w:style w:type="paragraph" w:customStyle="1" w:styleId="Authornames">
    <w:name w:val="Author names"/>
    <w:basedOn w:val="Normal"/>
    <w:next w:val="Normal"/>
    <w:qFormat/>
    <w:rsid w:val="000F4A5D"/>
    <w:pPr>
      <w:spacing w:before="240" w:after="0" w:line="360" w:lineRule="auto"/>
      <w:jc w:val="both"/>
    </w:pPr>
    <w:rPr>
      <w:rFonts w:ascii="Times New Roman" w:eastAsia="Times New Roman" w:hAnsi="Times New Roman" w:cs="Times New Roman"/>
      <w:kern w:val="0"/>
      <w:sz w:val="28"/>
      <w:lang w:val="en-GB" w:eastAsia="en-GB"/>
      <w14:ligatures w14:val="none"/>
    </w:rPr>
  </w:style>
  <w:style w:type="paragraph" w:customStyle="1" w:styleId="Affiliation">
    <w:name w:val="Affiliation"/>
    <w:basedOn w:val="Normal"/>
    <w:qFormat/>
    <w:rsid w:val="000F4A5D"/>
    <w:pPr>
      <w:spacing w:before="240" w:after="0" w:line="360" w:lineRule="auto"/>
      <w:jc w:val="both"/>
    </w:pPr>
    <w:rPr>
      <w:rFonts w:ascii="Times New Roman" w:eastAsia="Times New Roman" w:hAnsi="Times New Roman" w:cs="Times New Roman"/>
      <w:i/>
      <w:kern w:val="0"/>
      <w:lang w:val="en-GB" w:eastAsia="en-GB"/>
      <w14:ligatures w14:val="none"/>
    </w:rPr>
  </w:style>
  <w:style w:type="character" w:styleId="Hyperlink">
    <w:name w:val="Hyperlink"/>
    <w:basedOn w:val="DefaultParagraphFont"/>
    <w:uiPriority w:val="99"/>
    <w:unhideWhenUsed/>
    <w:rsid w:val="000F4A5D"/>
    <w:rPr>
      <w:color w:val="0000FF"/>
      <w:u w:val="single"/>
    </w:rPr>
  </w:style>
  <w:style w:type="paragraph" w:styleId="NormalWeb">
    <w:name w:val="Normal (Web)"/>
    <w:basedOn w:val="Normal"/>
    <w:uiPriority w:val="99"/>
    <w:unhideWhenUsed/>
    <w:rsid w:val="00801EB2"/>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Default">
    <w:name w:val="Default"/>
    <w:rsid w:val="00970C91"/>
    <w:pPr>
      <w:autoSpaceDE w:val="0"/>
      <w:autoSpaceDN w:val="0"/>
      <w:adjustRightInd w:val="0"/>
      <w:spacing w:after="0" w:line="240" w:lineRule="auto"/>
    </w:pPr>
    <w:rPr>
      <w:rFonts w:ascii="Charis SIL" w:hAnsi="Charis SIL" w:cs="Charis SIL"/>
      <w:color w:val="000000"/>
      <w:kern w:val="0"/>
      <w:lang w:val="en-IN"/>
      <w14:ligatures w14:val="none"/>
    </w:rPr>
  </w:style>
  <w:style w:type="character" w:styleId="Emphasis">
    <w:name w:val="Emphasis"/>
    <w:basedOn w:val="DefaultParagraphFont"/>
    <w:uiPriority w:val="20"/>
    <w:qFormat/>
    <w:rsid w:val="00C44F19"/>
    <w:rPr>
      <w:i/>
      <w:iCs/>
    </w:rPr>
  </w:style>
  <w:style w:type="character" w:customStyle="1" w:styleId="html-italic">
    <w:name w:val="html-italic"/>
    <w:basedOn w:val="DefaultParagraphFont"/>
    <w:rsid w:val="00C44F19"/>
  </w:style>
  <w:style w:type="character" w:customStyle="1" w:styleId="ref-journal">
    <w:name w:val="ref-journal"/>
    <w:basedOn w:val="DefaultParagraphFont"/>
    <w:rsid w:val="00C44F19"/>
  </w:style>
  <w:style w:type="character" w:customStyle="1" w:styleId="ref-vol">
    <w:name w:val="ref-vol"/>
    <w:basedOn w:val="DefaultParagraphFont"/>
    <w:rsid w:val="00C44F19"/>
  </w:style>
  <w:style w:type="table" w:styleId="TableGrid">
    <w:name w:val="Table Grid"/>
    <w:basedOn w:val="TableNormal"/>
    <w:uiPriority w:val="59"/>
    <w:rsid w:val="002352FB"/>
    <w:pPr>
      <w:spacing w:after="0" w:line="240" w:lineRule="auto"/>
    </w:pPr>
    <w:rPr>
      <w:kern w:val="0"/>
      <w:sz w:val="22"/>
      <w:szCs w:val="22"/>
      <w:lang w:val="en-IN"/>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D25D5F"/>
    <w:rPr>
      <w:color w:val="605E5C"/>
      <w:shd w:val="clear" w:color="auto" w:fill="E1DFDD"/>
    </w:rPr>
  </w:style>
  <w:style w:type="paragraph" w:styleId="Header">
    <w:name w:val="header"/>
    <w:basedOn w:val="Normal"/>
    <w:link w:val="HeaderChar"/>
    <w:uiPriority w:val="99"/>
    <w:unhideWhenUsed/>
    <w:rsid w:val="00F46F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6F87"/>
  </w:style>
  <w:style w:type="paragraph" w:styleId="Footer">
    <w:name w:val="footer"/>
    <w:basedOn w:val="Normal"/>
    <w:link w:val="FooterChar"/>
    <w:uiPriority w:val="99"/>
    <w:unhideWhenUsed/>
    <w:rsid w:val="00F46F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6F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16/0003-9861(59)90090-6" TargetMode="External"/><Relationship Id="rId21" Type="http://schemas.openxmlformats.org/officeDocument/2006/relationships/hyperlink" Target="https://doi.org/10.1210/jc.2004-0535" TargetMode="External"/><Relationship Id="rId42" Type="http://schemas.openxmlformats.org/officeDocument/2006/relationships/hyperlink" Target="https://doi.org/10.1016/S0021-9258(19)52451-6" TargetMode="External"/><Relationship Id="rId47" Type="http://schemas.openxmlformats.org/officeDocument/2006/relationships/hyperlink" Target="https://doi.org/10.56557/jomahr/2025/v10i29825" TargetMode="External"/><Relationship Id="rId63" Type="http://schemas.openxmlformats.org/officeDocument/2006/relationships/hyperlink" Target="https://doi.org/10.2337/diab.10.5.339" TargetMode="External"/><Relationship Id="rId68" Type="http://schemas.openxmlformats.org/officeDocument/2006/relationships/footer" Target="footer2.xml"/><Relationship Id="rId7" Type="http://schemas.openxmlformats.org/officeDocument/2006/relationships/image" Target="media/image1.jpeg"/><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9734/jpri/2025/v37i67699" TargetMode="External"/><Relationship Id="rId29" Type="http://schemas.openxmlformats.org/officeDocument/2006/relationships/hyperlink" Target="https://doi.org/10.3390/ijms21176275" TargetMode="External"/><Relationship Id="rId11" Type="http://schemas.openxmlformats.org/officeDocument/2006/relationships/image" Target="media/image5.jpeg"/><Relationship Id="rId24" Type="http://schemas.openxmlformats.org/officeDocument/2006/relationships/hyperlink" Target="https://doi.org/10.2307/3001478" TargetMode="External"/><Relationship Id="rId32" Type="http://schemas.openxmlformats.org/officeDocument/2006/relationships/hyperlink" Target="https://doi.org/10.1016/j.biopha.2017.06.016" TargetMode="External"/><Relationship Id="rId37" Type="http://schemas.openxmlformats.org/officeDocument/2006/relationships/hyperlink" Target="https://doi.org/10.2337/diab.40.11.1397" TargetMode="External"/><Relationship Id="rId40" Type="http://schemas.openxmlformats.org/officeDocument/2006/relationships/hyperlink" Target="https://doi.org/10.1016/0076-6879(90)86141-H" TargetMode="External"/><Relationship Id="rId45" Type="http://schemas.openxmlformats.org/officeDocument/2006/relationships/hyperlink" Target="https://doi.org/10.1038/414821a" TargetMode="External"/><Relationship Id="rId53" Type="http://schemas.openxmlformats.org/officeDocument/2006/relationships/hyperlink" Target="https://doi.org/10.1055/s-2001-17551" TargetMode="External"/><Relationship Id="rId58" Type="http://schemas.openxmlformats.org/officeDocument/2006/relationships/hyperlink" Target="https://doi.org/10.1080/10520295.2017.1406615" TargetMode="External"/><Relationship Id="rId66" Type="http://schemas.openxmlformats.org/officeDocument/2006/relationships/header" Target="header2.xml"/><Relationship Id="rId5" Type="http://schemas.openxmlformats.org/officeDocument/2006/relationships/footnotes" Target="footnotes.xml"/><Relationship Id="rId61" Type="http://schemas.openxmlformats.org/officeDocument/2006/relationships/hyperlink" Target="https://doi.org/10.1152/ajpendo.1998.275.4.E679" TargetMode="External"/><Relationship Id="rId19" Type="http://schemas.openxmlformats.org/officeDocument/2006/relationships/hyperlink" Target="https://doi.org/10.1016/j.jhep.2011.08.025" TargetMode="External"/><Relationship Id="rId14" Type="http://schemas.openxmlformats.org/officeDocument/2006/relationships/image" Target="media/image8.jpeg"/><Relationship Id="rId22" Type="http://schemas.openxmlformats.org/officeDocument/2006/relationships/hyperlink" Target="https://doi.org/10.1007/BF01324898" TargetMode="External"/><Relationship Id="rId27" Type="http://schemas.openxmlformats.org/officeDocument/2006/relationships/hyperlink" Target="https://doi.org/10.1016/S0021-9258(18)64849-5" TargetMode="External"/><Relationship Id="rId30" Type="http://schemas.openxmlformats.org/officeDocument/2006/relationships/hyperlink" Target="https://doi.org/10.1503/cmaj.1040752" TargetMode="External"/><Relationship Id="rId35" Type="http://schemas.openxmlformats.org/officeDocument/2006/relationships/hyperlink" Target="https://doi.org/10.1016/S0021-9258(19)42083-8" TargetMode="External"/><Relationship Id="rId43" Type="http://schemas.openxmlformats.org/officeDocument/2006/relationships/hyperlink" Target="https://doi.org/10.1089/met.2015.0095" TargetMode="External"/><Relationship Id="rId48" Type="http://schemas.openxmlformats.org/officeDocument/2006/relationships/hyperlink" Target="https://doi.org/10.1186/s41043-018-0152-2" TargetMode="External"/><Relationship Id="rId56" Type="http://schemas.openxmlformats.org/officeDocument/2006/relationships/hyperlink" Target="https://www.smj.org.sg/article/evaluation-hypoglycemic-and-anti-oxidant-activities-morinda-officinalis-streptozotocin" TargetMode="External"/><Relationship Id="rId64" Type="http://schemas.openxmlformats.org/officeDocument/2006/relationships/hyperlink" Target="https://doi.org/10.1038/s41598-025-08450-z" TargetMode="External"/><Relationship Id="rId69" Type="http://schemas.openxmlformats.org/officeDocument/2006/relationships/header" Target="header3.xml"/><Relationship Id="rId8" Type="http://schemas.openxmlformats.org/officeDocument/2006/relationships/image" Target="media/image2.jpeg"/><Relationship Id="rId51" Type="http://schemas.openxmlformats.org/officeDocument/2006/relationships/hyperlink" Target="https://doi.org/10.1042/bj1120109" TargetMode="External"/><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hyperlink" Target="https://doi.org/10.1002/cphy.c170012" TargetMode="External"/><Relationship Id="rId25" Type="http://schemas.openxmlformats.org/officeDocument/2006/relationships/hyperlink" Target="https://doi.org/10.1042/bj0880007" TargetMode="External"/><Relationship Id="rId33" Type="http://schemas.openxmlformats.org/officeDocument/2006/relationships/hyperlink" Target="https://doi.org/10.1080/13813455.2019.1693601" TargetMode="External"/><Relationship Id="rId38" Type="http://schemas.openxmlformats.org/officeDocument/2006/relationships/hyperlink" Target="https://www.ncbi.nlm.nih.gov/books/NBK278973/" TargetMode="External"/><Relationship Id="rId46" Type="http://schemas.openxmlformats.org/officeDocument/2006/relationships/hyperlink" Target="https://doi.org/10.1002/fsn3.70549" TargetMode="External"/><Relationship Id="rId59" Type="http://schemas.openxmlformats.org/officeDocument/2006/relationships/hyperlink" Target="https://doi.org/10.1371/journal.pone.0155367" TargetMode="External"/><Relationship Id="rId67" Type="http://schemas.openxmlformats.org/officeDocument/2006/relationships/footer" Target="footer1.xml"/><Relationship Id="rId20" Type="http://schemas.openxmlformats.org/officeDocument/2006/relationships/hyperlink" Target="https://doi.org/10.1016/S0021-9258(19)50881-X" TargetMode="External"/><Relationship Id="rId41" Type="http://schemas.openxmlformats.org/officeDocument/2006/relationships/hyperlink" Target="https://pubmed.ncbi.nlm.nih.gov/10910541/" TargetMode="External"/><Relationship Id="rId54" Type="http://schemas.openxmlformats.org/officeDocument/2006/relationships/hyperlink" Target="https://doi.org/10.1126/science.179.4073.588" TargetMode="External"/><Relationship Id="rId62" Type="http://schemas.openxmlformats.org/officeDocument/2006/relationships/hyperlink" Target="https://doi.org/10.1097/MPA.0000000000000974" TargetMode="External"/><Relationship Id="rId7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hyperlink" Target="https://doi.org/10.1093/clinchem/7.1.37" TargetMode="External"/><Relationship Id="rId28" Type="http://schemas.openxmlformats.org/officeDocument/2006/relationships/hyperlink" Target="https://doi.org/10.1093/clinchem/18.6.499" TargetMode="External"/><Relationship Id="rId36" Type="http://schemas.openxmlformats.org/officeDocument/2006/relationships/hyperlink" Target="https://doi.org/10.1016/0026-0495(95)90151-5" TargetMode="External"/><Relationship Id="rId49" Type="http://schemas.openxmlformats.org/officeDocument/2006/relationships/hyperlink" Target="https://doi.org/10.3390/cancers15020485" TargetMode="External"/><Relationship Id="rId57" Type="http://schemas.openxmlformats.org/officeDocument/2006/relationships/hyperlink" Target="https://doi.org/10.1007/s13105-013-0304-1" TargetMode="External"/><Relationship Id="rId10" Type="http://schemas.openxmlformats.org/officeDocument/2006/relationships/image" Target="media/image4.jpeg"/><Relationship Id="rId31" Type="http://schemas.openxmlformats.org/officeDocument/2006/relationships/hyperlink" Target="https://doi.org/10.1016/j.jfda.2016.01.013" TargetMode="External"/><Relationship Id="rId44" Type="http://schemas.openxmlformats.org/officeDocument/2006/relationships/hyperlink" Target="https://doi.org/10.3390/cimb47100787" TargetMode="External"/><Relationship Id="rId52" Type="http://schemas.openxmlformats.org/officeDocument/2006/relationships/hyperlink" Target="https://doi.org/10.1093/ajcp/28.1.56" TargetMode="External"/><Relationship Id="rId60" Type="http://schemas.openxmlformats.org/officeDocument/2006/relationships/hyperlink" Target="https://doi.org/10.1016/0003-9861(67)90273-1" TargetMode="External"/><Relationship Id="rId6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hyperlink" Target="https://doi.org/10.1016/j.jff.2013.11.011" TargetMode="External"/><Relationship Id="rId39" Type="http://schemas.openxmlformats.org/officeDocument/2006/relationships/hyperlink" Target="https://doi.org/10.1136/jcp.56.1.17" TargetMode="External"/><Relationship Id="rId34" Type="http://schemas.openxmlformats.org/officeDocument/2006/relationships/hyperlink" Target="https://doi.org/10.1016/j.biopha.2023.114960" TargetMode="External"/><Relationship Id="rId50" Type="http://schemas.openxmlformats.org/officeDocument/2006/relationships/hyperlink" Target="https://doi.org/10.1038/sj.bjp.0702932" TargetMode="External"/><Relationship Id="rId55" Type="http://schemas.openxmlformats.org/officeDocument/2006/relationships/hyperlink" Target="https://doi.org/10.1016/j.toxrep.2025.1020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417</TotalTime>
  <Pages>1</Pages>
  <Words>7108</Words>
  <Characters>40519</Characters>
  <Application>Microsoft Office Word</Application>
  <DocSecurity>0</DocSecurity>
  <Lines>337</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SDI CPU 1117</cp:lastModifiedBy>
  <cp:revision>186</cp:revision>
  <dcterms:created xsi:type="dcterms:W3CDTF">2026-05-15T06:29:00Z</dcterms:created>
  <dcterms:modified xsi:type="dcterms:W3CDTF">2026-08-04T04:35:00Z</dcterms:modified>
</cp:coreProperties>
</file>