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761FB" w14:textId="77777777" w:rsidR="00997240" w:rsidRPr="00D44B77" w:rsidRDefault="00F47551" w:rsidP="00A94C17">
      <w:pPr>
        <w:spacing w:before="230"/>
        <w:ind w:left="-142" w:right="-330"/>
        <w:jc w:val="both"/>
      </w:pPr>
      <w:r>
        <w:rPr>
          <w:rFonts w:ascii="Times New Roman" w:hAnsi="Times New Roman" w:cs="Times New Roman"/>
          <w:b/>
          <w:bCs/>
          <w:sz w:val="28"/>
          <w:szCs w:val="28"/>
        </w:rPr>
        <w:t xml:space="preserve">Assessment of Median Lethal Concentration and Toxicity of Selected Insecticides Against </w:t>
      </w:r>
      <w:r>
        <w:rPr>
          <w:rFonts w:ascii="Times New Roman" w:hAnsi="Times New Roman" w:cs="Times New Roman"/>
          <w:b/>
          <w:bCs/>
          <w:i/>
          <w:iCs/>
          <w:sz w:val="28"/>
          <w:szCs w:val="28"/>
        </w:rPr>
        <w:t>Spodoptera frugiperda</w:t>
      </w:r>
      <w:r>
        <w:rPr>
          <w:rFonts w:ascii="Times New Roman" w:hAnsi="Times New Roman" w:cs="Times New Roman"/>
          <w:b/>
          <w:bCs/>
          <w:sz w:val="28"/>
          <w:szCs w:val="28"/>
        </w:rPr>
        <w:t xml:space="preserve"> (J.E. Smith)</w:t>
      </w:r>
    </w:p>
    <w:p w14:paraId="0CB6BBE5" w14:textId="77777777" w:rsidR="00D44B77" w:rsidRPr="00D44B77" w:rsidRDefault="00D44B77" w:rsidP="00A94C17">
      <w:pPr>
        <w:pStyle w:val="BodyText"/>
        <w:spacing w:before="89"/>
        <w:ind w:left="761"/>
        <w:jc w:val="both"/>
      </w:pPr>
    </w:p>
    <w:p w14:paraId="5952EE45" w14:textId="77777777" w:rsidR="00997240" w:rsidRPr="00D44B77" w:rsidRDefault="00F47551" w:rsidP="00A94C17">
      <w:pPr>
        <w:jc w:val="both"/>
        <w:rPr>
          <w:rFonts w:ascii="Times New Roman" w:hAnsi="Times New Roman" w:cs="Times New Roman"/>
          <w:sz w:val="24"/>
          <w:szCs w:val="22"/>
        </w:rPr>
      </w:pPr>
      <w:r w:rsidRPr="00D44B77">
        <w:rPr>
          <w:rFonts w:ascii="Times New Roman" w:hAnsi="Times New Roman" w:cs="Times New Roman"/>
          <w:b/>
          <w:bCs/>
          <w:sz w:val="24"/>
          <w:szCs w:val="22"/>
        </w:rPr>
        <w:t>Abstract</w:t>
      </w:r>
    </w:p>
    <w:p w14:paraId="4B337592" w14:textId="77777777" w:rsidR="00A94C17" w:rsidRDefault="00A94C17" w:rsidP="00A94C17">
      <w:pPr>
        <w:pStyle w:val="pdq2pgselectionanchorcontainer"/>
        <w:jc w:val="both"/>
      </w:pPr>
      <w:r>
        <w:t xml:space="preserve">The fall armyworm, </w:t>
      </w:r>
      <w:r>
        <w:rPr>
          <w:rStyle w:val="Emphasis"/>
        </w:rPr>
        <w:t xml:space="preserve">Spodoptera </w:t>
      </w:r>
      <w:proofErr w:type="spellStart"/>
      <w:r>
        <w:rPr>
          <w:rStyle w:val="Emphasis"/>
        </w:rPr>
        <w:t>frugiperda</w:t>
      </w:r>
      <w:proofErr w:type="spellEnd"/>
      <w:r>
        <w:t xml:space="preserve"> (J. E. Smith), is an invasive pest of maize that can cause substantial crop damage. Effective management requires reliable information on the relative toxicity of insecticides used against its larval stages. This laboratory study assessed the toxicity of five commonly used insecticides against third-instar larvae of </w:t>
      </w:r>
      <w:r>
        <w:rPr>
          <w:rStyle w:val="Emphasis"/>
        </w:rPr>
        <w:t xml:space="preserve">S. </w:t>
      </w:r>
      <w:proofErr w:type="spellStart"/>
      <w:r>
        <w:rPr>
          <w:rStyle w:val="Emphasis"/>
        </w:rPr>
        <w:t>frugiperda</w:t>
      </w:r>
      <w:proofErr w:type="spellEnd"/>
      <w:r>
        <w:t xml:space="preserve"> using a leaf-dip bioassay. Fresh maize leaf pieces were treated with graded concentrations of </w:t>
      </w:r>
      <w:proofErr w:type="spellStart"/>
      <w:r>
        <w:t>emamectin</w:t>
      </w:r>
      <w:proofErr w:type="spellEnd"/>
      <w:r>
        <w:t xml:space="preserve"> benzoate 5 SG, chlorantraniliprole 18.5 SC, spinetoram 11.7 SC, </w:t>
      </w:r>
      <w:proofErr w:type="spellStart"/>
      <w:r>
        <w:t>spinosad</w:t>
      </w:r>
      <w:proofErr w:type="spellEnd"/>
      <w:r>
        <w:t xml:space="preserve"> 45 SC, or </w:t>
      </w:r>
      <w:proofErr w:type="spellStart"/>
      <w:r>
        <w:t>flubendiamide</w:t>
      </w:r>
      <w:proofErr w:type="spellEnd"/>
      <w:r>
        <w:t xml:space="preserve"> 480 SC. Larval mortality was recorded after treatment, corrected using Abbott’s formula, and </w:t>
      </w:r>
      <w:proofErr w:type="spellStart"/>
      <w:r>
        <w:t>analysed</w:t>
      </w:r>
      <w:proofErr w:type="spellEnd"/>
      <w:r>
        <w:t xml:space="preserve"> by probit analysis to estimate median lethal concentration (LC₅₀) values. The insecticides differed considerably in toxicity. </w:t>
      </w:r>
      <w:proofErr w:type="spellStart"/>
      <w:r>
        <w:t>Emamectin</w:t>
      </w:r>
      <w:proofErr w:type="spellEnd"/>
      <w:r>
        <w:t xml:space="preserve"> benzoate 5 SG showed the highest toxicity, with the lowest LC₅₀ value of 0.13 ppm. It was followed by chlorantraniliprole 18.5 SC (2.61 ppm), spinetoram 11.7 SC (3.69 ppm), </w:t>
      </w:r>
      <w:proofErr w:type="spellStart"/>
      <w:r>
        <w:t>spinosad</w:t>
      </w:r>
      <w:proofErr w:type="spellEnd"/>
      <w:r>
        <w:t xml:space="preserve"> 45 SC (5.32 ppm), and </w:t>
      </w:r>
      <w:proofErr w:type="spellStart"/>
      <w:r>
        <w:t>flubendiamide</w:t>
      </w:r>
      <w:proofErr w:type="spellEnd"/>
      <w:r>
        <w:t xml:space="preserve"> 480 SC (56.37 ppm). The tested laboratory population was therefore comparatively more susceptible to </w:t>
      </w:r>
      <w:proofErr w:type="spellStart"/>
      <w:r>
        <w:t>emamectin</w:t>
      </w:r>
      <w:proofErr w:type="spellEnd"/>
      <w:r>
        <w:t xml:space="preserve"> benzoate and chlorantraniliprole than to the other formulations. These estimates provide a local laboratory benchmark for subsequent susceptibility assessments conducted using comparable populations, larval stages, exposure methods, and observation intervals. Field validation and continued resistance monitoring are required before the findings are applied to insecticide-selection and rotation </w:t>
      </w:r>
      <w:proofErr w:type="spellStart"/>
      <w:r>
        <w:t>programmes</w:t>
      </w:r>
      <w:proofErr w:type="spellEnd"/>
      <w:r>
        <w:t>.</w:t>
      </w:r>
    </w:p>
    <w:p w14:paraId="4DC9C501" w14:textId="77777777" w:rsidR="00A94C17" w:rsidRDefault="00A94C17" w:rsidP="00A94C17">
      <w:pPr>
        <w:pStyle w:val="pdq2pgselectionanchorcontainer"/>
        <w:jc w:val="both"/>
      </w:pPr>
      <w:r>
        <w:rPr>
          <w:b/>
          <w:bCs/>
          <w:szCs w:val="22"/>
        </w:rPr>
        <w:t xml:space="preserve">Keywords: </w:t>
      </w:r>
      <w:r>
        <w:t xml:space="preserve">Fall armyworm; </w:t>
      </w:r>
      <w:r>
        <w:rPr>
          <w:rStyle w:val="Emphasis"/>
        </w:rPr>
        <w:t xml:space="preserve">Spodoptera </w:t>
      </w:r>
      <w:proofErr w:type="spellStart"/>
      <w:r>
        <w:rPr>
          <w:rStyle w:val="Emphasis"/>
        </w:rPr>
        <w:t>frugiperda</w:t>
      </w:r>
      <w:proofErr w:type="spellEnd"/>
      <w:r>
        <w:t xml:space="preserve">; maize; insecticide toxicity; median lethal concentration; LC₅₀; </w:t>
      </w:r>
      <w:proofErr w:type="spellStart"/>
      <w:r>
        <w:t>emamectin</w:t>
      </w:r>
      <w:proofErr w:type="spellEnd"/>
      <w:r>
        <w:t xml:space="preserve"> benzoate; chlorantraniliprole; spinetoram; </w:t>
      </w:r>
      <w:proofErr w:type="spellStart"/>
      <w:r>
        <w:t>spinosad</w:t>
      </w:r>
      <w:proofErr w:type="spellEnd"/>
      <w:r>
        <w:t xml:space="preserve">; </w:t>
      </w:r>
      <w:proofErr w:type="spellStart"/>
      <w:r>
        <w:t>flubendiamide</w:t>
      </w:r>
      <w:proofErr w:type="spellEnd"/>
      <w:r>
        <w:t>; leaf-dip bioassay</w:t>
      </w:r>
    </w:p>
    <w:p w14:paraId="41CF245A" w14:textId="509786A3" w:rsidR="00A94C17" w:rsidRDefault="00A94C17" w:rsidP="00A94C17">
      <w:pPr>
        <w:jc w:val="both"/>
        <w:rPr>
          <w:rFonts w:ascii="Times New Roman" w:hAnsi="Times New Roman" w:cs="Times New Roman"/>
          <w:b/>
          <w:bCs/>
          <w:sz w:val="24"/>
          <w:szCs w:val="22"/>
        </w:rPr>
      </w:pPr>
    </w:p>
    <w:p w14:paraId="55A25502" w14:textId="3CEBEC25"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1. Introduction</w:t>
      </w:r>
    </w:p>
    <w:p w14:paraId="4FA40757" w14:textId="4A2A02FC" w:rsidR="00997240" w:rsidRPr="00D44B77" w:rsidRDefault="00F47551" w:rsidP="00A94C17">
      <w:pPr>
        <w:jc w:val="both"/>
      </w:pPr>
      <w:r>
        <w:rPr>
          <w:rFonts w:ascii="Times New Roman" w:hAnsi="Times New Roman" w:cs="Times New Roman"/>
          <w:sz w:val="24"/>
          <w:szCs w:val="22"/>
        </w:rPr>
        <w:t>Maize (</w:t>
      </w:r>
      <w:r>
        <w:rPr>
          <w:rFonts w:ascii="Times New Roman" w:hAnsi="Times New Roman" w:cs="Times New Roman"/>
          <w:i/>
          <w:iCs/>
          <w:sz w:val="24"/>
          <w:szCs w:val="22"/>
        </w:rPr>
        <w:t>Zea mays</w:t>
      </w:r>
      <w:r>
        <w:rPr>
          <w:rFonts w:ascii="Times New Roman" w:hAnsi="Times New Roman" w:cs="Times New Roman"/>
          <w:sz w:val="24"/>
          <w:szCs w:val="22"/>
        </w:rPr>
        <w:t xml:space="preserve"> L.) is one of the most important cereal crops cultivated worldwide </w:t>
      </w:r>
      <w:r>
        <w:rPr>
          <w:rFonts w:ascii="Times New Roman" w:hAnsi="Times New Roman" w:cs="Times New Roman"/>
          <w:sz w:val="24"/>
          <w:szCs w:val="22"/>
          <w:highlight w:val="yellow"/>
        </w:rPr>
        <w:t>because</w:t>
      </w:r>
      <w:r>
        <w:rPr>
          <w:rFonts w:ascii="Times New Roman" w:hAnsi="Times New Roman" w:cs="Times New Roman"/>
          <w:sz w:val="24"/>
          <w:szCs w:val="22"/>
        </w:rPr>
        <w:t xml:space="preserve"> </w:t>
      </w:r>
      <w:r>
        <w:rPr>
          <w:rFonts w:ascii="Times New Roman" w:hAnsi="Times New Roman" w:cs="Times New Roman"/>
          <w:sz w:val="24"/>
          <w:szCs w:val="22"/>
          <w:highlight w:val="yellow"/>
        </w:rPr>
        <w:t>of</w:t>
      </w:r>
      <w:r>
        <w:rPr>
          <w:rFonts w:ascii="Times New Roman" w:hAnsi="Times New Roman" w:cs="Times New Roman"/>
          <w:sz w:val="24"/>
          <w:szCs w:val="22"/>
        </w:rPr>
        <w:t xml:space="preserve"> its high yield potential, </w:t>
      </w:r>
      <w:r>
        <w:rPr>
          <w:rFonts w:ascii="Times New Roman" w:hAnsi="Times New Roman" w:cs="Times New Roman"/>
          <w:sz w:val="24"/>
          <w:szCs w:val="22"/>
          <w:highlight w:val="yellow"/>
        </w:rPr>
        <w:t>adaptability,</w:t>
      </w:r>
      <w:r>
        <w:rPr>
          <w:rFonts w:ascii="Times New Roman" w:hAnsi="Times New Roman" w:cs="Times New Roman"/>
          <w:sz w:val="24"/>
          <w:szCs w:val="22"/>
        </w:rPr>
        <w:t xml:space="preserve"> and diverse </w:t>
      </w:r>
      <w:r>
        <w:rPr>
          <w:rFonts w:ascii="Times New Roman" w:hAnsi="Times New Roman" w:cs="Times New Roman"/>
          <w:sz w:val="24"/>
          <w:szCs w:val="22"/>
          <w:highlight w:val="yellow"/>
        </w:rPr>
        <w:t>uses</w:t>
      </w:r>
      <w:r>
        <w:rPr>
          <w:rFonts w:ascii="Times New Roman" w:hAnsi="Times New Roman" w:cs="Times New Roman"/>
          <w:sz w:val="24"/>
          <w:szCs w:val="22"/>
        </w:rPr>
        <w:t xml:space="preserve"> in food, livestock </w:t>
      </w:r>
      <w:r>
        <w:rPr>
          <w:rFonts w:ascii="Times New Roman" w:hAnsi="Times New Roman" w:cs="Times New Roman"/>
          <w:sz w:val="24"/>
          <w:szCs w:val="22"/>
          <w:highlight w:val="yellow"/>
        </w:rPr>
        <w:t>feed,</w:t>
      </w:r>
      <w:r>
        <w:rPr>
          <w:rFonts w:ascii="Times New Roman" w:hAnsi="Times New Roman" w:cs="Times New Roman"/>
          <w:sz w:val="24"/>
          <w:szCs w:val="22"/>
        </w:rPr>
        <w:t xml:space="preserve"> and </w:t>
      </w:r>
      <w:r>
        <w:rPr>
          <w:rFonts w:ascii="Times New Roman" w:hAnsi="Times New Roman" w:cs="Times New Roman"/>
          <w:sz w:val="24"/>
          <w:szCs w:val="22"/>
          <w:highlight w:val="yellow"/>
        </w:rPr>
        <w:t>industry.</w:t>
      </w:r>
      <w:r>
        <w:rPr>
          <w:rFonts w:ascii="Times New Roman" w:hAnsi="Times New Roman" w:cs="Times New Roman"/>
          <w:sz w:val="24"/>
          <w:szCs w:val="22"/>
        </w:rPr>
        <w:t xml:space="preserve"> The crop is often known as the "Queen of Cereals" because of its remarkable productivity and ability to perform under varied agroclimatic conditions. Globally, maize is cultivated </w:t>
      </w:r>
      <w:r>
        <w:rPr>
          <w:rFonts w:ascii="Times New Roman" w:hAnsi="Times New Roman" w:cs="Times New Roman"/>
          <w:sz w:val="24"/>
          <w:szCs w:val="22"/>
          <w:highlight w:val="yellow"/>
        </w:rPr>
        <w:t>on</w:t>
      </w:r>
      <w:r>
        <w:rPr>
          <w:rFonts w:ascii="Times New Roman" w:hAnsi="Times New Roman" w:cs="Times New Roman"/>
          <w:sz w:val="24"/>
          <w:szCs w:val="22"/>
        </w:rPr>
        <w:t xml:space="preserve"> approximately 199.08 million </w:t>
      </w:r>
      <w:r>
        <w:rPr>
          <w:rFonts w:ascii="Times New Roman" w:hAnsi="Times New Roman" w:cs="Times New Roman"/>
          <w:sz w:val="24"/>
          <w:szCs w:val="22"/>
          <w:highlight w:val="yellow"/>
        </w:rPr>
        <w:t>hectares,</w:t>
      </w:r>
      <w:r>
        <w:rPr>
          <w:rFonts w:ascii="Times New Roman" w:hAnsi="Times New Roman" w:cs="Times New Roman"/>
          <w:sz w:val="24"/>
          <w:szCs w:val="22"/>
        </w:rPr>
        <w:t xml:space="preserve"> with a production of 1129.44 million tonnes and an average productivity of 5.67 t ha⁻¹. In India, the crop occupies about 9.86 million </w:t>
      </w:r>
      <w:r>
        <w:rPr>
          <w:rFonts w:ascii="Times New Roman" w:hAnsi="Times New Roman" w:cs="Times New Roman"/>
          <w:sz w:val="24"/>
          <w:szCs w:val="22"/>
          <w:highlight w:val="yellow"/>
        </w:rPr>
        <w:t>hectares,</w:t>
      </w:r>
      <w:r>
        <w:rPr>
          <w:rFonts w:ascii="Times New Roman" w:hAnsi="Times New Roman" w:cs="Times New Roman"/>
          <w:sz w:val="24"/>
          <w:szCs w:val="22"/>
        </w:rPr>
        <w:t xml:space="preserve"> with a production of 28.64 million tonnes and an average productivity of 3.19 t ha⁻¹ (</w:t>
      </w:r>
      <w:proofErr w:type="spellStart"/>
      <w:r w:rsidR="00E63A6C" w:rsidRPr="00E63A6C">
        <w:rPr>
          <w:rFonts w:ascii="Times New Roman" w:hAnsi="Times New Roman" w:cs="Times New Roman"/>
          <w:sz w:val="24"/>
          <w:szCs w:val="22"/>
        </w:rPr>
        <w:t>Indiastat</w:t>
      </w:r>
      <w:proofErr w:type="spellEnd"/>
      <w:r>
        <w:rPr>
          <w:rFonts w:ascii="Times New Roman" w:hAnsi="Times New Roman" w:cs="Times New Roman"/>
          <w:sz w:val="24"/>
          <w:szCs w:val="22"/>
        </w:rPr>
        <w:t xml:space="preserve">, </w:t>
      </w:r>
      <w:r w:rsidR="00E63A6C">
        <w:rPr>
          <w:rFonts w:ascii="Times New Roman" w:hAnsi="Times New Roman" w:cs="Times New Roman"/>
          <w:sz w:val="24"/>
          <w:szCs w:val="22"/>
        </w:rPr>
        <w:t>n.d.</w:t>
      </w:r>
      <w:r>
        <w:rPr>
          <w:rFonts w:ascii="Times New Roman" w:hAnsi="Times New Roman" w:cs="Times New Roman"/>
          <w:sz w:val="24"/>
          <w:szCs w:val="22"/>
        </w:rPr>
        <w:t>).</w:t>
      </w:r>
    </w:p>
    <w:p w14:paraId="62BA77BC" w14:textId="77777777" w:rsidR="00997240" w:rsidRPr="00D44B77" w:rsidRDefault="00F47551" w:rsidP="00A94C17">
      <w:pPr>
        <w:jc w:val="both"/>
      </w:pPr>
      <w:r>
        <w:rPr>
          <w:rFonts w:ascii="Times New Roman" w:hAnsi="Times New Roman" w:cs="Times New Roman"/>
          <w:sz w:val="24"/>
          <w:szCs w:val="22"/>
        </w:rPr>
        <w:t xml:space="preserve">Despite its importance, maize production is frequently </w:t>
      </w:r>
      <w:r>
        <w:rPr>
          <w:rFonts w:ascii="Times New Roman" w:hAnsi="Times New Roman" w:cs="Times New Roman"/>
          <w:sz w:val="24"/>
          <w:szCs w:val="22"/>
          <w:highlight w:val="yellow"/>
        </w:rPr>
        <w:t>affected</w:t>
      </w:r>
      <w:r>
        <w:rPr>
          <w:rFonts w:ascii="Times New Roman" w:hAnsi="Times New Roman" w:cs="Times New Roman"/>
          <w:sz w:val="24"/>
          <w:szCs w:val="22"/>
        </w:rPr>
        <w:t xml:space="preserve"> by several insect pests that reduce crop yield and quality. More than 140 insect species have been documented to infest maize at different growth stages, causing considerable economic losses </w:t>
      </w:r>
      <w:r>
        <w:rPr>
          <w:rFonts w:ascii="Times New Roman" w:eastAsia="Times New Roman" w:hAnsi="Times New Roman" w:cs="Times New Roman"/>
          <w:sz w:val="24"/>
          <w:szCs w:val="22"/>
        </w:rPr>
        <w:t>(Reddy &amp; Trivedi, 2008)</w:t>
      </w:r>
      <w:r>
        <w:rPr>
          <w:rFonts w:ascii="Times New Roman" w:hAnsi="Times New Roman" w:cs="Times New Roman"/>
          <w:sz w:val="24"/>
          <w:szCs w:val="22"/>
        </w:rPr>
        <w:t xml:space="preserve">. Among these pests, the fall armyworm, </w:t>
      </w:r>
      <w:r>
        <w:rPr>
          <w:rFonts w:ascii="Times New Roman" w:hAnsi="Times New Roman" w:cs="Times New Roman"/>
          <w:i/>
          <w:iCs/>
          <w:sz w:val="24"/>
          <w:szCs w:val="22"/>
        </w:rPr>
        <w:t>Spodoptera frugiperda</w:t>
      </w:r>
      <w:r>
        <w:rPr>
          <w:rFonts w:ascii="Times New Roman" w:hAnsi="Times New Roman" w:cs="Times New Roman"/>
          <w:sz w:val="24"/>
          <w:szCs w:val="22"/>
        </w:rPr>
        <w:t xml:space="preserve"> (J.</w:t>
      </w:r>
      <w:r>
        <w:rPr>
          <w:rFonts w:ascii="Times New Roman" w:hAnsi="Times New Roman" w:cs="Times New Roman"/>
          <w:sz w:val="24"/>
          <w:szCs w:val="22"/>
          <w:highlight w:val="yellow"/>
        </w:rPr>
        <w:t xml:space="preserve"> </w:t>
      </w:r>
      <w:r>
        <w:rPr>
          <w:rFonts w:ascii="Times New Roman" w:hAnsi="Times New Roman" w:cs="Times New Roman"/>
          <w:sz w:val="24"/>
          <w:szCs w:val="22"/>
        </w:rPr>
        <w:t xml:space="preserve">E. Smith) (Lepidoptera: Noctuidae), has gained global importance because of its rapid spread, high reproductive </w:t>
      </w:r>
      <w:r>
        <w:rPr>
          <w:rFonts w:ascii="Times New Roman" w:hAnsi="Times New Roman" w:cs="Times New Roman"/>
          <w:sz w:val="24"/>
          <w:szCs w:val="22"/>
          <w:highlight w:val="yellow"/>
        </w:rPr>
        <w:t>capacity,</w:t>
      </w:r>
      <w:r>
        <w:rPr>
          <w:rFonts w:ascii="Times New Roman" w:hAnsi="Times New Roman" w:cs="Times New Roman"/>
          <w:sz w:val="24"/>
          <w:szCs w:val="22"/>
        </w:rPr>
        <w:t xml:space="preserve"> migratory </w:t>
      </w:r>
      <w:r>
        <w:rPr>
          <w:rFonts w:ascii="Times New Roman" w:hAnsi="Times New Roman" w:cs="Times New Roman"/>
          <w:sz w:val="24"/>
          <w:szCs w:val="22"/>
          <w:highlight w:val="yellow"/>
        </w:rPr>
        <w:t>behaviour,</w:t>
      </w:r>
      <w:r>
        <w:rPr>
          <w:rFonts w:ascii="Times New Roman" w:hAnsi="Times New Roman" w:cs="Times New Roman"/>
          <w:sz w:val="24"/>
          <w:szCs w:val="22"/>
        </w:rPr>
        <w:t xml:space="preserve"> and wide host range.</w:t>
      </w:r>
    </w:p>
    <w:p w14:paraId="26904D0D" w14:textId="77777777" w:rsidR="00997240" w:rsidRPr="00D44B77" w:rsidRDefault="00F47551" w:rsidP="00A94C17">
      <w:pPr>
        <w:jc w:val="both"/>
      </w:pPr>
      <w:r>
        <w:rPr>
          <w:rFonts w:ascii="Times New Roman" w:hAnsi="Times New Roman" w:cs="Times New Roman"/>
          <w:sz w:val="24"/>
          <w:szCs w:val="22"/>
        </w:rPr>
        <w:lastRenderedPageBreak/>
        <w:t>The fall armyworm originated in</w:t>
      </w:r>
      <w:r>
        <w:rPr>
          <w:rFonts w:ascii="Times New Roman" w:hAnsi="Times New Roman" w:cs="Times New Roman"/>
          <w:sz w:val="24"/>
          <w:szCs w:val="22"/>
          <w:highlight w:val="yellow"/>
        </w:rPr>
        <w:t xml:space="preserve"> the</w:t>
      </w:r>
      <w:r>
        <w:rPr>
          <w:rFonts w:ascii="Times New Roman" w:hAnsi="Times New Roman" w:cs="Times New Roman"/>
          <w:sz w:val="24"/>
          <w:szCs w:val="22"/>
        </w:rPr>
        <w:t xml:space="preserve"> tropical and subtropical regions of the Americas and expanded its geographical distribution to Africa, </w:t>
      </w:r>
      <w:r>
        <w:rPr>
          <w:rFonts w:ascii="Times New Roman" w:hAnsi="Times New Roman" w:cs="Times New Roman"/>
          <w:sz w:val="24"/>
          <w:szCs w:val="22"/>
          <w:highlight w:val="yellow"/>
        </w:rPr>
        <w:t>Asia,</w:t>
      </w:r>
      <w:r>
        <w:rPr>
          <w:rFonts w:ascii="Times New Roman" w:hAnsi="Times New Roman" w:cs="Times New Roman"/>
          <w:sz w:val="24"/>
          <w:szCs w:val="22"/>
        </w:rPr>
        <w:t xml:space="preserve"> and Oceania within a short period. The pest was first reported as an invasive species in West and Central Africa in 2016 (Goergen et al., 2016). Subsequently, its presence was confirmed in India in May 2018 </w:t>
      </w:r>
      <w:r>
        <w:rPr>
          <w:rFonts w:ascii="Times New Roman" w:hAnsi="Times New Roman" w:cs="Times New Roman"/>
          <w:sz w:val="24"/>
          <w:szCs w:val="22"/>
          <w:highlight w:val="yellow"/>
        </w:rPr>
        <w:t>in</w:t>
      </w:r>
      <w:r>
        <w:rPr>
          <w:rFonts w:ascii="Times New Roman" w:hAnsi="Times New Roman" w:cs="Times New Roman"/>
          <w:sz w:val="24"/>
          <w:szCs w:val="22"/>
        </w:rPr>
        <w:t xml:space="preserve"> maize fields </w:t>
      </w:r>
      <w:r>
        <w:rPr>
          <w:rFonts w:ascii="Times New Roman" w:hAnsi="Times New Roman" w:cs="Times New Roman"/>
          <w:sz w:val="24"/>
          <w:szCs w:val="22"/>
          <w:highlight w:val="yellow"/>
        </w:rPr>
        <w:t>in</w:t>
      </w:r>
      <w:r>
        <w:rPr>
          <w:rFonts w:ascii="Times New Roman" w:hAnsi="Times New Roman" w:cs="Times New Roman"/>
          <w:sz w:val="24"/>
          <w:szCs w:val="22"/>
        </w:rPr>
        <w:t xml:space="preserve"> Shivamogga district, Karnataka (Sharanabasappa et al., 2018). Since its introduction, the pest has </w:t>
      </w:r>
      <w:r>
        <w:rPr>
          <w:rFonts w:ascii="Times New Roman" w:hAnsi="Times New Roman" w:cs="Times New Roman"/>
          <w:sz w:val="24"/>
          <w:szCs w:val="22"/>
          <w:highlight w:val="yellow"/>
        </w:rPr>
        <w:t xml:space="preserve">become </w:t>
      </w:r>
      <w:r>
        <w:rPr>
          <w:rFonts w:ascii="Times New Roman" w:hAnsi="Times New Roman" w:cs="Times New Roman"/>
          <w:sz w:val="24"/>
          <w:szCs w:val="22"/>
        </w:rPr>
        <w:t>established throughout</w:t>
      </w:r>
      <w:r>
        <w:rPr>
          <w:rFonts w:ascii="Times New Roman" w:hAnsi="Times New Roman" w:cs="Times New Roman"/>
          <w:sz w:val="24"/>
          <w:szCs w:val="22"/>
          <w:highlight w:val="yellow"/>
        </w:rPr>
        <w:t xml:space="preserve"> the</w:t>
      </w:r>
      <w:r>
        <w:rPr>
          <w:rFonts w:ascii="Times New Roman" w:hAnsi="Times New Roman" w:cs="Times New Roman"/>
          <w:sz w:val="24"/>
          <w:szCs w:val="22"/>
        </w:rPr>
        <w:t xml:space="preserve"> major maize-growing regions of India and </w:t>
      </w:r>
      <w:r>
        <w:rPr>
          <w:rFonts w:ascii="Times New Roman" w:hAnsi="Times New Roman" w:cs="Times New Roman"/>
          <w:sz w:val="24"/>
          <w:szCs w:val="22"/>
          <w:highlight w:val="yellow"/>
        </w:rPr>
        <w:t>poses</w:t>
      </w:r>
      <w:r>
        <w:rPr>
          <w:rFonts w:ascii="Times New Roman" w:hAnsi="Times New Roman" w:cs="Times New Roman"/>
          <w:sz w:val="24"/>
          <w:szCs w:val="22"/>
        </w:rPr>
        <w:t xml:space="preserve"> a serious threat to maize production. The larvae cause damage by feeding on leaves, whorls, </w:t>
      </w:r>
      <w:r>
        <w:rPr>
          <w:rFonts w:ascii="Times New Roman" w:hAnsi="Times New Roman" w:cs="Times New Roman"/>
          <w:sz w:val="24"/>
          <w:szCs w:val="22"/>
          <w:highlight w:val="yellow"/>
        </w:rPr>
        <w:t>tassels,</w:t>
      </w:r>
      <w:r>
        <w:rPr>
          <w:rFonts w:ascii="Times New Roman" w:hAnsi="Times New Roman" w:cs="Times New Roman"/>
          <w:sz w:val="24"/>
          <w:szCs w:val="22"/>
        </w:rPr>
        <w:t xml:space="preserve"> and developing cobs, resulting in severe defoliation and yield reduction. Depending on </w:t>
      </w:r>
      <w:r>
        <w:rPr>
          <w:rFonts w:ascii="Times New Roman" w:hAnsi="Times New Roman" w:cs="Times New Roman"/>
          <w:sz w:val="24"/>
          <w:szCs w:val="22"/>
          <w:highlight w:val="yellow"/>
        </w:rPr>
        <w:t xml:space="preserve">the </w:t>
      </w:r>
      <w:r>
        <w:rPr>
          <w:rFonts w:ascii="Times New Roman" w:hAnsi="Times New Roman" w:cs="Times New Roman"/>
          <w:sz w:val="24"/>
          <w:szCs w:val="22"/>
        </w:rPr>
        <w:t xml:space="preserve">crop stage, infestation </w:t>
      </w:r>
      <w:r>
        <w:rPr>
          <w:rFonts w:ascii="Times New Roman" w:hAnsi="Times New Roman" w:cs="Times New Roman"/>
          <w:sz w:val="24"/>
          <w:szCs w:val="22"/>
          <w:highlight w:val="yellow"/>
        </w:rPr>
        <w:t>intensity,</w:t>
      </w:r>
      <w:r>
        <w:rPr>
          <w:rFonts w:ascii="Times New Roman" w:hAnsi="Times New Roman" w:cs="Times New Roman"/>
          <w:sz w:val="24"/>
          <w:szCs w:val="22"/>
        </w:rPr>
        <w:t xml:space="preserve"> and environmental conditions, yield losses ranging from 26 to 100 per cent have been reported </w:t>
      </w:r>
      <w:r>
        <w:rPr>
          <w:rFonts w:ascii="Times New Roman" w:eastAsia="Times New Roman" w:hAnsi="Times New Roman" w:cs="Times New Roman"/>
          <w:sz w:val="24"/>
          <w:szCs w:val="22"/>
        </w:rPr>
        <w:t>(Mallapur et al., 2018; Prasanna et al., 2018)</w:t>
      </w:r>
      <w:r>
        <w:rPr>
          <w:rFonts w:ascii="Times New Roman" w:hAnsi="Times New Roman" w:cs="Times New Roman"/>
          <w:sz w:val="24"/>
          <w:szCs w:val="22"/>
        </w:rPr>
        <w:t>.</w:t>
      </w:r>
    </w:p>
    <w:p w14:paraId="08E8B8D4" w14:textId="77777777" w:rsidR="00997240" w:rsidRPr="00D44B77" w:rsidRDefault="00F47551" w:rsidP="00A94C17">
      <w:pPr>
        <w:spacing w:after="0" w:line="240" w:lineRule="auto"/>
        <w:ind w:firstLine="432"/>
        <w:jc w:val="both"/>
      </w:pPr>
      <w:r>
        <w:rPr>
          <w:rFonts w:ascii="Times New Roman" w:eastAsia="Times New Roman" w:hAnsi="Times New Roman"/>
          <w:sz w:val="24"/>
        </w:rPr>
        <w:t xml:space="preserve">Recent syntheses indicate that the invasion risk posed by </w:t>
      </w:r>
      <w:r>
        <w:rPr>
          <w:rFonts w:ascii="Times New Roman" w:eastAsia="Times New Roman" w:hAnsi="Times New Roman"/>
          <w:i/>
          <w:sz w:val="24"/>
        </w:rPr>
        <w:t>S. frugiperda</w:t>
      </w:r>
      <w:r>
        <w:rPr>
          <w:rFonts w:ascii="Times New Roman" w:eastAsia="Times New Roman" w:hAnsi="Times New Roman"/>
          <w:sz w:val="24"/>
        </w:rPr>
        <w:t xml:space="preserve"> is reinforced by</w:t>
      </w:r>
      <w:r>
        <w:rPr>
          <w:rFonts w:ascii="Times New Roman" w:eastAsia="Times New Roman" w:hAnsi="Times New Roman"/>
          <w:sz w:val="24"/>
          <w:highlight w:val="yellow"/>
        </w:rPr>
        <w:t xml:space="preserve"> its</w:t>
      </w:r>
      <w:r>
        <w:rPr>
          <w:rFonts w:ascii="Times New Roman" w:eastAsia="Times New Roman" w:hAnsi="Times New Roman"/>
          <w:sz w:val="24"/>
        </w:rPr>
        <w:t xml:space="preserve"> broad climatic suitability and a host range exceeding 350 plant species, although maize remains the crop associated with the most consistently documented economic damage (Early et al., 2018; Montezano et al., 2018; Overton et al., 2021). Its polyphagy and capacity for long-distance dispersal complicate area-wide management and </w:t>
      </w:r>
      <w:r>
        <w:rPr>
          <w:rFonts w:ascii="Times New Roman" w:eastAsia="Times New Roman" w:hAnsi="Times New Roman"/>
          <w:sz w:val="24"/>
          <w:highlight w:val="yellow"/>
        </w:rPr>
        <w:t>emphasise</w:t>
      </w:r>
      <w:r>
        <w:rPr>
          <w:rFonts w:ascii="Times New Roman" w:eastAsia="Times New Roman" w:hAnsi="Times New Roman"/>
          <w:sz w:val="24"/>
        </w:rPr>
        <w:t xml:space="preserve"> the need for locally generated susceptibility baselines.</w:t>
      </w:r>
    </w:p>
    <w:p w14:paraId="2A20A986" w14:textId="3D36C3D0" w:rsidR="00BC21C0" w:rsidRPr="00A94C17" w:rsidRDefault="00F47551" w:rsidP="00A94C17">
      <w:pPr>
        <w:jc w:val="both"/>
      </w:pPr>
      <w:r>
        <w:rPr>
          <w:rFonts w:ascii="Times New Roman" w:hAnsi="Times New Roman" w:cs="Times New Roman"/>
          <w:sz w:val="24"/>
          <w:szCs w:val="22"/>
        </w:rPr>
        <w:t xml:space="preserve">Chemical control remains one of the most commonly adopted strategies for managing fall armyworm </w:t>
      </w:r>
      <w:r>
        <w:rPr>
          <w:rFonts w:ascii="Times New Roman" w:hAnsi="Times New Roman" w:cs="Times New Roman"/>
          <w:sz w:val="24"/>
          <w:szCs w:val="22"/>
          <w:highlight w:val="yellow"/>
        </w:rPr>
        <w:t>because</w:t>
      </w:r>
      <w:r>
        <w:rPr>
          <w:rFonts w:ascii="Times New Roman" w:hAnsi="Times New Roman" w:cs="Times New Roman"/>
          <w:sz w:val="24"/>
          <w:szCs w:val="22"/>
        </w:rPr>
        <w:t xml:space="preserve"> </w:t>
      </w:r>
      <w:r>
        <w:rPr>
          <w:rFonts w:ascii="Times New Roman" w:hAnsi="Times New Roman" w:cs="Times New Roman"/>
          <w:sz w:val="24"/>
          <w:szCs w:val="22"/>
          <w:highlight w:val="yellow"/>
        </w:rPr>
        <w:t>insecticides</w:t>
      </w:r>
      <w:r>
        <w:rPr>
          <w:rFonts w:ascii="Times New Roman" w:hAnsi="Times New Roman" w:cs="Times New Roman"/>
          <w:sz w:val="24"/>
          <w:szCs w:val="22"/>
        </w:rPr>
        <w:t xml:space="preserve"> </w:t>
      </w:r>
      <w:r>
        <w:rPr>
          <w:rFonts w:ascii="Times New Roman" w:hAnsi="Times New Roman" w:cs="Times New Roman"/>
          <w:sz w:val="24"/>
          <w:szCs w:val="22"/>
          <w:highlight w:val="yellow"/>
        </w:rPr>
        <w:t>act</w:t>
      </w:r>
      <w:r>
        <w:rPr>
          <w:rFonts w:ascii="Times New Roman" w:hAnsi="Times New Roman" w:cs="Times New Roman"/>
          <w:sz w:val="24"/>
          <w:szCs w:val="22"/>
        </w:rPr>
        <w:t xml:space="preserve"> </w:t>
      </w:r>
      <w:r>
        <w:rPr>
          <w:rFonts w:ascii="Times New Roman" w:hAnsi="Times New Roman" w:cs="Times New Roman"/>
          <w:sz w:val="24"/>
          <w:szCs w:val="22"/>
          <w:highlight w:val="yellow"/>
        </w:rPr>
        <w:t>rapidly</w:t>
      </w:r>
      <w:r>
        <w:rPr>
          <w:rFonts w:ascii="Times New Roman" w:hAnsi="Times New Roman" w:cs="Times New Roman"/>
          <w:sz w:val="24"/>
          <w:szCs w:val="22"/>
        </w:rPr>
        <w:t xml:space="preserve"> and </w:t>
      </w:r>
      <w:r>
        <w:rPr>
          <w:rFonts w:ascii="Times New Roman" w:hAnsi="Times New Roman" w:cs="Times New Roman"/>
          <w:sz w:val="24"/>
          <w:szCs w:val="22"/>
          <w:highlight w:val="yellow"/>
        </w:rPr>
        <w:t>are easy</w:t>
      </w:r>
      <w:r>
        <w:rPr>
          <w:rFonts w:ascii="Times New Roman" w:hAnsi="Times New Roman" w:cs="Times New Roman"/>
          <w:sz w:val="24"/>
          <w:szCs w:val="22"/>
        </w:rPr>
        <w:t xml:space="preserve"> </w:t>
      </w:r>
      <w:r>
        <w:rPr>
          <w:rFonts w:ascii="Times New Roman" w:hAnsi="Times New Roman" w:cs="Times New Roman"/>
          <w:sz w:val="24"/>
          <w:szCs w:val="22"/>
          <w:highlight w:val="yellow"/>
        </w:rPr>
        <w:t>to</w:t>
      </w:r>
      <w:r>
        <w:rPr>
          <w:rFonts w:ascii="Times New Roman" w:hAnsi="Times New Roman" w:cs="Times New Roman"/>
          <w:sz w:val="24"/>
          <w:szCs w:val="22"/>
        </w:rPr>
        <w:t xml:space="preserve"> </w:t>
      </w:r>
      <w:r>
        <w:rPr>
          <w:rFonts w:ascii="Times New Roman" w:hAnsi="Times New Roman" w:cs="Times New Roman"/>
          <w:sz w:val="24"/>
          <w:szCs w:val="22"/>
          <w:highlight w:val="yellow"/>
        </w:rPr>
        <w:t>apply.</w:t>
      </w:r>
      <w:r>
        <w:rPr>
          <w:rFonts w:ascii="Times New Roman" w:hAnsi="Times New Roman" w:cs="Times New Roman"/>
          <w:sz w:val="24"/>
          <w:szCs w:val="22"/>
        </w:rPr>
        <w:t xml:space="preserve"> Several insecticide groups, including avermectins, </w:t>
      </w:r>
      <w:r>
        <w:rPr>
          <w:rFonts w:ascii="Times New Roman" w:hAnsi="Times New Roman" w:cs="Times New Roman"/>
          <w:sz w:val="24"/>
          <w:szCs w:val="22"/>
          <w:highlight w:val="yellow"/>
        </w:rPr>
        <w:t>diamides,</w:t>
      </w:r>
      <w:r>
        <w:rPr>
          <w:rFonts w:ascii="Times New Roman" w:hAnsi="Times New Roman" w:cs="Times New Roman"/>
          <w:sz w:val="24"/>
          <w:szCs w:val="22"/>
        </w:rPr>
        <w:t xml:space="preserve"> and spinosyns, have demonstrated considerable </w:t>
      </w:r>
      <w:r>
        <w:rPr>
          <w:rFonts w:ascii="Times New Roman" w:hAnsi="Times New Roman" w:cs="Times New Roman"/>
          <w:sz w:val="24"/>
          <w:szCs w:val="22"/>
          <w:highlight w:val="yellow"/>
        </w:rPr>
        <w:t>efficacy</w:t>
      </w:r>
      <w:r>
        <w:rPr>
          <w:rFonts w:ascii="Times New Roman" w:hAnsi="Times New Roman" w:cs="Times New Roman"/>
          <w:sz w:val="24"/>
          <w:szCs w:val="22"/>
        </w:rPr>
        <w:t xml:space="preserve"> against lepidopteran pests. In particular, emamectin benzoate, chlorantraniliprole, flubendiamide, </w:t>
      </w:r>
      <w:r>
        <w:rPr>
          <w:rFonts w:ascii="Times New Roman" w:hAnsi="Times New Roman" w:cs="Times New Roman"/>
          <w:sz w:val="24"/>
          <w:szCs w:val="22"/>
          <w:highlight w:val="yellow"/>
        </w:rPr>
        <w:t>spinosad,</w:t>
      </w:r>
      <w:r>
        <w:rPr>
          <w:rFonts w:ascii="Times New Roman" w:hAnsi="Times New Roman" w:cs="Times New Roman"/>
          <w:sz w:val="24"/>
          <w:szCs w:val="22"/>
        </w:rPr>
        <w:t xml:space="preserve"> and spinetoram are widely recommended for fall armyworm management in maize ecosystems </w:t>
      </w:r>
      <w:r>
        <w:rPr>
          <w:rFonts w:ascii="Times New Roman" w:eastAsia="Times New Roman" w:hAnsi="Times New Roman" w:cs="Times New Roman"/>
          <w:sz w:val="24"/>
          <w:szCs w:val="22"/>
        </w:rPr>
        <w:t>(Gutiérrez-Moreno et al., 2019)</w:t>
      </w:r>
      <w:r>
        <w:rPr>
          <w:rFonts w:ascii="Times New Roman" w:hAnsi="Times New Roman" w:cs="Times New Roman"/>
          <w:sz w:val="24"/>
          <w:szCs w:val="22"/>
        </w:rPr>
        <w:t xml:space="preserve">. However, repeated and indiscriminate </w:t>
      </w:r>
      <w:r>
        <w:rPr>
          <w:rFonts w:ascii="Times New Roman" w:hAnsi="Times New Roman" w:cs="Times New Roman"/>
          <w:sz w:val="24"/>
          <w:szCs w:val="22"/>
          <w:highlight w:val="yellow"/>
        </w:rPr>
        <w:t>applications</w:t>
      </w:r>
      <w:r>
        <w:rPr>
          <w:rFonts w:ascii="Times New Roman" w:hAnsi="Times New Roman" w:cs="Times New Roman"/>
          <w:sz w:val="24"/>
          <w:szCs w:val="22"/>
        </w:rPr>
        <w:t xml:space="preserve"> of insecticides </w:t>
      </w:r>
      <w:r>
        <w:rPr>
          <w:rFonts w:ascii="Times New Roman" w:hAnsi="Times New Roman" w:cs="Times New Roman"/>
          <w:sz w:val="24"/>
          <w:szCs w:val="22"/>
          <w:highlight w:val="yellow"/>
        </w:rPr>
        <w:t>with</w:t>
      </w:r>
      <w:r>
        <w:rPr>
          <w:rFonts w:ascii="Times New Roman" w:hAnsi="Times New Roman" w:cs="Times New Roman"/>
          <w:sz w:val="24"/>
          <w:szCs w:val="22"/>
        </w:rPr>
        <w:t xml:space="preserve"> similar modes of action can accelerate the development of resistance in pest populations</w:t>
      </w:r>
      <w:r>
        <w:rPr>
          <w:rFonts w:ascii="Times New Roman" w:hAnsi="Times New Roman" w:cs="Times New Roman"/>
          <w:sz w:val="24"/>
          <w:szCs w:val="22"/>
          <w:highlight w:val="yellow"/>
        </w:rPr>
        <w:t xml:space="preserve"> and</w:t>
      </w:r>
      <w:r>
        <w:rPr>
          <w:rFonts w:ascii="Times New Roman" w:hAnsi="Times New Roman" w:cs="Times New Roman"/>
          <w:sz w:val="24"/>
          <w:szCs w:val="22"/>
        </w:rPr>
        <w:t xml:space="preserve"> </w:t>
      </w:r>
      <w:r>
        <w:rPr>
          <w:rFonts w:ascii="Times New Roman" w:hAnsi="Times New Roman" w:cs="Times New Roman"/>
          <w:sz w:val="24"/>
          <w:szCs w:val="22"/>
          <w:highlight w:val="yellow"/>
        </w:rPr>
        <w:t>reduce</w:t>
      </w:r>
      <w:r>
        <w:rPr>
          <w:rFonts w:ascii="Times New Roman" w:hAnsi="Times New Roman" w:cs="Times New Roman"/>
          <w:sz w:val="24"/>
          <w:szCs w:val="22"/>
        </w:rPr>
        <w:t xml:space="preserve"> their long-term effectiveness </w:t>
      </w:r>
      <w:r>
        <w:rPr>
          <w:rFonts w:ascii="Times New Roman" w:eastAsia="Times New Roman" w:hAnsi="Times New Roman" w:cs="Times New Roman"/>
          <w:sz w:val="24"/>
          <w:szCs w:val="22"/>
        </w:rPr>
        <w:t>(Gutiérrez-Moreno et al., 2019; Yu, 1991)</w:t>
      </w:r>
      <w:r>
        <w:rPr>
          <w:rFonts w:ascii="Times New Roman" w:hAnsi="Times New Roman" w:cs="Times New Roman"/>
          <w:sz w:val="24"/>
          <w:szCs w:val="22"/>
        </w:rPr>
        <w:t>.</w:t>
      </w:r>
      <w:r w:rsidR="00A94C17">
        <w:t xml:space="preserve"> </w:t>
      </w:r>
      <w:r w:rsidRPr="00A94C17">
        <w:rPr>
          <w:rFonts w:ascii="Times New Roman" w:hAnsi="Times New Roman"/>
          <w:bCs/>
          <w:sz w:val="24"/>
          <w:highlight w:val="yellow"/>
        </w:rPr>
        <w:t xml:space="preserve">Laboratory dose-response evaluations have also shown that the toxicity of chlorantraniliprole against second- and third-instar </w:t>
      </w:r>
      <w:r w:rsidRPr="00A94C17">
        <w:rPr>
          <w:rFonts w:ascii="Times New Roman" w:hAnsi="Times New Roman"/>
          <w:bCs/>
          <w:i/>
          <w:sz w:val="24"/>
          <w:highlight w:val="yellow"/>
        </w:rPr>
        <w:t>S. frugiperda</w:t>
      </w:r>
      <w:r w:rsidRPr="00A94C17">
        <w:rPr>
          <w:rFonts w:ascii="Times New Roman" w:hAnsi="Times New Roman"/>
          <w:bCs/>
          <w:sz w:val="24"/>
          <w:highlight w:val="yellow"/>
        </w:rPr>
        <w:t xml:space="preserve"> can be quantified using LC</w:t>
      </w:r>
      <w:r w:rsidRPr="00A94C17">
        <w:rPr>
          <w:rFonts w:ascii="Times New Roman" w:hAnsi="Times New Roman"/>
          <w:bCs/>
          <w:sz w:val="24"/>
          <w:highlight w:val="yellow"/>
          <w:vertAlign w:val="subscript"/>
        </w:rPr>
        <w:t>50</w:t>
      </w:r>
      <w:r w:rsidRPr="00A94C17">
        <w:rPr>
          <w:rFonts w:ascii="Times New Roman" w:hAnsi="Times New Roman"/>
          <w:bCs/>
          <w:sz w:val="24"/>
          <w:highlight w:val="yellow"/>
        </w:rPr>
        <w:t xml:space="preserve"> estimates, supporting the use of comparable susceptibility benchmarks under controlled conditions (Gowtham et al., 2022).</w:t>
      </w:r>
    </w:p>
    <w:p w14:paraId="421454F1" w14:textId="77777777" w:rsidR="00997240" w:rsidRPr="00D44B77" w:rsidRDefault="00F47551" w:rsidP="00A94C17">
      <w:pPr>
        <w:spacing w:after="0" w:line="240" w:lineRule="auto"/>
        <w:ind w:firstLine="432"/>
        <w:jc w:val="both"/>
      </w:pPr>
      <w:r>
        <w:rPr>
          <w:rFonts w:ascii="Times New Roman" w:eastAsia="Times New Roman" w:hAnsi="Times New Roman"/>
          <w:sz w:val="24"/>
        </w:rPr>
        <w:t xml:space="preserve">Reliance on chemical control </w:t>
      </w:r>
      <w:r>
        <w:rPr>
          <w:rFonts w:ascii="Times New Roman" w:eastAsia="Times New Roman" w:hAnsi="Times New Roman"/>
          <w:sz w:val="24"/>
          <w:highlight w:val="yellow"/>
        </w:rPr>
        <w:t>should,</w:t>
      </w:r>
      <w:r>
        <w:rPr>
          <w:rFonts w:ascii="Times New Roman" w:eastAsia="Times New Roman" w:hAnsi="Times New Roman"/>
          <w:sz w:val="24"/>
        </w:rPr>
        <w:t xml:space="preserve"> </w:t>
      </w:r>
      <w:r>
        <w:rPr>
          <w:rFonts w:ascii="Times New Roman" w:eastAsia="Times New Roman" w:hAnsi="Times New Roman"/>
          <w:sz w:val="24"/>
          <w:highlight w:val="yellow"/>
        </w:rPr>
        <w:t>therefore,</w:t>
      </w:r>
      <w:r>
        <w:rPr>
          <w:rFonts w:ascii="Times New Roman" w:eastAsia="Times New Roman" w:hAnsi="Times New Roman"/>
          <w:sz w:val="24"/>
        </w:rPr>
        <w:t xml:space="preserve"> be accompanied by resistance monitoring because enhanced detoxification, target-site </w:t>
      </w:r>
      <w:r>
        <w:rPr>
          <w:rFonts w:ascii="Times New Roman" w:eastAsia="Times New Roman" w:hAnsi="Times New Roman"/>
          <w:sz w:val="24"/>
          <w:highlight w:val="yellow"/>
        </w:rPr>
        <w:t>alterations,</w:t>
      </w:r>
      <w:r>
        <w:rPr>
          <w:rFonts w:ascii="Times New Roman" w:eastAsia="Times New Roman" w:hAnsi="Times New Roman"/>
          <w:sz w:val="24"/>
        </w:rPr>
        <w:t xml:space="preserve"> and cross-resistance can erode insecticide performance under sustained selection pressure (Carvalho et al., 2013; Gutiérrez-Moreno et al., 2019; Kulye et al., 2021).</w:t>
      </w:r>
    </w:p>
    <w:p w14:paraId="51E82D39" w14:textId="7DD6CCB3" w:rsidR="00BC21C0" w:rsidRPr="00A94C17" w:rsidRDefault="00000000" w:rsidP="00A94C17">
      <w:pPr>
        <w:spacing w:after="0" w:line="240" w:lineRule="auto"/>
        <w:ind w:firstLine="432"/>
        <w:jc w:val="both"/>
        <w:rPr>
          <w:bCs/>
        </w:rPr>
      </w:pPr>
      <w:r w:rsidRPr="00A94C17">
        <w:rPr>
          <w:rFonts w:ascii="Times New Roman" w:hAnsi="Times New Roman"/>
          <w:bCs/>
          <w:sz w:val="24"/>
          <w:highlight w:val="yellow"/>
        </w:rPr>
        <w:t>Recent regional evidence indicates that susceptibility and resistance profiles vary among invasive populations and over time, reinforcing the need for standardised local bioassays and complementary resistance surveillance (Thirawut et al., 2023; Zaidi et al., 2024; Mavridis et al., 2025).</w:t>
      </w:r>
      <w:r w:rsidR="00A94C17">
        <w:rPr>
          <w:bCs/>
        </w:rPr>
        <w:t xml:space="preserve"> </w:t>
      </w:r>
      <w:r w:rsidRPr="00A94C17">
        <w:rPr>
          <w:rFonts w:ascii="Times New Roman" w:hAnsi="Times New Roman"/>
          <w:bCs/>
          <w:sz w:val="24"/>
          <w:highlight w:val="yellow"/>
        </w:rPr>
        <w:t>Current evidence further supports combining judicious insecticide use with ecological and biological management approaches and timely monitoring to reduce selection pressure and strengthen the sustainable management of fall armyworm (Murugan et al., 2026).</w:t>
      </w:r>
    </w:p>
    <w:p w14:paraId="531BB90D" w14:textId="77777777" w:rsidR="00997240" w:rsidRPr="00D44B77" w:rsidRDefault="00F47551" w:rsidP="00A94C17">
      <w:pPr>
        <w:jc w:val="both"/>
      </w:pPr>
      <w:r>
        <w:rPr>
          <w:rFonts w:ascii="Times New Roman" w:hAnsi="Times New Roman" w:cs="Times New Roman"/>
          <w:sz w:val="24"/>
          <w:szCs w:val="22"/>
        </w:rPr>
        <w:t>Establishing baseline susceptibility is an important step in insecticide resistance management. The median lethal concentration (LC</w:t>
      </w:r>
      <w:r>
        <w:rPr>
          <w:rFonts w:ascii="Times New Roman" w:hAnsi="Times New Roman" w:cs="Times New Roman"/>
          <w:sz w:val="24"/>
          <w:szCs w:val="22"/>
          <w:vertAlign w:val="subscript"/>
        </w:rPr>
        <w:t>50</w:t>
      </w:r>
      <w:r>
        <w:rPr>
          <w:rFonts w:ascii="Times New Roman" w:hAnsi="Times New Roman" w:cs="Times New Roman"/>
          <w:sz w:val="24"/>
          <w:szCs w:val="22"/>
        </w:rPr>
        <w:t xml:space="preserve">), which represents the concentration required to cause mortality </w:t>
      </w:r>
      <w:r>
        <w:rPr>
          <w:rFonts w:ascii="Times New Roman" w:hAnsi="Times New Roman" w:cs="Times New Roman"/>
          <w:sz w:val="24"/>
          <w:szCs w:val="22"/>
          <w:highlight w:val="yellow"/>
        </w:rPr>
        <w:t>in</w:t>
      </w:r>
      <w:r>
        <w:rPr>
          <w:rFonts w:ascii="Times New Roman" w:hAnsi="Times New Roman" w:cs="Times New Roman"/>
          <w:sz w:val="24"/>
          <w:szCs w:val="22"/>
        </w:rPr>
        <w:t xml:space="preserve"> 50 per cent of a test population, is widely used </w:t>
      </w:r>
      <w:r>
        <w:rPr>
          <w:rFonts w:ascii="Times New Roman" w:hAnsi="Times New Roman" w:cs="Times New Roman"/>
          <w:sz w:val="24"/>
          <w:szCs w:val="22"/>
          <w:highlight w:val="yellow"/>
        </w:rPr>
        <w:t>to</w:t>
      </w:r>
      <w:r>
        <w:rPr>
          <w:rFonts w:ascii="Times New Roman" w:hAnsi="Times New Roman" w:cs="Times New Roman"/>
          <w:sz w:val="24"/>
          <w:szCs w:val="22"/>
        </w:rPr>
        <w:t xml:space="preserve"> </w:t>
      </w:r>
      <w:r>
        <w:rPr>
          <w:rFonts w:ascii="Times New Roman" w:hAnsi="Times New Roman" w:cs="Times New Roman"/>
          <w:sz w:val="24"/>
          <w:szCs w:val="22"/>
          <w:highlight w:val="yellow"/>
        </w:rPr>
        <w:t>evaluate</w:t>
      </w:r>
      <w:r>
        <w:rPr>
          <w:rFonts w:ascii="Times New Roman" w:hAnsi="Times New Roman" w:cs="Times New Roman"/>
          <w:sz w:val="24"/>
          <w:szCs w:val="22"/>
        </w:rPr>
        <w:t xml:space="preserve"> insecticide toxicity.</w:t>
      </w:r>
    </w:p>
    <w:p w14:paraId="6996FD4A" w14:textId="77777777" w:rsidR="00997240" w:rsidRPr="00D44B77" w:rsidRDefault="00F47551" w:rsidP="00A94C17">
      <w:pPr>
        <w:spacing w:after="0" w:line="240" w:lineRule="auto"/>
        <w:ind w:firstLine="432"/>
        <w:jc w:val="both"/>
      </w:pPr>
      <w:r>
        <w:rPr>
          <w:rFonts w:ascii="Times New Roman" w:eastAsia="Times New Roman" w:hAnsi="Times New Roman"/>
          <w:sz w:val="24"/>
        </w:rPr>
        <w:t>Laboratory LC</w:t>
      </w:r>
      <w:r>
        <w:rPr>
          <w:rFonts w:ascii="Times New Roman" w:eastAsia="Times New Roman" w:hAnsi="Times New Roman"/>
          <w:sz w:val="24"/>
          <w:vertAlign w:val="subscript"/>
        </w:rPr>
        <w:t>50</w:t>
      </w:r>
      <w:r>
        <w:rPr>
          <w:rFonts w:ascii="Times New Roman" w:eastAsia="Times New Roman" w:hAnsi="Times New Roman"/>
          <w:sz w:val="24"/>
        </w:rPr>
        <w:t xml:space="preserve"> estimates are most appropriately interpreted as population- and method-specific benchmarks rather than </w:t>
      </w:r>
      <w:r>
        <w:rPr>
          <w:rFonts w:ascii="Times New Roman" w:eastAsia="Times New Roman" w:hAnsi="Times New Roman"/>
          <w:sz w:val="24"/>
          <w:highlight w:val="yellow"/>
        </w:rPr>
        <w:t xml:space="preserve">as </w:t>
      </w:r>
      <w:r>
        <w:rPr>
          <w:rFonts w:ascii="Times New Roman" w:eastAsia="Times New Roman" w:hAnsi="Times New Roman"/>
          <w:sz w:val="24"/>
        </w:rPr>
        <w:t xml:space="preserve">direct predictions of field efficacy because larval age, exposure route, </w:t>
      </w:r>
      <w:r>
        <w:rPr>
          <w:rFonts w:ascii="Times New Roman" w:eastAsia="Times New Roman" w:hAnsi="Times New Roman"/>
          <w:sz w:val="24"/>
          <w:highlight w:val="yellow"/>
        </w:rPr>
        <w:t>formulation,</w:t>
      </w:r>
      <w:r>
        <w:rPr>
          <w:rFonts w:ascii="Times New Roman" w:eastAsia="Times New Roman" w:hAnsi="Times New Roman"/>
          <w:sz w:val="24"/>
        </w:rPr>
        <w:t xml:space="preserve"> and local resistance history can influence toxicity estimates (Beuzelin et al., 2022; Bird et al., 2022; Kulye et al., 2021).</w:t>
      </w:r>
    </w:p>
    <w:p w14:paraId="607FEA5B" w14:textId="77777777" w:rsidR="00997240" w:rsidRPr="00D44B77" w:rsidRDefault="00F47551" w:rsidP="00A94C17">
      <w:pPr>
        <w:jc w:val="both"/>
      </w:pPr>
      <w:r>
        <w:rPr>
          <w:rFonts w:ascii="Times New Roman" w:hAnsi="Times New Roman" w:cs="Times New Roman"/>
          <w:sz w:val="24"/>
          <w:szCs w:val="22"/>
        </w:rPr>
        <w:lastRenderedPageBreak/>
        <w:t xml:space="preserve">Although several studies have evaluated </w:t>
      </w:r>
      <w:r>
        <w:rPr>
          <w:rFonts w:ascii="Times New Roman" w:hAnsi="Times New Roman" w:cs="Times New Roman"/>
          <w:sz w:val="24"/>
          <w:szCs w:val="22"/>
          <w:highlight w:val="yellow"/>
        </w:rPr>
        <w:t>the efficacy of insecticides</w:t>
      </w:r>
      <w:r>
        <w:rPr>
          <w:rFonts w:ascii="Times New Roman" w:hAnsi="Times New Roman" w:cs="Times New Roman"/>
          <w:sz w:val="24"/>
          <w:szCs w:val="22"/>
        </w:rPr>
        <w:t xml:space="preserve"> against </w:t>
      </w:r>
      <w:r>
        <w:rPr>
          <w:rFonts w:ascii="Times New Roman" w:hAnsi="Times New Roman" w:cs="Times New Roman"/>
          <w:i/>
          <w:iCs/>
          <w:sz w:val="24"/>
          <w:szCs w:val="22"/>
        </w:rPr>
        <w:t>S. frugiperda</w:t>
      </w:r>
      <w:r>
        <w:rPr>
          <w:rFonts w:ascii="Times New Roman" w:hAnsi="Times New Roman" w:cs="Times New Roman"/>
          <w:sz w:val="24"/>
          <w:szCs w:val="22"/>
        </w:rPr>
        <w:t xml:space="preserve">, comparative </w:t>
      </w:r>
      <w:r>
        <w:rPr>
          <w:rFonts w:ascii="Times New Roman" w:hAnsi="Times New Roman" w:cs="Times New Roman"/>
          <w:sz w:val="24"/>
          <w:szCs w:val="22"/>
          <w:highlight w:val="yellow"/>
        </w:rPr>
        <w:t>LC</w:t>
      </w:r>
      <w:r>
        <w:rPr>
          <w:rFonts w:ascii="Times New Roman" w:hAnsi="Times New Roman" w:cs="Times New Roman"/>
          <w:sz w:val="24"/>
          <w:szCs w:val="22"/>
          <w:highlight w:val="yellow"/>
          <w:vertAlign w:val="subscript"/>
        </w:rPr>
        <w:t>50</w:t>
      </w:r>
      <w:r>
        <w:rPr>
          <w:rFonts w:ascii="Times New Roman" w:hAnsi="Times New Roman" w:cs="Times New Roman"/>
          <w:sz w:val="24"/>
          <w:szCs w:val="22"/>
          <w:highlight w:val="yellow"/>
        </w:rPr>
        <w:t xml:space="preserve">-based </w:t>
      </w:r>
      <w:r>
        <w:rPr>
          <w:rFonts w:ascii="Times New Roman" w:hAnsi="Times New Roman" w:cs="Times New Roman"/>
          <w:sz w:val="24"/>
          <w:szCs w:val="22"/>
        </w:rPr>
        <w:t xml:space="preserve">toxicity </w:t>
      </w:r>
      <w:r>
        <w:rPr>
          <w:rFonts w:ascii="Times New Roman" w:hAnsi="Times New Roman" w:cs="Times New Roman"/>
          <w:sz w:val="24"/>
          <w:szCs w:val="22"/>
          <w:highlight w:val="yellow"/>
        </w:rPr>
        <w:t>data</w:t>
      </w:r>
      <w:r>
        <w:rPr>
          <w:rFonts w:ascii="Times New Roman" w:hAnsi="Times New Roman" w:cs="Times New Roman"/>
          <w:sz w:val="24"/>
          <w:szCs w:val="22"/>
        </w:rPr>
        <w:t xml:space="preserve"> for important insecticides against Indian populations remain limited. Such baseline data are essential for selecting effective molecules, planning insecticide rotation </w:t>
      </w:r>
      <w:r>
        <w:rPr>
          <w:rFonts w:ascii="Times New Roman" w:hAnsi="Times New Roman" w:cs="Times New Roman"/>
          <w:sz w:val="24"/>
          <w:szCs w:val="22"/>
          <w:highlight w:val="yellow"/>
        </w:rPr>
        <w:t>programmes,</w:t>
      </w:r>
      <w:r>
        <w:rPr>
          <w:rFonts w:ascii="Times New Roman" w:hAnsi="Times New Roman" w:cs="Times New Roman"/>
          <w:sz w:val="24"/>
          <w:szCs w:val="22"/>
        </w:rPr>
        <w:t xml:space="preserve"> and implementing sustainable management strategies.</w:t>
      </w:r>
    </w:p>
    <w:p w14:paraId="264E832C" w14:textId="77777777" w:rsidR="00997240" w:rsidRDefault="00F47551" w:rsidP="00A94C17">
      <w:pPr>
        <w:jc w:val="both"/>
        <w:rPr>
          <w:rFonts w:ascii="Times New Roman" w:hAnsi="Times New Roman" w:cs="Times New Roman"/>
          <w:sz w:val="24"/>
          <w:szCs w:val="22"/>
        </w:rPr>
      </w:pPr>
      <w:r>
        <w:rPr>
          <w:rFonts w:ascii="Times New Roman" w:hAnsi="Times New Roman" w:cs="Times New Roman"/>
          <w:sz w:val="24"/>
          <w:szCs w:val="22"/>
        </w:rPr>
        <w:t xml:space="preserve">Therefore, the present study </w:t>
      </w:r>
      <w:r>
        <w:rPr>
          <w:rFonts w:ascii="Times New Roman" w:hAnsi="Times New Roman" w:cs="Times New Roman"/>
          <w:sz w:val="24"/>
          <w:szCs w:val="22"/>
          <w:highlight w:val="yellow"/>
        </w:rPr>
        <w:t>aimed</w:t>
      </w:r>
      <w:r>
        <w:rPr>
          <w:rFonts w:ascii="Times New Roman" w:hAnsi="Times New Roman" w:cs="Times New Roman"/>
          <w:sz w:val="24"/>
          <w:szCs w:val="22"/>
        </w:rPr>
        <w:t xml:space="preserve"> to determine the LC</w:t>
      </w:r>
      <w:r>
        <w:rPr>
          <w:rFonts w:ascii="Times New Roman" w:hAnsi="Times New Roman" w:cs="Times New Roman"/>
          <w:sz w:val="24"/>
          <w:szCs w:val="22"/>
          <w:vertAlign w:val="subscript"/>
        </w:rPr>
        <w:t xml:space="preserve">50 </w:t>
      </w:r>
      <w:r>
        <w:rPr>
          <w:rFonts w:ascii="Times New Roman" w:hAnsi="Times New Roman" w:cs="Times New Roman"/>
          <w:sz w:val="24"/>
          <w:szCs w:val="22"/>
        </w:rPr>
        <w:t xml:space="preserve">values of five commonly used insecticides, namely emamectin benzoate 5 SG, chlorantraniliprole 18.5 SC, spinetoram 11.7 SC, spinosad 45 </w:t>
      </w:r>
      <w:r>
        <w:rPr>
          <w:rFonts w:ascii="Times New Roman" w:hAnsi="Times New Roman" w:cs="Times New Roman"/>
          <w:sz w:val="24"/>
          <w:szCs w:val="22"/>
          <w:highlight w:val="yellow"/>
        </w:rPr>
        <w:t>SC,</w:t>
      </w:r>
      <w:r>
        <w:rPr>
          <w:rFonts w:ascii="Times New Roman" w:hAnsi="Times New Roman" w:cs="Times New Roman"/>
          <w:sz w:val="24"/>
          <w:szCs w:val="22"/>
        </w:rPr>
        <w:t xml:space="preserve"> and flubendiamide 480 SC, against </w:t>
      </w:r>
      <w:r>
        <w:rPr>
          <w:rFonts w:ascii="Times New Roman" w:hAnsi="Times New Roman" w:cs="Times New Roman"/>
          <w:sz w:val="24"/>
          <w:szCs w:val="22"/>
          <w:highlight w:val="yellow"/>
        </w:rPr>
        <w:t>third-instar</w:t>
      </w:r>
      <w:r>
        <w:rPr>
          <w:rFonts w:ascii="Times New Roman" w:hAnsi="Times New Roman" w:cs="Times New Roman"/>
          <w:sz w:val="24"/>
          <w:szCs w:val="22"/>
        </w:rPr>
        <w:t xml:space="preserve"> larvae of </w:t>
      </w:r>
      <w:r>
        <w:rPr>
          <w:rFonts w:ascii="Times New Roman" w:hAnsi="Times New Roman" w:cs="Times New Roman"/>
          <w:i/>
          <w:iCs/>
          <w:sz w:val="24"/>
          <w:szCs w:val="22"/>
        </w:rPr>
        <w:t>S. frugiperda</w:t>
      </w:r>
      <w:r>
        <w:rPr>
          <w:rFonts w:ascii="Times New Roman" w:hAnsi="Times New Roman" w:cs="Times New Roman"/>
          <w:sz w:val="24"/>
          <w:szCs w:val="22"/>
        </w:rPr>
        <w:t xml:space="preserve"> under laboratory conditions and to assess their relative toxicity.</w:t>
      </w:r>
    </w:p>
    <w:p w14:paraId="7638D22A" w14:textId="77777777" w:rsidR="00A94C17" w:rsidRPr="00D44B77" w:rsidRDefault="00A94C17" w:rsidP="00A94C17">
      <w:pPr>
        <w:jc w:val="both"/>
      </w:pPr>
    </w:p>
    <w:p w14:paraId="2D0AE7DB" w14:textId="77777777" w:rsidR="00997240" w:rsidRPr="00D44B77" w:rsidRDefault="00F47551" w:rsidP="00A94C17">
      <w:pPr>
        <w:jc w:val="both"/>
      </w:pPr>
      <w:r w:rsidRPr="00D44B77">
        <w:rPr>
          <w:rFonts w:ascii="Times New Roman" w:hAnsi="Times New Roman" w:cs="Times New Roman"/>
          <w:b/>
          <w:bCs/>
          <w:sz w:val="24"/>
          <w:szCs w:val="22"/>
        </w:rPr>
        <w:t>2. Materials and Methods</w:t>
      </w:r>
    </w:p>
    <w:p w14:paraId="166D913B" w14:textId="77777777"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2.1 Test insect</w:t>
      </w:r>
    </w:p>
    <w:p w14:paraId="046941A7" w14:textId="77777777" w:rsidR="00997240" w:rsidRPr="00D44B77" w:rsidRDefault="00F47551" w:rsidP="00A94C17">
      <w:pPr>
        <w:jc w:val="both"/>
        <w:rPr>
          <w:rFonts w:ascii="Times New Roman" w:hAnsi="Times New Roman" w:cs="Times New Roman"/>
          <w:sz w:val="24"/>
          <w:szCs w:val="22"/>
        </w:rPr>
      </w:pPr>
      <w:r>
        <w:rPr>
          <w:rFonts w:ascii="Times New Roman" w:hAnsi="Times New Roman" w:cs="Times New Roman"/>
          <w:sz w:val="24"/>
          <w:szCs w:val="24"/>
        </w:rPr>
        <w:t>The</w:t>
      </w:r>
      <w:r>
        <w:rPr>
          <w:rFonts w:ascii="Times New Roman" w:hAnsi="Times New Roman" w:cs="Times New Roman"/>
          <w:sz w:val="24"/>
          <w:szCs w:val="24"/>
          <w:highlight w:val="yellow"/>
        </w:rPr>
        <w:t xml:space="preserve"> laboratory</w:t>
      </w:r>
      <w:r>
        <w:rPr>
          <w:rFonts w:ascii="Times New Roman" w:hAnsi="Times New Roman" w:cs="Times New Roman"/>
          <w:sz w:val="24"/>
          <w:szCs w:val="24"/>
        </w:rPr>
        <w:t xml:space="preserve"> rearing of </w:t>
      </w:r>
      <w:r>
        <w:rPr>
          <w:rFonts w:ascii="Times New Roman" w:hAnsi="Times New Roman" w:cs="Times New Roman"/>
          <w:i/>
          <w:iCs/>
          <w:sz w:val="24"/>
          <w:szCs w:val="24"/>
        </w:rPr>
        <w:t>S</w:t>
      </w:r>
      <w:r>
        <w:rPr>
          <w:rFonts w:ascii="Times New Roman" w:hAnsi="Times New Roman" w:cs="Times New Roman"/>
          <w:i/>
          <w:sz w:val="24"/>
          <w:szCs w:val="24"/>
        </w:rPr>
        <w:t xml:space="preserve">. </w:t>
      </w:r>
      <w:r>
        <w:rPr>
          <w:rFonts w:ascii="Times New Roman" w:hAnsi="Times New Roman" w:cs="Times New Roman"/>
          <w:i/>
          <w:iCs/>
          <w:sz w:val="24"/>
          <w:szCs w:val="24"/>
        </w:rPr>
        <w:t>frugiperda</w:t>
      </w:r>
      <w:r>
        <w:rPr>
          <w:rFonts w:ascii="Times New Roman" w:hAnsi="Times New Roman" w:cs="Times New Roman"/>
          <w:sz w:val="24"/>
          <w:szCs w:val="24"/>
        </w:rPr>
        <w:t xml:space="preserve"> was initiated </w:t>
      </w:r>
      <w:r>
        <w:rPr>
          <w:rFonts w:ascii="Times New Roman" w:hAnsi="Times New Roman" w:cs="Times New Roman"/>
          <w:sz w:val="24"/>
          <w:szCs w:val="24"/>
          <w:highlight w:val="yellow"/>
        </w:rPr>
        <w:t>at</w:t>
      </w:r>
      <w:r>
        <w:rPr>
          <w:rFonts w:ascii="Times New Roman" w:hAnsi="Times New Roman" w:cs="Times New Roman"/>
          <w:sz w:val="24"/>
          <w:szCs w:val="24"/>
        </w:rPr>
        <w:t xml:space="preserve"> the Department of Entomology, College of Agriculture, </w:t>
      </w:r>
      <w:r>
        <w:rPr>
          <w:rFonts w:ascii="Times New Roman" w:hAnsi="Times New Roman" w:cs="Times New Roman"/>
          <w:sz w:val="24"/>
          <w:szCs w:val="24"/>
          <w:highlight w:val="yellow"/>
        </w:rPr>
        <w:t>Dharwad,</w:t>
      </w:r>
      <w:r>
        <w:rPr>
          <w:rFonts w:ascii="Times New Roman" w:hAnsi="Times New Roman" w:cs="Times New Roman"/>
          <w:sz w:val="24"/>
          <w:szCs w:val="24"/>
        </w:rPr>
        <w:t xml:space="preserve"> using egg masses and caterpillars of </w:t>
      </w:r>
      <w:r>
        <w:rPr>
          <w:rFonts w:ascii="Times New Roman" w:hAnsi="Times New Roman" w:cs="Times New Roman"/>
          <w:sz w:val="24"/>
          <w:szCs w:val="24"/>
          <w:highlight w:val="yellow"/>
        </w:rPr>
        <w:t>fall armyworm</w:t>
      </w:r>
      <w:r>
        <w:rPr>
          <w:rFonts w:ascii="Times New Roman" w:hAnsi="Times New Roman" w:cs="Times New Roman"/>
          <w:sz w:val="24"/>
          <w:szCs w:val="24"/>
        </w:rPr>
        <w:t xml:space="preserve"> collected from the field at the Main Agricultural Research Station (MARS), Dharwad. </w:t>
      </w:r>
      <w:r>
        <w:rPr>
          <w:rFonts w:ascii="Times New Roman" w:hAnsi="Times New Roman" w:cs="Times New Roman"/>
          <w:sz w:val="24"/>
          <w:szCs w:val="22"/>
        </w:rPr>
        <w:t xml:space="preserve">A laboratory culture of fall armyworm, </w:t>
      </w:r>
      <w:r>
        <w:rPr>
          <w:rFonts w:ascii="Times New Roman" w:hAnsi="Times New Roman" w:cs="Times New Roman"/>
          <w:i/>
          <w:iCs/>
          <w:sz w:val="24"/>
          <w:szCs w:val="22"/>
        </w:rPr>
        <w:t>Spodoptera frugiperda</w:t>
      </w:r>
      <w:r>
        <w:rPr>
          <w:rFonts w:ascii="Times New Roman" w:hAnsi="Times New Roman" w:cs="Times New Roman"/>
          <w:sz w:val="24"/>
          <w:szCs w:val="22"/>
        </w:rPr>
        <w:t xml:space="preserve"> (J.</w:t>
      </w:r>
      <w:r>
        <w:rPr>
          <w:rFonts w:ascii="Times New Roman" w:hAnsi="Times New Roman" w:cs="Times New Roman"/>
          <w:sz w:val="24"/>
          <w:szCs w:val="22"/>
          <w:highlight w:val="yellow"/>
        </w:rPr>
        <w:t xml:space="preserve"> </w:t>
      </w:r>
      <w:r>
        <w:rPr>
          <w:rFonts w:ascii="Times New Roman" w:hAnsi="Times New Roman" w:cs="Times New Roman"/>
          <w:sz w:val="24"/>
          <w:szCs w:val="22"/>
        </w:rPr>
        <w:t xml:space="preserve">E. Smith), was maintained under controlled laboratory conditions using standard rearing procedures. </w:t>
      </w:r>
      <w:r>
        <w:rPr>
          <w:rFonts w:ascii="Times New Roman" w:hAnsi="Times New Roman" w:cs="Times New Roman"/>
          <w:sz w:val="24"/>
          <w:szCs w:val="22"/>
          <w:highlight w:val="yellow"/>
        </w:rPr>
        <w:t>Third-instar</w:t>
      </w:r>
      <w:r>
        <w:rPr>
          <w:rFonts w:ascii="Times New Roman" w:hAnsi="Times New Roman" w:cs="Times New Roman"/>
          <w:sz w:val="24"/>
          <w:szCs w:val="22"/>
        </w:rPr>
        <w:t xml:space="preserve"> larvae (L3) of uniform age and size were selected from the laboratory culture and used for </w:t>
      </w:r>
      <w:r>
        <w:rPr>
          <w:rFonts w:ascii="Times New Roman" w:hAnsi="Times New Roman" w:cs="Times New Roman"/>
          <w:sz w:val="24"/>
          <w:szCs w:val="22"/>
          <w:highlight w:val="yellow"/>
        </w:rPr>
        <w:t>the toxicity</w:t>
      </w:r>
      <w:r>
        <w:rPr>
          <w:rFonts w:ascii="Times New Roman" w:hAnsi="Times New Roman" w:cs="Times New Roman"/>
          <w:sz w:val="24"/>
          <w:szCs w:val="22"/>
        </w:rPr>
        <w:t xml:space="preserve"> bioassays.</w:t>
      </w:r>
    </w:p>
    <w:p w14:paraId="55086681" w14:textId="77777777" w:rsidR="00997240" w:rsidRPr="00D44B77" w:rsidRDefault="00997240" w:rsidP="00A94C17">
      <w:pPr>
        <w:jc w:val="both"/>
        <w:rPr>
          <w:rFonts w:ascii="Times New Roman" w:hAnsi="Times New Roman" w:cs="Times New Roman"/>
          <w:sz w:val="24"/>
          <w:szCs w:val="22"/>
        </w:rPr>
      </w:pPr>
    </w:p>
    <w:p w14:paraId="3E513D9A" w14:textId="77777777"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2.2 Test insecticides</w:t>
      </w:r>
    </w:p>
    <w:p w14:paraId="4DB51583" w14:textId="77777777" w:rsidR="00997240" w:rsidRPr="00D44B77" w:rsidRDefault="00F47551" w:rsidP="00A94C17">
      <w:pPr>
        <w:jc w:val="both"/>
      </w:pPr>
      <w:r>
        <w:rPr>
          <w:rFonts w:ascii="Times New Roman" w:hAnsi="Times New Roman" w:cs="Times New Roman"/>
          <w:sz w:val="24"/>
          <w:szCs w:val="22"/>
        </w:rPr>
        <w:t xml:space="preserve">Five insecticides representing different </w:t>
      </w:r>
      <w:r>
        <w:rPr>
          <w:rFonts w:ascii="Times New Roman" w:hAnsi="Times New Roman" w:cs="Times New Roman"/>
          <w:sz w:val="24"/>
          <w:szCs w:val="22"/>
          <w:highlight w:val="yellow"/>
        </w:rPr>
        <w:t xml:space="preserve">mode-of-action groups of the </w:t>
      </w:r>
      <w:r>
        <w:rPr>
          <w:rFonts w:ascii="Times New Roman" w:hAnsi="Times New Roman" w:cs="Times New Roman"/>
          <w:sz w:val="24"/>
          <w:szCs w:val="22"/>
        </w:rPr>
        <w:t xml:space="preserve">Insecticide Resistance Action Committee (IRAC) were selected </w:t>
      </w:r>
      <w:r>
        <w:rPr>
          <w:rFonts w:ascii="Times New Roman" w:hAnsi="Times New Roman" w:cs="Times New Roman"/>
          <w:sz w:val="24"/>
          <w:szCs w:val="22"/>
          <w:highlight w:val="yellow"/>
        </w:rPr>
        <w:t>to</w:t>
      </w:r>
      <w:r>
        <w:rPr>
          <w:rFonts w:ascii="Times New Roman" w:hAnsi="Times New Roman" w:cs="Times New Roman"/>
          <w:sz w:val="24"/>
          <w:szCs w:val="22"/>
        </w:rPr>
        <w:t xml:space="preserve"> </w:t>
      </w:r>
      <w:r>
        <w:rPr>
          <w:rFonts w:ascii="Times New Roman" w:hAnsi="Times New Roman" w:cs="Times New Roman"/>
          <w:sz w:val="24"/>
          <w:szCs w:val="22"/>
          <w:highlight w:val="yellow"/>
        </w:rPr>
        <w:t>evaluate</w:t>
      </w:r>
      <w:r>
        <w:rPr>
          <w:rFonts w:ascii="Times New Roman" w:hAnsi="Times New Roman" w:cs="Times New Roman"/>
          <w:sz w:val="24"/>
          <w:szCs w:val="22"/>
        </w:rPr>
        <w:t xml:space="preserve"> their toxicity against </w:t>
      </w:r>
      <w:r>
        <w:rPr>
          <w:rFonts w:ascii="Times New Roman" w:hAnsi="Times New Roman" w:cs="Times New Roman"/>
          <w:sz w:val="24"/>
          <w:szCs w:val="22"/>
          <w:highlight w:val="yellow"/>
        </w:rPr>
        <w:t>third-instar</w:t>
      </w:r>
      <w:r>
        <w:rPr>
          <w:rFonts w:ascii="Times New Roman" w:hAnsi="Times New Roman" w:cs="Times New Roman"/>
          <w:sz w:val="24"/>
          <w:szCs w:val="22"/>
        </w:rPr>
        <w:t xml:space="preserve"> larvae of </w:t>
      </w:r>
      <w:r>
        <w:rPr>
          <w:rFonts w:ascii="Times New Roman" w:hAnsi="Times New Roman" w:cs="Times New Roman"/>
          <w:i/>
          <w:iCs/>
          <w:sz w:val="24"/>
          <w:szCs w:val="22"/>
        </w:rPr>
        <w:t>S. frugiperda</w:t>
      </w:r>
      <w:r>
        <w:rPr>
          <w:rFonts w:ascii="Times New Roman" w:hAnsi="Times New Roman" w:cs="Times New Roman"/>
          <w:sz w:val="24"/>
          <w:szCs w:val="22"/>
        </w:rPr>
        <w:t xml:space="preserve">. The insecticides tested were emamectin benzoate 5 SG (IRAC Group 6), spinetoram 11.7 SC (IRAC Group 5), chlorantraniliprole 18.5 SC (IRAC Group 28), flubendiamide 480 SC (IRAC Group </w:t>
      </w:r>
      <w:r>
        <w:rPr>
          <w:rFonts w:ascii="Times New Roman" w:hAnsi="Times New Roman" w:cs="Times New Roman"/>
          <w:sz w:val="24"/>
          <w:szCs w:val="22"/>
          <w:highlight w:val="yellow"/>
        </w:rPr>
        <w:t>28),</w:t>
      </w:r>
      <w:r>
        <w:rPr>
          <w:rFonts w:ascii="Times New Roman" w:hAnsi="Times New Roman" w:cs="Times New Roman"/>
          <w:sz w:val="24"/>
          <w:szCs w:val="22"/>
        </w:rPr>
        <w:t xml:space="preserve"> and spinosad 45 SC (IRAC Group 5).</w:t>
      </w:r>
    </w:p>
    <w:p w14:paraId="370710E4" w14:textId="77777777" w:rsidR="00997240" w:rsidRPr="00D44B77" w:rsidRDefault="00F47551" w:rsidP="00A94C17">
      <w:pPr>
        <w:jc w:val="both"/>
      </w:pPr>
      <w:r w:rsidRPr="00D44B77">
        <w:rPr>
          <w:rFonts w:ascii="Times New Roman" w:hAnsi="Times New Roman" w:cs="Times New Roman"/>
          <w:sz w:val="24"/>
          <w:szCs w:val="22"/>
        </w:rPr>
        <w:t>Commercial formulations of the selected insecticides were obtained from agrochemical dealers and stored under recommended conditions until further use.</w:t>
      </w:r>
    </w:p>
    <w:p w14:paraId="251FCD8D" w14:textId="77777777"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2.3 Preparation of insecticide solutions</w:t>
      </w:r>
    </w:p>
    <w:p w14:paraId="501D6214" w14:textId="5224A3DC" w:rsidR="00997240" w:rsidRPr="00D44B77" w:rsidRDefault="00F47551" w:rsidP="00A94C17">
      <w:pPr>
        <w:jc w:val="both"/>
      </w:pPr>
      <w:r>
        <w:rPr>
          <w:rFonts w:ascii="Times New Roman" w:hAnsi="Times New Roman" w:cs="Times New Roman"/>
          <w:sz w:val="24"/>
          <w:szCs w:val="22"/>
        </w:rPr>
        <w:t xml:space="preserve">Stock solutions of each insecticide were prepared separately using distilled water. </w:t>
      </w:r>
      <w:r>
        <w:rPr>
          <w:rFonts w:ascii="Times New Roman" w:hAnsi="Times New Roman" w:cs="Times New Roman"/>
          <w:sz w:val="24"/>
          <w:szCs w:val="22"/>
          <w:highlight w:val="yellow"/>
        </w:rPr>
        <w:t>The required</w:t>
      </w:r>
      <w:r>
        <w:rPr>
          <w:rFonts w:ascii="Times New Roman" w:hAnsi="Times New Roman" w:cs="Times New Roman"/>
          <w:sz w:val="24"/>
          <w:szCs w:val="22"/>
        </w:rPr>
        <w:t xml:space="preserve"> test concentrations were prepared by serial dilution using </w:t>
      </w:r>
      <w:r>
        <w:rPr>
          <w:rFonts w:ascii="Times New Roman" w:hAnsi="Times New Roman" w:cs="Times New Roman"/>
          <w:sz w:val="24"/>
          <w:szCs w:val="22"/>
          <w:highlight w:val="yellow"/>
        </w:rPr>
        <w:t>Pearson's</w:t>
      </w:r>
      <w:r>
        <w:rPr>
          <w:rFonts w:ascii="Times New Roman" w:hAnsi="Times New Roman" w:cs="Times New Roman"/>
          <w:sz w:val="24"/>
          <w:szCs w:val="22"/>
        </w:rPr>
        <w:t xml:space="preserve"> square method </w:t>
      </w:r>
      <w:r>
        <w:rPr>
          <w:rFonts w:ascii="Times New Roman" w:eastAsia="Times New Roman" w:hAnsi="Times New Roman" w:cs="Times New Roman"/>
          <w:sz w:val="24"/>
          <w:szCs w:val="22"/>
        </w:rPr>
        <w:t>(Pearson, 1895; Santana et al., 201</w:t>
      </w:r>
      <w:r w:rsidR="00E63A6C">
        <w:rPr>
          <w:rFonts w:ascii="Times New Roman" w:eastAsia="Times New Roman" w:hAnsi="Times New Roman" w:cs="Times New Roman"/>
          <w:sz w:val="24"/>
          <w:szCs w:val="22"/>
        </w:rPr>
        <w:t>5</w:t>
      </w:r>
      <w:r>
        <w:rPr>
          <w:rFonts w:ascii="Times New Roman" w:eastAsia="Times New Roman" w:hAnsi="Times New Roman" w:cs="Times New Roman"/>
          <w:sz w:val="24"/>
          <w:szCs w:val="22"/>
        </w:rPr>
        <w:t>)</w:t>
      </w:r>
      <w:r>
        <w:rPr>
          <w:rFonts w:ascii="Times New Roman" w:hAnsi="Times New Roman" w:cs="Times New Roman"/>
          <w:sz w:val="24"/>
          <w:szCs w:val="22"/>
        </w:rPr>
        <w:t xml:space="preserve">. Preliminary bioassays were conducted to identify the concentration range that </w:t>
      </w:r>
      <w:r>
        <w:rPr>
          <w:rFonts w:ascii="Times New Roman" w:hAnsi="Times New Roman" w:cs="Times New Roman"/>
          <w:sz w:val="24"/>
          <w:szCs w:val="22"/>
          <w:highlight w:val="yellow"/>
        </w:rPr>
        <w:t>produced</w:t>
      </w:r>
      <w:r>
        <w:rPr>
          <w:rFonts w:ascii="Times New Roman" w:hAnsi="Times New Roman" w:cs="Times New Roman"/>
          <w:sz w:val="24"/>
          <w:szCs w:val="22"/>
        </w:rPr>
        <w:t xml:space="preserve"> approximately 20 to 80 per cent mortality </w:t>
      </w:r>
      <w:r>
        <w:rPr>
          <w:rFonts w:ascii="Times New Roman" w:hAnsi="Times New Roman" w:cs="Times New Roman"/>
          <w:sz w:val="24"/>
          <w:szCs w:val="22"/>
          <w:highlight w:val="yellow"/>
        </w:rPr>
        <w:t>among</w:t>
      </w:r>
      <w:r>
        <w:rPr>
          <w:rFonts w:ascii="Times New Roman" w:hAnsi="Times New Roman" w:cs="Times New Roman"/>
          <w:sz w:val="24"/>
          <w:szCs w:val="22"/>
        </w:rPr>
        <w:t xml:space="preserve"> </w:t>
      </w:r>
      <w:r>
        <w:rPr>
          <w:rFonts w:ascii="Times New Roman" w:hAnsi="Times New Roman" w:cs="Times New Roman"/>
          <w:sz w:val="24"/>
          <w:szCs w:val="22"/>
          <w:highlight w:val="yellow"/>
        </w:rPr>
        <w:t>third-instar</w:t>
      </w:r>
      <w:r>
        <w:rPr>
          <w:rFonts w:ascii="Times New Roman" w:hAnsi="Times New Roman" w:cs="Times New Roman"/>
          <w:sz w:val="24"/>
          <w:szCs w:val="22"/>
        </w:rPr>
        <w:t xml:space="preserve"> larvae. Based on</w:t>
      </w:r>
      <w:r>
        <w:rPr>
          <w:rFonts w:ascii="Times New Roman" w:hAnsi="Times New Roman" w:cs="Times New Roman"/>
          <w:sz w:val="24"/>
          <w:szCs w:val="22"/>
          <w:highlight w:val="yellow"/>
        </w:rPr>
        <w:t xml:space="preserve"> these</w:t>
      </w:r>
      <w:r>
        <w:rPr>
          <w:rFonts w:ascii="Times New Roman" w:hAnsi="Times New Roman" w:cs="Times New Roman"/>
          <w:sz w:val="24"/>
          <w:szCs w:val="22"/>
        </w:rPr>
        <w:t xml:space="preserve"> preliminary observations, six concentrations of each insecticide were selected for the final toxicity assessment.</w:t>
      </w:r>
    </w:p>
    <w:p w14:paraId="12487A87" w14:textId="77777777"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2.4 Leaf dip bioassay</w:t>
      </w:r>
    </w:p>
    <w:p w14:paraId="019137AE" w14:textId="77777777" w:rsidR="00997240" w:rsidRPr="00D44B77" w:rsidRDefault="00F47551" w:rsidP="00A94C17">
      <w:pPr>
        <w:jc w:val="both"/>
      </w:pPr>
      <w:r>
        <w:rPr>
          <w:rFonts w:ascii="Times New Roman" w:hAnsi="Times New Roman" w:cs="Times New Roman"/>
          <w:sz w:val="24"/>
          <w:szCs w:val="22"/>
        </w:rPr>
        <w:t>The toxicity of</w:t>
      </w:r>
      <w:r>
        <w:rPr>
          <w:rFonts w:ascii="Times New Roman" w:hAnsi="Times New Roman" w:cs="Times New Roman"/>
          <w:sz w:val="24"/>
          <w:szCs w:val="22"/>
          <w:highlight w:val="yellow"/>
        </w:rPr>
        <w:t xml:space="preserve"> the</w:t>
      </w:r>
      <w:r>
        <w:rPr>
          <w:rFonts w:ascii="Times New Roman" w:hAnsi="Times New Roman" w:cs="Times New Roman"/>
          <w:sz w:val="24"/>
          <w:szCs w:val="22"/>
        </w:rPr>
        <w:t xml:space="preserve"> selected insecticides against </w:t>
      </w:r>
      <w:r>
        <w:rPr>
          <w:rFonts w:ascii="Times New Roman" w:hAnsi="Times New Roman" w:cs="Times New Roman"/>
          <w:sz w:val="24"/>
          <w:szCs w:val="22"/>
          <w:highlight w:val="yellow"/>
        </w:rPr>
        <w:t>third-instar</w:t>
      </w:r>
      <w:r>
        <w:rPr>
          <w:rFonts w:ascii="Times New Roman" w:hAnsi="Times New Roman" w:cs="Times New Roman"/>
          <w:sz w:val="24"/>
          <w:szCs w:val="22"/>
        </w:rPr>
        <w:t xml:space="preserve"> larvae of </w:t>
      </w:r>
      <w:r>
        <w:rPr>
          <w:rFonts w:ascii="Times New Roman" w:hAnsi="Times New Roman" w:cs="Times New Roman"/>
          <w:i/>
          <w:iCs/>
          <w:sz w:val="24"/>
          <w:szCs w:val="22"/>
        </w:rPr>
        <w:t>S. frugiperda</w:t>
      </w:r>
      <w:r>
        <w:rPr>
          <w:rFonts w:ascii="Times New Roman" w:hAnsi="Times New Roman" w:cs="Times New Roman"/>
          <w:sz w:val="24"/>
          <w:szCs w:val="22"/>
        </w:rPr>
        <w:t xml:space="preserve"> was assessed using the </w:t>
      </w:r>
      <w:r>
        <w:rPr>
          <w:rFonts w:ascii="Times New Roman" w:hAnsi="Times New Roman" w:cs="Times New Roman"/>
          <w:sz w:val="24"/>
          <w:szCs w:val="22"/>
          <w:highlight w:val="yellow"/>
        </w:rPr>
        <w:t>leaf-dip</w:t>
      </w:r>
      <w:r>
        <w:rPr>
          <w:rFonts w:ascii="Times New Roman" w:hAnsi="Times New Roman" w:cs="Times New Roman"/>
          <w:sz w:val="24"/>
          <w:szCs w:val="22"/>
        </w:rPr>
        <w:t xml:space="preserve"> bioassay method. Fresh maize leaves collected from an insecticide-free field were thoroughly washed with tap water and cut into uniform pieces measuring 3 × 2 cm.</w:t>
      </w:r>
    </w:p>
    <w:p w14:paraId="3B11CF40" w14:textId="77777777" w:rsidR="00997240" w:rsidRPr="00D44B77" w:rsidRDefault="00F47551" w:rsidP="00A94C17">
      <w:pPr>
        <w:jc w:val="both"/>
      </w:pPr>
      <w:r>
        <w:rPr>
          <w:rFonts w:ascii="Times New Roman" w:hAnsi="Times New Roman" w:cs="Times New Roman"/>
          <w:sz w:val="24"/>
          <w:szCs w:val="22"/>
        </w:rPr>
        <w:lastRenderedPageBreak/>
        <w:t>The leaf pieces were individually immersed in</w:t>
      </w:r>
      <w:r>
        <w:rPr>
          <w:rFonts w:ascii="Times New Roman" w:hAnsi="Times New Roman" w:cs="Times New Roman"/>
          <w:sz w:val="24"/>
          <w:szCs w:val="22"/>
          <w:highlight w:val="yellow"/>
        </w:rPr>
        <w:t xml:space="preserve"> the</w:t>
      </w:r>
      <w:r>
        <w:rPr>
          <w:rFonts w:ascii="Times New Roman" w:hAnsi="Times New Roman" w:cs="Times New Roman"/>
          <w:sz w:val="24"/>
          <w:szCs w:val="22"/>
        </w:rPr>
        <w:t xml:space="preserve"> respective insecticide solutions for 10 seconds and subsequently air-dried for approximately five minutes. Leaf pieces treated with distilled water alone served as the untreated control.</w:t>
      </w:r>
    </w:p>
    <w:p w14:paraId="35489734" w14:textId="77777777" w:rsidR="00997240" w:rsidRPr="00D44B77" w:rsidRDefault="00F47551" w:rsidP="00A94C17">
      <w:pPr>
        <w:jc w:val="both"/>
        <w:rPr>
          <w:rFonts w:ascii="Times New Roman" w:hAnsi="Times New Roman" w:cs="Times New Roman"/>
          <w:sz w:val="24"/>
          <w:szCs w:val="22"/>
        </w:rPr>
      </w:pPr>
      <w:r>
        <w:rPr>
          <w:rFonts w:ascii="Times New Roman" w:hAnsi="Times New Roman" w:cs="Times New Roman"/>
          <w:sz w:val="24"/>
          <w:szCs w:val="22"/>
        </w:rPr>
        <w:t xml:space="preserve">Each treated leaf piece was placed separately in a Petri dish containing moist filter paper and cotton to maintain suitable moisture conditions and prevent leaf desiccation. Twenty </w:t>
      </w:r>
      <w:r>
        <w:rPr>
          <w:rFonts w:ascii="Times New Roman" w:hAnsi="Times New Roman" w:cs="Times New Roman"/>
          <w:sz w:val="24"/>
          <w:szCs w:val="22"/>
          <w:highlight w:val="yellow"/>
        </w:rPr>
        <w:t>third-instar</w:t>
      </w:r>
      <w:r>
        <w:rPr>
          <w:rFonts w:ascii="Times New Roman" w:hAnsi="Times New Roman" w:cs="Times New Roman"/>
          <w:sz w:val="24"/>
          <w:szCs w:val="22"/>
        </w:rPr>
        <w:t xml:space="preserve"> larvae were exposed to each </w:t>
      </w:r>
      <w:r>
        <w:rPr>
          <w:rFonts w:ascii="Times New Roman" w:hAnsi="Times New Roman" w:cs="Times New Roman"/>
          <w:sz w:val="24"/>
          <w:szCs w:val="22"/>
          <w:highlight w:val="yellow"/>
        </w:rPr>
        <w:t>concentration,</w:t>
      </w:r>
      <w:r>
        <w:rPr>
          <w:rFonts w:ascii="Times New Roman" w:hAnsi="Times New Roman" w:cs="Times New Roman"/>
          <w:sz w:val="24"/>
          <w:szCs w:val="22"/>
        </w:rPr>
        <w:t xml:space="preserve"> with four replications.</w:t>
      </w:r>
    </w:p>
    <w:p w14:paraId="3CDD79BC" w14:textId="77777777" w:rsidR="00997240" w:rsidRPr="00D44B77" w:rsidRDefault="00F47551" w:rsidP="00A94C17">
      <w:pPr>
        <w:pStyle w:val="BodyText"/>
        <w:spacing w:before="240" w:after="240"/>
        <w:ind w:firstLine="720"/>
        <w:jc w:val="both"/>
      </w:pPr>
      <w:r>
        <w:rPr>
          <w:szCs w:val="22"/>
        </w:rPr>
        <w:t xml:space="preserve">The larvae were allowed to feed </w:t>
      </w:r>
      <w:r>
        <w:rPr>
          <w:szCs w:val="22"/>
          <w:highlight w:val="yellow"/>
        </w:rPr>
        <w:t>continuously on the</w:t>
      </w:r>
      <w:r>
        <w:rPr>
          <w:szCs w:val="22"/>
        </w:rPr>
        <w:t xml:space="preserve"> treated leaf pieces, and mortality </w:t>
      </w:r>
      <w:r>
        <w:rPr>
          <w:szCs w:val="22"/>
          <w:highlight w:val="yellow"/>
        </w:rPr>
        <w:t>was</w:t>
      </w:r>
      <w:r>
        <w:rPr>
          <w:szCs w:val="22"/>
        </w:rPr>
        <w:t xml:space="preserve"> recorded at </w:t>
      </w:r>
      <w:r>
        <w:rPr>
          <w:bCs/>
        </w:rPr>
        <w:t>24 and 48 hours after treatment.</w:t>
      </w:r>
      <w:r>
        <w:rPr>
          <w:szCs w:val="22"/>
        </w:rPr>
        <w:t xml:space="preserve"> Larvae </w:t>
      </w:r>
      <w:r>
        <w:rPr>
          <w:szCs w:val="22"/>
          <w:highlight w:val="yellow"/>
        </w:rPr>
        <w:t>that showed</w:t>
      </w:r>
      <w:r>
        <w:rPr>
          <w:szCs w:val="22"/>
        </w:rPr>
        <w:t xml:space="preserve"> no movement after gentle probing with a fine </w:t>
      </w:r>
      <w:r>
        <w:rPr>
          <w:szCs w:val="22"/>
          <w:highlight w:val="yellow"/>
        </w:rPr>
        <w:t>camel-hair</w:t>
      </w:r>
      <w:r>
        <w:rPr>
          <w:szCs w:val="22"/>
        </w:rPr>
        <w:t xml:space="preserve"> brush were considered dead. Moribund larvae and those showing severe deformities or shrinkage were also </w:t>
      </w:r>
      <w:r>
        <w:rPr>
          <w:szCs w:val="22"/>
          <w:highlight w:val="yellow"/>
        </w:rPr>
        <w:t>counted</w:t>
      </w:r>
      <w:r>
        <w:rPr>
          <w:szCs w:val="22"/>
        </w:rPr>
        <w:t xml:space="preserve"> as </w:t>
      </w:r>
      <w:r>
        <w:rPr>
          <w:szCs w:val="22"/>
          <w:highlight w:val="yellow"/>
        </w:rPr>
        <w:t>dead</w:t>
      </w:r>
      <w:r>
        <w:rPr>
          <w:szCs w:val="22"/>
        </w:rPr>
        <w:t xml:space="preserve"> for</w:t>
      </w:r>
      <w:r>
        <w:rPr>
          <w:szCs w:val="22"/>
          <w:highlight w:val="yellow"/>
        </w:rPr>
        <w:t xml:space="preserve"> the</w:t>
      </w:r>
      <w:r>
        <w:rPr>
          <w:szCs w:val="22"/>
        </w:rPr>
        <w:t xml:space="preserve"> analysis.</w:t>
      </w:r>
    </w:p>
    <w:p w14:paraId="179404F4" w14:textId="77777777"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2.5 Statistical analysis</w:t>
      </w:r>
    </w:p>
    <w:p w14:paraId="248ECE72" w14:textId="77777777" w:rsidR="00997240" w:rsidRPr="00D44B77" w:rsidRDefault="00F47551" w:rsidP="00A94C17">
      <w:pPr>
        <w:jc w:val="both"/>
      </w:pPr>
      <w:r w:rsidRPr="00D44B77">
        <w:t>Observed mortality was corrected using Abbott's formula (Abbott, 1925).</w:t>
      </w:r>
    </w:p>
    <w:tbl>
      <w:tblPr>
        <w:tblW w:w="8719" w:type="dxa"/>
        <w:tblLayout w:type="fixed"/>
        <w:tblLook w:val="0000" w:firstRow="0" w:lastRow="0" w:firstColumn="0" w:lastColumn="0" w:noHBand="0" w:noVBand="0"/>
      </w:tblPr>
      <w:tblGrid>
        <w:gridCol w:w="3916"/>
        <w:gridCol w:w="952"/>
        <w:gridCol w:w="3851"/>
      </w:tblGrid>
      <w:tr w:rsidR="00997240" w:rsidRPr="00D44B77" w14:paraId="7EE76526" w14:textId="77777777">
        <w:tc>
          <w:tcPr>
            <w:tcW w:w="3916" w:type="dxa"/>
            <w:vMerge w:val="restart"/>
            <w:tcBorders>
              <w:bottom w:val="single" w:sz="4" w:space="0" w:color="000000"/>
            </w:tcBorders>
            <w:vAlign w:val="center"/>
          </w:tcPr>
          <w:p w14:paraId="1592C209" w14:textId="77777777" w:rsidR="00997240" w:rsidRPr="00D44B77" w:rsidRDefault="00F47551" w:rsidP="00A94C17">
            <w:pPr>
              <w:autoSpaceDE w:val="0"/>
              <w:spacing w:before="40" w:after="40" w:line="240" w:lineRule="auto"/>
              <w:jc w:val="both"/>
              <w:rPr>
                <w:rFonts w:ascii="Times New Roman" w:hAnsi="Times New Roman" w:cs="Times New Roman"/>
                <w:bCs/>
                <w:sz w:val="24"/>
                <w:szCs w:val="24"/>
              </w:rPr>
            </w:pPr>
            <w:r w:rsidRPr="00D44B77">
              <w:rPr>
                <w:rFonts w:ascii="Times New Roman" w:hAnsi="Times New Roman" w:cs="Times New Roman"/>
                <w:sz w:val="24"/>
                <w:szCs w:val="24"/>
              </w:rPr>
              <w:t>Corrected mortality (%) =</w:t>
            </w:r>
          </w:p>
        </w:tc>
        <w:tc>
          <w:tcPr>
            <w:tcW w:w="952" w:type="dxa"/>
            <w:tcBorders>
              <w:bottom w:val="single" w:sz="4" w:space="0" w:color="000000"/>
            </w:tcBorders>
            <w:vAlign w:val="center"/>
          </w:tcPr>
          <w:p w14:paraId="3A2A85D9" w14:textId="77777777" w:rsidR="00997240" w:rsidRPr="00D44B77" w:rsidRDefault="00F47551" w:rsidP="00A94C17">
            <w:pPr>
              <w:autoSpaceDE w:val="0"/>
              <w:spacing w:before="40" w:after="40" w:line="240" w:lineRule="auto"/>
              <w:jc w:val="both"/>
              <w:rPr>
                <w:rFonts w:ascii="Times New Roman" w:hAnsi="Times New Roman" w:cs="Times New Roman"/>
                <w:bCs/>
                <w:sz w:val="24"/>
                <w:szCs w:val="24"/>
              </w:rPr>
            </w:pPr>
            <w:r w:rsidRPr="00D44B77">
              <w:rPr>
                <w:rFonts w:ascii="Times New Roman" w:hAnsi="Times New Roman" w:cs="Times New Roman"/>
                <w:sz w:val="24"/>
                <w:szCs w:val="24"/>
              </w:rPr>
              <w:t>T - C</w:t>
            </w:r>
          </w:p>
        </w:tc>
        <w:tc>
          <w:tcPr>
            <w:tcW w:w="3851" w:type="dxa"/>
            <w:vMerge w:val="restart"/>
            <w:tcBorders>
              <w:bottom w:val="single" w:sz="4" w:space="0" w:color="000000"/>
            </w:tcBorders>
            <w:vAlign w:val="center"/>
          </w:tcPr>
          <w:p w14:paraId="0C5DA09D" w14:textId="77777777" w:rsidR="00997240" w:rsidRPr="00D44B77" w:rsidRDefault="00F47551" w:rsidP="00A94C17">
            <w:pPr>
              <w:autoSpaceDE w:val="0"/>
              <w:spacing w:before="40" w:after="40" w:line="240" w:lineRule="auto"/>
              <w:jc w:val="both"/>
              <w:rPr>
                <w:rFonts w:ascii="Times New Roman" w:hAnsi="Times New Roman" w:cs="Times New Roman"/>
                <w:bCs/>
                <w:sz w:val="24"/>
                <w:szCs w:val="24"/>
              </w:rPr>
            </w:pPr>
            <w:r w:rsidRPr="00D44B77">
              <w:rPr>
                <w:rFonts w:ascii="Times New Roman" w:eastAsia="Times New Roman" w:hAnsi="Times New Roman" w:cs="Times New Roman"/>
                <w:sz w:val="24"/>
                <w:szCs w:val="24"/>
              </w:rPr>
              <w:t xml:space="preserve"> </w:t>
            </w:r>
            <w:r w:rsidRPr="00D44B77">
              <w:rPr>
                <w:rFonts w:ascii="Times New Roman" w:hAnsi="Times New Roman" w:cs="Times New Roman"/>
                <w:sz w:val="24"/>
                <w:szCs w:val="24"/>
              </w:rPr>
              <w:t>× 100</w:t>
            </w:r>
          </w:p>
        </w:tc>
      </w:tr>
      <w:tr w:rsidR="00997240" w:rsidRPr="00D44B77" w14:paraId="57B75F0B" w14:textId="77777777">
        <w:tc>
          <w:tcPr>
            <w:tcW w:w="3916" w:type="dxa"/>
            <w:vMerge/>
            <w:tcBorders>
              <w:bottom w:val="single" w:sz="4" w:space="0" w:color="000000"/>
            </w:tcBorders>
            <w:vAlign w:val="center"/>
          </w:tcPr>
          <w:p w14:paraId="0E2052E7" w14:textId="77777777" w:rsidR="00997240" w:rsidRPr="00D44B77" w:rsidRDefault="00997240" w:rsidP="00A94C17">
            <w:pPr>
              <w:autoSpaceDE w:val="0"/>
              <w:snapToGrid w:val="0"/>
              <w:spacing w:before="40" w:after="40" w:line="240" w:lineRule="auto"/>
              <w:jc w:val="both"/>
              <w:rPr>
                <w:rFonts w:ascii="Times New Roman" w:hAnsi="Times New Roman" w:cs="Times New Roman"/>
                <w:bCs/>
                <w:sz w:val="24"/>
                <w:szCs w:val="24"/>
              </w:rPr>
            </w:pPr>
          </w:p>
        </w:tc>
        <w:tc>
          <w:tcPr>
            <w:tcW w:w="952" w:type="dxa"/>
            <w:tcBorders>
              <w:top w:val="single" w:sz="4" w:space="0" w:color="000000"/>
            </w:tcBorders>
            <w:vAlign w:val="center"/>
          </w:tcPr>
          <w:p w14:paraId="09191135" w14:textId="77777777" w:rsidR="00997240" w:rsidRPr="00D44B77" w:rsidRDefault="00F47551" w:rsidP="00A94C17">
            <w:pPr>
              <w:autoSpaceDE w:val="0"/>
              <w:spacing w:before="40" w:after="40" w:line="240" w:lineRule="auto"/>
              <w:jc w:val="both"/>
              <w:rPr>
                <w:rFonts w:ascii="Times New Roman" w:hAnsi="Times New Roman" w:cs="Times New Roman"/>
                <w:bCs/>
                <w:sz w:val="24"/>
                <w:szCs w:val="24"/>
              </w:rPr>
            </w:pPr>
            <w:r w:rsidRPr="00D44B77">
              <w:rPr>
                <w:rFonts w:ascii="Times New Roman" w:hAnsi="Times New Roman" w:cs="Times New Roman"/>
                <w:sz w:val="24"/>
              </w:rPr>
              <w:t>100- C</w:t>
            </w:r>
          </w:p>
        </w:tc>
        <w:tc>
          <w:tcPr>
            <w:tcW w:w="3851" w:type="dxa"/>
            <w:vMerge/>
            <w:tcBorders>
              <w:bottom w:val="single" w:sz="4" w:space="0" w:color="000000"/>
            </w:tcBorders>
            <w:vAlign w:val="center"/>
          </w:tcPr>
          <w:p w14:paraId="21B5D4F4" w14:textId="77777777" w:rsidR="00997240" w:rsidRPr="00D44B77" w:rsidRDefault="00997240" w:rsidP="00A94C17">
            <w:pPr>
              <w:autoSpaceDE w:val="0"/>
              <w:snapToGrid w:val="0"/>
              <w:spacing w:before="40" w:after="40" w:line="240" w:lineRule="auto"/>
              <w:jc w:val="both"/>
              <w:rPr>
                <w:rFonts w:ascii="Times New Roman" w:hAnsi="Times New Roman" w:cs="Times New Roman"/>
                <w:bCs/>
                <w:sz w:val="24"/>
                <w:szCs w:val="24"/>
              </w:rPr>
            </w:pPr>
          </w:p>
        </w:tc>
      </w:tr>
    </w:tbl>
    <w:p w14:paraId="30C610FF" w14:textId="77777777" w:rsidR="00997240" w:rsidRPr="00D44B77" w:rsidRDefault="00F47551" w:rsidP="00A94C17">
      <w:pPr>
        <w:jc w:val="both"/>
      </w:pPr>
      <w:r w:rsidRPr="00D44B77">
        <w:rPr>
          <w:rFonts w:ascii="Times New Roman" w:hAnsi="Times New Roman" w:cs="Times New Roman"/>
          <w:b/>
          <w:bCs/>
          <w:sz w:val="24"/>
          <w:szCs w:val="22"/>
        </w:rPr>
        <w:t>T</w:t>
      </w:r>
      <w:r w:rsidRPr="00D44B77">
        <w:rPr>
          <w:rFonts w:ascii="Times New Roman" w:hAnsi="Times New Roman" w:cs="Times New Roman"/>
          <w:sz w:val="24"/>
          <w:szCs w:val="22"/>
        </w:rPr>
        <w:t xml:space="preserve"> = Percentage mortality in treatment</w:t>
      </w:r>
    </w:p>
    <w:p w14:paraId="3986E4F9" w14:textId="77777777" w:rsidR="00997240" w:rsidRPr="00D44B77" w:rsidRDefault="00F47551" w:rsidP="00A94C17">
      <w:pPr>
        <w:jc w:val="both"/>
      </w:pPr>
      <w:r w:rsidRPr="00D44B77">
        <w:rPr>
          <w:rFonts w:ascii="Times New Roman" w:hAnsi="Times New Roman" w:cs="Times New Roman"/>
          <w:b/>
          <w:bCs/>
          <w:sz w:val="24"/>
          <w:szCs w:val="22"/>
        </w:rPr>
        <w:t>C</w:t>
      </w:r>
      <w:r w:rsidRPr="00D44B77">
        <w:rPr>
          <w:rFonts w:ascii="Times New Roman" w:hAnsi="Times New Roman" w:cs="Times New Roman"/>
          <w:sz w:val="24"/>
          <w:szCs w:val="22"/>
        </w:rPr>
        <w:t xml:space="preserve"> = Percentage mortality in control</w:t>
      </w:r>
    </w:p>
    <w:p w14:paraId="070AF23D" w14:textId="77777777" w:rsidR="00997240" w:rsidRPr="00D44B77" w:rsidRDefault="00F47551" w:rsidP="00A94C17">
      <w:pPr>
        <w:jc w:val="both"/>
        <w:rPr>
          <w:rFonts w:ascii="Times New Roman" w:hAnsi="Times New Roman" w:cs="Times New Roman"/>
          <w:sz w:val="24"/>
          <w:szCs w:val="22"/>
        </w:rPr>
      </w:pPr>
      <w:r>
        <w:rPr>
          <w:rFonts w:ascii="Times New Roman" w:hAnsi="Times New Roman" w:cs="Times New Roman"/>
          <w:sz w:val="24"/>
          <w:szCs w:val="22"/>
        </w:rPr>
        <w:t>The corrected mortality data were subjected to probit analysis using SPSS software to estimate the median lethal concentration (LC</w:t>
      </w:r>
      <w:r>
        <w:rPr>
          <w:rFonts w:ascii="Times New Roman" w:hAnsi="Times New Roman" w:cs="Times New Roman"/>
          <w:sz w:val="24"/>
          <w:szCs w:val="22"/>
          <w:vertAlign w:val="subscript"/>
        </w:rPr>
        <w:t>50</w:t>
      </w:r>
      <w:r>
        <w:rPr>
          <w:rFonts w:ascii="Times New Roman" w:hAnsi="Times New Roman" w:cs="Times New Roman"/>
          <w:sz w:val="24"/>
          <w:szCs w:val="22"/>
        </w:rPr>
        <w:t>).</w:t>
      </w:r>
    </w:p>
    <w:p w14:paraId="49FBB01A" w14:textId="77777777" w:rsidR="00997240" w:rsidRPr="00D44B77" w:rsidRDefault="00F47551" w:rsidP="00A94C17">
      <w:pPr>
        <w:jc w:val="both"/>
        <w:rPr>
          <w:rFonts w:ascii="Times New Roman" w:hAnsi="Times New Roman" w:cs="Times New Roman"/>
          <w:b/>
          <w:bCs/>
          <w:sz w:val="24"/>
          <w:szCs w:val="22"/>
        </w:rPr>
      </w:pPr>
      <w:r w:rsidRPr="00D44B77">
        <w:rPr>
          <w:rFonts w:ascii="Times New Roman" w:hAnsi="Times New Roman" w:cs="Times New Roman"/>
          <w:b/>
          <w:bCs/>
          <w:sz w:val="24"/>
          <w:szCs w:val="22"/>
        </w:rPr>
        <w:t>3. Results and Discussion</w:t>
      </w:r>
    </w:p>
    <w:p w14:paraId="579FBA26" w14:textId="77777777" w:rsidR="00997240" w:rsidRPr="00D44B77" w:rsidRDefault="00F47551" w:rsidP="00A94C17">
      <w:pPr>
        <w:jc w:val="both"/>
        <w:rPr>
          <w:rFonts w:ascii="Times New Roman" w:hAnsi="Times New Roman" w:cs="Times New Roman"/>
          <w:b/>
          <w:bCs/>
          <w:sz w:val="24"/>
          <w:szCs w:val="24"/>
        </w:rPr>
      </w:pPr>
      <w:r>
        <w:rPr>
          <w:rFonts w:ascii="Times New Roman" w:hAnsi="Times New Roman" w:cs="Times New Roman"/>
          <w:b/>
          <w:bCs/>
          <w:sz w:val="24"/>
          <w:szCs w:val="24"/>
        </w:rPr>
        <w:t>3.1 Median lethal concentration (LC</w:t>
      </w:r>
      <w:r>
        <w:rPr>
          <w:rFonts w:ascii="Times New Roman" w:hAnsi="Times New Roman" w:cs="Times New Roman"/>
          <w:b/>
          <w:bCs/>
          <w:sz w:val="24"/>
          <w:szCs w:val="24"/>
          <w:vertAlign w:val="subscript"/>
        </w:rPr>
        <w:t>50</w:t>
      </w:r>
      <w:r>
        <w:rPr>
          <w:rFonts w:ascii="Times New Roman" w:hAnsi="Times New Roman" w:cs="Times New Roman"/>
          <w:b/>
          <w:bCs/>
          <w:sz w:val="24"/>
          <w:szCs w:val="24"/>
        </w:rPr>
        <w:t xml:space="preserve">) of selected insecticides against third instar larvae of </w:t>
      </w:r>
      <w:r>
        <w:rPr>
          <w:rFonts w:ascii="Times New Roman" w:hAnsi="Times New Roman" w:cs="Times New Roman"/>
          <w:b/>
          <w:bCs/>
          <w:i/>
          <w:iCs/>
          <w:sz w:val="24"/>
          <w:szCs w:val="24"/>
        </w:rPr>
        <w:t>Spodoptera frugiperda</w:t>
      </w:r>
    </w:p>
    <w:p w14:paraId="25B52271" w14:textId="77777777" w:rsidR="00997240" w:rsidRPr="00D44B77" w:rsidRDefault="00F47551" w:rsidP="00A94C17">
      <w:pPr>
        <w:jc w:val="both"/>
        <w:rPr>
          <w:rFonts w:ascii="Times New Roman" w:hAnsi="Times New Roman" w:cs="Times New Roman"/>
          <w:sz w:val="24"/>
          <w:szCs w:val="24"/>
        </w:rPr>
      </w:pPr>
      <w:r>
        <w:rPr>
          <w:rFonts w:ascii="Times New Roman" w:hAnsi="Times New Roman" w:cs="Times New Roman"/>
          <w:sz w:val="24"/>
          <w:szCs w:val="24"/>
        </w:rPr>
        <w:t xml:space="preserve">The toxicity of five insecticides against </w:t>
      </w:r>
      <w:r>
        <w:rPr>
          <w:rFonts w:ascii="Times New Roman" w:hAnsi="Times New Roman" w:cs="Times New Roman"/>
          <w:sz w:val="24"/>
          <w:szCs w:val="24"/>
          <w:highlight w:val="yellow"/>
        </w:rPr>
        <w:t>third-instar</w:t>
      </w:r>
      <w:r>
        <w:rPr>
          <w:rFonts w:ascii="Times New Roman" w:hAnsi="Times New Roman" w:cs="Times New Roman"/>
          <w:sz w:val="24"/>
          <w:szCs w:val="24"/>
        </w:rPr>
        <w:t xml:space="preserve"> larvae of </w:t>
      </w:r>
      <w:r>
        <w:rPr>
          <w:rFonts w:ascii="Times New Roman" w:hAnsi="Times New Roman" w:cs="Times New Roman"/>
          <w:i/>
          <w:iCs/>
          <w:sz w:val="24"/>
          <w:szCs w:val="24"/>
        </w:rPr>
        <w:t>Spodoptera frugiperda</w:t>
      </w:r>
      <w:r>
        <w:rPr>
          <w:rFonts w:ascii="Times New Roman" w:hAnsi="Times New Roman" w:cs="Times New Roman"/>
          <w:sz w:val="24"/>
          <w:szCs w:val="24"/>
        </w:rPr>
        <w:t xml:space="preserve"> was evaluated using the </w:t>
      </w:r>
      <w:r>
        <w:rPr>
          <w:rFonts w:ascii="Times New Roman" w:hAnsi="Times New Roman" w:cs="Times New Roman"/>
          <w:sz w:val="24"/>
          <w:szCs w:val="24"/>
          <w:highlight w:val="yellow"/>
        </w:rPr>
        <w:t>leaf-dip</w:t>
      </w:r>
      <w:r>
        <w:rPr>
          <w:rFonts w:ascii="Times New Roman" w:hAnsi="Times New Roman" w:cs="Times New Roman"/>
          <w:sz w:val="24"/>
          <w:szCs w:val="24"/>
        </w:rPr>
        <w:t xml:space="preserve"> bioassay, and the LC</w:t>
      </w:r>
      <w:r>
        <w:rPr>
          <w:rFonts w:ascii="Times New Roman" w:hAnsi="Times New Roman" w:cs="Times New Roman"/>
          <w:sz w:val="24"/>
          <w:szCs w:val="24"/>
          <w:vertAlign w:val="subscript"/>
        </w:rPr>
        <w:t xml:space="preserve">50 </w:t>
      </w:r>
      <w:r>
        <w:rPr>
          <w:rFonts w:ascii="Times New Roman" w:hAnsi="Times New Roman" w:cs="Times New Roman"/>
          <w:sz w:val="24"/>
          <w:szCs w:val="24"/>
        </w:rPr>
        <w:t xml:space="preserve">values estimated </w:t>
      </w:r>
      <w:r>
        <w:rPr>
          <w:rFonts w:ascii="Times New Roman" w:hAnsi="Times New Roman" w:cs="Times New Roman"/>
          <w:sz w:val="24"/>
          <w:szCs w:val="24"/>
          <w:highlight w:val="yellow"/>
        </w:rPr>
        <w:t>by</w:t>
      </w:r>
      <w:r>
        <w:rPr>
          <w:rFonts w:ascii="Times New Roman" w:hAnsi="Times New Roman" w:cs="Times New Roman"/>
          <w:sz w:val="24"/>
          <w:szCs w:val="24"/>
        </w:rPr>
        <w:t xml:space="preserve"> probit analysis are presented in Table 1. The results revealed </w:t>
      </w:r>
      <w:r>
        <w:rPr>
          <w:rFonts w:ascii="Times New Roman" w:hAnsi="Times New Roman" w:cs="Times New Roman"/>
          <w:sz w:val="24"/>
          <w:szCs w:val="24"/>
          <w:highlight w:val="yellow"/>
        </w:rPr>
        <w:t>marked</w:t>
      </w:r>
      <w:r>
        <w:rPr>
          <w:rFonts w:ascii="Times New Roman" w:hAnsi="Times New Roman" w:cs="Times New Roman"/>
          <w:sz w:val="24"/>
          <w:szCs w:val="24"/>
        </w:rPr>
        <w:t xml:space="preserve"> variation in the toxicity of the tested </w:t>
      </w:r>
      <w:r>
        <w:rPr>
          <w:rFonts w:ascii="Times New Roman" w:hAnsi="Times New Roman" w:cs="Times New Roman"/>
          <w:sz w:val="24"/>
          <w:szCs w:val="24"/>
          <w:highlight w:val="yellow"/>
        </w:rPr>
        <w:t>insecticides. Among the insecticides evaluated,</w:t>
      </w:r>
      <w:r>
        <w:rPr>
          <w:rFonts w:ascii="Times New Roman" w:hAnsi="Times New Roman" w:cs="Times New Roman"/>
          <w:sz w:val="24"/>
          <w:szCs w:val="24"/>
        </w:rPr>
        <w:t xml:space="preserve"> emamectin benzoate 5 SG exhibited the highest toxicity </w:t>
      </w:r>
      <w:r>
        <w:rPr>
          <w:rFonts w:ascii="Times New Roman" w:hAnsi="Times New Roman" w:cs="Times New Roman"/>
          <w:sz w:val="24"/>
          <w:szCs w:val="24"/>
          <w:highlight w:val="yellow"/>
        </w:rPr>
        <w:t>and</w:t>
      </w:r>
      <w:r>
        <w:rPr>
          <w:rFonts w:ascii="Times New Roman" w:hAnsi="Times New Roman" w:cs="Times New Roman"/>
          <w:sz w:val="24"/>
          <w:szCs w:val="24"/>
        </w:rPr>
        <w:t xml:space="preserve"> the lowest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(0.13 ppm), followed by chlorantraniliprole 18.5 SC (2.61 ppm), spinetoram 11.7 SC (3.69 ppm), spinosad 45 SC (5.32 </w:t>
      </w:r>
      <w:r>
        <w:rPr>
          <w:rFonts w:ascii="Times New Roman" w:hAnsi="Times New Roman" w:cs="Times New Roman"/>
          <w:sz w:val="24"/>
          <w:szCs w:val="24"/>
          <w:highlight w:val="yellow"/>
        </w:rPr>
        <w:t>ppm),</w:t>
      </w:r>
      <w:r>
        <w:rPr>
          <w:rFonts w:ascii="Times New Roman" w:hAnsi="Times New Roman" w:cs="Times New Roman"/>
          <w:sz w:val="24"/>
          <w:szCs w:val="24"/>
        </w:rPr>
        <w:t xml:space="preserve"> and flubendiamide 480 SC (56.37 ppm). The low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recorded for emamectin benzoate indicates its </w:t>
      </w:r>
      <w:r>
        <w:rPr>
          <w:rFonts w:ascii="Times New Roman" w:hAnsi="Times New Roman" w:cs="Times New Roman"/>
          <w:sz w:val="24"/>
          <w:szCs w:val="24"/>
          <w:highlight w:val="yellow"/>
        </w:rPr>
        <w:t>high</w:t>
      </w:r>
      <w:r>
        <w:rPr>
          <w:rFonts w:ascii="Times New Roman" w:hAnsi="Times New Roman" w:cs="Times New Roman"/>
          <w:sz w:val="24"/>
          <w:szCs w:val="24"/>
        </w:rPr>
        <w:t xml:space="preserve"> toxicity against </w:t>
      </w:r>
      <w:r>
        <w:rPr>
          <w:rFonts w:ascii="Times New Roman" w:hAnsi="Times New Roman" w:cs="Times New Roman"/>
          <w:sz w:val="24"/>
          <w:szCs w:val="24"/>
          <w:highlight w:val="yellow"/>
        </w:rPr>
        <w:t>third-instar</w:t>
      </w:r>
      <w:r>
        <w:rPr>
          <w:rFonts w:ascii="Times New Roman" w:hAnsi="Times New Roman" w:cs="Times New Roman"/>
          <w:sz w:val="24"/>
          <w:szCs w:val="24"/>
        </w:rPr>
        <w:t xml:space="preserve"> larvae of </w:t>
      </w:r>
      <w:r>
        <w:rPr>
          <w:rFonts w:ascii="Times New Roman" w:hAnsi="Times New Roman" w:cs="Times New Roman"/>
          <w:i/>
          <w:iCs/>
          <w:sz w:val="24"/>
          <w:szCs w:val="24"/>
        </w:rPr>
        <w:t>S. frugiperda</w:t>
      </w:r>
      <w:r>
        <w:rPr>
          <w:rFonts w:ascii="Times New Roman" w:hAnsi="Times New Roman" w:cs="Times New Roman"/>
          <w:sz w:val="24"/>
          <w:szCs w:val="24"/>
        </w:rPr>
        <w:t>, whereas flubendiamide showed comparatively lower toxicity under the present laboratory conditions.</w:t>
      </w:r>
    </w:p>
    <w:p w14:paraId="30F70C56" w14:textId="77777777" w:rsidR="00997240" w:rsidRPr="00D44B77" w:rsidRDefault="00F47551" w:rsidP="00A94C17">
      <w:pPr>
        <w:jc w:val="both"/>
      </w:pPr>
      <w:r>
        <w:rPr>
          <w:rFonts w:ascii="Times New Roman" w:hAnsi="Times New Roman" w:cs="Times New Roman"/>
          <w:sz w:val="24"/>
          <w:szCs w:val="24"/>
        </w:rPr>
        <w:t xml:space="preserve">The present investigation demonstrated </w:t>
      </w:r>
      <w:r>
        <w:rPr>
          <w:rFonts w:ascii="Times New Roman" w:hAnsi="Times New Roman" w:cs="Times New Roman"/>
          <w:sz w:val="24"/>
          <w:szCs w:val="24"/>
          <w:highlight w:val="yellow"/>
        </w:rPr>
        <w:t>marked</w:t>
      </w:r>
      <w:r>
        <w:rPr>
          <w:rFonts w:ascii="Times New Roman" w:hAnsi="Times New Roman" w:cs="Times New Roman"/>
          <w:sz w:val="24"/>
          <w:szCs w:val="24"/>
        </w:rPr>
        <w:t xml:space="preserve"> differences in the toxicity of the selected insecticides against </w:t>
      </w:r>
      <w:r>
        <w:rPr>
          <w:rFonts w:ascii="Times New Roman" w:hAnsi="Times New Roman" w:cs="Times New Roman"/>
          <w:sz w:val="24"/>
          <w:szCs w:val="24"/>
          <w:highlight w:val="yellow"/>
        </w:rPr>
        <w:t>third-instar</w:t>
      </w:r>
      <w:r>
        <w:rPr>
          <w:rFonts w:ascii="Times New Roman" w:hAnsi="Times New Roman" w:cs="Times New Roman"/>
          <w:sz w:val="24"/>
          <w:szCs w:val="24"/>
        </w:rPr>
        <w:t xml:space="preserve"> larvae of </w:t>
      </w:r>
      <w:r>
        <w:rPr>
          <w:rFonts w:ascii="Times New Roman" w:hAnsi="Times New Roman" w:cs="Times New Roman"/>
          <w:i/>
          <w:iCs/>
          <w:sz w:val="24"/>
          <w:szCs w:val="24"/>
        </w:rPr>
        <w:t>Spodoptera frugiperda</w:t>
      </w:r>
      <w:r>
        <w:rPr>
          <w:rFonts w:ascii="Times New Roman" w:hAnsi="Times New Roman" w:cs="Times New Roman"/>
          <w:sz w:val="24"/>
          <w:szCs w:val="24"/>
        </w:rPr>
        <w:t xml:space="preserve">. Among the insecticides evaluated, emamectin benzoate exhibited the highest toxicity, followed by chlorantraniliprole, spinetoram, </w:t>
      </w:r>
      <w:r>
        <w:rPr>
          <w:rFonts w:ascii="Times New Roman" w:hAnsi="Times New Roman" w:cs="Times New Roman"/>
          <w:sz w:val="24"/>
          <w:szCs w:val="24"/>
          <w:highlight w:val="yellow"/>
        </w:rPr>
        <w:t>spinosad,</w:t>
      </w:r>
      <w:r>
        <w:rPr>
          <w:rFonts w:ascii="Times New Roman" w:hAnsi="Times New Roman" w:cs="Times New Roman"/>
          <w:sz w:val="24"/>
          <w:szCs w:val="24"/>
        </w:rPr>
        <w:t xml:space="preserve"> and flubendiamide. This </w:t>
      </w:r>
      <w:r>
        <w:rPr>
          <w:rFonts w:ascii="Times New Roman" w:hAnsi="Times New Roman" w:cs="Times New Roman"/>
          <w:sz w:val="24"/>
          <w:szCs w:val="24"/>
          <w:highlight w:val="yellow"/>
        </w:rPr>
        <w:t>ranking</w:t>
      </w:r>
      <w:r>
        <w:rPr>
          <w:rFonts w:ascii="Times New Roman" w:hAnsi="Times New Roman" w:cs="Times New Roman"/>
          <w:sz w:val="24"/>
          <w:szCs w:val="24"/>
        </w:rPr>
        <w:t xml:space="preserve"> agrees with the observations of Bird et al. (2022) and Shareef et al. (2022), who reported emamectin benzoate as the most effective insecticide against </w:t>
      </w:r>
      <w:r>
        <w:rPr>
          <w:rFonts w:ascii="Times New Roman" w:hAnsi="Times New Roman" w:cs="Times New Roman"/>
          <w:i/>
          <w:iCs/>
          <w:sz w:val="24"/>
          <w:szCs w:val="24"/>
        </w:rPr>
        <w:t>S. frugiperda</w:t>
      </w:r>
      <w:r>
        <w:rPr>
          <w:rFonts w:ascii="Times New Roman" w:hAnsi="Times New Roman" w:cs="Times New Roman"/>
          <w:sz w:val="24"/>
          <w:szCs w:val="24"/>
        </w:rPr>
        <w:t xml:space="preserve">, with chlorantraniliprole, </w:t>
      </w:r>
      <w:r>
        <w:rPr>
          <w:rFonts w:ascii="Times New Roman" w:hAnsi="Times New Roman" w:cs="Times New Roman"/>
          <w:sz w:val="24"/>
          <w:szCs w:val="24"/>
          <w:highlight w:val="yellow"/>
        </w:rPr>
        <w:t>spinetoram,</w:t>
      </w:r>
      <w:r>
        <w:rPr>
          <w:rFonts w:ascii="Times New Roman" w:hAnsi="Times New Roman" w:cs="Times New Roman"/>
          <w:sz w:val="24"/>
          <w:szCs w:val="24"/>
        </w:rPr>
        <w:t xml:space="preserve"> and spinosad showing comparatively lower toxicity under laboratory conditions.</w:t>
      </w:r>
    </w:p>
    <w:p w14:paraId="10A11D6E" w14:textId="77777777" w:rsidR="00997240" w:rsidRPr="00D44B77" w:rsidRDefault="00F47551" w:rsidP="00A94C17">
      <w:pPr>
        <w:spacing w:after="0" w:line="240" w:lineRule="auto"/>
        <w:ind w:firstLine="432"/>
        <w:jc w:val="both"/>
      </w:pPr>
      <w:r>
        <w:rPr>
          <w:rFonts w:ascii="Times New Roman" w:eastAsia="Times New Roman" w:hAnsi="Times New Roman"/>
          <w:sz w:val="24"/>
        </w:rPr>
        <w:t xml:space="preserve">The observed ranking is broadly consistent with Indian field </w:t>
      </w:r>
      <w:r>
        <w:rPr>
          <w:rFonts w:ascii="Times New Roman" w:eastAsia="Times New Roman" w:hAnsi="Times New Roman"/>
          <w:sz w:val="24"/>
          <w:highlight w:val="yellow"/>
        </w:rPr>
        <w:t>evaluations,</w:t>
      </w:r>
      <w:r>
        <w:rPr>
          <w:rFonts w:ascii="Times New Roman" w:eastAsia="Times New Roman" w:hAnsi="Times New Roman"/>
          <w:sz w:val="24"/>
        </w:rPr>
        <w:t xml:space="preserve"> in which emamectin benzoate, </w:t>
      </w:r>
      <w:r>
        <w:rPr>
          <w:rFonts w:ascii="Times New Roman" w:eastAsia="Times New Roman" w:hAnsi="Times New Roman"/>
          <w:sz w:val="24"/>
          <w:highlight w:val="yellow"/>
        </w:rPr>
        <w:t>chlorantraniliprole,</w:t>
      </w:r>
      <w:r>
        <w:rPr>
          <w:rFonts w:ascii="Times New Roman" w:eastAsia="Times New Roman" w:hAnsi="Times New Roman"/>
          <w:sz w:val="24"/>
        </w:rPr>
        <w:t xml:space="preserve"> and spinetoram reduced fall armyworm injury, </w:t>
      </w:r>
      <w:r>
        <w:rPr>
          <w:rFonts w:ascii="Times New Roman" w:eastAsia="Times New Roman" w:hAnsi="Times New Roman"/>
          <w:sz w:val="24"/>
          <w:highlight w:val="yellow"/>
        </w:rPr>
        <w:t xml:space="preserve">and </w:t>
      </w:r>
      <w:r>
        <w:rPr>
          <w:rFonts w:ascii="Times New Roman" w:eastAsia="Times New Roman" w:hAnsi="Times New Roman"/>
          <w:sz w:val="24"/>
          <w:highlight w:val="yellow"/>
        </w:rPr>
        <w:lastRenderedPageBreak/>
        <w:t>with</w:t>
      </w:r>
      <w:r>
        <w:rPr>
          <w:rFonts w:ascii="Times New Roman" w:eastAsia="Times New Roman" w:hAnsi="Times New Roman"/>
          <w:sz w:val="24"/>
        </w:rPr>
        <w:t xml:space="preserve"> laboratory susceptibility surveys </w:t>
      </w:r>
      <w:r>
        <w:rPr>
          <w:rFonts w:ascii="Times New Roman" w:eastAsia="Times New Roman" w:hAnsi="Times New Roman"/>
          <w:sz w:val="24"/>
          <w:highlight w:val="yellow"/>
        </w:rPr>
        <w:t>that</w:t>
      </w:r>
      <w:r>
        <w:rPr>
          <w:rFonts w:ascii="Times New Roman" w:eastAsia="Times New Roman" w:hAnsi="Times New Roman"/>
          <w:sz w:val="24"/>
        </w:rPr>
        <w:t xml:space="preserve"> reported high activity of these compounds against Indian populations (Deshmukh et al., 2020; Kulye et al., 2021).</w:t>
      </w:r>
    </w:p>
    <w:p w14:paraId="0FF2C4CE" w14:textId="77777777" w:rsidR="00997240" w:rsidRPr="00D44B77" w:rsidRDefault="00F47551" w:rsidP="00A94C17">
      <w:pPr>
        <w:jc w:val="both"/>
      </w:pPr>
      <w:r>
        <w:rPr>
          <w:rFonts w:ascii="Times New Roman" w:hAnsi="Times New Roman" w:cs="Times New Roman"/>
          <w:sz w:val="24"/>
          <w:szCs w:val="24"/>
        </w:rPr>
        <w:t>The low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recorded for emamectin benzoate in the present study indicates its </w:t>
      </w:r>
      <w:r>
        <w:rPr>
          <w:rFonts w:ascii="Times New Roman" w:hAnsi="Times New Roman" w:cs="Times New Roman"/>
          <w:sz w:val="24"/>
          <w:szCs w:val="24"/>
          <w:highlight w:val="yellow"/>
        </w:rPr>
        <w:t>high toxicity</w:t>
      </w:r>
      <w:r>
        <w:rPr>
          <w:rFonts w:ascii="Times New Roman" w:hAnsi="Times New Roman" w:cs="Times New Roman"/>
          <w:sz w:val="24"/>
          <w:szCs w:val="24"/>
        </w:rPr>
        <w:t xml:space="preserve"> against </w:t>
      </w:r>
      <w:r>
        <w:rPr>
          <w:rFonts w:ascii="Times New Roman" w:hAnsi="Times New Roman" w:cs="Times New Roman"/>
          <w:sz w:val="24"/>
          <w:szCs w:val="24"/>
          <w:highlight w:val="yellow"/>
        </w:rPr>
        <w:t>third-instar</w:t>
      </w:r>
      <w:r>
        <w:rPr>
          <w:rFonts w:ascii="Times New Roman" w:hAnsi="Times New Roman" w:cs="Times New Roman"/>
          <w:sz w:val="24"/>
          <w:szCs w:val="24"/>
        </w:rPr>
        <w:t xml:space="preserve"> larvae of </w:t>
      </w:r>
      <w:r>
        <w:rPr>
          <w:rFonts w:ascii="Times New Roman" w:hAnsi="Times New Roman" w:cs="Times New Roman"/>
          <w:i/>
          <w:iCs/>
          <w:sz w:val="24"/>
          <w:szCs w:val="24"/>
        </w:rPr>
        <w:t>S. frugiperda</w:t>
      </w:r>
      <w:r>
        <w:rPr>
          <w:rFonts w:ascii="Times New Roman" w:hAnsi="Times New Roman" w:cs="Times New Roman"/>
          <w:sz w:val="24"/>
          <w:szCs w:val="24"/>
        </w:rPr>
        <w:t>. This</w:t>
      </w:r>
      <w:r>
        <w:rPr>
          <w:rFonts w:ascii="Times New Roman" w:hAnsi="Times New Roman" w:cs="Times New Roman"/>
          <w:sz w:val="24"/>
          <w:szCs w:val="24"/>
          <w:highlight w:val="yellow"/>
        </w:rPr>
        <w:t xml:space="preserve"> finding</w:t>
      </w:r>
      <w:r>
        <w:rPr>
          <w:rFonts w:ascii="Times New Roman" w:hAnsi="Times New Roman" w:cs="Times New Roman"/>
          <w:sz w:val="24"/>
          <w:szCs w:val="24"/>
        </w:rPr>
        <w:t xml:space="preserve"> agrees with Bird et al. (2022), who reported emamectin benzoate as the most toxic insecticide among the compounds tested against Australian populations of fall armyworm, and with Shareef et al. (2022), who also found it to be the most effective insecticide among those evaluated against </w:t>
      </w:r>
      <w:r>
        <w:rPr>
          <w:rFonts w:ascii="Times New Roman" w:hAnsi="Times New Roman" w:cs="Times New Roman"/>
          <w:sz w:val="24"/>
          <w:szCs w:val="24"/>
          <w:highlight w:val="yellow"/>
        </w:rPr>
        <w:t>third-instar</w:t>
      </w:r>
      <w:r>
        <w:rPr>
          <w:rFonts w:ascii="Times New Roman" w:hAnsi="Times New Roman" w:cs="Times New Roman"/>
          <w:sz w:val="24"/>
          <w:szCs w:val="24"/>
        </w:rPr>
        <w:t xml:space="preserve"> larvae of </w:t>
      </w:r>
      <w:r>
        <w:rPr>
          <w:rFonts w:ascii="Times New Roman" w:hAnsi="Times New Roman" w:cs="Times New Roman"/>
          <w:i/>
          <w:iCs/>
          <w:sz w:val="24"/>
          <w:szCs w:val="24"/>
        </w:rPr>
        <w:t>S. frugiperda</w:t>
      </w:r>
      <w:r>
        <w:rPr>
          <w:rFonts w:ascii="Times New Roman" w:hAnsi="Times New Roman" w:cs="Times New Roman"/>
          <w:sz w:val="24"/>
          <w:szCs w:val="24"/>
        </w:rPr>
        <w:t>.</w:t>
      </w:r>
    </w:p>
    <w:p w14:paraId="6F74BD05" w14:textId="77777777" w:rsidR="00997240" w:rsidRPr="00D44B77" w:rsidRDefault="00F47551" w:rsidP="00A94C17">
      <w:pPr>
        <w:spacing w:after="0" w:line="240" w:lineRule="auto"/>
        <w:ind w:firstLine="432"/>
        <w:jc w:val="both"/>
      </w:pPr>
      <w:r>
        <w:rPr>
          <w:rFonts w:ascii="Times New Roman" w:eastAsia="Times New Roman" w:hAnsi="Times New Roman"/>
          <w:sz w:val="24"/>
        </w:rPr>
        <w:t xml:space="preserve">However, high intrinsic toxicity should not be interpreted as </w:t>
      </w:r>
      <w:r>
        <w:rPr>
          <w:rFonts w:ascii="Times New Roman" w:eastAsia="Times New Roman" w:hAnsi="Times New Roman"/>
          <w:sz w:val="24"/>
          <w:highlight w:val="yellow"/>
        </w:rPr>
        <w:t>ensuring</w:t>
      </w:r>
      <w:r>
        <w:rPr>
          <w:rFonts w:ascii="Times New Roman" w:eastAsia="Times New Roman" w:hAnsi="Times New Roman"/>
          <w:sz w:val="24"/>
        </w:rPr>
        <w:t xml:space="preserve"> durable control. Field-evolved resistance to emamectin benzoate has been documented in Brazil, demonstrating that intensive selection can reduce susceptibility even to highly active compounds (Muraro et al., 2022).</w:t>
      </w:r>
    </w:p>
    <w:p w14:paraId="6C844CC5" w14:textId="77777777" w:rsidR="00997240" w:rsidRPr="00D44B77" w:rsidRDefault="00F47551" w:rsidP="00A94C17">
      <w:pPr>
        <w:jc w:val="both"/>
      </w:pPr>
      <w:r>
        <w:rPr>
          <w:rFonts w:ascii="Times New Roman" w:hAnsi="Times New Roman" w:cs="Times New Roman"/>
          <w:sz w:val="24"/>
          <w:szCs w:val="24"/>
        </w:rPr>
        <w:t>Chlorantraniliprole was the second most toxic insecticide in the present investigation. Comparable findings were reported by Beuzelin et al. (2022), who established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baseline susceptibility of </w:t>
      </w:r>
      <w:r>
        <w:rPr>
          <w:rFonts w:ascii="Times New Roman" w:hAnsi="Times New Roman" w:cs="Times New Roman"/>
          <w:i/>
          <w:iCs/>
          <w:sz w:val="24"/>
          <w:szCs w:val="24"/>
        </w:rPr>
        <w:t>S. frugiperda</w:t>
      </w:r>
      <w:r>
        <w:rPr>
          <w:rFonts w:ascii="Times New Roman" w:hAnsi="Times New Roman" w:cs="Times New Roman"/>
          <w:sz w:val="24"/>
          <w:szCs w:val="24"/>
        </w:rPr>
        <w:t xml:space="preserve"> populations infesting sweet corn in southern Florida and reported very low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values for chlorantraniliprole, indicating high susceptibility </w:t>
      </w:r>
      <w:r>
        <w:rPr>
          <w:rFonts w:ascii="Times New Roman" w:hAnsi="Times New Roman" w:cs="Times New Roman"/>
          <w:sz w:val="24"/>
          <w:szCs w:val="24"/>
          <w:highlight w:val="yellow"/>
        </w:rPr>
        <w:t>among the</w:t>
      </w:r>
      <w:r>
        <w:rPr>
          <w:rFonts w:ascii="Times New Roman" w:hAnsi="Times New Roman" w:cs="Times New Roman"/>
          <w:sz w:val="24"/>
          <w:szCs w:val="24"/>
        </w:rPr>
        <w:t xml:space="preserve"> field populations. Similar observations were reported by Kulye et al. (2021), who evaluated Indian populations of </w:t>
      </w:r>
      <w:r>
        <w:rPr>
          <w:rFonts w:ascii="Times New Roman" w:hAnsi="Times New Roman" w:cs="Times New Roman"/>
          <w:i/>
          <w:iCs/>
          <w:sz w:val="24"/>
          <w:szCs w:val="24"/>
        </w:rPr>
        <w:t>S. frugiperda</w:t>
      </w:r>
      <w:r>
        <w:rPr>
          <w:rFonts w:ascii="Times New Roman" w:hAnsi="Times New Roman" w:cs="Times New Roman"/>
          <w:sz w:val="24"/>
          <w:szCs w:val="24"/>
        </w:rPr>
        <w:t xml:space="preserve"> and observed that chlorantraniliprole remained highly effective against most populations, although low to moderate resistance was detected </w:t>
      </w:r>
      <w:r>
        <w:rPr>
          <w:rFonts w:ascii="Times New Roman" w:hAnsi="Times New Roman" w:cs="Times New Roman"/>
          <w:sz w:val="24"/>
          <w:szCs w:val="24"/>
          <w:highlight w:val="yellow"/>
        </w:rPr>
        <w:t>at</w:t>
      </w:r>
      <w:r>
        <w:rPr>
          <w:rFonts w:ascii="Times New Roman" w:hAnsi="Times New Roman" w:cs="Times New Roman"/>
          <w:sz w:val="24"/>
          <w:szCs w:val="24"/>
        </w:rPr>
        <w:t xml:space="preserve"> a few locations.</w:t>
      </w:r>
    </w:p>
    <w:p w14:paraId="2A820765" w14:textId="77777777" w:rsidR="00997240" w:rsidRPr="00D44B77" w:rsidRDefault="00F47551" w:rsidP="00A94C17">
      <w:pPr>
        <w:spacing w:after="0" w:line="240" w:lineRule="auto"/>
        <w:ind w:firstLine="432"/>
        <w:jc w:val="both"/>
      </w:pPr>
      <w:r w:rsidRPr="00D44B77">
        <w:rPr>
          <w:rFonts w:ascii="Times New Roman" w:eastAsia="Times New Roman" w:hAnsi="Times New Roman"/>
          <w:sz w:val="24"/>
        </w:rPr>
        <w:t>Resistance-selection studies have further shown that chlorantraniliprole resistance can be inherited and accompanied by cross-resistance to other diamides; consequently, the two IRAC Group 28 compounds evaluated here should not be treated as independent rotation partners (Bolzan et al., 2019).</w:t>
      </w:r>
    </w:p>
    <w:p w14:paraId="596281D6" w14:textId="77777777" w:rsidR="00997240" w:rsidRPr="00D44B77" w:rsidRDefault="00F47551" w:rsidP="00A94C17">
      <w:pPr>
        <w:jc w:val="both"/>
      </w:pPr>
      <w:r>
        <w:rPr>
          <w:rFonts w:ascii="Times New Roman" w:hAnsi="Times New Roman" w:cs="Times New Roman"/>
          <w:sz w:val="24"/>
          <w:szCs w:val="24"/>
        </w:rPr>
        <w:t>Spinetoram also exhibited high toxicity in the present study, with an LC</w:t>
      </w:r>
      <w:r>
        <w:rPr>
          <w:rFonts w:ascii="Times New Roman" w:hAnsi="Times New Roman" w:cs="Times New Roman"/>
          <w:sz w:val="24"/>
          <w:szCs w:val="24"/>
          <w:vertAlign w:val="subscript"/>
        </w:rPr>
        <w:t>50</w:t>
      </w:r>
      <w:r>
        <w:rPr>
          <w:rFonts w:ascii="Times New Roman" w:hAnsi="Times New Roman" w:cs="Times New Roman"/>
          <w:sz w:val="24"/>
          <w:szCs w:val="24"/>
          <w:highlight w:val="yellow"/>
        </w:rPr>
        <w:t xml:space="preserve"> value</w:t>
      </w:r>
      <w:r>
        <w:rPr>
          <w:rFonts w:ascii="Times New Roman" w:hAnsi="Times New Roman" w:cs="Times New Roman"/>
          <w:sz w:val="24"/>
          <w:szCs w:val="24"/>
        </w:rPr>
        <w:t xml:space="preserve"> lower than those of spinosad and flubendiamide. Bird et al. (2022) reported similar results</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w:t>
      </w:r>
      <w:r>
        <w:rPr>
          <w:rFonts w:ascii="Times New Roman" w:hAnsi="Times New Roman" w:cs="Times New Roman"/>
          <w:sz w:val="24"/>
          <w:szCs w:val="24"/>
          <w:highlight w:val="yellow"/>
        </w:rPr>
        <w:t>ranked</w:t>
      </w:r>
      <w:r>
        <w:rPr>
          <w:rFonts w:ascii="Times New Roman" w:hAnsi="Times New Roman" w:cs="Times New Roman"/>
          <w:sz w:val="24"/>
          <w:szCs w:val="24"/>
        </w:rPr>
        <w:t xml:space="preserve"> spinetoram among the most effective insecticides tested against </w:t>
      </w:r>
      <w:r>
        <w:rPr>
          <w:rFonts w:ascii="Times New Roman" w:hAnsi="Times New Roman" w:cs="Times New Roman"/>
          <w:i/>
          <w:iCs/>
          <w:sz w:val="24"/>
          <w:szCs w:val="24"/>
        </w:rPr>
        <w:t>S. frugiperda</w:t>
      </w:r>
      <w:r>
        <w:rPr>
          <w:rFonts w:ascii="Times New Roman" w:hAnsi="Times New Roman" w:cs="Times New Roman"/>
          <w:sz w:val="24"/>
          <w:szCs w:val="24"/>
        </w:rPr>
        <w:t>. Likewise, Shareef et al. (2022) demonstrated that spinetoram produced high larval mortality and ranked second only to emamectin benzoate in toxicity, supporting the present findings.</w:t>
      </w:r>
    </w:p>
    <w:p w14:paraId="331BC7E8" w14:textId="77777777" w:rsidR="00997240" w:rsidRPr="00D44B77" w:rsidRDefault="00F47551" w:rsidP="00A94C17">
      <w:pPr>
        <w:jc w:val="both"/>
      </w:pPr>
      <w:r>
        <w:rPr>
          <w:rFonts w:ascii="Times New Roman" w:hAnsi="Times New Roman" w:cs="Times New Roman"/>
          <w:sz w:val="24"/>
          <w:szCs w:val="24"/>
        </w:rPr>
        <w:t xml:space="preserve">Although spinosad was less toxic than emamectin benzoate, </w:t>
      </w:r>
      <w:r>
        <w:rPr>
          <w:rFonts w:ascii="Times New Roman" w:hAnsi="Times New Roman" w:cs="Times New Roman"/>
          <w:sz w:val="24"/>
          <w:szCs w:val="24"/>
          <w:highlight w:val="yellow"/>
        </w:rPr>
        <w:t>chlorantraniliprole,</w:t>
      </w:r>
      <w:r>
        <w:rPr>
          <w:rFonts w:ascii="Times New Roman" w:hAnsi="Times New Roman" w:cs="Times New Roman"/>
          <w:sz w:val="24"/>
          <w:szCs w:val="24"/>
        </w:rPr>
        <w:t xml:space="preserve"> and spinetoram, it caused substantial mortality </w:t>
      </w:r>
      <w:r>
        <w:rPr>
          <w:rFonts w:ascii="Times New Roman" w:hAnsi="Times New Roman" w:cs="Times New Roman"/>
          <w:sz w:val="24"/>
          <w:szCs w:val="24"/>
          <w:highlight w:val="yellow"/>
        </w:rPr>
        <w:t>among</w:t>
      </w:r>
      <w:r>
        <w:rPr>
          <w:rFonts w:ascii="Times New Roman" w:hAnsi="Times New Roman" w:cs="Times New Roman"/>
          <w:sz w:val="24"/>
          <w:szCs w:val="24"/>
        </w:rPr>
        <w:t xml:space="preserve"> </w:t>
      </w:r>
      <w:r>
        <w:rPr>
          <w:rFonts w:ascii="Times New Roman" w:hAnsi="Times New Roman" w:cs="Times New Roman"/>
          <w:sz w:val="24"/>
          <w:szCs w:val="24"/>
          <w:highlight w:val="yellow"/>
        </w:rPr>
        <w:t>third-instar</w:t>
      </w:r>
      <w:r>
        <w:rPr>
          <w:rFonts w:ascii="Times New Roman" w:hAnsi="Times New Roman" w:cs="Times New Roman"/>
          <w:sz w:val="24"/>
          <w:szCs w:val="24"/>
        </w:rPr>
        <w:t xml:space="preserve"> larvae. Bird et al. (2022) and Shareef et al. (2022) </w:t>
      </w:r>
      <w:r>
        <w:rPr>
          <w:rFonts w:ascii="Times New Roman" w:hAnsi="Times New Roman" w:cs="Times New Roman"/>
          <w:sz w:val="24"/>
          <w:szCs w:val="24"/>
          <w:highlight w:val="yellow"/>
        </w:rPr>
        <w:t>similarly</w:t>
      </w:r>
      <w:r>
        <w:rPr>
          <w:rFonts w:ascii="Times New Roman" w:hAnsi="Times New Roman" w:cs="Times New Roman"/>
          <w:sz w:val="24"/>
          <w:szCs w:val="24"/>
        </w:rPr>
        <w:t xml:space="preserve"> reported good efficacy of spinosad against </w:t>
      </w:r>
      <w:r>
        <w:rPr>
          <w:rFonts w:ascii="Times New Roman" w:hAnsi="Times New Roman" w:cs="Times New Roman"/>
          <w:i/>
          <w:iCs/>
          <w:sz w:val="24"/>
          <w:szCs w:val="24"/>
        </w:rPr>
        <w:t>S. frugiperda</w:t>
      </w:r>
      <w:r>
        <w:rPr>
          <w:rFonts w:ascii="Times New Roman" w:hAnsi="Times New Roman" w:cs="Times New Roman"/>
          <w:sz w:val="24"/>
          <w:szCs w:val="24"/>
        </w:rPr>
        <w:t>, although its toxicity was lower than that of emamectin benzoate and spinetoram.</w:t>
      </w:r>
    </w:p>
    <w:p w14:paraId="4BD0EEF7" w14:textId="77777777" w:rsidR="00997240" w:rsidRPr="00D44B77" w:rsidRDefault="00F47551" w:rsidP="00A94C17">
      <w:pPr>
        <w:spacing w:after="0" w:line="240" w:lineRule="auto"/>
        <w:ind w:firstLine="432"/>
        <w:jc w:val="both"/>
      </w:pPr>
      <w:r>
        <w:rPr>
          <w:rFonts w:ascii="Times New Roman" w:eastAsia="Times New Roman" w:hAnsi="Times New Roman"/>
          <w:sz w:val="24"/>
        </w:rPr>
        <w:t xml:space="preserve">Similarly, laboratory-selected </w:t>
      </w:r>
      <w:r>
        <w:rPr>
          <w:rFonts w:ascii="Times New Roman" w:eastAsia="Times New Roman" w:hAnsi="Times New Roman"/>
          <w:sz w:val="24"/>
          <w:highlight w:val="yellow"/>
        </w:rPr>
        <w:t xml:space="preserve">resistance to </w:t>
      </w:r>
      <w:r>
        <w:rPr>
          <w:rFonts w:ascii="Times New Roman" w:eastAsia="Times New Roman" w:hAnsi="Times New Roman"/>
          <w:sz w:val="24"/>
        </w:rPr>
        <w:t>spinetoram can confer marked cross-resistance to spinosad, supporting rotation among genuinely distinct IRAC mode-of-action groups rather than alternation of compounds within Group 5 (Lira et al., 2020).</w:t>
      </w:r>
    </w:p>
    <w:p w14:paraId="296C51D9" w14:textId="77777777" w:rsidR="00997240" w:rsidRPr="00D44B77" w:rsidRDefault="00F47551" w:rsidP="00A94C17">
      <w:pPr>
        <w:jc w:val="both"/>
      </w:pPr>
      <w:r>
        <w:rPr>
          <w:rFonts w:ascii="Times New Roman" w:hAnsi="Times New Roman" w:cs="Times New Roman"/>
          <w:sz w:val="24"/>
          <w:szCs w:val="24"/>
        </w:rPr>
        <w:t>Among the insecticides evaluated, flubendiamide recorded the highest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indicating comparatively lower toxicity under the present laboratory conditions. Shareef et al. (2022) similarly observed that flubendiamide exhibited lower toxicity than emamectin benzoate, </w:t>
      </w:r>
      <w:r>
        <w:rPr>
          <w:rFonts w:ascii="Times New Roman" w:hAnsi="Times New Roman" w:cs="Times New Roman"/>
          <w:sz w:val="24"/>
          <w:szCs w:val="24"/>
          <w:highlight w:val="yellow"/>
        </w:rPr>
        <w:t>chlorantraniliprole,</w:t>
      </w:r>
      <w:r>
        <w:rPr>
          <w:rFonts w:ascii="Times New Roman" w:hAnsi="Times New Roman" w:cs="Times New Roman"/>
          <w:sz w:val="24"/>
          <w:szCs w:val="24"/>
        </w:rPr>
        <w:t xml:space="preserve"> and spinetoram. Furthermore, Kulye et al. (2021) detected low to moderate resistance to flubendiamide in some Indian populations of </w:t>
      </w:r>
      <w:r>
        <w:rPr>
          <w:rFonts w:ascii="Times New Roman" w:hAnsi="Times New Roman" w:cs="Times New Roman"/>
          <w:i/>
          <w:iCs/>
          <w:sz w:val="24"/>
          <w:szCs w:val="24"/>
        </w:rPr>
        <w:t>S. frugiperda</w:t>
      </w:r>
      <w:r>
        <w:rPr>
          <w:rFonts w:ascii="Times New Roman" w:hAnsi="Times New Roman" w:cs="Times New Roman"/>
          <w:sz w:val="24"/>
          <w:szCs w:val="24"/>
        </w:rPr>
        <w:t xml:space="preserve">, </w:t>
      </w:r>
      <w:r>
        <w:rPr>
          <w:rFonts w:ascii="Times New Roman" w:hAnsi="Times New Roman" w:cs="Times New Roman"/>
          <w:sz w:val="24"/>
          <w:szCs w:val="24"/>
          <w:highlight w:val="yellow"/>
        </w:rPr>
        <w:t>emphasising</w:t>
      </w:r>
      <w:r>
        <w:rPr>
          <w:rFonts w:ascii="Times New Roman" w:hAnsi="Times New Roman" w:cs="Times New Roman"/>
          <w:sz w:val="24"/>
          <w:szCs w:val="24"/>
        </w:rPr>
        <w:t xml:space="preserve"> the need for continuous susceptibility monitoring and appropriate insecticide resistance management.</w:t>
      </w:r>
    </w:p>
    <w:p w14:paraId="3B8CBCB0" w14:textId="77777777" w:rsidR="00997240" w:rsidRPr="00D44B77" w:rsidRDefault="00F47551" w:rsidP="00A94C17">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Nevertheless, the present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values provide baseline susceptibility data for the laboratory population of </w:t>
      </w:r>
      <w:r>
        <w:rPr>
          <w:rFonts w:ascii="Times New Roman" w:hAnsi="Times New Roman" w:cs="Times New Roman"/>
          <w:i/>
          <w:iCs/>
          <w:sz w:val="24"/>
          <w:szCs w:val="24"/>
        </w:rPr>
        <w:t>S. frugiperda</w:t>
      </w:r>
      <w:r>
        <w:rPr>
          <w:rFonts w:ascii="Times New Roman" w:hAnsi="Times New Roman" w:cs="Times New Roman"/>
          <w:sz w:val="24"/>
          <w:szCs w:val="24"/>
        </w:rPr>
        <w:t xml:space="preserve"> and </w:t>
      </w:r>
      <w:r>
        <w:rPr>
          <w:rFonts w:ascii="Times New Roman" w:hAnsi="Times New Roman" w:cs="Times New Roman"/>
          <w:sz w:val="24"/>
          <w:szCs w:val="24"/>
          <w:highlight w:val="yellow"/>
        </w:rPr>
        <w:t>may</w:t>
      </w:r>
      <w:r>
        <w:rPr>
          <w:rFonts w:ascii="Times New Roman" w:hAnsi="Times New Roman" w:cs="Times New Roman"/>
          <w:sz w:val="24"/>
          <w:szCs w:val="24"/>
        </w:rPr>
        <w:t xml:space="preserve"> serve as useful reference information for future resistance monitoring and integrated pest management programmes.</w:t>
      </w:r>
    </w:p>
    <w:p w14:paraId="212F7106" w14:textId="77777777" w:rsidR="00997240" w:rsidRPr="00D44B77" w:rsidRDefault="00F47551" w:rsidP="00A94C17">
      <w:pPr>
        <w:spacing w:after="0" w:line="240" w:lineRule="auto"/>
        <w:ind w:firstLine="432"/>
        <w:jc w:val="both"/>
      </w:pPr>
      <w:r>
        <w:rPr>
          <w:rFonts w:ascii="Times New Roman" w:eastAsia="Times New Roman" w:hAnsi="Times New Roman"/>
          <w:sz w:val="24"/>
        </w:rPr>
        <w:t>Because LC</w:t>
      </w:r>
      <w:r>
        <w:rPr>
          <w:rFonts w:ascii="Times New Roman" w:eastAsia="Times New Roman" w:hAnsi="Times New Roman"/>
          <w:sz w:val="24"/>
          <w:vertAlign w:val="subscript"/>
        </w:rPr>
        <w:t>50</w:t>
      </w:r>
      <w:r>
        <w:rPr>
          <w:rFonts w:ascii="Times New Roman" w:eastAsia="Times New Roman" w:hAnsi="Times New Roman"/>
          <w:sz w:val="24"/>
        </w:rPr>
        <w:t xml:space="preserve"> values are specific to the tested population and bioassay conditions, the present estimates </w:t>
      </w:r>
      <w:r>
        <w:rPr>
          <w:rFonts w:ascii="Times New Roman" w:eastAsia="Times New Roman" w:hAnsi="Times New Roman"/>
          <w:sz w:val="24"/>
          <w:highlight w:val="yellow"/>
        </w:rPr>
        <w:t>should</w:t>
      </w:r>
      <w:r>
        <w:rPr>
          <w:rFonts w:ascii="Times New Roman" w:eastAsia="Times New Roman" w:hAnsi="Times New Roman"/>
          <w:sz w:val="24"/>
        </w:rPr>
        <w:t xml:space="preserve"> be regarded as a local laboratory benchmark. Future monitoring should use comparable protocols, report confidence intervals and slope estimates, and periodically sample field populations to distinguish natural variability from directional </w:t>
      </w:r>
      <w:r>
        <w:rPr>
          <w:rFonts w:ascii="Times New Roman" w:eastAsia="Times New Roman" w:hAnsi="Times New Roman"/>
          <w:sz w:val="24"/>
          <w:highlight w:val="yellow"/>
        </w:rPr>
        <w:t>changes</w:t>
      </w:r>
      <w:r>
        <w:rPr>
          <w:rFonts w:ascii="Times New Roman" w:eastAsia="Times New Roman" w:hAnsi="Times New Roman"/>
          <w:sz w:val="24"/>
        </w:rPr>
        <w:t xml:space="preserve"> in susceptibility (Beuzelin et al., 2022; Bird et al., 2022; Kulye et al., 2021).</w:t>
      </w:r>
    </w:p>
    <w:p w14:paraId="340FB8CA" w14:textId="77777777" w:rsidR="007E01EB" w:rsidRPr="00D44B77" w:rsidRDefault="00F47551" w:rsidP="00A94C1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n-US" w:eastAsia="en-US" w:bidi="ar-SA"/>
        </w:rPr>
      </w:pPr>
      <w:r w:rsidRPr="00D44B77">
        <w:rPr>
          <w:rFonts w:ascii="Times New Roman" w:hAnsi="Times New Roman" w:cs="Times New Roman"/>
          <w:b/>
          <w:bCs/>
          <w:sz w:val="24"/>
          <w:szCs w:val="24"/>
        </w:rPr>
        <w:t xml:space="preserve">4. </w:t>
      </w:r>
      <w:r w:rsidR="007E01EB" w:rsidRPr="00A94C17">
        <w:rPr>
          <w:rFonts w:ascii="Times New Roman" w:eastAsia="Times New Roman" w:hAnsi="Times New Roman" w:cs="Times New Roman"/>
          <w:b/>
          <w:bCs/>
          <w:kern w:val="0"/>
          <w:sz w:val="28"/>
          <w:szCs w:val="28"/>
          <w:lang w:val="en-US" w:eastAsia="en-US" w:bidi="ar-SA"/>
        </w:rPr>
        <w:t xml:space="preserve">Conclusions </w:t>
      </w:r>
    </w:p>
    <w:p w14:paraId="2877BC24" w14:textId="77777777" w:rsidR="00A94C17" w:rsidRDefault="00A94C17" w:rsidP="00A94C17">
      <w:pPr>
        <w:suppressAutoHyphens w:val="0"/>
        <w:spacing w:before="100" w:beforeAutospacing="1" w:after="100" w:afterAutospacing="1" w:line="240" w:lineRule="auto"/>
        <w:jc w:val="both"/>
        <w:outlineLvl w:val="1"/>
      </w:pPr>
      <w:r>
        <w:t xml:space="preserve">The five evaluated insecticides differed markedly in their toxicity to third-instar </w:t>
      </w:r>
      <w:r>
        <w:rPr>
          <w:rStyle w:val="Emphasis"/>
        </w:rPr>
        <w:t xml:space="preserve">Spodoptera </w:t>
      </w:r>
      <w:proofErr w:type="spellStart"/>
      <w:r>
        <w:rPr>
          <w:rStyle w:val="Emphasis"/>
        </w:rPr>
        <w:t>frugiperda</w:t>
      </w:r>
      <w:proofErr w:type="spellEnd"/>
      <w:r>
        <w:t xml:space="preserve"> larvae under laboratory conditions. </w:t>
      </w:r>
      <w:proofErr w:type="spellStart"/>
      <w:r>
        <w:t>Emamectin</w:t>
      </w:r>
      <w:proofErr w:type="spellEnd"/>
      <w:r>
        <w:t xml:space="preserve"> benzoate 5 SG produced the lowest LC₅₀ value, followed by chlorantraniliprole 18.5 SC, spinetoram 11.7 SC, </w:t>
      </w:r>
      <w:proofErr w:type="spellStart"/>
      <w:r>
        <w:t>spinosad</w:t>
      </w:r>
      <w:proofErr w:type="spellEnd"/>
      <w:r>
        <w:t xml:space="preserve"> 45 SC, and </w:t>
      </w:r>
      <w:proofErr w:type="spellStart"/>
      <w:r>
        <w:t>flubendiamide</w:t>
      </w:r>
      <w:proofErr w:type="spellEnd"/>
      <w:r>
        <w:t xml:space="preserve"> 480 SC. The tested population was therefore comparatively more susceptible to </w:t>
      </w:r>
      <w:proofErr w:type="spellStart"/>
      <w:r>
        <w:t>emamectin</w:t>
      </w:r>
      <w:proofErr w:type="spellEnd"/>
      <w:r>
        <w:t xml:space="preserve"> benzoate and chlorantraniliprole, whereas </w:t>
      </w:r>
      <w:proofErr w:type="spellStart"/>
      <w:r>
        <w:t>flubendiamide</w:t>
      </w:r>
      <w:proofErr w:type="spellEnd"/>
      <w:r>
        <w:t xml:space="preserve"> showed the lowest relative toxicity among the formulations evaluated. These results provide a local susceptibility benchmark for assessments conducted with the same population, larval stage, exposure method, and observation interval. However, laboratory toxicity should not be considered equivalent to field efficacy, which may be influenced by application coverage, environmental conditions, crop growth, pest behaviour, and resistance history. Insecticide use should therefore be supported by field validation and resistance-management principles. Compounds that share the same mode-of-action group should not be treated as independent rotation partners. Continued monitoring with standardised dose–response bioassays, field-collected populations, and complete statistical reporting would help identify changes in susceptibility and support more sustainable fall armyworm management in maize.</w:t>
      </w:r>
    </w:p>
    <w:p w14:paraId="22108853" w14:textId="73E80E41" w:rsidR="007E01EB" w:rsidRPr="00A94C17" w:rsidRDefault="007E01EB" w:rsidP="00A94C17">
      <w:pPr>
        <w:suppressAutoHyphens w:val="0"/>
        <w:spacing w:before="100" w:beforeAutospacing="1" w:after="100" w:afterAutospacing="1" w:line="240" w:lineRule="auto"/>
        <w:jc w:val="both"/>
        <w:outlineLvl w:val="1"/>
        <w:rPr>
          <w:rFonts w:ascii="Times New Roman" w:eastAsia="Times New Roman" w:hAnsi="Times New Roman" w:cs="Times New Roman"/>
          <w:b/>
          <w:bCs/>
          <w:kern w:val="0"/>
          <w:sz w:val="24"/>
          <w:szCs w:val="24"/>
          <w:lang w:val="en-US" w:eastAsia="en-US" w:bidi="ar-SA"/>
        </w:rPr>
      </w:pPr>
      <w:r w:rsidRPr="00A94C17">
        <w:rPr>
          <w:rFonts w:ascii="Times New Roman" w:eastAsia="Times New Roman" w:hAnsi="Times New Roman" w:cs="Times New Roman"/>
          <w:b/>
          <w:bCs/>
          <w:kern w:val="0"/>
          <w:sz w:val="24"/>
          <w:szCs w:val="24"/>
          <w:lang w:val="en-US" w:eastAsia="en-US" w:bidi="ar-SA"/>
        </w:rPr>
        <w:t xml:space="preserve">Limitations </w:t>
      </w:r>
    </w:p>
    <w:p w14:paraId="1A348D27" w14:textId="6B2F392A" w:rsidR="007E01EB" w:rsidRPr="00D44B77" w:rsidRDefault="00A94C17" w:rsidP="00A94C17">
      <w:pPr>
        <w:jc w:val="both"/>
        <w:rPr>
          <w:rFonts w:ascii="Times New Roman" w:hAnsi="Times New Roman" w:cs="Times New Roman"/>
          <w:b/>
          <w:bCs/>
          <w:sz w:val="24"/>
          <w:szCs w:val="24"/>
        </w:rPr>
      </w:pPr>
      <w:r>
        <w:t>The study does not report the six tested concentrations, concentration-specific mortality, control mortality, the observation interval used for each LC₅₀ estimate, or whether ppm represents active ingredient or commercial formulation. Confidence intervals, regression slopes, degrees of freedom, goodness-of-fit probabilities, software version, rearing generation, collection date, environmental conditions, and formulation manufacturers are also not provided. Moribund or deformed larvae were counted as dead, which may have influenced mortality estimates. These omissions restrict reproducibility, comparison among insecticides, interpretation of the reported differences, and application of the results to resistance monitoring.</w:t>
      </w:r>
    </w:p>
    <w:p w14:paraId="6D17DDF8" w14:textId="77777777" w:rsidR="007E01EB" w:rsidRPr="00D44B77" w:rsidRDefault="007E01EB" w:rsidP="00A94C17">
      <w:pPr>
        <w:jc w:val="both"/>
        <w:rPr>
          <w:rFonts w:ascii="Times New Roman" w:hAnsi="Times New Roman" w:cs="Times New Roman"/>
          <w:b/>
          <w:bCs/>
          <w:sz w:val="24"/>
          <w:szCs w:val="24"/>
        </w:rPr>
      </w:pPr>
    </w:p>
    <w:p w14:paraId="47AB53E7" w14:textId="77777777" w:rsidR="00997240" w:rsidRPr="00D44B77" w:rsidRDefault="00F47551" w:rsidP="00A94C17">
      <w:pPr>
        <w:jc w:val="both"/>
        <w:rPr>
          <w:rFonts w:ascii="Times New Roman" w:hAnsi="Times New Roman" w:cs="Times New Roman"/>
          <w:b/>
          <w:bCs/>
          <w:sz w:val="24"/>
          <w:szCs w:val="24"/>
        </w:rPr>
      </w:pPr>
      <w:r w:rsidRPr="00D44B77">
        <w:rPr>
          <w:rFonts w:ascii="Times New Roman" w:hAnsi="Times New Roman" w:cs="Times New Roman"/>
          <w:b/>
          <w:bCs/>
          <w:sz w:val="24"/>
          <w:szCs w:val="24"/>
        </w:rPr>
        <w:t xml:space="preserve">Table 1. Median lethal concentration (LC50), chi-square (χ²) values and regression equations of selected insecticides against third instar larvae of </w:t>
      </w:r>
      <w:r w:rsidRPr="00D44B77">
        <w:rPr>
          <w:rFonts w:ascii="Times New Roman" w:hAnsi="Times New Roman" w:cs="Times New Roman"/>
          <w:b/>
          <w:bCs/>
          <w:i/>
          <w:iCs/>
          <w:sz w:val="24"/>
          <w:szCs w:val="24"/>
        </w:rPr>
        <w:t xml:space="preserve">Spodoptera </w:t>
      </w:r>
      <w:proofErr w:type="spellStart"/>
      <w:r w:rsidRPr="00D44B77">
        <w:rPr>
          <w:rFonts w:ascii="Times New Roman" w:hAnsi="Times New Roman" w:cs="Times New Roman"/>
          <w:b/>
          <w:bCs/>
          <w:i/>
          <w:iCs/>
          <w:sz w:val="24"/>
          <w:szCs w:val="24"/>
        </w:rPr>
        <w:t>frugiperda</w:t>
      </w:r>
      <w:proofErr w:type="spellEnd"/>
      <w:r w:rsidRPr="00D44B77">
        <w:rPr>
          <w:rFonts w:ascii="Times New Roman" w:hAnsi="Times New Roman" w:cs="Times New Roman"/>
          <w:b/>
          <w:bCs/>
          <w:sz w:val="24"/>
          <w:szCs w:val="24"/>
        </w:rPr>
        <w:t xml:space="preserve"> determined by the leaf dip bioassay.</w:t>
      </w:r>
    </w:p>
    <w:tbl>
      <w:tblPr>
        <w:tblW w:w="9056" w:type="dxa"/>
        <w:tblLayout w:type="fixed"/>
        <w:tblLook w:val="0000" w:firstRow="0" w:lastRow="0" w:firstColumn="0" w:lastColumn="0" w:noHBand="0" w:noVBand="0"/>
      </w:tblPr>
      <w:tblGrid>
        <w:gridCol w:w="2264"/>
        <w:gridCol w:w="2264"/>
        <w:gridCol w:w="2264"/>
        <w:gridCol w:w="2264"/>
      </w:tblGrid>
      <w:tr w:rsidR="00997240" w:rsidRPr="00D44B77" w14:paraId="4A0A0091"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12BE9279"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Treatment</w:t>
            </w:r>
          </w:p>
        </w:tc>
        <w:tc>
          <w:tcPr>
            <w:tcW w:w="2264" w:type="dxa"/>
            <w:tcBorders>
              <w:top w:val="single" w:sz="4" w:space="0" w:color="000000"/>
              <w:left w:val="single" w:sz="4" w:space="0" w:color="000000"/>
              <w:bottom w:val="single" w:sz="4" w:space="0" w:color="000000"/>
              <w:right w:val="single" w:sz="4" w:space="0" w:color="000000"/>
            </w:tcBorders>
            <w:vAlign w:val="center"/>
          </w:tcPr>
          <w:p w14:paraId="3405DF5C"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Insecticide</w:t>
            </w:r>
          </w:p>
        </w:tc>
        <w:tc>
          <w:tcPr>
            <w:tcW w:w="2264" w:type="dxa"/>
            <w:tcBorders>
              <w:top w:val="single" w:sz="4" w:space="0" w:color="000000"/>
              <w:left w:val="single" w:sz="4" w:space="0" w:color="000000"/>
              <w:bottom w:val="single" w:sz="4" w:space="0" w:color="000000"/>
              <w:right w:val="single" w:sz="4" w:space="0" w:color="000000"/>
            </w:tcBorders>
            <w:vAlign w:val="center"/>
          </w:tcPr>
          <w:p w14:paraId="60569720"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LC50 (ppm)</w:t>
            </w:r>
          </w:p>
        </w:tc>
        <w:tc>
          <w:tcPr>
            <w:tcW w:w="2264" w:type="dxa"/>
            <w:tcBorders>
              <w:top w:val="single" w:sz="4" w:space="0" w:color="000000"/>
              <w:left w:val="single" w:sz="4" w:space="0" w:color="000000"/>
              <w:bottom w:val="single" w:sz="4" w:space="0" w:color="000000"/>
              <w:right w:val="single" w:sz="4" w:space="0" w:color="000000"/>
            </w:tcBorders>
            <w:vAlign w:val="center"/>
          </w:tcPr>
          <w:p w14:paraId="74F08422"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χ²</w:t>
            </w:r>
          </w:p>
        </w:tc>
      </w:tr>
      <w:tr w:rsidR="00997240" w:rsidRPr="00D44B77" w14:paraId="03A9B697"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7CC48A05"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AEFEFBC" w14:textId="77777777" w:rsidR="00997240" w:rsidRPr="00D44B77" w:rsidRDefault="00F47551" w:rsidP="00A94C17">
            <w:pPr>
              <w:spacing w:after="0" w:line="240" w:lineRule="auto"/>
              <w:jc w:val="both"/>
              <w:rPr>
                <w:rFonts w:ascii="Times New Roman" w:hAnsi="Times New Roman" w:cs="Times New Roman"/>
                <w:sz w:val="24"/>
                <w:szCs w:val="24"/>
              </w:rPr>
            </w:pPr>
            <w:proofErr w:type="spellStart"/>
            <w:r w:rsidRPr="00D44B77">
              <w:rPr>
                <w:rFonts w:ascii="Times New Roman" w:hAnsi="Times New Roman" w:cs="Times New Roman"/>
                <w:sz w:val="24"/>
                <w:szCs w:val="24"/>
              </w:rPr>
              <w:t>Emamectin</w:t>
            </w:r>
            <w:proofErr w:type="spellEnd"/>
            <w:r w:rsidRPr="00D44B77">
              <w:rPr>
                <w:rFonts w:ascii="Times New Roman" w:hAnsi="Times New Roman" w:cs="Times New Roman"/>
                <w:sz w:val="24"/>
                <w:szCs w:val="24"/>
              </w:rPr>
              <w:t xml:space="preserve"> benzoate 5 SG</w:t>
            </w:r>
          </w:p>
        </w:tc>
        <w:tc>
          <w:tcPr>
            <w:tcW w:w="2264" w:type="dxa"/>
            <w:tcBorders>
              <w:top w:val="single" w:sz="4" w:space="0" w:color="000000"/>
              <w:left w:val="single" w:sz="4" w:space="0" w:color="000000"/>
              <w:bottom w:val="single" w:sz="4" w:space="0" w:color="000000"/>
              <w:right w:val="single" w:sz="4" w:space="0" w:color="000000"/>
            </w:tcBorders>
            <w:vAlign w:val="center"/>
          </w:tcPr>
          <w:p w14:paraId="01CCB3FA"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0.13</w:t>
            </w:r>
          </w:p>
        </w:tc>
        <w:tc>
          <w:tcPr>
            <w:tcW w:w="2264" w:type="dxa"/>
            <w:tcBorders>
              <w:top w:val="single" w:sz="4" w:space="0" w:color="000000"/>
              <w:left w:val="single" w:sz="4" w:space="0" w:color="000000"/>
              <w:bottom w:val="single" w:sz="4" w:space="0" w:color="000000"/>
              <w:right w:val="single" w:sz="4" w:space="0" w:color="000000"/>
            </w:tcBorders>
            <w:vAlign w:val="center"/>
          </w:tcPr>
          <w:p w14:paraId="25212589"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1.13</w:t>
            </w:r>
          </w:p>
        </w:tc>
      </w:tr>
      <w:tr w:rsidR="00997240" w:rsidRPr="00D44B77" w14:paraId="67C306B2" w14:textId="77777777">
        <w:trPr>
          <w:trHeight w:val="272"/>
        </w:trPr>
        <w:tc>
          <w:tcPr>
            <w:tcW w:w="2264" w:type="dxa"/>
            <w:tcBorders>
              <w:top w:val="single" w:sz="4" w:space="0" w:color="000000"/>
              <w:left w:val="single" w:sz="4" w:space="0" w:color="000000"/>
              <w:bottom w:val="single" w:sz="4" w:space="0" w:color="000000"/>
              <w:right w:val="single" w:sz="4" w:space="0" w:color="000000"/>
            </w:tcBorders>
            <w:vAlign w:val="center"/>
          </w:tcPr>
          <w:p w14:paraId="20CE83B8"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T2</w:t>
            </w:r>
          </w:p>
        </w:tc>
        <w:tc>
          <w:tcPr>
            <w:tcW w:w="2264" w:type="dxa"/>
            <w:tcBorders>
              <w:top w:val="single" w:sz="4" w:space="0" w:color="000000"/>
              <w:left w:val="single" w:sz="4" w:space="0" w:color="000000"/>
              <w:bottom w:val="single" w:sz="4" w:space="0" w:color="000000"/>
              <w:right w:val="single" w:sz="4" w:space="0" w:color="000000"/>
            </w:tcBorders>
            <w:vAlign w:val="center"/>
          </w:tcPr>
          <w:p w14:paraId="2D9FDA8C"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Spinetoram 11.7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6890093E"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3.69</w:t>
            </w:r>
          </w:p>
        </w:tc>
        <w:tc>
          <w:tcPr>
            <w:tcW w:w="2264" w:type="dxa"/>
            <w:tcBorders>
              <w:top w:val="single" w:sz="4" w:space="0" w:color="000000"/>
              <w:left w:val="single" w:sz="4" w:space="0" w:color="000000"/>
              <w:bottom w:val="single" w:sz="4" w:space="0" w:color="000000"/>
              <w:right w:val="single" w:sz="4" w:space="0" w:color="000000"/>
            </w:tcBorders>
            <w:vAlign w:val="center"/>
          </w:tcPr>
          <w:p w14:paraId="78BF8E4D"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1.50</w:t>
            </w:r>
          </w:p>
        </w:tc>
      </w:tr>
      <w:tr w:rsidR="00997240" w:rsidRPr="00D44B77" w14:paraId="6307C5D8"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3FE4DC11"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T3</w:t>
            </w:r>
          </w:p>
        </w:tc>
        <w:tc>
          <w:tcPr>
            <w:tcW w:w="2264" w:type="dxa"/>
            <w:tcBorders>
              <w:top w:val="single" w:sz="4" w:space="0" w:color="000000"/>
              <w:left w:val="single" w:sz="4" w:space="0" w:color="000000"/>
              <w:bottom w:val="single" w:sz="4" w:space="0" w:color="000000"/>
              <w:right w:val="single" w:sz="4" w:space="0" w:color="000000"/>
            </w:tcBorders>
            <w:vAlign w:val="center"/>
          </w:tcPr>
          <w:p w14:paraId="49DB4640"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Chlorantraniliprole 18.5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7C22E96D"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2.61</w:t>
            </w:r>
          </w:p>
        </w:tc>
        <w:tc>
          <w:tcPr>
            <w:tcW w:w="2264" w:type="dxa"/>
            <w:tcBorders>
              <w:top w:val="single" w:sz="4" w:space="0" w:color="000000"/>
              <w:left w:val="single" w:sz="4" w:space="0" w:color="000000"/>
              <w:bottom w:val="single" w:sz="4" w:space="0" w:color="000000"/>
              <w:right w:val="single" w:sz="4" w:space="0" w:color="000000"/>
            </w:tcBorders>
            <w:vAlign w:val="center"/>
          </w:tcPr>
          <w:p w14:paraId="6261F52E"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0.14</w:t>
            </w:r>
          </w:p>
        </w:tc>
      </w:tr>
      <w:tr w:rsidR="00997240" w:rsidRPr="00D44B77" w14:paraId="7C97CAAD"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3C3DCB08"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lastRenderedPageBreak/>
              <w:t>T4</w:t>
            </w:r>
          </w:p>
        </w:tc>
        <w:tc>
          <w:tcPr>
            <w:tcW w:w="2264" w:type="dxa"/>
            <w:tcBorders>
              <w:top w:val="single" w:sz="4" w:space="0" w:color="000000"/>
              <w:left w:val="single" w:sz="4" w:space="0" w:color="000000"/>
              <w:bottom w:val="single" w:sz="4" w:space="0" w:color="000000"/>
              <w:right w:val="single" w:sz="4" w:space="0" w:color="000000"/>
            </w:tcBorders>
            <w:vAlign w:val="center"/>
          </w:tcPr>
          <w:p w14:paraId="29A2CA66" w14:textId="77777777" w:rsidR="00997240" w:rsidRPr="00D44B77" w:rsidRDefault="00F47551" w:rsidP="00A94C17">
            <w:pPr>
              <w:spacing w:after="0" w:line="240" w:lineRule="auto"/>
              <w:jc w:val="both"/>
              <w:rPr>
                <w:rFonts w:ascii="Times New Roman" w:hAnsi="Times New Roman" w:cs="Times New Roman"/>
                <w:sz w:val="24"/>
                <w:szCs w:val="24"/>
              </w:rPr>
            </w:pPr>
            <w:proofErr w:type="spellStart"/>
            <w:r w:rsidRPr="00D44B77">
              <w:rPr>
                <w:rFonts w:ascii="Times New Roman" w:hAnsi="Times New Roman" w:cs="Times New Roman"/>
                <w:sz w:val="24"/>
                <w:szCs w:val="24"/>
              </w:rPr>
              <w:t>Flubendiamide</w:t>
            </w:r>
            <w:proofErr w:type="spellEnd"/>
            <w:r w:rsidRPr="00D44B77">
              <w:rPr>
                <w:rFonts w:ascii="Times New Roman" w:hAnsi="Times New Roman" w:cs="Times New Roman"/>
                <w:sz w:val="24"/>
                <w:szCs w:val="24"/>
              </w:rPr>
              <w:t xml:space="preserve"> 480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653B7262"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56.37</w:t>
            </w:r>
          </w:p>
        </w:tc>
        <w:tc>
          <w:tcPr>
            <w:tcW w:w="2264" w:type="dxa"/>
            <w:tcBorders>
              <w:top w:val="single" w:sz="4" w:space="0" w:color="000000"/>
              <w:left w:val="single" w:sz="4" w:space="0" w:color="000000"/>
              <w:bottom w:val="single" w:sz="4" w:space="0" w:color="000000"/>
              <w:right w:val="single" w:sz="4" w:space="0" w:color="000000"/>
            </w:tcBorders>
            <w:vAlign w:val="center"/>
          </w:tcPr>
          <w:p w14:paraId="34A016CF"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0.08</w:t>
            </w:r>
          </w:p>
        </w:tc>
      </w:tr>
      <w:tr w:rsidR="00997240" w:rsidRPr="00D44B77" w14:paraId="3C813763"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664759FD"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T5</w:t>
            </w:r>
          </w:p>
        </w:tc>
        <w:tc>
          <w:tcPr>
            <w:tcW w:w="2264" w:type="dxa"/>
            <w:tcBorders>
              <w:top w:val="single" w:sz="4" w:space="0" w:color="000000"/>
              <w:left w:val="single" w:sz="4" w:space="0" w:color="000000"/>
              <w:bottom w:val="single" w:sz="4" w:space="0" w:color="000000"/>
              <w:right w:val="single" w:sz="4" w:space="0" w:color="000000"/>
            </w:tcBorders>
            <w:vAlign w:val="center"/>
          </w:tcPr>
          <w:p w14:paraId="5A542496"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Spinosad 45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690C7AFC"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5.32</w:t>
            </w:r>
          </w:p>
        </w:tc>
        <w:tc>
          <w:tcPr>
            <w:tcW w:w="2264" w:type="dxa"/>
            <w:tcBorders>
              <w:top w:val="single" w:sz="4" w:space="0" w:color="000000"/>
              <w:left w:val="single" w:sz="4" w:space="0" w:color="000000"/>
              <w:bottom w:val="single" w:sz="4" w:space="0" w:color="000000"/>
              <w:right w:val="single" w:sz="4" w:space="0" w:color="000000"/>
            </w:tcBorders>
            <w:vAlign w:val="center"/>
          </w:tcPr>
          <w:p w14:paraId="1ED7165A" w14:textId="77777777" w:rsidR="00997240" w:rsidRPr="00D44B77" w:rsidRDefault="00F47551" w:rsidP="00A94C17">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0.20</w:t>
            </w:r>
          </w:p>
        </w:tc>
      </w:tr>
    </w:tbl>
    <w:p w14:paraId="4436AFC0" w14:textId="77777777" w:rsidR="00997240" w:rsidRPr="00D44B77" w:rsidRDefault="00997240" w:rsidP="00A94C17">
      <w:pPr>
        <w:jc w:val="both"/>
        <w:rPr>
          <w:rFonts w:ascii="Times New Roman" w:hAnsi="Times New Roman" w:cs="Times New Roman"/>
          <w:b/>
          <w:bCs/>
          <w:sz w:val="24"/>
          <w:szCs w:val="24"/>
        </w:rPr>
      </w:pPr>
    </w:p>
    <w:p w14:paraId="010129FA" w14:textId="77777777" w:rsidR="00D44B77" w:rsidRPr="00D44B77" w:rsidRDefault="00D44B77" w:rsidP="00A94C17">
      <w:pPr>
        <w:suppressAutoHyphens w:val="0"/>
        <w:spacing w:after="0" w:line="240" w:lineRule="auto"/>
        <w:jc w:val="both"/>
        <w:rPr>
          <w:rFonts w:ascii="Times New Roman" w:hAnsi="Times New Roman" w:cs="Times New Roman"/>
          <w:b/>
          <w:kern w:val="0"/>
          <w:szCs w:val="22"/>
          <w:lang w:val="en-US" w:eastAsia="en-US" w:bidi="ar-SA"/>
        </w:rPr>
      </w:pPr>
      <w:r w:rsidRPr="00D44B77">
        <w:rPr>
          <w:rFonts w:ascii="Times New Roman" w:hAnsi="Times New Roman" w:cs="Times New Roman"/>
          <w:b/>
          <w:kern w:val="0"/>
          <w:szCs w:val="22"/>
          <w:lang w:val="en-US" w:eastAsia="en-US" w:bidi="ar-SA"/>
        </w:rPr>
        <w:t>Declaration of AI Use</w:t>
      </w:r>
    </w:p>
    <w:p w14:paraId="24B40B67" w14:textId="77777777" w:rsidR="00D44B77" w:rsidRPr="00D44B77" w:rsidRDefault="00D44B77" w:rsidP="00A94C17">
      <w:pPr>
        <w:suppressAutoHyphens w:val="0"/>
        <w:spacing w:after="0" w:line="240" w:lineRule="auto"/>
        <w:jc w:val="both"/>
        <w:rPr>
          <w:rFonts w:ascii="Times New Roman" w:hAnsi="Times New Roman" w:cs="Times New Roman"/>
          <w:kern w:val="0"/>
          <w:szCs w:val="22"/>
          <w:lang w:val="en-US" w:eastAsia="en-US" w:bidi="ar-SA"/>
        </w:rPr>
      </w:pPr>
    </w:p>
    <w:p w14:paraId="2A262F02" w14:textId="77777777" w:rsidR="00D44B77" w:rsidRPr="00D44B77" w:rsidRDefault="00D44B77" w:rsidP="00A94C17">
      <w:pPr>
        <w:suppressAutoHyphens w:val="0"/>
        <w:spacing w:after="0" w:line="240" w:lineRule="auto"/>
        <w:jc w:val="both"/>
        <w:rPr>
          <w:rFonts w:ascii="Times New Roman" w:hAnsi="Times New Roman" w:cs="Times New Roman"/>
          <w:kern w:val="0"/>
          <w:szCs w:val="22"/>
          <w:lang w:val="en-US" w:eastAsia="en-US" w:bidi="ar-SA"/>
        </w:rPr>
      </w:pPr>
      <w:r w:rsidRPr="00D44B77">
        <w:rPr>
          <w:rFonts w:ascii="Times New Roman" w:hAnsi="Times New Roman" w:cs="Times New Roman"/>
          <w:kern w:val="0"/>
          <w:szCs w:val="22"/>
          <w:lang w:val="en-US" w:eastAsia="en-US"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5E634BC" w14:textId="77777777" w:rsidR="00D44B77" w:rsidRDefault="00D44B77" w:rsidP="00A94C17">
      <w:pPr>
        <w:keepNext/>
        <w:spacing w:after="0" w:line="240" w:lineRule="auto"/>
        <w:ind w:left="360"/>
        <w:jc w:val="both"/>
        <w:rPr>
          <w:rFonts w:ascii="Times New Roman" w:hAnsi="Times New Roman" w:cs="Times New Roman"/>
          <w:b/>
          <w:bCs/>
          <w:color w:val="000000"/>
          <w:sz w:val="24"/>
          <w:szCs w:val="24"/>
        </w:rPr>
      </w:pPr>
    </w:p>
    <w:p w14:paraId="098DD1DE" w14:textId="77777777" w:rsidR="00D032BC" w:rsidRDefault="00D032BC" w:rsidP="00A94C17">
      <w:pPr>
        <w:suppressAutoHyphens w:val="0"/>
        <w:spacing w:after="200" w:line="276" w:lineRule="auto"/>
        <w:jc w:val="both"/>
        <w:rPr>
          <w:rFonts w:ascii="Arial" w:eastAsia="Times New Roman" w:hAnsi="Arial" w:cs="Arial"/>
          <w:b/>
          <w:bCs/>
          <w:kern w:val="0"/>
          <w:szCs w:val="22"/>
          <w:lang w:val="en-GB" w:eastAsia="en-GB" w:bidi="ar-SA"/>
        </w:rPr>
      </w:pPr>
    </w:p>
    <w:p w14:paraId="20B8D577" w14:textId="77777777" w:rsidR="00D44B77" w:rsidRPr="00D44B77" w:rsidRDefault="00D44B77" w:rsidP="00A94C17">
      <w:pPr>
        <w:suppressAutoHyphens w:val="0"/>
        <w:spacing w:after="200" w:line="276" w:lineRule="auto"/>
        <w:jc w:val="both"/>
        <w:rPr>
          <w:rFonts w:ascii="Arial" w:eastAsia="Times New Roman" w:hAnsi="Arial" w:cs="Arial"/>
          <w:b/>
          <w:bCs/>
          <w:kern w:val="0"/>
          <w:szCs w:val="22"/>
          <w:lang w:val="en-GB" w:eastAsia="en-GB" w:bidi="ar-SA"/>
        </w:rPr>
      </w:pPr>
      <w:r w:rsidRPr="00D44B77">
        <w:rPr>
          <w:rFonts w:ascii="Arial" w:eastAsia="Times New Roman" w:hAnsi="Arial" w:cs="Arial"/>
          <w:b/>
          <w:bCs/>
          <w:kern w:val="0"/>
          <w:szCs w:val="22"/>
          <w:lang w:val="en-GB" w:eastAsia="en-GB" w:bidi="ar-SA"/>
        </w:rPr>
        <w:t>COMPETING INTERESTS DISCLAIMER:</w:t>
      </w:r>
    </w:p>
    <w:p w14:paraId="6DE20953" w14:textId="77777777" w:rsidR="00D44B77" w:rsidRPr="00D44B77" w:rsidRDefault="00D44B77" w:rsidP="00A94C17">
      <w:pPr>
        <w:suppressAutoHyphens w:val="0"/>
        <w:spacing w:after="200" w:line="276" w:lineRule="auto"/>
        <w:jc w:val="both"/>
        <w:rPr>
          <w:rFonts w:eastAsia="Times New Roman" w:cs="Times New Roman"/>
          <w:kern w:val="0"/>
          <w:szCs w:val="22"/>
          <w:lang w:val="en-GB" w:eastAsia="en-GB" w:bidi="ar-SA"/>
        </w:rPr>
      </w:pPr>
      <w:r w:rsidRPr="00D44B77">
        <w:rPr>
          <w:rFonts w:ascii="Arial" w:eastAsia="Times New Roman" w:hAnsi="Arial" w:cs="Arial"/>
          <w:kern w:val="0"/>
          <w:szCs w:val="22"/>
          <w:lang w:val="en-GB" w:eastAsia="en-GB" w:bidi="ar-SA"/>
        </w:rPr>
        <w:t>Authors have declared that they have no known competing financial interests OR non-financial interests OR personal relationships that could have appeared to influence the work reported in this paper.</w:t>
      </w:r>
    </w:p>
    <w:p w14:paraId="138C9FDA" w14:textId="77777777" w:rsidR="00D44B77" w:rsidRDefault="00D44B77" w:rsidP="00A94C17">
      <w:pPr>
        <w:keepNext/>
        <w:spacing w:after="0" w:line="240" w:lineRule="auto"/>
        <w:ind w:left="360"/>
        <w:jc w:val="both"/>
        <w:rPr>
          <w:rFonts w:ascii="Times New Roman" w:hAnsi="Times New Roman" w:cs="Times New Roman"/>
          <w:b/>
          <w:bCs/>
          <w:color w:val="000000"/>
          <w:sz w:val="24"/>
          <w:szCs w:val="24"/>
        </w:rPr>
      </w:pPr>
    </w:p>
    <w:p w14:paraId="14DD3ADA" w14:textId="77777777" w:rsidR="00D44B77" w:rsidRDefault="00D44B77" w:rsidP="00A94C17">
      <w:pPr>
        <w:keepNext/>
        <w:spacing w:after="0" w:line="240" w:lineRule="auto"/>
        <w:ind w:left="360"/>
        <w:jc w:val="both"/>
        <w:rPr>
          <w:rFonts w:ascii="Times New Roman" w:hAnsi="Times New Roman" w:cs="Times New Roman"/>
          <w:b/>
          <w:bCs/>
          <w:color w:val="000000"/>
          <w:sz w:val="24"/>
          <w:szCs w:val="24"/>
        </w:rPr>
      </w:pPr>
    </w:p>
    <w:p w14:paraId="062769B5" w14:textId="77777777" w:rsidR="00997240" w:rsidRDefault="00F47551" w:rsidP="00A94C17">
      <w:pPr>
        <w:keepNext/>
        <w:spacing w:after="0" w:line="240" w:lineRule="auto"/>
        <w:jc w:val="both"/>
        <w:rPr>
          <w:rFonts w:ascii="Times New Roman" w:hAnsi="Times New Roman" w:cs="Times New Roman"/>
          <w:b/>
          <w:bCs/>
          <w:color w:val="000000"/>
          <w:sz w:val="24"/>
          <w:szCs w:val="24"/>
        </w:rPr>
      </w:pPr>
      <w:r w:rsidRPr="00D44B77">
        <w:rPr>
          <w:rFonts w:ascii="Times New Roman" w:hAnsi="Times New Roman" w:cs="Times New Roman"/>
          <w:b/>
          <w:bCs/>
          <w:color w:val="000000"/>
          <w:sz w:val="24"/>
          <w:szCs w:val="24"/>
        </w:rPr>
        <w:t>References</w:t>
      </w:r>
    </w:p>
    <w:p w14:paraId="64E5443E" w14:textId="77777777" w:rsidR="00A94C17" w:rsidRPr="00D44B77" w:rsidRDefault="00A94C17" w:rsidP="00A94C17">
      <w:pPr>
        <w:keepNext/>
        <w:spacing w:after="0" w:line="240" w:lineRule="auto"/>
        <w:jc w:val="both"/>
        <w:rPr>
          <w:rFonts w:ascii="Times New Roman" w:hAnsi="Times New Roman" w:cs="Times New Roman"/>
          <w:b/>
          <w:bCs/>
          <w:color w:val="000000"/>
          <w:sz w:val="24"/>
          <w:szCs w:val="24"/>
        </w:rPr>
      </w:pPr>
    </w:p>
    <w:p w14:paraId="03EF0822"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Abbott, W. S. (1925). A method of computing the effectiveness of an insecticide. </w:t>
      </w:r>
      <w:r w:rsidRPr="00E63A6C">
        <w:rPr>
          <w:rFonts w:ascii="Times New Roman" w:eastAsia="Times New Roman" w:hAnsi="Times New Roman" w:cs="Times New Roman"/>
          <w:i/>
          <w:iCs/>
          <w:kern w:val="0"/>
          <w:sz w:val="24"/>
          <w:szCs w:val="24"/>
          <w:lang w:val="en-US" w:eastAsia="en-US" w:bidi="ar-SA"/>
        </w:rPr>
        <w:t>Journal of Economic Entomology, 18</w:t>
      </w:r>
      <w:r w:rsidRPr="00E63A6C">
        <w:rPr>
          <w:rFonts w:ascii="Times New Roman" w:eastAsia="Times New Roman" w:hAnsi="Times New Roman" w:cs="Times New Roman"/>
          <w:kern w:val="0"/>
          <w:sz w:val="24"/>
          <w:szCs w:val="24"/>
          <w:lang w:val="en-US" w:eastAsia="en-US" w:bidi="ar-SA"/>
        </w:rPr>
        <w:t xml:space="preserve">(2), 265–267. </w:t>
      </w:r>
      <w:hyperlink r:id="rId7" w:history="1">
        <w:r w:rsidRPr="00E63A6C">
          <w:rPr>
            <w:rFonts w:ascii="Times New Roman" w:eastAsia="Times New Roman" w:hAnsi="Times New Roman" w:cs="Times New Roman"/>
            <w:color w:val="0000FF"/>
            <w:kern w:val="0"/>
            <w:sz w:val="24"/>
            <w:szCs w:val="24"/>
            <w:u w:val="single"/>
            <w:lang w:val="en-US" w:eastAsia="en-US" w:bidi="ar-SA"/>
          </w:rPr>
          <w:t>https://doi.org/10.1093/jee/18.2.265a</w:t>
        </w:r>
      </w:hyperlink>
    </w:p>
    <w:p w14:paraId="0417B914"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proofErr w:type="spellStart"/>
      <w:r w:rsidRPr="00E63A6C">
        <w:rPr>
          <w:rFonts w:ascii="Times New Roman" w:eastAsia="Times New Roman" w:hAnsi="Times New Roman" w:cs="Times New Roman"/>
          <w:kern w:val="0"/>
          <w:sz w:val="24"/>
          <w:szCs w:val="24"/>
          <w:lang w:val="en-US" w:eastAsia="en-US" w:bidi="ar-SA"/>
        </w:rPr>
        <w:t>Indiastat</w:t>
      </w:r>
      <w:proofErr w:type="spellEnd"/>
      <w:r w:rsidRPr="00E63A6C">
        <w:rPr>
          <w:rFonts w:ascii="Times New Roman" w:eastAsia="Times New Roman" w:hAnsi="Times New Roman" w:cs="Times New Roman"/>
          <w:kern w:val="0"/>
          <w:sz w:val="24"/>
          <w:szCs w:val="24"/>
          <w:lang w:val="en-US" w:eastAsia="en-US" w:bidi="ar-SA"/>
        </w:rPr>
        <w:t xml:space="preserve">. (n.d.). </w:t>
      </w:r>
      <w:r w:rsidRPr="00E63A6C">
        <w:rPr>
          <w:rFonts w:ascii="Times New Roman" w:eastAsia="Times New Roman" w:hAnsi="Times New Roman" w:cs="Times New Roman"/>
          <w:i/>
          <w:iCs/>
          <w:kern w:val="0"/>
          <w:sz w:val="24"/>
          <w:szCs w:val="24"/>
          <w:lang w:val="en-US" w:eastAsia="en-US" w:bidi="ar-SA"/>
        </w:rPr>
        <w:t>Maize statistical data information about production and productivity in India</w:t>
      </w:r>
      <w:r w:rsidRPr="00E63A6C">
        <w:rPr>
          <w:rFonts w:ascii="Times New Roman" w:eastAsia="Times New Roman" w:hAnsi="Times New Roman" w:cs="Times New Roman"/>
          <w:kern w:val="0"/>
          <w:sz w:val="24"/>
          <w:szCs w:val="24"/>
          <w:lang w:val="en-US" w:eastAsia="en-US" w:bidi="ar-SA"/>
        </w:rPr>
        <w:t xml:space="preserve">. Retrieved July 25, 2026, from </w:t>
      </w:r>
      <w:hyperlink r:id="rId8" w:history="1">
        <w:r w:rsidRPr="00E63A6C">
          <w:rPr>
            <w:rFonts w:ascii="Times New Roman" w:eastAsia="Times New Roman" w:hAnsi="Times New Roman" w:cs="Times New Roman"/>
            <w:color w:val="0000FF"/>
            <w:kern w:val="0"/>
            <w:sz w:val="24"/>
            <w:szCs w:val="24"/>
            <w:u w:val="single"/>
            <w:lang w:val="en-US" w:eastAsia="en-US" w:bidi="ar-SA"/>
          </w:rPr>
          <w:t>https://www.indiastat.com/data/agriculture/maize/data-year/all-years</w:t>
        </w:r>
      </w:hyperlink>
    </w:p>
    <w:p w14:paraId="7DBB4CEE"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nl-BE" w:eastAsia="en-US" w:bidi="ar-SA"/>
        </w:rPr>
        <w:t xml:space="preserve">Beuzelin, J. M., Larsen, D. J., Roldán, E. L., &amp; Resende, E. S. (2022). </w:t>
      </w:r>
      <w:r w:rsidRPr="00E63A6C">
        <w:rPr>
          <w:rFonts w:ascii="Times New Roman" w:eastAsia="Times New Roman" w:hAnsi="Times New Roman" w:cs="Times New Roman"/>
          <w:kern w:val="0"/>
          <w:sz w:val="24"/>
          <w:szCs w:val="24"/>
          <w:lang w:val="en-US" w:eastAsia="en-US" w:bidi="ar-SA"/>
        </w:rPr>
        <w:t xml:space="preserve">Susceptibility to chlorantraniliprole in fall armyworm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populations infesting sweet corn in southern Florida. </w:t>
      </w:r>
      <w:r w:rsidRPr="00E63A6C">
        <w:rPr>
          <w:rFonts w:ascii="Times New Roman" w:eastAsia="Times New Roman" w:hAnsi="Times New Roman" w:cs="Times New Roman"/>
          <w:i/>
          <w:iCs/>
          <w:kern w:val="0"/>
          <w:sz w:val="24"/>
          <w:szCs w:val="24"/>
          <w:lang w:val="en-US" w:eastAsia="en-US" w:bidi="ar-SA"/>
        </w:rPr>
        <w:t>Journal of Economic Entomology, 115</w:t>
      </w:r>
      <w:r w:rsidRPr="00E63A6C">
        <w:rPr>
          <w:rFonts w:ascii="Times New Roman" w:eastAsia="Times New Roman" w:hAnsi="Times New Roman" w:cs="Times New Roman"/>
          <w:kern w:val="0"/>
          <w:sz w:val="24"/>
          <w:szCs w:val="24"/>
          <w:lang w:val="en-US" w:eastAsia="en-US" w:bidi="ar-SA"/>
        </w:rPr>
        <w:t xml:space="preserve">(1), 224–232. </w:t>
      </w:r>
      <w:hyperlink r:id="rId9" w:history="1">
        <w:r w:rsidRPr="00E63A6C">
          <w:rPr>
            <w:rFonts w:ascii="Times New Roman" w:eastAsia="Times New Roman" w:hAnsi="Times New Roman" w:cs="Times New Roman"/>
            <w:color w:val="0000FF"/>
            <w:kern w:val="0"/>
            <w:sz w:val="24"/>
            <w:szCs w:val="24"/>
            <w:u w:val="single"/>
            <w:lang w:val="en-US" w:eastAsia="en-US" w:bidi="ar-SA"/>
          </w:rPr>
          <w:t>https://doi.org/10.1093/jee/toab253</w:t>
        </w:r>
      </w:hyperlink>
    </w:p>
    <w:p w14:paraId="15834E9C"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Bird, L. J., Miles, M. M., Quade, A., &amp; Spafford, H. (2022). Insecticide resistance in Australian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and development of testing procedures for resistance surveillance. </w:t>
      </w:r>
      <w:r w:rsidRPr="00E63A6C">
        <w:rPr>
          <w:rFonts w:ascii="Times New Roman" w:eastAsia="Times New Roman" w:hAnsi="Times New Roman" w:cs="Times New Roman"/>
          <w:i/>
          <w:iCs/>
          <w:kern w:val="0"/>
          <w:sz w:val="24"/>
          <w:szCs w:val="24"/>
          <w:lang w:val="en-US" w:eastAsia="en-US" w:bidi="ar-SA"/>
        </w:rPr>
        <w:t>PLOS ONE, 17</w:t>
      </w:r>
      <w:r w:rsidRPr="00E63A6C">
        <w:rPr>
          <w:rFonts w:ascii="Times New Roman" w:eastAsia="Times New Roman" w:hAnsi="Times New Roman" w:cs="Times New Roman"/>
          <w:kern w:val="0"/>
          <w:sz w:val="24"/>
          <w:szCs w:val="24"/>
          <w:lang w:val="en-US" w:eastAsia="en-US" w:bidi="ar-SA"/>
        </w:rPr>
        <w:t xml:space="preserve">(2), e0263677. </w:t>
      </w:r>
      <w:hyperlink r:id="rId10" w:history="1">
        <w:r w:rsidRPr="00E63A6C">
          <w:rPr>
            <w:rFonts w:ascii="Times New Roman" w:eastAsia="Times New Roman" w:hAnsi="Times New Roman" w:cs="Times New Roman"/>
            <w:color w:val="0000FF"/>
            <w:kern w:val="0"/>
            <w:sz w:val="24"/>
            <w:szCs w:val="24"/>
            <w:u w:val="single"/>
            <w:lang w:val="en-US" w:eastAsia="en-US" w:bidi="ar-SA"/>
          </w:rPr>
          <w:t>https://doi.org/10.1371/journal.pone.0263677</w:t>
        </w:r>
      </w:hyperlink>
    </w:p>
    <w:p w14:paraId="696B82B9"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Bolzan, A., </w:t>
      </w:r>
      <w:proofErr w:type="spellStart"/>
      <w:r w:rsidRPr="00E63A6C">
        <w:rPr>
          <w:rFonts w:ascii="Times New Roman" w:eastAsia="Times New Roman" w:hAnsi="Times New Roman" w:cs="Times New Roman"/>
          <w:kern w:val="0"/>
          <w:sz w:val="24"/>
          <w:szCs w:val="24"/>
          <w:lang w:val="en-US" w:eastAsia="en-US" w:bidi="ar-SA"/>
        </w:rPr>
        <w:t>Padovez</w:t>
      </w:r>
      <w:proofErr w:type="spellEnd"/>
      <w:r w:rsidRPr="00E63A6C">
        <w:rPr>
          <w:rFonts w:ascii="Times New Roman" w:eastAsia="Times New Roman" w:hAnsi="Times New Roman" w:cs="Times New Roman"/>
          <w:kern w:val="0"/>
          <w:sz w:val="24"/>
          <w:szCs w:val="24"/>
          <w:lang w:val="en-US" w:eastAsia="en-US" w:bidi="ar-SA"/>
        </w:rPr>
        <w:t xml:space="preserve">, F. E. O., Nascimento, A. R. B., Kaiser, I. S., Lira, E. C., Amaral, F. S. A., Kanno, R. H., Malaquias, J. B., &amp; Omoto, C. (2019). Selection and characterization of the inheritance of resistance of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to chlorantraniliprole and cross-resistance to other diamide insecticides. </w:t>
      </w:r>
      <w:r w:rsidRPr="00E63A6C">
        <w:rPr>
          <w:rFonts w:ascii="Times New Roman" w:eastAsia="Times New Roman" w:hAnsi="Times New Roman" w:cs="Times New Roman"/>
          <w:i/>
          <w:iCs/>
          <w:kern w:val="0"/>
          <w:sz w:val="24"/>
          <w:szCs w:val="24"/>
          <w:lang w:val="en-US" w:eastAsia="en-US" w:bidi="ar-SA"/>
        </w:rPr>
        <w:t>Pest Management Science, 75</w:t>
      </w:r>
      <w:r w:rsidRPr="00E63A6C">
        <w:rPr>
          <w:rFonts w:ascii="Times New Roman" w:eastAsia="Times New Roman" w:hAnsi="Times New Roman" w:cs="Times New Roman"/>
          <w:kern w:val="0"/>
          <w:sz w:val="24"/>
          <w:szCs w:val="24"/>
          <w:lang w:val="en-US" w:eastAsia="en-US" w:bidi="ar-SA"/>
        </w:rPr>
        <w:t xml:space="preserve">(10), 2682–2689. </w:t>
      </w:r>
      <w:hyperlink r:id="rId11" w:history="1">
        <w:r w:rsidRPr="00E63A6C">
          <w:rPr>
            <w:rFonts w:ascii="Times New Roman" w:eastAsia="Times New Roman" w:hAnsi="Times New Roman" w:cs="Times New Roman"/>
            <w:color w:val="0000FF"/>
            <w:kern w:val="0"/>
            <w:sz w:val="24"/>
            <w:szCs w:val="24"/>
            <w:u w:val="single"/>
            <w:lang w:val="en-US" w:eastAsia="en-US" w:bidi="ar-SA"/>
          </w:rPr>
          <w:t>https://doi.org/10.1002/ps.5376</w:t>
        </w:r>
      </w:hyperlink>
    </w:p>
    <w:p w14:paraId="5C82DB0E"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lastRenderedPageBreak/>
        <w:t xml:space="preserve">Carvalho, R. A., Omoto, C., Field, L. M., Williamson, M. S., &amp; Bass, C. (2013). Investigating the molecular mechanisms of organophosphate and pyrethroid resistance in the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w:t>
      </w:r>
      <w:r w:rsidRPr="00E63A6C">
        <w:rPr>
          <w:rFonts w:ascii="Times New Roman" w:eastAsia="Times New Roman" w:hAnsi="Times New Roman" w:cs="Times New Roman"/>
          <w:i/>
          <w:iCs/>
          <w:kern w:val="0"/>
          <w:sz w:val="24"/>
          <w:szCs w:val="24"/>
          <w:lang w:val="en-US" w:eastAsia="en-US" w:bidi="ar-SA"/>
        </w:rPr>
        <w:t>PLOS ONE, 8</w:t>
      </w:r>
      <w:r w:rsidRPr="00E63A6C">
        <w:rPr>
          <w:rFonts w:ascii="Times New Roman" w:eastAsia="Times New Roman" w:hAnsi="Times New Roman" w:cs="Times New Roman"/>
          <w:kern w:val="0"/>
          <w:sz w:val="24"/>
          <w:szCs w:val="24"/>
          <w:lang w:val="en-US" w:eastAsia="en-US" w:bidi="ar-SA"/>
        </w:rPr>
        <w:t xml:space="preserve">(4), e62268. </w:t>
      </w:r>
      <w:hyperlink r:id="rId12" w:history="1">
        <w:r w:rsidRPr="00E63A6C">
          <w:rPr>
            <w:rFonts w:ascii="Times New Roman" w:eastAsia="Times New Roman" w:hAnsi="Times New Roman" w:cs="Times New Roman"/>
            <w:color w:val="0000FF"/>
            <w:kern w:val="0"/>
            <w:sz w:val="24"/>
            <w:szCs w:val="24"/>
            <w:u w:val="single"/>
            <w:lang w:val="en-US" w:eastAsia="en-US" w:bidi="ar-SA"/>
          </w:rPr>
          <w:t>https://doi.org/10.1371/journal.pone.0062268</w:t>
        </w:r>
      </w:hyperlink>
    </w:p>
    <w:p w14:paraId="231A9ED9"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Deshmukh, S., Pavithra, H. B., </w:t>
      </w:r>
      <w:proofErr w:type="spellStart"/>
      <w:r w:rsidRPr="00E63A6C">
        <w:rPr>
          <w:rFonts w:ascii="Times New Roman" w:eastAsia="Times New Roman" w:hAnsi="Times New Roman" w:cs="Times New Roman"/>
          <w:kern w:val="0"/>
          <w:sz w:val="24"/>
          <w:szCs w:val="24"/>
          <w:lang w:val="en-US" w:eastAsia="en-US" w:bidi="ar-SA"/>
        </w:rPr>
        <w:t>Kalleshwaraswamy</w:t>
      </w:r>
      <w:proofErr w:type="spellEnd"/>
      <w:r w:rsidRPr="00E63A6C">
        <w:rPr>
          <w:rFonts w:ascii="Times New Roman" w:eastAsia="Times New Roman" w:hAnsi="Times New Roman" w:cs="Times New Roman"/>
          <w:kern w:val="0"/>
          <w:sz w:val="24"/>
          <w:szCs w:val="24"/>
          <w:lang w:val="en-US" w:eastAsia="en-US" w:bidi="ar-SA"/>
        </w:rPr>
        <w:t xml:space="preserve">, C. M., </w:t>
      </w:r>
      <w:proofErr w:type="spellStart"/>
      <w:r w:rsidRPr="00E63A6C">
        <w:rPr>
          <w:rFonts w:ascii="Times New Roman" w:eastAsia="Times New Roman" w:hAnsi="Times New Roman" w:cs="Times New Roman"/>
          <w:kern w:val="0"/>
          <w:sz w:val="24"/>
          <w:szCs w:val="24"/>
          <w:lang w:val="en-US" w:eastAsia="en-US" w:bidi="ar-SA"/>
        </w:rPr>
        <w:t>Shivanna</w:t>
      </w:r>
      <w:proofErr w:type="spellEnd"/>
      <w:r w:rsidRPr="00E63A6C">
        <w:rPr>
          <w:rFonts w:ascii="Times New Roman" w:eastAsia="Times New Roman" w:hAnsi="Times New Roman" w:cs="Times New Roman"/>
          <w:kern w:val="0"/>
          <w:sz w:val="24"/>
          <w:szCs w:val="24"/>
          <w:lang w:val="en-US" w:eastAsia="en-US" w:bidi="ar-SA"/>
        </w:rPr>
        <w:t xml:space="preserve">, B. K., Maruthi, M. S., &amp; Mota-Sanchez, D. (2020). Field efficacy of insecticides for management of invasive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on maize in India. </w:t>
      </w:r>
      <w:r w:rsidRPr="00E63A6C">
        <w:rPr>
          <w:rFonts w:ascii="Times New Roman" w:eastAsia="Times New Roman" w:hAnsi="Times New Roman" w:cs="Times New Roman"/>
          <w:i/>
          <w:iCs/>
          <w:kern w:val="0"/>
          <w:sz w:val="24"/>
          <w:szCs w:val="24"/>
          <w:lang w:val="en-US" w:eastAsia="en-US" w:bidi="ar-SA"/>
        </w:rPr>
        <w:t>Florida Entomologist, 103</w:t>
      </w:r>
      <w:r w:rsidRPr="00E63A6C">
        <w:rPr>
          <w:rFonts w:ascii="Times New Roman" w:eastAsia="Times New Roman" w:hAnsi="Times New Roman" w:cs="Times New Roman"/>
          <w:kern w:val="0"/>
          <w:sz w:val="24"/>
          <w:szCs w:val="24"/>
          <w:lang w:val="en-US" w:eastAsia="en-US" w:bidi="ar-SA"/>
        </w:rPr>
        <w:t xml:space="preserve">(2), 221–227. </w:t>
      </w:r>
      <w:hyperlink r:id="rId13" w:history="1">
        <w:r w:rsidRPr="00E63A6C">
          <w:rPr>
            <w:rFonts w:ascii="Times New Roman" w:eastAsia="Times New Roman" w:hAnsi="Times New Roman" w:cs="Times New Roman"/>
            <w:color w:val="0000FF"/>
            <w:kern w:val="0"/>
            <w:sz w:val="24"/>
            <w:szCs w:val="24"/>
            <w:u w:val="single"/>
            <w:lang w:val="en-US" w:eastAsia="en-US" w:bidi="ar-SA"/>
          </w:rPr>
          <w:t>https://doi.org/10.1653/024.103.0211</w:t>
        </w:r>
      </w:hyperlink>
    </w:p>
    <w:p w14:paraId="4F4CC0D9"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Early, R., González-Moreno, P., Murphy, S. T., &amp; Day, R. (2018). Forecasting the global extent of invasion of the cereal pest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the fall armyworm. </w:t>
      </w:r>
      <w:proofErr w:type="spellStart"/>
      <w:r w:rsidRPr="00E63A6C">
        <w:rPr>
          <w:rFonts w:ascii="Times New Roman" w:eastAsia="Times New Roman" w:hAnsi="Times New Roman" w:cs="Times New Roman"/>
          <w:i/>
          <w:iCs/>
          <w:kern w:val="0"/>
          <w:sz w:val="24"/>
          <w:szCs w:val="24"/>
          <w:lang w:val="en-US" w:eastAsia="en-US" w:bidi="ar-SA"/>
        </w:rPr>
        <w:t>NeoBiota</w:t>
      </w:r>
      <w:proofErr w:type="spellEnd"/>
      <w:r w:rsidRPr="00E63A6C">
        <w:rPr>
          <w:rFonts w:ascii="Times New Roman" w:eastAsia="Times New Roman" w:hAnsi="Times New Roman" w:cs="Times New Roman"/>
          <w:i/>
          <w:iCs/>
          <w:kern w:val="0"/>
          <w:sz w:val="24"/>
          <w:szCs w:val="24"/>
          <w:lang w:val="en-US" w:eastAsia="en-US" w:bidi="ar-SA"/>
        </w:rPr>
        <w:t>, 40</w:t>
      </w:r>
      <w:r w:rsidRPr="00E63A6C">
        <w:rPr>
          <w:rFonts w:ascii="Times New Roman" w:eastAsia="Times New Roman" w:hAnsi="Times New Roman" w:cs="Times New Roman"/>
          <w:kern w:val="0"/>
          <w:sz w:val="24"/>
          <w:szCs w:val="24"/>
          <w:lang w:val="en-US" w:eastAsia="en-US" w:bidi="ar-SA"/>
        </w:rPr>
        <w:t xml:space="preserve">, 25–50. </w:t>
      </w:r>
      <w:hyperlink r:id="rId14" w:history="1">
        <w:r w:rsidRPr="00E63A6C">
          <w:rPr>
            <w:rFonts w:ascii="Times New Roman" w:eastAsia="Times New Roman" w:hAnsi="Times New Roman" w:cs="Times New Roman"/>
            <w:color w:val="0000FF"/>
            <w:kern w:val="0"/>
            <w:sz w:val="24"/>
            <w:szCs w:val="24"/>
            <w:u w:val="single"/>
            <w:lang w:val="en-US" w:eastAsia="en-US" w:bidi="ar-SA"/>
          </w:rPr>
          <w:t>https://doi.org/10.3897/neobiota.40.28165</w:t>
        </w:r>
      </w:hyperlink>
    </w:p>
    <w:p w14:paraId="4E8F32C0"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Goergen, G., Kumar, P. L., </w:t>
      </w:r>
      <w:proofErr w:type="spellStart"/>
      <w:r w:rsidRPr="00E63A6C">
        <w:rPr>
          <w:rFonts w:ascii="Times New Roman" w:eastAsia="Times New Roman" w:hAnsi="Times New Roman" w:cs="Times New Roman"/>
          <w:kern w:val="0"/>
          <w:sz w:val="24"/>
          <w:szCs w:val="24"/>
          <w:lang w:val="en-US" w:eastAsia="en-US" w:bidi="ar-SA"/>
        </w:rPr>
        <w:t>Sankung</w:t>
      </w:r>
      <w:proofErr w:type="spellEnd"/>
      <w:r w:rsidRPr="00E63A6C">
        <w:rPr>
          <w:rFonts w:ascii="Times New Roman" w:eastAsia="Times New Roman" w:hAnsi="Times New Roman" w:cs="Times New Roman"/>
          <w:kern w:val="0"/>
          <w:sz w:val="24"/>
          <w:szCs w:val="24"/>
          <w:lang w:val="en-US" w:eastAsia="en-US" w:bidi="ar-SA"/>
        </w:rPr>
        <w:t xml:space="preserve">, S. B., Togola, A., &amp; </w:t>
      </w:r>
      <w:proofErr w:type="spellStart"/>
      <w:r w:rsidRPr="00E63A6C">
        <w:rPr>
          <w:rFonts w:ascii="Times New Roman" w:eastAsia="Times New Roman" w:hAnsi="Times New Roman" w:cs="Times New Roman"/>
          <w:kern w:val="0"/>
          <w:sz w:val="24"/>
          <w:szCs w:val="24"/>
          <w:lang w:val="en-US" w:eastAsia="en-US" w:bidi="ar-SA"/>
        </w:rPr>
        <w:t>Tamò</w:t>
      </w:r>
      <w:proofErr w:type="spellEnd"/>
      <w:r w:rsidRPr="00E63A6C">
        <w:rPr>
          <w:rFonts w:ascii="Times New Roman" w:eastAsia="Times New Roman" w:hAnsi="Times New Roman" w:cs="Times New Roman"/>
          <w:kern w:val="0"/>
          <w:sz w:val="24"/>
          <w:szCs w:val="24"/>
          <w:lang w:val="en-US" w:eastAsia="en-US" w:bidi="ar-SA"/>
        </w:rPr>
        <w:t xml:space="preserve">, M. (2016). First report of outbreaks of the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a new alien invasive pest in West and Central Africa. </w:t>
      </w:r>
      <w:r w:rsidRPr="00E63A6C">
        <w:rPr>
          <w:rFonts w:ascii="Times New Roman" w:eastAsia="Times New Roman" w:hAnsi="Times New Roman" w:cs="Times New Roman"/>
          <w:i/>
          <w:iCs/>
          <w:kern w:val="0"/>
          <w:sz w:val="24"/>
          <w:szCs w:val="24"/>
          <w:lang w:val="en-US" w:eastAsia="en-US" w:bidi="ar-SA"/>
        </w:rPr>
        <w:t>PLOS ONE, 11</w:t>
      </w:r>
      <w:r w:rsidRPr="00E63A6C">
        <w:rPr>
          <w:rFonts w:ascii="Times New Roman" w:eastAsia="Times New Roman" w:hAnsi="Times New Roman" w:cs="Times New Roman"/>
          <w:kern w:val="0"/>
          <w:sz w:val="24"/>
          <w:szCs w:val="24"/>
          <w:lang w:val="en-US" w:eastAsia="en-US" w:bidi="ar-SA"/>
        </w:rPr>
        <w:t xml:space="preserve">(10), e0165632. </w:t>
      </w:r>
      <w:hyperlink r:id="rId15" w:history="1">
        <w:r w:rsidRPr="00E63A6C">
          <w:rPr>
            <w:rFonts w:ascii="Times New Roman" w:eastAsia="Times New Roman" w:hAnsi="Times New Roman" w:cs="Times New Roman"/>
            <w:color w:val="0000FF"/>
            <w:kern w:val="0"/>
            <w:sz w:val="24"/>
            <w:szCs w:val="24"/>
            <w:u w:val="single"/>
            <w:lang w:val="en-US" w:eastAsia="en-US" w:bidi="ar-SA"/>
          </w:rPr>
          <w:t>https://doi.org/10.1371/journal.pone.0165632</w:t>
        </w:r>
      </w:hyperlink>
    </w:p>
    <w:p w14:paraId="669ADB7F"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Gowtham, V., Muthuswami, M., Sathiah, N., Geetha, S., </w:t>
      </w:r>
      <w:proofErr w:type="spellStart"/>
      <w:r w:rsidRPr="00E63A6C">
        <w:rPr>
          <w:rFonts w:ascii="Times New Roman" w:eastAsia="Times New Roman" w:hAnsi="Times New Roman" w:cs="Times New Roman"/>
          <w:kern w:val="0"/>
          <w:sz w:val="24"/>
          <w:szCs w:val="24"/>
          <w:lang w:val="en-US" w:eastAsia="en-US" w:bidi="ar-SA"/>
        </w:rPr>
        <w:t>Varanavasiappan</w:t>
      </w:r>
      <w:proofErr w:type="spellEnd"/>
      <w:r w:rsidRPr="00E63A6C">
        <w:rPr>
          <w:rFonts w:ascii="Times New Roman" w:eastAsia="Times New Roman" w:hAnsi="Times New Roman" w:cs="Times New Roman"/>
          <w:kern w:val="0"/>
          <w:sz w:val="24"/>
          <w:szCs w:val="24"/>
          <w:lang w:val="en-US" w:eastAsia="en-US" w:bidi="ar-SA"/>
        </w:rPr>
        <w:t xml:space="preserve">, S., &amp; Uma, D. (2022). Assessing the single and combined toxicity of chlorantraniliprole with </w:t>
      </w:r>
      <w:r w:rsidRPr="00E63A6C">
        <w:rPr>
          <w:rFonts w:ascii="Times New Roman" w:eastAsia="Times New Roman" w:hAnsi="Times New Roman" w:cs="Times New Roman"/>
          <w:i/>
          <w:iCs/>
          <w:kern w:val="0"/>
          <w:sz w:val="24"/>
          <w:szCs w:val="24"/>
          <w:lang w:val="en-US" w:eastAsia="en-US" w:bidi="ar-SA"/>
        </w:rPr>
        <w:t>Bacillus thuringiensis</w:t>
      </w:r>
      <w:r w:rsidRPr="00E63A6C">
        <w:rPr>
          <w:rFonts w:ascii="Times New Roman" w:eastAsia="Times New Roman" w:hAnsi="Times New Roman" w:cs="Times New Roman"/>
          <w:kern w:val="0"/>
          <w:sz w:val="24"/>
          <w:szCs w:val="24"/>
          <w:lang w:val="en-US" w:eastAsia="en-US" w:bidi="ar-SA"/>
        </w:rPr>
        <w:t xml:space="preserve"> against maize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under laboratory conditions. </w:t>
      </w:r>
      <w:r w:rsidRPr="00E63A6C">
        <w:rPr>
          <w:rFonts w:ascii="Times New Roman" w:eastAsia="Times New Roman" w:hAnsi="Times New Roman" w:cs="Times New Roman"/>
          <w:i/>
          <w:iCs/>
          <w:kern w:val="0"/>
          <w:sz w:val="24"/>
          <w:szCs w:val="24"/>
          <w:lang w:val="en-US" w:eastAsia="en-US" w:bidi="ar-SA"/>
        </w:rPr>
        <w:t>International Journal of Plant &amp; Soil Science, 34</w:t>
      </w:r>
      <w:r w:rsidRPr="00E63A6C">
        <w:rPr>
          <w:rFonts w:ascii="Times New Roman" w:eastAsia="Times New Roman" w:hAnsi="Times New Roman" w:cs="Times New Roman"/>
          <w:kern w:val="0"/>
          <w:sz w:val="24"/>
          <w:szCs w:val="24"/>
          <w:lang w:val="en-US" w:eastAsia="en-US" w:bidi="ar-SA"/>
        </w:rPr>
        <w:t xml:space="preserve">(3), 41–49. </w:t>
      </w:r>
      <w:hyperlink r:id="rId16" w:history="1">
        <w:r w:rsidRPr="00E63A6C">
          <w:rPr>
            <w:rFonts w:ascii="Times New Roman" w:eastAsia="Times New Roman" w:hAnsi="Times New Roman" w:cs="Times New Roman"/>
            <w:color w:val="0000FF"/>
            <w:kern w:val="0"/>
            <w:sz w:val="24"/>
            <w:szCs w:val="24"/>
            <w:u w:val="single"/>
            <w:lang w:val="en-US" w:eastAsia="en-US" w:bidi="ar-SA"/>
          </w:rPr>
          <w:t>https://doi.org/10.9734/ijpss/2022/v34i330845</w:t>
        </w:r>
      </w:hyperlink>
    </w:p>
    <w:p w14:paraId="5DE3789E"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Gutiérrez-Moreno, R., Mota-Sanchez, D., Blanco, C. A., Whalon, M. E., Terán-Santofimio, H., Rodríguez-Maciel, J. C., &amp; DiFonzo, C. D. (2019). Field-evolved resistance of the fall armyworm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to synthetic insecticides in Puerto Rico and Mexico. </w:t>
      </w:r>
      <w:r w:rsidRPr="00E63A6C">
        <w:rPr>
          <w:rFonts w:ascii="Times New Roman" w:eastAsia="Times New Roman" w:hAnsi="Times New Roman" w:cs="Times New Roman"/>
          <w:i/>
          <w:iCs/>
          <w:kern w:val="0"/>
          <w:sz w:val="24"/>
          <w:szCs w:val="24"/>
          <w:lang w:val="en-US" w:eastAsia="en-US" w:bidi="ar-SA"/>
        </w:rPr>
        <w:t>Journal of Economic Entomology, 112</w:t>
      </w:r>
      <w:r w:rsidRPr="00E63A6C">
        <w:rPr>
          <w:rFonts w:ascii="Times New Roman" w:eastAsia="Times New Roman" w:hAnsi="Times New Roman" w:cs="Times New Roman"/>
          <w:kern w:val="0"/>
          <w:sz w:val="24"/>
          <w:szCs w:val="24"/>
          <w:lang w:val="en-US" w:eastAsia="en-US" w:bidi="ar-SA"/>
        </w:rPr>
        <w:t xml:space="preserve">(2), 792–802. </w:t>
      </w:r>
      <w:hyperlink r:id="rId17" w:history="1">
        <w:r w:rsidRPr="00E63A6C">
          <w:rPr>
            <w:rFonts w:ascii="Times New Roman" w:eastAsia="Times New Roman" w:hAnsi="Times New Roman" w:cs="Times New Roman"/>
            <w:color w:val="0000FF"/>
            <w:kern w:val="0"/>
            <w:sz w:val="24"/>
            <w:szCs w:val="24"/>
            <w:u w:val="single"/>
            <w:lang w:val="en-US" w:eastAsia="en-US" w:bidi="ar-SA"/>
          </w:rPr>
          <w:t>https://doi.org/10.1093/jee/toy372</w:t>
        </w:r>
      </w:hyperlink>
    </w:p>
    <w:p w14:paraId="7A972B4C"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proofErr w:type="spellStart"/>
      <w:r w:rsidRPr="00E63A6C">
        <w:rPr>
          <w:rFonts w:ascii="Times New Roman" w:eastAsia="Times New Roman" w:hAnsi="Times New Roman" w:cs="Times New Roman"/>
          <w:kern w:val="0"/>
          <w:sz w:val="24"/>
          <w:szCs w:val="24"/>
          <w:lang w:val="en-US" w:eastAsia="en-US" w:bidi="ar-SA"/>
        </w:rPr>
        <w:t>Kulye</w:t>
      </w:r>
      <w:proofErr w:type="spellEnd"/>
      <w:r w:rsidRPr="00E63A6C">
        <w:rPr>
          <w:rFonts w:ascii="Times New Roman" w:eastAsia="Times New Roman" w:hAnsi="Times New Roman" w:cs="Times New Roman"/>
          <w:kern w:val="0"/>
          <w:sz w:val="24"/>
          <w:szCs w:val="24"/>
          <w:lang w:val="en-US" w:eastAsia="en-US" w:bidi="ar-SA"/>
        </w:rPr>
        <w:t xml:space="preserve">, M., Mehlhorn, S., Boaventura, D., Godley, N., Venkatesh, S. K., </w:t>
      </w:r>
      <w:proofErr w:type="spellStart"/>
      <w:r w:rsidRPr="00E63A6C">
        <w:rPr>
          <w:rFonts w:ascii="Times New Roman" w:eastAsia="Times New Roman" w:hAnsi="Times New Roman" w:cs="Times New Roman"/>
          <w:kern w:val="0"/>
          <w:sz w:val="24"/>
          <w:szCs w:val="24"/>
          <w:lang w:val="en-US" w:eastAsia="en-US" w:bidi="ar-SA"/>
        </w:rPr>
        <w:t>Rudrappa</w:t>
      </w:r>
      <w:proofErr w:type="spellEnd"/>
      <w:r w:rsidRPr="00E63A6C">
        <w:rPr>
          <w:rFonts w:ascii="Times New Roman" w:eastAsia="Times New Roman" w:hAnsi="Times New Roman" w:cs="Times New Roman"/>
          <w:kern w:val="0"/>
          <w:sz w:val="24"/>
          <w:szCs w:val="24"/>
          <w:lang w:val="en-US" w:eastAsia="en-US" w:bidi="ar-SA"/>
        </w:rPr>
        <w:t xml:space="preserve">, T., Charan, T., Rathi, D., &amp; </w:t>
      </w:r>
      <w:proofErr w:type="spellStart"/>
      <w:r w:rsidRPr="00E63A6C">
        <w:rPr>
          <w:rFonts w:ascii="Times New Roman" w:eastAsia="Times New Roman" w:hAnsi="Times New Roman" w:cs="Times New Roman"/>
          <w:kern w:val="0"/>
          <w:sz w:val="24"/>
          <w:szCs w:val="24"/>
          <w:lang w:val="en-US" w:eastAsia="en-US" w:bidi="ar-SA"/>
        </w:rPr>
        <w:t>Nauen</w:t>
      </w:r>
      <w:proofErr w:type="spellEnd"/>
      <w:r w:rsidRPr="00E63A6C">
        <w:rPr>
          <w:rFonts w:ascii="Times New Roman" w:eastAsia="Times New Roman" w:hAnsi="Times New Roman" w:cs="Times New Roman"/>
          <w:kern w:val="0"/>
          <w:sz w:val="24"/>
          <w:szCs w:val="24"/>
          <w:lang w:val="en-US" w:eastAsia="en-US" w:bidi="ar-SA"/>
        </w:rPr>
        <w:t xml:space="preserve">, R. (2021). Baseline susceptibility of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populations collected in India towards different chemical classes of insecticides. </w:t>
      </w:r>
      <w:r w:rsidRPr="00E63A6C">
        <w:rPr>
          <w:rFonts w:ascii="Times New Roman" w:eastAsia="Times New Roman" w:hAnsi="Times New Roman" w:cs="Times New Roman"/>
          <w:i/>
          <w:iCs/>
          <w:kern w:val="0"/>
          <w:sz w:val="24"/>
          <w:szCs w:val="24"/>
          <w:lang w:val="en-US" w:eastAsia="en-US" w:bidi="ar-SA"/>
        </w:rPr>
        <w:t>Insects, 12</w:t>
      </w:r>
      <w:r w:rsidRPr="00E63A6C">
        <w:rPr>
          <w:rFonts w:ascii="Times New Roman" w:eastAsia="Times New Roman" w:hAnsi="Times New Roman" w:cs="Times New Roman"/>
          <w:kern w:val="0"/>
          <w:sz w:val="24"/>
          <w:szCs w:val="24"/>
          <w:lang w:val="en-US" w:eastAsia="en-US" w:bidi="ar-SA"/>
        </w:rPr>
        <w:t xml:space="preserve">(8), 758. </w:t>
      </w:r>
      <w:hyperlink r:id="rId18" w:history="1">
        <w:r w:rsidRPr="00E63A6C">
          <w:rPr>
            <w:rFonts w:ascii="Times New Roman" w:eastAsia="Times New Roman" w:hAnsi="Times New Roman" w:cs="Times New Roman"/>
            <w:color w:val="0000FF"/>
            <w:kern w:val="0"/>
            <w:sz w:val="24"/>
            <w:szCs w:val="24"/>
            <w:u w:val="single"/>
            <w:lang w:val="en-US" w:eastAsia="en-US" w:bidi="ar-SA"/>
          </w:rPr>
          <w:t>https://doi.org/10.3390/insects12080758</w:t>
        </w:r>
      </w:hyperlink>
    </w:p>
    <w:p w14:paraId="14650403"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Lira, E. C., Bolzan, A., Nascimento, A. R. B., Amaral, F. S. A., Kanno, R. H., Kaiser, I. S., &amp; Omoto, C. (2020). Resistance of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to spinetoram: Inheritance and cross-resistance to </w:t>
      </w:r>
      <w:proofErr w:type="spellStart"/>
      <w:r w:rsidRPr="00E63A6C">
        <w:rPr>
          <w:rFonts w:ascii="Times New Roman" w:eastAsia="Times New Roman" w:hAnsi="Times New Roman" w:cs="Times New Roman"/>
          <w:kern w:val="0"/>
          <w:sz w:val="24"/>
          <w:szCs w:val="24"/>
          <w:lang w:val="en-US" w:eastAsia="en-US" w:bidi="ar-SA"/>
        </w:rPr>
        <w:t>spinosad</w:t>
      </w:r>
      <w:proofErr w:type="spellEnd"/>
      <w:r w:rsidRPr="00E63A6C">
        <w:rPr>
          <w:rFonts w:ascii="Times New Roman" w:eastAsia="Times New Roman" w:hAnsi="Times New Roman" w:cs="Times New Roman"/>
          <w:kern w:val="0"/>
          <w:sz w:val="24"/>
          <w:szCs w:val="24"/>
          <w:lang w:val="en-US" w:eastAsia="en-US" w:bidi="ar-SA"/>
        </w:rPr>
        <w:t xml:space="preserve">. </w:t>
      </w:r>
      <w:r w:rsidRPr="00E63A6C">
        <w:rPr>
          <w:rFonts w:ascii="Times New Roman" w:eastAsia="Times New Roman" w:hAnsi="Times New Roman" w:cs="Times New Roman"/>
          <w:i/>
          <w:iCs/>
          <w:kern w:val="0"/>
          <w:sz w:val="24"/>
          <w:szCs w:val="24"/>
          <w:lang w:val="en-US" w:eastAsia="en-US" w:bidi="ar-SA"/>
        </w:rPr>
        <w:t>Pest Management Science, 76</w:t>
      </w:r>
      <w:r w:rsidRPr="00E63A6C">
        <w:rPr>
          <w:rFonts w:ascii="Times New Roman" w:eastAsia="Times New Roman" w:hAnsi="Times New Roman" w:cs="Times New Roman"/>
          <w:kern w:val="0"/>
          <w:sz w:val="24"/>
          <w:szCs w:val="24"/>
          <w:lang w:val="en-US" w:eastAsia="en-US" w:bidi="ar-SA"/>
        </w:rPr>
        <w:t xml:space="preserve">(8), 2674–2680. </w:t>
      </w:r>
      <w:hyperlink r:id="rId19" w:history="1">
        <w:r w:rsidRPr="00E63A6C">
          <w:rPr>
            <w:rFonts w:ascii="Times New Roman" w:eastAsia="Times New Roman" w:hAnsi="Times New Roman" w:cs="Times New Roman"/>
            <w:color w:val="0000FF"/>
            <w:kern w:val="0"/>
            <w:sz w:val="24"/>
            <w:szCs w:val="24"/>
            <w:u w:val="single"/>
            <w:lang w:val="en-US" w:eastAsia="en-US" w:bidi="ar-SA"/>
          </w:rPr>
          <w:t>https://doi.org/10.1002/ps.5812</w:t>
        </w:r>
      </w:hyperlink>
    </w:p>
    <w:p w14:paraId="0257B53F" w14:textId="48C16566"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Mallapur, C. P., Naik, A. K., Hagari, S., Prabhu, S. T., &amp; Patil, R. K. (2018). Status of alien pest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on maize in northern Karnataka. </w:t>
      </w:r>
      <w:r w:rsidRPr="00E63A6C">
        <w:rPr>
          <w:rFonts w:ascii="Times New Roman" w:eastAsia="Times New Roman" w:hAnsi="Times New Roman" w:cs="Times New Roman"/>
          <w:i/>
          <w:iCs/>
          <w:kern w:val="0"/>
          <w:sz w:val="24"/>
          <w:szCs w:val="24"/>
          <w:lang w:val="en-US" w:eastAsia="en-US" w:bidi="ar-SA"/>
        </w:rPr>
        <w:t>Journal of Entomology and Zoology Studies, 6</w:t>
      </w:r>
      <w:r w:rsidRPr="00E63A6C">
        <w:rPr>
          <w:rFonts w:ascii="Times New Roman" w:eastAsia="Times New Roman" w:hAnsi="Times New Roman" w:cs="Times New Roman"/>
          <w:kern w:val="0"/>
          <w:sz w:val="24"/>
          <w:szCs w:val="24"/>
          <w:lang w:val="en-US" w:eastAsia="en-US" w:bidi="ar-SA"/>
        </w:rPr>
        <w:t xml:space="preserve">(6), 432–436. </w:t>
      </w:r>
    </w:p>
    <w:p w14:paraId="79D0D04E"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nl-BE" w:eastAsia="en-US" w:bidi="ar-SA"/>
        </w:rPr>
        <w:t xml:space="preserve">Mavridis, K., Evangelou, V., Grigoriadou, A. M., Papachristos, D. P., &amp; Vontas, J. (2025). </w:t>
      </w:r>
      <w:r w:rsidRPr="00E63A6C">
        <w:rPr>
          <w:rFonts w:ascii="Times New Roman" w:eastAsia="Times New Roman" w:hAnsi="Times New Roman" w:cs="Times New Roman"/>
          <w:kern w:val="0"/>
          <w:sz w:val="24"/>
          <w:szCs w:val="24"/>
          <w:lang w:val="en-US" w:eastAsia="en-US" w:bidi="ar-SA"/>
        </w:rPr>
        <w:t xml:space="preserve">Molecular surveillance of resistance mutations in invasive populations of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in Europe, for evidence-based pest control. </w:t>
      </w:r>
      <w:r w:rsidRPr="00E63A6C">
        <w:rPr>
          <w:rFonts w:ascii="Times New Roman" w:eastAsia="Times New Roman" w:hAnsi="Times New Roman" w:cs="Times New Roman"/>
          <w:i/>
          <w:iCs/>
          <w:kern w:val="0"/>
          <w:sz w:val="24"/>
          <w:szCs w:val="24"/>
          <w:lang w:val="en-US" w:eastAsia="en-US" w:bidi="ar-SA"/>
        </w:rPr>
        <w:t>Pest Management Science, 81</w:t>
      </w:r>
      <w:r w:rsidRPr="00E63A6C">
        <w:rPr>
          <w:rFonts w:ascii="Times New Roman" w:eastAsia="Times New Roman" w:hAnsi="Times New Roman" w:cs="Times New Roman"/>
          <w:kern w:val="0"/>
          <w:sz w:val="24"/>
          <w:szCs w:val="24"/>
          <w:lang w:val="en-US" w:eastAsia="en-US" w:bidi="ar-SA"/>
        </w:rPr>
        <w:t xml:space="preserve">(8), 4821–4830. </w:t>
      </w:r>
      <w:hyperlink r:id="rId20" w:history="1">
        <w:r w:rsidRPr="00E63A6C">
          <w:rPr>
            <w:rFonts w:ascii="Times New Roman" w:eastAsia="Times New Roman" w:hAnsi="Times New Roman" w:cs="Times New Roman"/>
            <w:color w:val="0000FF"/>
            <w:kern w:val="0"/>
            <w:sz w:val="24"/>
            <w:szCs w:val="24"/>
            <w:u w:val="single"/>
            <w:lang w:val="en-US" w:eastAsia="en-US" w:bidi="ar-SA"/>
          </w:rPr>
          <w:t>https://doi.org/10.1002/ps.8849</w:t>
        </w:r>
      </w:hyperlink>
    </w:p>
    <w:p w14:paraId="5AD436CC"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lastRenderedPageBreak/>
        <w:t xml:space="preserve">Montezano, D. G., Specht, A., Sosa-Gómez, D. R., Roque-Specht, V. F., Sousa-Silva, J. C., Paula-Moraes, S. V., Peterson, J. A., &amp; Hunt, T. E. (2018). Host plants of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in the Americas. </w:t>
      </w:r>
      <w:r w:rsidRPr="00E63A6C">
        <w:rPr>
          <w:rFonts w:ascii="Times New Roman" w:eastAsia="Times New Roman" w:hAnsi="Times New Roman" w:cs="Times New Roman"/>
          <w:i/>
          <w:iCs/>
          <w:kern w:val="0"/>
          <w:sz w:val="24"/>
          <w:szCs w:val="24"/>
          <w:lang w:val="en-US" w:eastAsia="en-US" w:bidi="ar-SA"/>
        </w:rPr>
        <w:t>African Entomology, 26</w:t>
      </w:r>
      <w:r w:rsidRPr="00E63A6C">
        <w:rPr>
          <w:rFonts w:ascii="Times New Roman" w:eastAsia="Times New Roman" w:hAnsi="Times New Roman" w:cs="Times New Roman"/>
          <w:kern w:val="0"/>
          <w:sz w:val="24"/>
          <w:szCs w:val="24"/>
          <w:lang w:val="en-US" w:eastAsia="en-US" w:bidi="ar-SA"/>
        </w:rPr>
        <w:t xml:space="preserve">(2), 286–300. </w:t>
      </w:r>
      <w:hyperlink r:id="rId21" w:history="1">
        <w:r w:rsidRPr="00E63A6C">
          <w:rPr>
            <w:rFonts w:ascii="Times New Roman" w:eastAsia="Times New Roman" w:hAnsi="Times New Roman" w:cs="Times New Roman"/>
            <w:color w:val="0000FF"/>
            <w:kern w:val="0"/>
            <w:sz w:val="24"/>
            <w:szCs w:val="24"/>
            <w:u w:val="single"/>
            <w:lang w:val="en-US" w:eastAsia="en-US" w:bidi="ar-SA"/>
          </w:rPr>
          <w:t>https://doi.org/10.4001/003.026.0286</w:t>
        </w:r>
      </w:hyperlink>
    </w:p>
    <w:p w14:paraId="1A47279F"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Muraro, D. S., Salmeron, E., Cruz, J. V. S., Amaral, F. S. A., </w:t>
      </w:r>
      <w:proofErr w:type="spellStart"/>
      <w:r w:rsidRPr="00E63A6C">
        <w:rPr>
          <w:rFonts w:ascii="Times New Roman" w:eastAsia="Times New Roman" w:hAnsi="Times New Roman" w:cs="Times New Roman"/>
          <w:kern w:val="0"/>
          <w:sz w:val="24"/>
          <w:szCs w:val="24"/>
          <w:lang w:val="en-US" w:eastAsia="en-US" w:bidi="ar-SA"/>
        </w:rPr>
        <w:t>Guidolin</w:t>
      </w:r>
      <w:proofErr w:type="spellEnd"/>
      <w:r w:rsidRPr="00E63A6C">
        <w:rPr>
          <w:rFonts w:ascii="Times New Roman" w:eastAsia="Times New Roman" w:hAnsi="Times New Roman" w:cs="Times New Roman"/>
          <w:kern w:val="0"/>
          <w:sz w:val="24"/>
          <w:szCs w:val="24"/>
          <w:lang w:val="en-US" w:eastAsia="en-US" w:bidi="ar-SA"/>
        </w:rPr>
        <w:t xml:space="preserve">, A. S., Nascimento, A. R. B., Malaquias, J. B., Bernardi, O., &amp; Omoto, C. (2022). Evidence of field-evolved resistance in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to </w:t>
      </w:r>
      <w:proofErr w:type="spellStart"/>
      <w:r w:rsidRPr="00E63A6C">
        <w:rPr>
          <w:rFonts w:ascii="Times New Roman" w:eastAsia="Times New Roman" w:hAnsi="Times New Roman" w:cs="Times New Roman"/>
          <w:kern w:val="0"/>
          <w:sz w:val="24"/>
          <w:szCs w:val="24"/>
          <w:lang w:val="en-US" w:eastAsia="en-US" w:bidi="ar-SA"/>
        </w:rPr>
        <w:t>emamectin</w:t>
      </w:r>
      <w:proofErr w:type="spellEnd"/>
      <w:r w:rsidRPr="00E63A6C">
        <w:rPr>
          <w:rFonts w:ascii="Times New Roman" w:eastAsia="Times New Roman" w:hAnsi="Times New Roman" w:cs="Times New Roman"/>
          <w:kern w:val="0"/>
          <w:sz w:val="24"/>
          <w:szCs w:val="24"/>
          <w:lang w:val="en-US" w:eastAsia="en-US" w:bidi="ar-SA"/>
        </w:rPr>
        <w:t xml:space="preserve"> benzoate in Brazil. </w:t>
      </w:r>
      <w:r w:rsidRPr="00E63A6C">
        <w:rPr>
          <w:rFonts w:ascii="Times New Roman" w:eastAsia="Times New Roman" w:hAnsi="Times New Roman" w:cs="Times New Roman"/>
          <w:i/>
          <w:iCs/>
          <w:kern w:val="0"/>
          <w:sz w:val="24"/>
          <w:szCs w:val="24"/>
          <w:lang w:val="en-US" w:eastAsia="en-US" w:bidi="ar-SA"/>
        </w:rPr>
        <w:t>Crop Protection, 162</w:t>
      </w:r>
      <w:r w:rsidRPr="00E63A6C">
        <w:rPr>
          <w:rFonts w:ascii="Times New Roman" w:eastAsia="Times New Roman" w:hAnsi="Times New Roman" w:cs="Times New Roman"/>
          <w:kern w:val="0"/>
          <w:sz w:val="24"/>
          <w:szCs w:val="24"/>
          <w:lang w:val="en-US" w:eastAsia="en-US" w:bidi="ar-SA"/>
        </w:rPr>
        <w:t xml:space="preserve">, 106071. </w:t>
      </w:r>
      <w:hyperlink r:id="rId22" w:history="1">
        <w:r w:rsidRPr="00E63A6C">
          <w:rPr>
            <w:rFonts w:ascii="Times New Roman" w:eastAsia="Times New Roman" w:hAnsi="Times New Roman" w:cs="Times New Roman"/>
            <w:color w:val="0000FF"/>
            <w:kern w:val="0"/>
            <w:sz w:val="24"/>
            <w:szCs w:val="24"/>
            <w:u w:val="single"/>
            <w:lang w:val="en-US" w:eastAsia="en-US" w:bidi="ar-SA"/>
          </w:rPr>
          <w:t>https://doi.org/10.1016/j.cropro.2022.106071</w:t>
        </w:r>
      </w:hyperlink>
    </w:p>
    <w:p w14:paraId="36C7CDBD"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Murugan, N., Vairam, N., Bhavana, P., Santhoshraj, N., &amp; </w:t>
      </w:r>
      <w:proofErr w:type="spellStart"/>
      <w:r w:rsidRPr="00E63A6C">
        <w:rPr>
          <w:rFonts w:ascii="Times New Roman" w:eastAsia="Times New Roman" w:hAnsi="Times New Roman" w:cs="Times New Roman"/>
          <w:kern w:val="0"/>
          <w:sz w:val="24"/>
          <w:szCs w:val="24"/>
          <w:lang w:val="en-US" w:eastAsia="en-US" w:bidi="ar-SA"/>
        </w:rPr>
        <w:t>Bhuvaneshwaran</w:t>
      </w:r>
      <w:proofErr w:type="spellEnd"/>
      <w:r w:rsidRPr="00E63A6C">
        <w:rPr>
          <w:rFonts w:ascii="Times New Roman" w:eastAsia="Times New Roman" w:hAnsi="Times New Roman" w:cs="Times New Roman"/>
          <w:kern w:val="0"/>
          <w:sz w:val="24"/>
          <w:szCs w:val="24"/>
          <w:lang w:val="en-US" w:eastAsia="en-US" w:bidi="ar-SA"/>
        </w:rPr>
        <w:t>, S. (2026). Sustainable management of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in maize crop: Integrating the ecological environment, biocontrol agents and modern technologies present in the environment. </w:t>
      </w:r>
      <w:proofErr w:type="spellStart"/>
      <w:r w:rsidRPr="00E63A6C">
        <w:rPr>
          <w:rFonts w:ascii="Times New Roman" w:eastAsia="Times New Roman" w:hAnsi="Times New Roman" w:cs="Times New Roman"/>
          <w:i/>
          <w:iCs/>
          <w:kern w:val="0"/>
          <w:sz w:val="24"/>
          <w:szCs w:val="24"/>
          <w:lang w:val="en-US" w:eastAsia="en-US" w:bidi="ar-SA"/>
        </w:rPr>
        <w:t>Bionature</w:t>
      </w:r>
      <w:proofErr w:type="spellEnd"/>
      <w:r w:rsidRPr="00E63A6C">
        <w:rPr>
          <w:rFonts w:ascii="Times New Roman" w:eastAsia="Times New Roman" w:hAnsi="Times New Roman" w:cs="Times New Roman"/>
          <w:i/>
          <w:iCs/>
          <w:kern w:val="0"/>
          <w:sz w:val="24"/>
          <w:szCs w:val="24"/>
          <w:lang w:val="en-US" w:eastAsia="en-US" w:bidi="ar-SA"/>
        </w:rPr>
        <w:t>, 46</w:t>
      </w:r>
      <w:r w:rsidRPr="00E63A6C">
        <w:rPr>
          <w:rFonts w:ascii="Times New Roman" w:eastAsia="Times New Roman" w:hAnsi="Times New Roman" w:cs="Times New Roman"/>
          <w:kern w:val="0"/>
          <w:sz w:val="24"/>
          <w:szCs w:val="24"/>
          <w:lang w:val="en-US" w:eastAsia="en-US" w:bidi="ar-SA"/>
        </w:rPr>
        <w:t xml:space="preserve">(2), 17–26. </w:t>
      </w:r>
      <w:hyperlink r:id="rId23" w:history="1">
        <w:r w:rsidRPr="00E63A6C">
          <w:rPr>
            <w:rFonts w:ascii="Times New Roman" w:eastAsia="Times New Roman" w:hAnsi="Times New Roman" w:cs="Times New Roman"/>
            <w:color w:val="0000FF"/>
            <w:kern w:val="0"/>
            <w:sz w:val="24"/>
            <w:szCs w:val="24"/>
            <w:u w:val="single"/>
            <w:lang w:val="en-US" w:eastAsia="en-US" w:bidi="ar-SA"/>
          </w:rPr>
          <w:t>https://doi.org/10.56557/bn/2026/v46i22122</w:t>
        </w:r>
      </w:hyperlink>
    </w:p>
    <w:p w14:paraId="2A2C905F"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Overton, K., Maino, J. L., Day, R., </w:t>
      </w:r>
      <w:proofErr w:type="spellStart"/>
      <w:r w:rsidRPr="00E63A6C">
        <w:rPr>
          <w:rFonts w:ascii="Times New Roman" w:eastAsia="Times New Roman" w:hAnsi="Times New Roman" w:cs="Times New Roman"/>
          <w:kern w:val="0"/>
          <w:sz w:val="24"/>
          <w:szCs w:val="24"/>
          <w:lang w:val="en-US" w:eastAsia="en-US" w:bidi="ar-SA"/>
        </w:rPr>
        <w:t>Umina</w:t>
      </w:r>
      <w:proofErr w:type="spellEnd"/>
      <w:r w:rsidRPr="00E63A6C">
        <w:rPr>
          <w:rFonts w:ascii="Times New Roman" w:eastAsia="Times New Roman" w:hAnsi="Times New Roman" w:cs="Times New Roman"/>
          <w:kern w:val="0"/>
          <w:sz w:val="24"/>
          <w:szCs w:val="24"/>
          <w:lang w:val="en-US" w:eastAsia="en-US" w:bidi="ar-SA"/>
        </w:rPr>
        <w:t xml:space="preserve">, P. A., Bett, B., Carnovale, D., </w:t>
      </w:r>
      <w:proofErr w:type="spellStart"/>
      <w:r w:rsidRPr="00E63A6C">
        <w:rPr>
          <w:rFonts w:ascii="Times New Roman" w:eastAsia="Times New Roman" w:hAnsi="Times New Roman" w:cs="Times New Roman"/>
          <w:kern w:val="0"/>
          <w:sz w:val="24"/>
          <w:szCs w:val="24"/>
          <w:lang w:val="en-US" w:eastAsia="en-US" w:bidi="ar-SA"/>
        </w:rPr>
        <w:t>Ekesi</w:t>
      </w:r>
      <w:proofErr w:type="spellEnd"/>
      <w:r w:rsidRPr="00E63A6C">
        <w:rPr>
          <w:rFonts w:ascii="Times New Roman" w:eastAsia="Times New Roman" w:hAnsi="Times New Roman" w:cs="Times New Roman"/>
          <w:kern w:val="0"/>
          <w:sz w:val="24"/>
          <w:szCs w:val="24"/>
          <w:lang w:val="en-US" w:eastAsia="en-US" w:bidi="ar-SA"/>
        </w:rPr>
        <w:t>, S., Meagher, R. L., Jr., &amp; Reynolds, O. L. (2021). Global crop impacts, yield losses and action thresholds for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A review. </w:t>
      </w:r>
      <w:r w:rsidRPr="00E63A6C">
        <w:rPr>
          <w:rFonts w:ascii="Times New Roman" w:eastAsia="Times New Roman" w:hAnsi="Times New Roman" w:cs="Times New Roman"/>
          <w:i/>
          <w:iCs/>
          <w:kern w:val="0"/>
          <w:sz w:val="24"/>
          <w:szCs w:val="24"/>
          <w:lang w:val="en-US" w:eastAsia="en-US" w:bidi="ar-SA"/>
        </w:rPr>
        <w:t>Crop Protection, 145</w:t>
      </w:r>
      <w:r w:rsidRPr="00E63A6C">
        <w:rPr>
          <w:rFonts w:ascii="Times New Roman" w:eastAsia="Times New Roman" w:hAnsi="Times New Roman" w:cs="Times New Roman"/>
          <w:kern w:val="0"/>
          <w:sz w:val="24"/>
          <w:szCs w:val="24"/>
          <w:lang w:val="en-US" w:eastAsia="en-US" w:bidi="ar-SA"/>
        </w:rPr>
        <w:t xml:space="preserve">, 105641. </w:t>
      </w:r>
      <w:hyperlink r:id="rId24" w:history="1">
        <w:r w:rsidRPr="00E63A6C">
          <w:rPr>
            <w:rFonts w:ascii="Times New Roman" w:eastAsia="Times New Roman" w:hAnsi="Times New Roman" w:cs="Times New Roman"/>
            <w:color w:val="0000FF"/>
            <w:kern w:val="0"/>
            <w:sz w:val="24"/>
            <w:szCs w:val="24"/>
            <w:u w:val="single"/>
            <w:lang w:val="en-US" w:eastAsia="en-US" w:bidi="ar-SA"/>
          </w:rPr>
          <w:t>https://doi.org/10.1016/j.cropro.2021.105641</w:t>
        </w:r>
      </w:hyperlink>
    </w:p>
    <w:p w14:paraId="0AAB55A5"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Pearson, K. (1895). Contributions to the mathematical theory of evolution—II. Skew variation in homogeneous material. </w:t>
      </w:r>
      <w:r w:rsidRPr="00E63A6C">
        <w:rPr>
          <w:rFonts w:ascii="Times New Roman" w:eastAsia="Times New Roman" w:hAnsi="Times New Roman" w:cs="Times New Roman"/>
          <w:i/>
          <w:iCs/>
          <w:kern w:val="0"/>
          <w:sz w:val="24"/>
          <w:szCs w:val="24"/>
          <w:lang w:val="en-US" w:eastAsia="en-US" w:bidi="ar-SA"/>
        </w:rPr>
        <w:t>Philosophical Transactions of the Royal Society of London. Series A, Containing Papers of a Mathematical or Physical Character, 186</w:t>
      </w:r>
      <w:r w:rsidRPr="00E63A6C">
        <w:rPr>
          <w:rFonts w:ascii="Times New Roman" w:eastAsia="Times New Roman" w:hAnsi="Times New Roman" w:cs="Times New Roman"/>
          <w:kern w:val="0"/>
          <w:sz w:val="24"/>
          <w:szCs w:val="24"/>
          <w:lang w:val="en-US" w:eastAsia="en-US" w:bidi="ar-SA"/>
        </w:rPr>
        <w:t xml:space="preserve">, 343–414. </w:t>
      </w:r>
      <w:hyperlink r:id="rId25" w:history="1">
        <w:r w:rsidRPr="00E63A6C">
          <w:rPr>
            <w:rFonts w:ascii="Times New Roman" w:eastAsia="Times New Roman" w:hAnsi="Times New Roman" w:cs="Times New Roman"/>
            <w:color w:val="0000FF"/>
            <w:kern w:val="0"/>
            <w:sz w:val="24"/>
            <w:szCs w:val="24"/>
            <w:u w:val="single"/>
            <w:lang w:val="en-US" w:eastAsia="en-US" w:bidi="ar-SA"/>
          </w:rPr>
          <w:t>https://doi.org/10.1098/rsta.1895.0010</w:t>
        </w:r>
      </w:hyperlink>
    </w:p>
    <w:p w14:paraId="6A015934"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Prasanna, B. M., Huesing, J. E., Eddy, R., &amp; Peschke, V. M. (Eds.). (2018). </w:t>
      </w:r>
      <w:r w:rsidRPr="00E63A6C">
        <w:rPr>
          <w:rFonts w:ascii="Times New Roman" w:eastAsia="Times New Roman" w:hAnsi="Times New Roman" w:cs="Times New Roman"/>
          <w:i/>
          <w:iCs/>
          <w:kern w:val="0"/>
          <w:sz w:val="24"/>
          <w:szCs w:val="24"/>
          <w:lang w:val="en-US" w:eastAsia="en-US" w:bidi="ar-SA"/>
        </w:rPr>
        <w:t>Fall armyworm in Africa: A guide for integrated pest management</w:t>
      </w:r>
      <w:r w:rsidRPr="00E63A6C">
        <w:rPr>
          <w:rFonts w:ascii="Times New Roman" w:eastAsia="Times New Roman" w:hAnsi="Times New Roman" w:cs="Times New Roman"/>
          <w:kern w:val="0"/>
          <w:sz w:val="24"/>
          <w:szCs w:val="24"/>
          <w:lang w:val="en-US" w:eastAsia="en-US" w:bidi="ar-SA"/>
        </w:rPr>
        <w:t xml:space="preserve"> (1st ed.). International Maize and Wheat Improvement Center (CIMMYT). </w:t>
      </w:r>
      <w:hyperlink r:id="rId26" w:history="1">
        <w:r w:rsidRPr="00E63A6C">
          <w:rPr>
            <w:rFonts w:ascii="Times New Roman" w:eastAsia="Times New Roman" w:hAnsi="Times New Roman" w:cs="Times New Roman"/>
            <w:color w:val="0000FF"/>
            <w:kern w:val="0"/>
            <w:sz w:val="24"/>
            <w:szCs w:val="24"/>
            <w:u w:val="single"/>
            <w:lang w:val="en-US" w:eastAsia="en-US" w:bidi="ar-SA"/>
          </w:rPr>
          <w:t>https://agris.fao.org/search/en/providers/122512/records/669fb26e429562386250a0e9</w:t>
        </w:r>
      </w:hyperlink>
    </w:p>
    <w:p w14:paraId="2830AE25" w14:textId="5CB73625"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Prasad, M. S., Reddy, Y. V. R., Ramakrishna, Y. S., Somani, L. L., Reddy, N. N., &amp; Reddy, B. M. K. (Eds.). (2008). Maize production technology (1st ed.). </w:t>
      </w:r>
      <w:proofErr w:type="spellStart"/>
      <w:r w:rsidRPr="00E63A6C">
        <w:rPr>
          <w:rFonts w:ascii="Times New Roman" w:eastAsia="Times New Roman" w:hAnsi="Times New Roman" w:cs="Times New Roman"/>
          <w:kern w:val="0"/>
          <w:sz w:val="24"/>
          <w:szCs w:val="24"/>
          <w:lang w:val="en-US" w:eastAsia="en-US" w:bidi="ar-SA"/>
        </w:rPr>
        <w:t>Agrotech</w:t>
      </w:r>
      <w:proofErr w:type="spellEnd"/>
      <w:r w:rsidRPr="00E63A6C">
        <w:rPr>
          <w:rFonts w:ascii="Times New Roman" w:eastAsia="Times New Roman" w:hAnsi="Times New Roman" w:cs="Times New Roman"/>
          <w:kern w:val="0"/>
          <w:sz w:val="24"/>
          <w:szCs w:val="24"/>
          <w:lang w:val="en-US" w:eastAsia="en-US" w:bidi="ar-SA"/>
        </w:rPr>
        <w:t xml:space="preserve"> Publishing Academy. </w:t>
      </w:r>
      <w:hyperlink r:id="rId27" w:history="1">
        <w:r w:rsidRPr="00E63A6C">
          <w:rPr>
            <w:rFonts w:ascii="Times New Roman" w:eastAsia="Times New Roman" w:hAnsi="Times New Roman" w:cs="Times New Roman"/>
            <w:color w:val="0000FF"/>
            <w:kern w:val="0"/>
            <w:sz w:val="24"/>
            <w:szCs w:val="24"/>
            <w:u w:val="single"/>
            <w:lang w:val="en-US" w:eastAsia="en-US" w:bidi="ar-SA"/>
          </w:rPr>
          <w:t>https://www.agrotechbooks.com/wp-content/uploads/2023/12/CATALOGUE.xlsx</w:t>
        </w:r>
      </w:hyperlink>
    </w:p>
    <w:p w14:paraId="774B8630"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Santana, A. A., </w:t>
      </w:r>
      <w:proofErr w:type="spellStart"/>
      <w:r w:rsidRPr="00E63A6C">
        <w:rPr>
          <w:rFonts w:ascii="Times New Roman" w:eastAsia="Times New Roman" w:hAnsi="Times New Roman" w:cs="Times New Roman"/>
          <w:kern w:val="0"/>
          <w:sz w:val="24"/>
          <w:szCs w:val="24"/>
          <w:lang w:val="en-US" w:eastAsia="en-US" w:bidi="ar-SA"/>
        </w:rPr>
        <w:t>Pernía</w:t>
      </w:r>
      <w:proofErr w:type="spellEnd"/>
      <w:r w:rsidRPr="00E63A6C">
        <w:rPr>
          <w:rFonts w:ascii="Times New Roman" w:eastAsia="Times New Roman" w:hAnsi="Times New Roman" w:cs="Times New Roman"/>
          <w:kern w:val="0"/>
          <w:sz w:val="24"/>
          <w:szCs w:val="24"/>
          <w:lang w:val="en-US" w:eastAsia="en-US" w:bidi="ar-SA"/>
        </w:rPr>
        <w:t xml:space="preserve">, L. A., &amp; Santana, D. A. (2015). Historical, mathematical and nutritional bases of Pearson Square as a fit method for ruminant rations. </w:t>
      </w:r>
      <w:r w:rsidRPr="00E63A6C">
        <w:rPr>
          <w:rFonts w:ascii="Times New Roman" w:eastAsia="Times New Roman" w:hAnsi="Times New Roman" w:cs="Times New Roman"/>
          <w:i/>
          <w:iCs/>
          <w:kern w:val="0"/>
          <w:sz w:val="24"/>
          <w:szCs w:val="24"/>
          <w:lang w:val="en-US" w:eastAsia="en-US" w:bidi="ar-SA"/>
        </w:rPr>
        <w:t>Cuban Journal of Agricultural Science, 49</w:t>
      </w:r>
      <w:r w:rsidRPr="00E63A6C">
        <w:rPr>
          <w:rFonts w:ascii="Times New Roman" w:eastAsia="Times New Roman" w:hAnsi="Times New Roman" w:cs="Times New Roman"/>
          <w:kern w:val="0"/>
          <w:sz w:val="24"/>
          <w:szCs w:val="24"/>
          <w:lang w:val="en-US" w:eastAsia="en-US" w:bidi="ar-SA"/>
        </w:rPr>
        <w:t xml:space="preserve">(3), 279–288. </w:t>
      </w:r>
      <w:hyperlink r:id="rId28" w:history="1">
        <w:r w:rsidRPr="00E63A6C">
          <w:rPr>
            <w:rFonts w:ascii="Times New Roman" w:eastAsia="Times New Roman" w:hAnsi="Times New Roman" w:cs="Times New Roman"/>
            <w:color w:val="0000FF"/>
            <w:kern w:val="0"/>
            <w:sz w:val="24"/>
            <w:szCs w:val="24"/>
            <w:u w:val="single"/>
            <w:lang w:val="en-US" w:eastAsia="en-US" w:bidi="ar-SA"/>
          </w:rPr>
          <w:t>https://cjascience.com/index.php/CJAS/article/view/507</w:t>
        </w:r>
      </w:hyperlink>
    </w:p>
    <w:p w14:paraId="52F096E2"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proofErr w:type="spellStart"/>
      <w:r w:rsidRPr="00E63A6C">
        <w:rPr>
          <w:rFonts w:ascii="Times New Roman" w:eastAsia="Times New Roman" w:hAnsi="Times New Roman" w:cs="Times New Roman"/>
          <w:kern w:val="0"/>
          <w:sz w:val="24"/>
          <w:szCs w:val="24"/>
          <w:lang w:val="en-US" w:eastAsia="en-US" w:bidi="ar-SA"/>
        </w:rPr>
        <w:t>Sharanabasappa</w:t>
      </w:r>
      <w:proofErr w:type="spellEnd"/>
      <w:r w:rsidRPr="00E63A6C">
        <w:rPr>
          <w:rFonts w:ascii="Times New Roman" w:eastAsia="Times New Roman" w:hAnsi="Times New Roman" w:cs="Times New Roman"/>
          <w:kern w:val="0"/>
          <w:sz w:val="24"/>
          <w:szCs w:val="24"/>
          <w:lang w:val="en-US" w:eastAsia="en-US" w:bidi="ar-SA"/>
        </w:rPr>
        <w:t xml:space="preserve">, </w:t>
      </w:r>
      <w:proofErr w:type="spellStart"/>
      <w:r w:rsidRPr="00E63A6C">
        <w:rPr>
          <w:rFonts w:ascii="Times New Roman" w:eastAsia="Times New Roman" w:hAnsi="Times New Roman" w:cs="Times New Roman"/>
          <w:kern w:val="0"/>
          <w:sz w:val="24"/>
          <w:szCs w:val="24"/>
          <w:lang w:val="en-US" w:eastAsia="en-US" w:bidi="ar-SA"/>
        </w:rPr>
        <w:t>Kalleshwaraswamy</w:t>
      </w:r>
      <w:proofErr w:type="spellEnd"/>
      <w:r w:rsidRPr="00E63A6C">
        <w:rPr>
          <w:rFonts w:ascii="Times New Roman" w:eastAsia="Times New Roman" w:hAnsi="Times New Roman" w:cs="Times New Roman"/>
          <w:kern w:val="0"/>
          <w:sz w:val="24"/>
          <w:szCs w:val="24"/>
          <w:lang w:val="en-US" w:eastAsia="en-US" w:bidi="ar-SA"/>
        </w:rPr>
        <w:t xml:space="preserve">, C. M., Asokan, R., Mahadeva Swamy, H. M., Maruthi, M. S., Pavithra, H. B., Hegde, K., Navi, S., Prabhu, S. T., &amp; Goergen, G. (2018). First report of the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an alien invasive pest on maize in India. </w:t>
      </w:r>
      <w:r w:rsidRPr="00E63A6C">
        <w:rPr>
          <w:rFonts w:ascii="Times New Roman" w:eastAsia="Times New Roman" w:hAnsi="Times New Roman" w:cs="Times New Roman"/>
          <w:i/>
          <w:iCs/>
          <w:kern w:val="0"/>
          <w:sz w:val="24"/>
          <w:szCs w:val="24"/>
          <w:lang w:val="en-US" w:eastAsia="en-US" w:bidi="ar-SA"/>
        </w:rPr>
        <w:t>Pest Management in Horticultural Ecosystems, 24</w:t>
      </w:r>
      <w:r w:rsidRPr="00E63A6C">
        <w:rPr>
          <w:rFonts w:ascii="Times New Roman" w:eastAsia="Times New Roman" w:hAnsi="Times New Roman" w:cs="Times New Roman"/>
          <w:kern w:val="0"/>
          <w:sz w:val="24"/>
          <w:szCs w:val="24"/>
          <w:lang w:val="en-US" w:eastAsia="en-US" w:bidi="ar-SA"/>
        </w:rPr>
        <w:t xml:space="preserve">(1), 23–29. </w:t>
      </w:r>
      <w:hyperlink r:id="rId29" w:history="1">
        <w:r w:rsidRPr="00E63A6C">
          <w:rPr>
            <w:rFonts w:ascii="Times New Roman" w:eastAsia="Times New Roman" w:hAnsi="Times New Roman" w:cs="Times New Roman"/>
            <w:color w:val="0000FF"/>
            <w:kern w:val="0"/>
            <w:sz w:val="24"/>
            <w:szCs w:val="24"/>
            <w:u w:val="single"/>
            <w:lang w:val="en-US" w:eastAsia="en-US" w:bidi="ar-SA"/>
          </w:rPr>
          <w:t>https://pmhe.in/index.php/pmhe/article/view/427</w:t>
        </w:r>
      </w:hyperlink>
    </w:p>
    <w:p w14:paraId="72D92FDE"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Shareef, S. M., Madhumathi, T., Swathi, M., &amp; </w:t>
      </w:r>
      <w:proofErr w:type="spellStart"/>
      <w:r w:rsidRPr="00E63A6C">
        <w:rPr>
          <w:rFonts w:ascii="Times New Roman" w:eastAsia="Times New Roman" w:hAnsi="Times New Roman" w:cs="Times New Roman"/>
          <w:kern w:val="0"/>
          <w:sz w:val="24"/>
          <w:szCs w:val="24"/>
          <w:lang w:val="en-US" w:eastAsia="en-US" w:bidi="ar-SA"/>
        </w:rPr>
        <w:t>Patibanda</w:t>
      </w:r>
      <w:proofErr w:type="spellEnd"/>
      <w:r w:rsidRPr="00E63A6C">
        <w:rPr>
          <w:rFonts w:ascii="Times New Roman" w:eastAsia="Times New Roman" w:hAnsi="Times New Roman" w:cs="Times New Roman"/>
          <w:kern w:val="0"/>
          <w:sz w:val="24"/>
          <w:szCs w:val="24"/>
          <w:lang w:val="en-US" w:eastAsia="en-US" w:bidi="ar-SA"/>
        </w:rPr>
        <w:t xml:space="preserve">, A. K. (2022). Toxicity of some insecticides to the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w:t>
      </w:r>
      <w:r w:rsidRPr="00E63A6C">
        <w:rPr>
          <w:rFonts w:ascii="Times New Roman" w:eastAsia="Times New Roman" w:hAnsi="Times New Roman" w:cs="Times New Roman"/>
          <w:i/>
          <w:iCs/>
          <w:kern w:val="0"/>
          <w:sz w:val="24"/>
          <w:szCs w:val="24"/>
          <w:lang w:val="en-US" w:eastAsia="en-US" w:bidi="ar-SA"/>
        </w:rPr>
        <w:t>Indian Journal of Entomology, 84</w:t>
      </w:r>
      <w:r w:rsidRPr="00E63A6C">
        <w:rPr>
          <w:rFonts w:ascii="Times New Roman" w:eastAsia="Times New Roman" w:hAnsi="Times New Roman" w:cs="Times New Roman"/>
          <w:kern w:val="0"/>
          <w:sz w:val="24"/>
          <w:szCs w:val="24"/>
          <w:lang w:val="en-US" w:eastAsia="en-US" w:bidi="ar-SA"/>
        </w:rPr>
        <w:t xml:space="preserve">(3), 680–682. </w:t>
      </w:r>
      <w:hyperlink r:id="rId30" w:history="1">
        <w:r w:rsidRPr="00E63A6C">
          <w:rPr>
            <w:rFonts w:ascii="Times New Roman" w:eastAsia="Times New Roman" w:hAnsi="Times New Roman" w:cs="Times New Roman"/>
            <w:color w:val="0000FF"/>
            <w:kern w:val="0"/>
            <w:sz w:val="24"/>
            <w:szCs w:val="24"/>
            <w:u w:val="single"/>
            <w:lang w:val="en-US" w:eastAsia="en-US" w:bidi="ar-SA"/>
          </w:rPr>
          <w:t>https://doi.org/10.55446/IJE.2021.283</w:t>
        </w:r>
      </w:hyperlink>
    </w:p>
    <w:p w14:paraId="110E5AB4"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proofErr w:type="spellStart"/>
      <w:r w:rsidRPr="00E63A6C">
        <w:rPr>
          <w:rFonts w:ascii="Times New Roman" w:eastAsia="Times New Roman" w:hAnsi="Times New Roman" w:cs="Times New Roman"/>
          <w:kern w:val="0"/>
          <w:sz w:val="24"/>
          <w:szCs w:val="24"/>
          <w:lang w:val="en-US" w:eastAsia="en-US" w:bidi="ar-SA"/>
        </w:rPr>
        <w:lastRenderedPageBreak/>
        <w:t>Thirawut</w:t>
      </w:r>
      <w:proofErr w:type="spellEnd"/>
      <w:r w:rsidRPr="00E63A6C">
        <w:rPr>
          <w:rFonts w:ascii="Times New Roman" w:eastAsia="Times New Roman" w:hAnsi="Times New Roman" w:cs="Times New Roman"/>
          <w:kern w:val="0"/>
          <w:sz w:val="24"/>
          <w:szCs w:val="24"/>
          <w:lang w:val="en-US" w:eastAsia="en-US" w:bidi="ar-SA"/>
        </w:rPr>
        <w:t xml:space="preserve">, S., </w:t>
      </w:r>
      <w:proofErr w:type="spellStart"/>
      <w:r w:rsidRPr="00E63A6C">
        <w:rPr>
          <w:rFonts w:ascii="Times New Roman" w:eastAsia="Times New Roman" w:hAnsi="Times New Roman" w:cs="Times New Roman"/>
          <w:kern w:val="0"/>
          <w:sz w:val="24"/>
          <w:szCs w:val="24"/>
          <w:lang w:val="en-US" w:eastAsia="en-US" w:bidi="ar-SA"/>
        </w:rPr>
        <w:t>Sutjaritthammajariyangkun</w:t>
      </w:r>
      <w:proofErr w:type="spellEnd"/>
      <w:r w:rsidRPr="00E63A6C">
        <w:rPr>
          <w:rFonts w:ascii="Times New Roman" w:eastAsia="Times New Roman" w:hAnsi="Times New Roman" w:cs="Times New Roman"/>
          <w:kern w:val="0"/>
          <w:sz w:val="24"/>
          <w:szCs w:val="24"/>
          <w:lang w:val="en-US" w:eastAsia="en-US" w:bidi="ar-SA"/>
        </w:rPr>
        <w:t xml:space="preserve">, W., </w:t>
      </w:r>
      <w:proofErr w:type="spellStart"/>
      <w:r w:rsidRPr="00E63A6C">
        <w:rPr>
          <w:rFonts w:ascii="Times New Roman" w:eastAsia="Times New Roman" w:hAnsi="Times New Roman" w:cs="Times New Roman"/>
          <w:kern w:val="0"/>
          <w:sz w:val="24"/>
          <w:szCs w:val="24"/>
          <w:lang w:val="en-US" w:eastAsia="en-US" w:bidi="ar-SA"/>
        </w:rPr>
        <w:t>Rukkasikorn</w:t>
      </w:r>
      <w:proofErr w:type="spellEnd"/>
      <w:r w:rsidRPr="00E63A6C">
        <w:rPr>
          <w:rFonts w:ascii="Times New Roman" w:eastAsia="Times New Roman" w:hAnsi="Times New Roman" w:cs="Times New Roman"/>
          <w:kern w:val="0"/>
          <w:sz w:val="24"/>
          <w:szCs w:val="24"/>
          <w:lang w:val="en-US" w:eastAsia="en-US" w:bidi="ar-SA"/>
        </w:rPr>
        <w:t xml:space="preserve">, A., </w:t>
      </w:r>
      <w:proofErr w:type="spellStart"/>
      <w:r w:rsidRPr="00E63A6C">
        <w:rPr>
          <w:rFonts w:ascii="Times New Roman" w:eastAsia="Times New Roman" w:hAnsi="Times New Roman" w:cs="Times New Roman"/>
          <w:kern w:val="0"/>
          <w:sz w:val="24"/>
          <w:szCs w:val="24"/>
          <w:lang w:val="en-US" w:eastAsia="en-US" w:bidi="ar-SA"/>
        </w:rPr>
        <w:t>Punyawattoe</w:t>
      </w:r>
      <w:proofErr w:type="spellEnd"/>
      <w:r w:rsidRPr="00E63A6C">
        <w:rPr>
          <w:rFonts w:ascii="Times New Roman" w:eastAsia="Times New Roman" w:hAnsi="Times New Roman" w:cs="Times New Roman"/>
          <w:kern w:val="0"/>
          <w:sz w:val="24"/>
          <w:szCs w:val="24"/>
          <w:lang w:val="en-US" w:eastAsia="en-US" w:bidi="ar-SA"/>
        </w:rPr>
        <w:t xml:space="preserve">, P., </w:t>
      </w:r>
      <w:proofErr w:type="spellStart"/>
      <w:r w:rsidRPr="00E63A6C">
        <w:rPr>
          <w:rFonts w:ascii="Times New Roman" w:eastAsia="Times New Roman" w:hAnsi="Times New Roman" w:cs="Times New Roman"/>
          <w:kern w:val="0"/>
          <w:sz w:val="24"/>
          <w:szCs w:val="24"/>
          <w:lang w:val="en-US" w:eastAsia="en-US" w:bidi="ar-SA"/>
        </w:rPr>
        <w:t>Noonart</w:t>
      </w:r>
      <w:proofErr w:type="spellEnd"/>
      <w:r w:rsidRPr="00E63A6C">
        <w:rPr>
          <w:rFonts w:ascii="Times New Roman" w:eastAsia="Times New Roman" w:hAnsi="Times New Roman" w:cs="Times New Roman"/>
          <w:kern w:val="0"/>
          <w:sz w:val="24"/>
          <w:szCs w:val="24"/>
          <w:lang w:val="en-US" w:eastAsia="en-US" w:bidi="ar-SA"/>
        </w:rPr>
        <w:t>, U., &amp; Kobori, Y. (2023). Pesticide susceptibility monitoring of fall armyworms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A simple methodology for information-sharing among Southeast Asian countries. </w:t>
      </w:r>
      <w:r w:rsidRPr="00E63A6C">
        <w:rPr>
          <w:rFonts w:ascii="Times New Roman" w:eastAsia="Times New Roman" w:hAnsi="Times New Roman" w:cs="Times New Roman"/>
          <w:i/>
          <w:iCs/>
          <w:kern w:val="0"/>
          <w:sz w:val="24"/>
          <w:szCs w:val="24"/>
          <w:lang w:val="en-US" w:eastAsia="en-US" w:bidi="ar-SA"/>
        </w:rPr>
        <w:t>CABI Agriculture and Bioscience, 4</w:t>
      </w:r>
      <w:r w:rsidRPr="00E63A6C">
        <w:rPr>
          <w:rFonts w:ascii="Times New Roman" w:eastAsia="Times New Roman" w:hAnsi="Times New Roman" w:cs="Times New Roman"/>
          <w:kern w:val="0"/>
          <w:sz w:val="24"/>
          <w:szCs w:val="24"/>
          <w:lang w:val="en-US" w:eastAsia="en-US" w:bidi="ar-SA"/>
        </w:rPr>
        <w:t xml:space="preserve">, Article 19. </w:t>
      </w:r>
      <w:hyperlink r:id="rId31" w:history="1">
        <w:r w:rsidRPr="00E63A6C">
          <w:rPr>
            <w:rFonts w:ascii="Times New Roman" w:eastAsia="Times New Roman" w:hAnsi="Times New Roman" w:cs="Times New Roman"/>
            <w:color w:val="0000FF"/>
            <w:kern w:val="0"/>
            <w:sz w:val="24"/>
            <w:szCs w:val="24"/>
            <w:u w:val="single"/>
            <w:lang w:val="en-US" w:eastAsia="en-US" w:bidi="ar-SA"/>
          </w:rPr>
          <w:t>https://doi.org/10.1186/s43170-023-00160-8</w:t>
        </w:r>
      </w:hyperlink>
    </w:p>
    <w:p w14:paraId="6EBA5306"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Yu, S. J. (1991). Insecticide resistance in the fall armyworm,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(J. E. Smith). </w:t>
      </w:r>
      <w:r w:rsidRPr="00E63A6C">
        <w:rPr>
          <w:rFonts w:ascii="Times New Roman" w:eastAsia="Times New Roman" w:hAnsi="Times New Roman" w:cs="Times New Roman"/>
          <w:i/>
          <w:iCs/>
          <w:kern w:val="0"/>
          <w:sz w:val="24"/>
          <w:szCs w:val="24"/>
          <w:lang w:val="en-US" w:eastAsia="en-US" w:bidi="ar-SA"/>
        </w:rPr>
        <w:t>Pesticide Biochemistry and Physiology, 39</w:t>
      </w:r>
      <w:r w:rsidRPr="00E63A6C">
        <w:rPr>
          <w:rFonts w:ascii="Times New Roman" w:eastAsia="Times New Roman" w:hAnsi="Times New Roman" w:cs="Times New Roman"/>
          <w:kern w:val="0"/>
          <w:sz w:val="24"/>
          <w:szCs w:val="24"/>
          <w:lang w:val="en-US" w:eastAsia="en-US" w:bidi="ar-SA"/>
        </w:rPr>
        <w:t xml:space="preserve">(1), 84–91. </w:t>
      </w:r>
      <w:hyperlink r:id="rId32" w:history="1">
        <w:r w:rsidRPr="00E63A6C">
          <w:rPr>
            <w:rFonts w:ascii="Times New Roman" w:eastAsia="Times New Roman" w:hAnsi="Times New Roman" w:cs="Times New Roman"/>
            <w:color w:val="0000FF"/>
            <w:kern w:val="0"/>
            <w:sz w:val="24"/>
            <w:szCs w:val="24"/>
            <w:u w:val="single"/>
            <w:lang w:val="en-US" w:eastAsia="en-US" w:bidi="ar-SA"/>
          </w:rPr>
          <w:t>https://doi.org/10.1016/0048-3575(91)90216-9</w:t>
        </w:r>
      </w:hyperlink>
    </w:p>
    <w:p w14:paraId="7D1010C0" w14:textId="77777777" w:rsidR="00E63A6C" w:rsidRPr="00E63A6C" w:rsidRDefault="00E63A6C" w:rsidP="00E63A6C">
      <w:pPr>
        <w:suppressAutoHyphens w:val="0"/>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eastAsia="en-US" w:bidi="ar-SA"/>
        </w:rPr>
      </w:pPr>
      <w:r w:rsidRPr="00E63A6C">
        <w:rPr>
          <w:rFonts w:ascii="Times New Roman" w:eastAsia="Times New Roman" w:hAnsi="Times New Roman" w:cs="Times New Roman"/>
          <w:kern w:val="0"/>
          <w:sz w:val="24"/>
          <w:szCs w:val="24"/>
          <w:lang w:val="en-US" w:eastAsia="en-US" w:bidi="ar-SA"/>
        </w:rPr>
        <w:t xml:space="preserve">Zaidi, S. W. N., Saddiq, B., Afzal, M. B. S., </w:t>
      </w:r>
      <w:proofErr w:type="spellStart"/>
      <w:r w:rsidRPr="00E63A6C">
        <w:rPr>
          <w:rFonts w:ascii="Times New Roman" w:eastAsia="Times New Roman" w:hAnsi="Times New Roman" w:cs="Times New Roman"/>
          <w:kern w:val="0"/>
          <w:sz w:val="24"/>
          <w:szCs w:val="24"/>
          <w:lang w:val="en-US" w:eastAsia="en-US" w:bidi="ar-SA"/>
        </w:rPr>
        <w:t>Banazeer</w:t>
      </w:r>
      <w:proofErr w:type="spellEnd"/>
      <w:r w:rsidRPr="00E63A6C">
        <w:rPr>
          <w:rFonts w:ascii="Times New Roman" w:eastAsia="Times New Roman" w:hAnsi="Times New Roman" w:cs="Times New Roman"/>
          <w:kern w:val="0"/>
          <w:sz w:val="24"/>
          <w:szCs w:val="24"/>
          <w:lang w:val="en-US" w:eastAsia="en-US" w:bidi="ar-SA"/>
        </w:rPr>
        <w:t xml:space="preserve">, A., </w:t>
      </w:r>
      <w:proofErr w:type="spellStart"/>
      <w:r w:rsidRPr="00E63A6C">
        <w:rPr>
          <w:rFonts w:ascii="Times New Roman" w:eastAsia="Times New Roman" w:hAnsi="Times New Roman" w:cs="Times New Roman"/>
          <w:kern w:val="0"/>
          <w:sz w:val="24"/>
          <w:szCs w:val="24"/>
          <w:lang w:val="en-US" w:eastAsia="en-US" w:bidi="ar-SA"/>
        </w:rPr>
        <w:t>Serrão</w:t>
      </w:r>
      <w:proofErr w:type="spellEnd"/>
      <w:r w:rsidRPr="00E63A6C">
        <w:rPr>
          <w:rFonts w:ascii="Times New Roman" w:eastAsia="Times New Roman" w:hAnsi="Times New Roman" w:cs="Times New Roman"/>
          <w:kern w:val="0"/>
          <w:sz w:val="24"/>
          <w:szCs w:val="24"/>
          <w:lang w:val="en-US" w:eastAsia="en-US" w:bidi="ar-SA"/>
        </w:rPr>
        <w:t xml:space="preserve">, J. E., Farooq, U., &amp; Baloch, M. A. Z. (2024). First report of resistance in </w:t>
      </w:r>
      <w:r w:rsidRPr="00E63A6C">
        <w:rPr>
          <w:rFonts w:ascii="Times New Roman" w:eastAsia="Times New Roman" w:hAnsi="Times New Roman" w:cs="Times New Roman"/>
          <w:i/>
          <w:iCs/>
          <w:kern w:val="0"/>
          <w:sz w:val="24"/>
          <w:szCs w:val="24"/>
          <w:lang w:val="en-US" w:eastAsia="en-US" w:bidi="ar-SA"/>
        </w:rPr>
        <w:t xml:space="preserve">Spodoptera </w:t>
      </w:r>
      <w:proofErr w:type="spellStart"/>
      <w:r w:rsidRPr="00E63A6C">
        <w:rPr>
          <w:rFonts w:ascii="Times New Roman" w:eastAsia="Times New Roman" w:hAnsi="Times New Roman" w:cs="Times New Roman"/>
          <w:i/>
          <w:iCs/>
          <w:kern w:val="0"/>
          <w:sz w:val="24"/>
          <w:szCs w:val="24"/>
          <w:lang w:val="en-US" w:eastAsia="en-US" w:bidi="ar-SA"/>
        </w:rPr>
        <w:t>frugiperda</w:t>
      </w:r>
      <w:proofErr w:type="spellEnd"/>
      <w:r w:rsidRPr="00E63A6C">
        <w:rPr>
          <w:rFonts w:ascii="Times New Roman" w:eastAsia="Times New Roman" w:hAnsi="Times New Roman" w:cs="Times New Roman"/>
          <w:kern w:val="0"/>
          <w:sz w:val="24"/>
          <w:szCs w:val="24"/>
          <w:lang w:val="en-US" w:eastAsia="en-US" w:bidi="ar-SA"/>
        </w:rPr>
        <w:t xml:space="preserve"> (Lepidoptera: </w:t>
      </w:r>
      <w:proofErr w:type="spellStart"/>
      <w:r w:rsidRPr="00E63A6C">
        <w:rPr>
          <w:rFonts w:ascii="Times New Roman" w:eastAsia="Times New Roman" w:hAnsi="Times New Roman" w:cs="Times New Roman"/>
          <w:kern w:val="0"/>
          <w:sz w:val="24"/>
          <w:szCs w:val="24"/>
          <w:lang w:val="en-US" w:eastAsia="en-US" w:bidi="ar-SA"/>
        </w:rPr>
        <w:t>Noctuidae</w:t>
      </w:r>
      <w:proofErr w:type="spellEnd"/>
      <w:r w:rsidRPr="00E63A6C">
        <w:rPr>
          <w:rFonts w:ascii="Times New Roman" w:eastAsia="Times New Roman" w:hAnsi="Times New Roman" w:cs="Times New Roman"/>
          <w:kern w:val="0"/>
          <w:sz w:val="24"/>
          <w:szCs w:val="24"/>
          <w:lang w:val="en-US" w:eastAsia="en-US" w:bidi="ar-SA"/>
        </w:rPr>
        <w:t xml:space="preserve">) to lambda-cyhalothrin from Pakistan: Baseline susceptibility, selection, occurrence of cross-resistance, realized heritability, and inheritance mode of resistance. </w:t>
      </w:r>
      <w:r w:rsidRPr="00E63A6C">
        <w:rPr>
          <w:rFonts w:ascii="Times New Roman" w:eastAsia="Times New Roman" w:hAnsi="Times New Roman" w:cs="Times New Roman"/>
          <w:i/>
          <w:iCs/>
          <w:kern w:val="0"/>
          <w:sz w:val="24"/>
          <w:szCs w:val="24"/>
          <w:lang w:val="en-US" w:eastAsia="en-US" w:bidi="ar-SA"/>
        </w:rPr>
        <w:t>Journal of Economic Entomology, 117</w:t>
      </w:r>
      <w:r w:rsidRPr="00E63A6C">
        <w:rPr>
          <w:rFonts w:ascii="Times New Roman" w:eastAsia="Times New Roman" w:hAnsi="Times New Roman" w:cs="Times New Roman"/>
          <w:kern w:val="0"/>
          <w:sz w:val="24"/>
          <w:szCs w:val="24"/>
          <w:lang w:val="en-US" w:eastAsia="en-US" w:bidi="ar-SA"/>
        </w:rPr>
        <w:t xml:space="preserve">(4), 1636–1647. </w:t>
      </w:r>
      <w:hyperlink r:id="rId33" w:history="1">
        <w:r w:rsidRPr="00E63A6C">
          <w:rPr>
            <w:rFonts w:ascii="Times New Roman" w:eastAsia="Times New Roman" w:hAnsi="Times New Roman" w:cs="Times New Roman"/>
            <w:color w:val="0000FF"/>
            <w:kern w:val="0"/>
            <w:sz w:val="24"/>
            <w:szCs w:val="24"/>
            <w:u w:val="single"/>
            <w:lang w:val="en-US" w:eastAsia="en-US" w:bidi="ar-SA"/>
          </w:rPr>
          <w:t>https://doi.org/10.1093/jee/toae132</w:t>
        </w:r>
      </w:hyperlink>
    </w:p>
    <w:p w14:paraId="6756A448" w14:textId="65C9A5EB" w:rsidR="00BC21C0" w:rsidRPr="00A94C17" w:rsidRDefault="00BC21C0" w:rsidP="00E63A6C">
      <w:pPr>
        <w:spacing w:after="60" w:line="240" w:lineRule="auto"/>
        <w:ind w:left="720" w:hanging="720"/>
        <w:jc w:val="both"/>
      </w:pPr>
    </w:p>
    <w:sectPr w:rsidR="00BC21C0" w:rsidRPr="00A94C17">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F04B1" w14:textId="77777777" w:rsidR="002A1621" w:rsidRDefault="002A1621" w:rsidP="00D032BC">
      <w:pPr>
        <w:spacing w:after="0" w:line="240" w:lineRule="auto"/>
      </w:pPr>
      <w:r>
        <w:separator/>
      </w:r>
    </w:p>
  </w:endnote>
  <w:endnote w:type="continuationSeparator" w:id="0">
    <w:p w14:paraId="7A7EDC8F" w14:textId="77777777" w:rsidR="002A1621" w:rsidRDefault="002A1621" w:rsidP="00D0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等线 Light">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5D31" w14:textId="77777777" w:rsidR="00D032BC" w:rsidRDefault="00D032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8E37" w14:textId="77777777" w:rsidR="00D032BC" w:rsidRDefault="00D032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5B99" w14:textId="77777777" w:rsidR="00D032BC" w:rsidRDefault="00D03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FE8E7" w14:textId="77777777" w:rsidR="002A1621" w:rsidRDefault="002A1621" w:rsidP="00D032BC">
      <w:pPr>
        <w:spacing w:after="0" w:line="240" w:lineRule="auto"/>
      </w:pPr>
      <w:r>
        <w:separator/>
      </w:r>
    </w:p>
  </w:footnote>
  <w:footnote w:type="continuationSeparator" w:id="0">
    <w:p w14:paraId="46B3B4FC" w14:textId="77777777" w:rsidR="002A1621" w:rsidRDefault="002A1621" w:rsidP="00D03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2160F" w14:textId="77777777" w:rsidR="00D032BC" w:rsidRDefault="00000000">
    <w:pPr>
      <w:pStyle w:val="Header"/>
    </w:pPr>
    <w:r>
      <w:rPr>
        <w:noProof/>
      </w:rPr>
      <w:pict w14:anchorId="402BE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3" o:spid="_x0000_s1026" type="#_x0000_t136" style="position:absolute;margin-left:0;margin-top:0;width:535.8pt;height:100.45pt;rotation:315;z-index:-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EF95" w14:textId="77777777" w:rsidR="00D032BC" w:rsidRDefault="00000000">
    <w:pPr>
      <w:pStyle w:val="Header"/>
    </w:pPr>
    <w:r>
      <w:rPr>
        <w:noProof/>
      </w:rPr>
      <w:pict w14:anchorId="1B35D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4" o:spid="_x0000_s1027" type="#_x0000_t136" style="position:absolute;margin-left:0;margin-top:0;width:535.8pt;height:100.45pt;rotation:315;z-index:-1;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1AA2" w14:textId="77777777" w:rsidR="00D032BC" w:rsidRDefault="00000000">
    <w:pPr>
      <w:pStyle w:val="Header"/>
    </w:pPr>
    <w:r>
      <w:rPr>
        <w:noProof/>
      </w:rPr>
      <w:pict w14:anchorId="0EA6D5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2" o:spid="_x0000_s1025" type="#_x0000_t136" style="position:absolute;margin-left:0;margin-top:0;width:535.8pt;height:100.45pt;rotation:315;z-index:-3;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22E1"/>
    <w:multiLevelType w:val="multilevel"/>
    <w:tmpl w:val="937801D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593174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7240"/>
    <w:rsid w:val="0009181C"/>
    <w:rsid w:val="00131AFB"/>
    <w:rsid w:val="001F51EA"/>
    <w:rsid w:val="001F5EC2"/>
    <w:rsid w:val="002A1621"/>
    <w:rsid w:val="004A0580"/>
    <w:rsid w:val="005378A0"/>
    <w:rsid w:val="006A4062"/>
    <w:rsid w:val="007B706D"/>
    <w:rsid w:val="007E01EB"/>
    <w:rsid w:val="008741EA"/>
    <w:rsid w:val="008C1E6C"/>
    <w:rsid w:val="00997240"/>
    <w:rsid w:val="00A94C17"/>
    <w:rsid w:val="00BC21C0"/>
    <w:rsid w:val="00C41A9F"/>
    <w:rsid w:val="00D032BC"/>
    <w:rsid w:val="00D15BF4"/>
    <w:rsid w:val="00D44B77"/>
    <w:rsid w:val="00D64C04"/>
    <w:rsid w:val="00DC3679"/>
    <w:rsid w:val="00E26B88"/>
    <w:rsid w:val="00E314A5"/>
    <w:rsid w:val="00E63A6C"/>
    <w:rsid w:val="00E90C85"/>
    <w:rsid w:val="00F41BAF"/>
    <w:rsid w:val="00F47551"/>
    <w:rsid w:val="00F520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BA0B5"/>
  <w15:docId w15:val="{A6A7C894-E485-4FFD-AE33-8F0D09BD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Mangal"/>
      <w:kern w:val="2"/>
      <w:sz w:val="22"/>
      <w:lang w:val="en-IN" w:eastAsia="zh-CN" w:bidi="hi-I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DengXian Light;等线 Light" w:hAnsi="Calibri Light"/>
      <w:color w:val="2F5496"/>
      <w:sz w:val="40"/>
      <w:szCs w:val="36"/>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DengXian Light;等线 Light" w:hAnsi="Calibri Light"/>
      <w:color w:val="2F5496"/>
      <w:sz w:val="32"/>
      <w:szCs w:val="29"/>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DengXian Light;等线 Light"/>
      <w:color w:val="2F5496"/>
      <w:sz w:val="28"/>
      <w:szCs w:val="25"/>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DengXian Light;等线 Light"/>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DengXian Light;等线 Light"/>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DengXian Light;等线 Light"/>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DengXian Light;等线 Light"/>
      <w:color w:val="595959"/>
    </w:rPr>
  </w:style>
  <w:style w:type="paragraph" w:styleId="Heading8">
    <w:name w:val="heading 8"/>
    <w:basedOn w:val="Normal"/>
    <w:next w:val="Normal"/>
    <w:qFormat/>
    <w:pPr>
      <w:keepNext/>
      <w:keepLines/>
      <w:numPr>
        <w:ilvl w:val="7"/>
        <w:numId w:val="1"/>
      </w:numPr>
      <w:spacing w:after="0"/>
      <w:outlineLvl w:val="7"/>
    </w:pPr>
    <w:rPr>
      <w:rFonts w:eastAsia="DengXian Light;等线 Light"/>
      <w:i/>
      <w:iCs/>
      <w:color w:val="272727"/>
    </w:rPr>
  </w:style>
  <w:style w:type="paragraph" w:styleId="Heading9">
    <w:name w:val="heading 9"/>
    <w:basedOn w:val="Normal"/>
    <w:next w:val="Normal"/>
    <w:qFormat/>
    <w:pPr>
      <w:keepNext/>
      <w:keepLines/>
      <w:numPr>
        <w:ilvl w:val="8"/>
        <w:numId w:val="1"/>
      </w:numPr>
      <w:spacing w:after="0"/>
      <w:outlineLvl w:val="8"/>
    </w:pPr>
    <w:rPr>
      <w:rFonts w:eastAsia="DengXian Light;等线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Calibri Light" w:eastAsia="DengXian Light;等线 Light" w:hAnsi="Calibri Light" w:cs="Mangal"/>
      <w:color w:val="2F5496"/>
      <w:sz w:val="40"/>
      <w:szCs w:val="36"/>
    </w:rPr>
  </w:style>
  <w:style w:type="character" w:customStyle="1" w:styleId="Heading2Char">
    <w:name w:val="Heading 2 Char"/>
    <w:qFormat/>
    <w:rPr>
      <w:rFonts w:ascii="Calibri Light" w:eastAsia="DengXian Light;等线 Light" w:hAnsi="Calibri Light" w:cs="Mangal"/>
      <w:color w:val="2F5496"/>
      <w:sz w:val="32"/>
      <w:szCs w:val="29"/>
    </w:rPr>
  </w:style>
  <w:style w:type="character" w:customStyle="1" w:styleId="Heading3Char">
    <w:name w:val="Heading 3 Char"/>
    <w:qFormat/>
    <w:rPr>
      <w:rFonts w:eastAsia="DengXian Light;等线 Light" w:cs="Mangal"/>
      <w:color w:val="2F5496"/>
      <w:sz w:val="28"/>
      <w:szCs w:val="25"/>
    </w:rPr>
  </w:style>
  <w:style w:type="character" w:customStyle="1" w:styleId="Heading4Char">
    <w:name w:val="Heading 4 Char"/>
    <w:qFormat/>
    <w:rPr>
      <w:rFonts w:eastAsia="DengXian Light;等线 Light" w:cs="Mangal"/>
      <w:i/>
      <w:iCs/>
      <w:color w:val="2F5496"/>
    </w:rPr>
  </w:style>
  <w:style w:type="character" w:customStyle="1" w:styleId="Heading5Char">
    <w:name w:val="Heading 5 Char"/>
    <w:qFormat/>
    <w:rPr>
      <w:rFonts w:eastAsia="DengXian Light;等线 Light" w:cs="Mangal"/>
      <w:color w:val="2F5496"/>
    </w:rPr>
  </w:style>
  <w:style w:type="character" w:customStyle="1" w:styleId="Heading6Char">
    <w:name w:val="Heading 6 Char"/>
    <w:qFormat/>
    <w:rPr>
      <w:rFonts w:eastAsia="DengXian Light;等线 Light" w:cs="Mangal"/>
      <w:i/>
      <w:iCs/>
      <w:color w:val="595959"/>
    </w:rPr>
  </w:style>
  <w:style w:type="character" w:customStyle="1" w:styleId="Heading7Char">
    <w:name w:val="Heading 7 Char"/>
    <w:qFormat/>
    <w:rPr>
      <w:rFonts w:eastAsia="DengXian Light;等线 Light" w:cs="Mangal"/>
      <w:color w:val="595959"/>
    </w:rPr>
  </w:style>
  <w:style w:type="character" w:customStyle="1" w:styleId="Heading8Char">
    <w:name w:val="Heading 8 Char"/>
    <w:qFormat/>
    <w:rPr>
      <w:rFonts w:eastAsia="DengXian Light;等线 Light" w:cs="Mangal"/>
      <w:i/>
      <w:iCs/>
      <w:color w:val="272727"/>
    </w:rPr>
  </w:style>
  <w:style w:type="character" w:customStyle="1" w:styleId="Heading9Char">
    <w:name w:val="Heading 9 Char"/>
    <w:qFormat/>
    <w:rPr>
      <w:rFonts w:eastAsia="DengXian Light;等线 Light" w:cs="Mangal"/>
      <w:color w:val="272727"/>
    </w:rPr>
  </w:style>
  <w:style w:type="character" w:customStyle="1" w:styleId="TitleChar">
    <w:name w:val="Title Char"/>
    <w:qFormat/>
    <w:rPr>
      <w:rFonts w:ascii="Calibri Light" w:eastAsia="DengXian Light;等线 Light" w:hAnsi="Calibri Light" w:cs="Mangal"/>
      <w:spacing w:val="-10"/>
      <w:kern w:val="2"/>
      <w:sz w:val="56"/>
      <w:szCs w:val="50"/>
    </w:rPr>
  </w:style>
  <w:style w:type="character" w:customStyle="1" w:styleId="SubtitleChar">
    <w:name w:val="Subtitle Char"/>
    <w:qFormat/>
    <w:rPr>
      <w:rFonts w:eastAsia="DengXian Light;等线 Light" w:cs="Mangal"/>
      <w:color w:val="595959"/>
      <w:spacing w:val="15"/>
      <w:sz w:val="28"/>
      <w:szCs w:val="25"/>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customStyle="1" w:styleId="BodyTextChar">
    <w:name w:val="Body Text Char"/>
    <w:qFormat/>
    <w:rPr>
      <w:rFonts w:ascii="Times New Roman" w:eastAsia="Calibri" w:hAnsi="Times New Roman" w:cs="Times New Roman"/>
      <w:kern w:val="0"/>
      <w:sz w:val="24"/>
      <w:szCs w:val="24"/>
      <w:lang w:val="en-US" w:bidi="ar-SA"/>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spacing w:after="80" w:line="240" w:lineRule="auto"/>
      <w:contextualSpacing/>
    </w:pPr>
    <w:rPr>
      <w:rFonts w:ascii="Calibri Light" w:eastAsia="DengXian Light;等线 Light" w:hAnsi="Calibri Light"/>
      <w:spacing w:val="-10"/>
      <w:sz w:val="56"/>
      <w:szCs w:val="50"/>
    </w:rPr>
  </w:style>
  <w:style w:type="paragraph" w:styleId="BodyText">
    <w:name w:val="Body Text"/>
    <w:basedOn w:val="Normal"/>
    <w:pPr>
      <w:widowControl w:val="0"/>
      <w:autoSpaceDE w:val="0"/>
      <w:spacing w:after="0" w:line="240" w:lineRule="auto"/>
    </w:pPr>
    <w:rPr>
      <w:rFonts w:ascii="Times New Roman" w:hAnsi="Times New Roman" w:cs="Times New Roman"/>
      <w:kern w:val="0"/>
      <w:sz w:val="24"/>
      <w:szCs w:val="24"/>
      <w:lang w:val="en-US" w:bidi="ar-SA"/>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DengXian Light;等线 Light"/>
      <w:color w:val="595959"/>
      <w:spacing w:val="15"/>
      <w:sz w:val="28"/>
      <w:szCs w:val="25"/>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Header">
    <w:name w:val="header"/>
    <w:basedOn w:val="Normal"/>
    <w:link w:val="HeaderChar"/>
    <w:uiPriority w:val="99"/>
    <w:unhideWhenUsed/>
    <w:rsid w:val="00D032BC"/>
    <w:pPr>
      <w:tabs>
        <w:tab w:val="center" w:pos="4513"/>
        <w:tab w:val="right" w:pos="9026"/>
      </w:tabs>
    </w:pPr>
  </w:style>
  <w:style w:type="character" w:customStyle="1" w:styleId="HeaderChar">
    <w:name w:val="Header Char"/>
    <w:link w:val="Header"/>
    <w:uiPriority w:val="99"/>
    <w:rsid w:val="00D032BC"/>
    <w:rPr>
      <w:rFonts w:ascii="Calibri" w:eastAsia="Calibri" w:hAnsi="Calibri" w:cs="Mangal"/>
      <w:kern w:val="2"/>
      <w:sz w:val="22"/>
      <w:lang w:val="en-IN" w:eastAsia="zh-CN" w:bidi="hi-IN"/>
    </w:rPr>
  </w:style>
  <w:style w:type="paragraph" w:styleId="Footer">
    <w:name w:val="footer"/>
    <w:basedOn w:val="Normal"/>
    <w:link w:val="FooterChar"/>
    <w:uiPriority w:val="99"/>
    <w:unhideWhenUsed/>
    <w:rsid w:val="00D032BC"/>
    <w:pPr>
      <w:tabs>
        <w:tab w:val="center" w:pos="4513"/>
        <w:tab w:val="right" w:pos="9026"/>
      </w:tabs>
    </w:pPr>
  </w:style>
  <w:style w:type="character" w:customStyle="1" w:styleId="FooterChar">
    <w:name w:val="Footer Char"/>
    <w:link w:val="Footer"/>
    <w:uiPriority w:val="99"/>
    <w:rsid w:val="00D032BC"/>
    <w:rPr>
      <w:rFonts w:ascii="Calibri" w:eastAsia="Calibri" w:hAnsi="Calibri" w:cs="Mangal"/>
      <w:kern w:val="2"/>
      <w:sz w:val="22"/>
      <w:lang w:val="en-IN" w:eastAsia="zh-CN" w:bidi="hi-IN"/>
    </w:rPr>
  </w:style>
  <w:style w:type="paragraph" w:styleId="Revision">
    <w:name w:val="Revision"/>
    <w:hidden/>
    <w:uiPriority w:val="99"/>
    <w:semiHidden/>
    <w:rsid w:val="008C1E6C"/>
    <w:rPr>
      <w:rFonts w:ascii="Calibri" w:eastAsia="Calibri" w:hAnsi="Calibri" w:cs="Mangal"/>
      <w:kern w:val="2"/>
      <w:sz w:val="22"/>
      <w:lang w:val="en-IN" w:eastAsia="zh-CN" w:bidi="hi-IN"/>
    </w:rPr>
  </w:style>
  <w:style w:type="character" w:styleId="CommentReference">
    <w:name w:val="annotation reference"/>
    <w:uiPriority w:val="99"/>
    <w:semiHidden/>
    <w:unhideWhenUsed/>
    <w:rsid w:val="00D64C04"/>
    <w:rPr>
      <w:sz w:val="16"/>
      <w:szCs w:val="16"/>
    </w:rPr>
  </w:style>
  <w:style w:type="paragraph" w:styleId="CommentText">
    <w:name w:val="annotation text"/>
    <w:basedOn w:val="Normal"/>
    <w:link w:val="CommentTextChar"/>
    <w:uiPriority w:val="99"/>
    <w:semiHidden/>
    <w:unhideWhenUsed/>
    <w:rsid w:val="00D64C04"/>
    <w:rPr>
      <w:sz w:val="20"/>
      <w:szCs w:val="18"/>
    </w:rPr>
  </w:style>
  <w:style w:type="character" w:customStyle="1" w:styleId="CommentTextChar">
    <w:name w:val="Comment Text Char"/>
    <w:link w:val="CommentText"/>
    <w:uiPriority w:val="99"/>
    <w:semiHidden/>
    <w:rsid w:val="00D64C04"/>
    <w:rPr>
      <w:rFonts w:ascii="Calibri" w:eastAsia="Calibri" w:hAnsi="Calibri" w:cs="Mangal"/>
      <w:kern w:val="2"/>
      <w:szCs w:val="18"/>
      <w:lang w:eastAsia="zh-CN" w:bidi="hi-IN"/>
    </w:rPr>
  </w:style>
  <w:style w:type="paragraph" w:styleId="CommentSubject">
    <w:name w:val="annotation subject"/>
    <w:basedOn w:val="CommentText"/>
    <w:next w:val="CommentText"/>
    <w:link w:val="CommentSubjectChar"/>
    <w:uiPriority w:val="99"/>
    <w:semiHidden/>
    <w:unhideWhenUsed/>
    <w:rsid w:val="00D64C04"/>
    <w:rPr>
      <w:b/>
      <w:bCs/>
    </w:rPr>
  </w:style>
  <w:style w:type="character" w:customStyle="1" w:styleId="CommentSubjectChar">
    <w:name w:val="Comment Subject Char"/>
    <w:link w:val="CommentSubject"/>
    <w:uiPriority w:val="99"/>
    <w:semiHidden/>
    <w:rsid w:val="00D64C04"/>
    <w:rPr>
      <w:rFonts w:ascii="Calibri" w:eastAsia="Calibri" w:hAnsi="Calibri" w:cs="Mangal"/>
      <w:b/>
      <w:bCs/>
      <w:kern w:val="2"/>
      <w:szCs w:val="18"/>
      <w:lang w:eastAsia="zh-CN" w:bidi="hi-IN"/>
    </w:rPr>
  </w:style>
  <w:style w:type="paragraph" w:customStyle="1" w:styleId="pdq2pgselectionanchorcontainer">
    <w:name w:val="pdq2pg_selectionanchorcontainer"/>
    <w:basedOn w:val="Normal"/>
    <w:rsid w:val="00A94C17"/>
    <w:pPr>
      <w:suppressAutoHyphens w:val="0"/>
      <w:spacing w:before="100" w:beforeAutospacing="1" w:after="100" w:afterAutospacing="1" w:line="240" w:lineRule="auto"/>
    </w:pPr>
    <w:rPr>
      <w:rFonts w:ascii="Times New Roman" w:eastAsia="Times New Roman" w:hAnsi="Times New Roman" w:cs="Times New Roman"/>
      <w:kern w:val="0"/>
      <w:sz w:val="24"/>
      <w:szCs w:val="24"/>
      <w:lang w:val="en-US" w:eastAsia="en-US" w:bidi="ar-SA"/>
    </w:rPr>
  </w:style>
  <w:style w:type="character" w:styleId="Emphasis">
    <w:name w:val="Emphasis"/>
    <w:uiPriority w:val="20"/>
    <w:qFormat/>
    <w:rsid w:val="00A94C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653/024.103.0211" TargetMode="External"/><Relationship Id="rId18" Type="http://schemas.openxmlformats.org/officeDocument/2006/relationships/hyperlink" Target="https://doi.org/10.3390/insects12080758" TargetMode="External"/><Relationship Id="rId26" Type="http://schemas.openxmlformats.org/officeDocument/2006/relationships/hyperlink" Target="https://agris.fao.org/search/en/providers/122512/records/669fb26e429562386250a0e9" TargetMode="External"/><Relationship Id="rId39" Type="http://schemas.openxmlformats.org/officeDocument/2006/relationships/footer" Target="footer3.xml"/><Relationship Id="rId21" Type="http://schemas.openxmlformats.org/officeDocument/2006/relationships/hyperlink" Target="https://doi.org/10.4001/003.026.0286" TargetMode="External"/><Relationship Id="rId34" Type="http://schemas.openxmlformats.org/officeDocument/2006/relationships/header" Target="header1.xml"/><Relationship Id="rId7" Type="http://schemas.openxmlformats.org/officeDocument/2006/relationships/hyperlink" Target="https://doi.org/10.1093/jee/18.2.265a" TargetMode="External"/><Relationship Id="rId2" Type="http://schemas.openxmlformats.org/officeDocument/2006/relationships/styles" Target="styles.xml"/><Relationship Id="rId16" Type="http://schemas.openxmlformats.org/officeDocument/2006/relationships/hyperlink" Target="https://doi.org/10.9734/ijpss/2022/v34i330845" TargetMode="External"/><Relationship Id="rId20" Type="http://schemas.openxmlformats.org/officeDocument/2006/relationships/hyperlink" Target="https://doi.org/10.1002/ps.8849" TargetMode="External"/><Relationship Id="rId29" Type="http://schemas.openxmlformats.org/officeDocument/2006/relationships/hyperlink" Target="https://pmhe.in/index.php/pmhe/article/view/427"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ps.5376" TargetMode="External"/><Relationship Id="rId24" Type="http://schemas.openxmlformats.org/officeDocument/2006/relationships/hyperlink" Target="https://doi.org/10.1016/j.cropro.2021.105641" TargetMode="External"/><Relationship Id="rId32" Type="http://schemas.openxmlformats.org/officeDocument/2006/relationships/hyperlink" Target="https://doi.org/10.1016/0048-3575(91)90216-9"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371/journal.pone.0165632" TargetMode="External"/><Relationship Id="rId23" Type="http://schemas.openxmlformats.org/officeDocument/2006/relationships/hyperlink" Target="https://doi.org/10.56557/bn/2026/v46i22122" TargetMode="External"/><Relationship Id="rId28" Type="http://schemas.openxmlformats.org/officeDocument/2006/relationships/hyperlink" Target="https://cjascience.com/index.php/CJAS/article/view/507" TargetMode="External"/><Relationship Id="rId36" Type="http://schemas.openxmlformats.org/officeDocument/2006/relationships/footer" Target="footer1.xml"/><Relationship Id="rId10" Type="http://schemas.openxmlformats.org/officeDocument/2006/relationships/hyperlink" Target="https://doi.org/10.1371/journal.pone.0263677" TargetMode="External"/><Relationship Id="rId19" Type="http://schemas.openxmlformats.org/officeDocument/2006/relationships/hyperlink" Target="https://doi.org/10.1002/ps.5812" TargetMode="External"/><Relationship Id="rId31" Type="http://schemas.openxmlformats.org/officeDocument/2006/relationships/hyperlink" Target="https://doi.org/10.1186/s43170-023-00160-8" TargetMode="External"/><Relationship Id="rId4" Type="http://schemas.openxmlformats.org/officeDocument/2006/relationships/webSettings" Target="webSettings.xml"/><Relationship Id="rId9" Type="http://schemas.openxmlformats.org/officeDocument/2006/relationships/hyperlink" Target="https://doi.org/10.1093/jee/toab253" TargetMode="External"/><Relationship Id="rId14" Type="http://schemas.openxmlformats.org/officeDocument/2006/relationships/hyperlink" Target="https://doi.org/10.3897/neobiota.40.28165" TargetMode="External"/><Relationship Id="rId22" Type="http://schemas.openxmlformats.org/officeDocument/2006/relationships/hyperlink" Target="https://doi.org/10.1016/j.cropro.2022.106071" TargetMode="External"/><Relationship Id="rId27" Type="http://schemas.openxmlformats.org/officeDocument/2006/relationships/hyperlink" Target="https://www.agrotechbooks.com/wp-content/uploads/2023/12/CATALOGUE.xlsx" TargetMode="External"/><Relationship Id="rId30" Type="http://schemas.openxmlformats.org/officeDocument/2006/relationships/hyperlink" Target="https://doi.org/10.55446/IJE.2021.283" TargetMode="External"/><Relationship Id="rId35" Type="http://schemas.openxmlformats.org/officeDocument/2006/relationships/header" Target="header2.xml"/><Relationship Id="rId8" Type="http://schemas.openxmlformats.org/officeDocument/2006/relationships/hyperlink" Target="https://www.indiastat.com/data/agriculture/maize/data-year/all-years" TargetMode="External"/><Relationship Id="rId3" Type="http://schemas.openxmlformats.org/officeDocument/2006/relationships/settings" Target="settings.xml"/><Relationship Id="rId12" Type="http://schemas.openxmlformats.org/officeDocument/2006/relationships/hyperlink" Target="https://doi.org/10.1371/journal.pone.0062268" TargetMode="External"/><Relationship Id="rId17" Type="http://schemas.openxmlformats.org/officeDocument/2006/relationships/hyperlink" Target="https://doi.org/10.1093/jee/toy372" TargetMode="External"/><Relationship Id="rId25" Type="http://schemas.openxmlformats.org/officeDocument/2006/relationships/hyperlink" Target="https://doi.org/10.1098/rsta.1895.0010" TargetMode="External"/><Relationship Id="rId33" Type="http://schemas.openxmlformats.org/officeDocument/2006/relationships/hyperlink" Target="https://doi.org/10.1093/jee/toae132" TargetMode="External"/><Relationship Id="rId38" Type="http://schemas.openxmlformats.org/officeDocument/2006/relationships/header" Target="head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10</Pages>
  <Words>4548</Words>
  <Characters>25928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Manuscript_UPJOZ_6240 - Final Edited</dc:title>
  <dc:subject/>
  <dc:creator>Kittu Micky</dc:creator>
  <cp:keywords/>
  <dc:description/>
  <cp:lastModifiedBy>Editor-90</cp:lastModifiedBy>
  <cp:revision>23</cp:revision>
  <dcterms:created xsi:type="dcterms:W3CDTF">2026-07-09T05:13:00Z</dcterms:created>
  <dcterms:modified xsi:type="dcterms:W3CDTF">2026-07-25T06:53:00Z</dcterms:modified>
  <dc:language>en-US</dc:language>
</cp:coreProperties>
</file>