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FCC72" w14:textId="77777777" w:rsidR="00E20A58" w:rsidRPr="00D239A0" w:rsidRDefault="00E20A58" w:rsidP="00692CE1">
      <w:pPr>
        <w:spacing w:line="360" w:lineRule="auto"/>
        <w:jc w:val="center"/>
        <w:rPr>
          <w:rFonts w:ascii="Times New Roman" w:hAnsi="Times New Roman" w:cs="Times New Roman"/>
          <w:b/>
          <w:sz w:val="24"/>
          <w:szCs w:val="24"/>
        </w:rPr>
      </w:pPr>
      <w:r w:rsidRPr="00D239A0">
        <w:rPr>
          <w:rFonts w:ascii="Times New Roman" w:hAnsi="Times New Roman" w:cs="Times New Roman"/>
          <w:b/>
          <w:sz w:val="24"/>
          <w:szCs w:val="24"/>
        </w:rPr>
        <w:t>Screening, Molecular Detection and Potential Disease Management of Motile Aeromonas Septicemia in Catlacatla Using Soil-Derived Streptomyces spp</w:t>
      </w:r>
    </w:p>
    <w:p w14:paraId="178327F4" w14:textId="77777777" w:rsidR="001604BB" w:rsidRPr="00D239A0" w:rsidRDefault="001604BB" w:rsidP="000871C9">
      <w:pPr>
        <w:spacing w:before="240" w:after="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Abstract</w:t>
      </w:r>
    </w:p>
    <w:p w14:paraId="746B56C1" w14:textId="77777777" w:rsidR="005F69D6" w:rsidRPr="005F69D6" w:rsidRDefault="005F69D6" w:rsidP="005F69D6">
      <w:pPr>
        <w:spacing w:before="100" w:beforeAutospacing="1" w:after="100" w:afterAutospacing="1" w:line="240" w:lineRule="auto"/>
        <w:jc w:val="both"/>
        <w:rPr>
          <w:rFonts w:ascii="Times New Roman" w:eastAsia="Times New Roman" w:hAnsi="Times New Roman" w:cs="Times New Roman"/>
          <w:sz w:val="24"/>
          <w:szCs w:val="24"/>
        </w:rPr>
      </w:pPr>
      <w:r w:rsidRPr="005F69D6">
        <w:rPr>
          <w:rFonts w:ascii="Times New Roman" w:eastAsia="Times New Roman" w:hAnsi="Times New Roman" w:cs="Times New Roman"/>
          <w:sz w:val="24"/>
          <w:szCs w:val="24"/>
        </w:rPr>
        <w:t>Motile Aeromonas Septicemia is an important bacterial disease affecting freshwater aquaculture and is commonly associated with infection by Aeromonas hydrophila in cultured fish. The present study evaluated soil-derived Streptomyces spp. for their antibacterial and disease-management potential against Aeromonas infection in Catla catla. Actinomycetes were isolated from soil samples collected from different habitats and screened on selective medium. Presumptive Streptomyces isolates were characterized using morphological, biochemical, and molecular approaches. Secondary metabolites were produced under submerged fermentation and extracted using ethyl acetate. The crude extract was evaluated for antibacterial activity against the target bacterial pathogen using the agar well diffusion method, and the minimum inhibitory concentration was determined by a resazurin-based microdilution assay. Among the isolates recovered, one Streptomyces isolate showed notable antibacterial activity. The extract produced concentration-dependent inhibition, with the maximum inhibition zone recorded as 24.6 ± 1.8 mm at 10 mg/mL. The minimum inhibitory concentration was 62.5 µg/mL. In the in vivo challenge study, fish receiving Streptomyces-supplemented feed showed improved survival after bacterial challenge, with treated fish showing 72% survival. The observations indicate that soil-derived Streptomyces spp. may provide antibacterial metabolites with potential application in aquaculture disease management. However, further characterization of the active compounds, confirmation of pathogen identity, optimization of dosage, and validation under controlled and field conditions are required before practical application can be recommended.</w:t>
      </w:r>
    </w:p>
    <w:p w14:paraId="4AD30D4F" w14:textId="159B5076" w:rsidR="001604BB" w:rsidRPr="00D239A0" w:rsidRDefault="001604BB" w:rsidP="001604BB">
      <w:pPr>
        <w:spacing w:before="240" w:after="240" w:line="360" w:lineRule="auto"/>
        <w:jc w:val="both"/>
        <w:rPr>
          <w:rFonts w:ascii="Times New Roman" w:hAnsi="Times New Roman" w:cs="Times New Roman"/>
          <w:sz w:val="24"/>
          <w:szCs w:val="24"/>
        </w:rPr>
      </w:pPr>
      <w:r w:rsidRPr="00D239A0">
        <w:rPr>
          <w:rFonts w:ascii="Times New Roman" w:hAnsi="Times New Roman" w:cs="Times New Roman"/>
          <w:b/>
          <w:sz w:val="24"/>
          <w:szCs w:val="24"/>
        </w:rPr>
        <w:t>Keywords</w:t>
      </w:r>
      <w:r w:rsidR="003137EA">
        <w:rPr>
          <w:rFonts w:ascii="Times New Roman" w:hAnsi="Times New Roman" w:cs="Times New Roman"/>
          <w:b/>
          <w:sz w:val="24"/>
          <w:szCs w:val="24"/>
        </w:rPr>
        <w:t xml:space="preserve">: </w:t>
      </w:r>
      <w:r w:rsidR="00F51E8F" w:rsidRPr="00D239A0">
        <w:rPr>
          <w:rFonts w:ascii="Times New Roman" w:hAnsi="Times New Roman" w:cs="Times New Roman"/>
          <w:sz w:val="24"/>
          <w:szCs w:val="24"/>
        </w:rPr>
        <w:t>Streptomyces</w:t>
      </w:r>
      <w:r w:rsidRPr="00D239A0">
        <w:rPr>
          <w:rFonts w:ascii="Times New Roman" w:hAnsi="Times New Roman" w:cs="Times New Roman"/>
          <w:sz w:val="24"/>
          <w:szCs w:val="24"/>
        </w:rPr>
        <w:t xml:space="preserve">, </w:t>
      </w:r>
      <w:r w:rsidR="00F51E8F" w:rsidRPr="00D239A0">
        <w:rPr>
          <w:rFonts w:ascii="Times New Roman" w:hAnsi="Times New Roman" w:cs="Times New Roman"/>
          <w:sz w:val="24"/>
          <w:szCs w:val="24"/>
        </w:rPr>
        <w:t xml:space="preserve">Aeromonas hydrophila. </w:t>
      </w:r>
      <w:r w:rsidRPr="00D239A0">
        <w:rPr>
          <w:rFonts w:ascii="Times New Roman" w:hAnsi="Times New Roman" w:cs="Times New Roman"/>
          <w:sz w:val="24"/>
          <w:szCs w:val="24"/>
        </w:rPr>
        <w:t xml:space="preserve">, </w:t>
      </w:r>
      <w:r w:rsidR="00F51E8F" w:rsidRPr="00D239A0">
        <w:rPr>
          <w:rFonts w:ascii="Times New Roman" w:hAnsi="Times New Roman" w:cs="Times New Roman"/>
          <w:sz w:val="24"/>
          <w:szCs w:val="24"/>
        </w:rPr>
        <w:t>Streptomyces</w:t>
      </w:r>
      <w:r w:rsidRPr="00D239A0">
        <w:rPr>
          <w:rFonts w:ascii="Times New Roman" w:hAnsi="Times New Roman" w:cs="Times New Roman"/>
          <w:sz w:val="24"/>
          <w:szCs w:val="24"/>
        </w:rPr>
        <w:t>, Biocontrol, Aquaculture, Antibacterial activity</w:t>
      </w:r>
    </w:p>
    <w:p w14:paraId="1DB27C7F" w14:textId="77777777" w:rsidR="0002274E" w:rsidRPr="00D239A0" w:rsidRDefault="0002274E" w:rsidP="001604BB">
      <w:pPr>
        <w:spacing w:before="240" w:after="240" w:line="360" w:lineRule="auto"/>
        <w:jc w:val="both"/>
        <w:rPr>
          <w:rFonts w:ascii="Times New Roman" w:hAnsi="Times New Roman" w:cs="Times New Roman"/>
          <w:b/>
          <w:sz w:val="24"/>
          <w:szCs w:val="24"/>
        </w:rPr>
        <w:sectPr w:rsidR="0002274E" w:rsidRPr="00D239A0" w:rsidSect="0054558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635EE415" w14:textId="77777777" w:rsidR="00692CE1" w:rsidRPr="00D239A0" w:rsidRDefault="00692CE1" w:rsidP="001604BB">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1. Introduction</w:t>
      </w:r>
    </w:p>
    <w:p w14:paraId="4A60F290" w14:textId="77777777" w:rsidR="00047E5F" w:rsidRPr="00D239A0" w:rsidRDefault="00047E5F" w:rsidP="00047E5F">
      <w:pPr>
        <w:spacing w:line="360" w:lineRule="auto"/>
        <w:jc w:val="both"/>
        <w:rPr>
          <w:rFonts w:ascii="Times New Roman" w:hAnsi="Times New Roman" w:cs="Times New Roman"/>
          <w:sz w:val="24"/>
          <w:szCs w:val="24"/>
        </w:rPr>
      </w:pPr>
      <w:r w:rsidRPr="00D239A0">
        <w:rPr>
          <w:rFonts w:ascii="Times New Roman" w:hAnsi="Times New Roman" w:cs="Times New Roman"/>
          <w:sz w:val="24"/>
          <w:szCs w:val="24"/>
        </w:rPr>
        <w:t>Aquaculture is and has become one of the fastest-growing food-producing sectors for nutrition security at a global level and as an important avenue that can spur employment generation along with economic development (Abdella et al., 2024). In India, fish farming practices in freshwater aquaculture are one of the important aspects of commercial-scale cultivation of Indian major carps (Jeamsripong et al., 2025), and thus a significant contributor to inland fish production. Of these, Catla is cultured commercially as it grows rapidly, and has better consumer preference and market value. However, increasing occurrences of infectious diseases have now become a major constraint to sustainable fish production and aquaculture activities are greatly intensified (Laltlanmawia et al., 2023).</w:t>
      </w:r>
    </w:p>
    <w:p w14:paraId="04465E99" w14:textId="77777777" w:rsidR="00047E5F" w:rsidRPr="00D239A0" w:rsidRDefault="00047E5F" w:rsidP="00047E5F">
      <w:pPr>
        <w:spacing w:line="360" w:lineRule="auto"/>
        <w:jc w:val="both"/>
        <w:rPr>
          <w:rFonts w:ascii="Times New Roman" w:hAnsi="Times New Roman" w:cs="Times New Roman"/>
          <w:sz w:val="24"/>
          <w:szCs w:val="24"/>
        </w:rPr>
      </w:pPr>
      <w:r w:rsidRPr="00D239A0">
        <w:rPr>
          <w:rFonts w:ascii="Times New Roman" w:hAnsi="Times New Roman" w:cs="Times New Roman"/>
          <w:sz w:val="24"/>
          <w:szCs w:val="24"/>
        </w:rPr>
        <w:lastRenderedPageBreak/>
        <w:t xml:space="preserve">Fish are especially susceptible to a wide range of microbial pathogens, particularly when subjected to environmental stressors such as crowding, deteriorating water quality, changing temperature and sub-optimal management practices (Lavanya et al., 2024). </w:t>
      </w:r>
      <w:r w:rsidR="00F51E8F" w:rsidRPr="00D239A0">
        <w:rPr>
          <w:rFonts w:ascii="Times New Roman" w:hAnsi="Times New Roman" w:cs="Times New Roman"/>
          <w:i/>
          <w:sz w:val="24"/>
          <w:szCs w:val="24"/>
        </w:rPr>
        <w:t xml:space="preserve">Motile Aeromonas </w:t>
      </w:r>
      <w:r w:rsidRPr="00D239A0">
        <w:rPr>
          <w:rFonts w:ascii="Times New Roman" w:hAnsi="Times New Roman" w:cs="Times New Roman"/>
          <w:sz w:val="24"/>
          <w:szCs w:val="24"/>
        </w:rPr>
        <w:t xml:space="preserve">Septicemia (MAS) is in the top ten most devastating bacterial Diseases contributing to mortality and morbidity rates of freshwater fishes cultivated in aquaculture systems (Soltani et al., 2016). Infection with </w:t>
      </w:r>
      <w:r w:rsidR="00F51E8F" w:rsidRPr="00D239A0">
        <w:rPr>
          <w:rFonts w:ascii="Times New Roman" w:hAnsi="Times New Roman" w:cs="Times New Roman"/>
          <w:i/>
          <w:sz w:val="24"/>
          <w:szCs w:val="24"/>
        </w:rPr>
        <w:t xml:space="preserve">Motile Aeromonas </w:t>
      </w:r>
      <w:r w:rsidRPr="00D239A0">
        <w:rPr>
          <w:rFonts w:ascii="Times New Roman" w:hAnsi="Times New Roman" w:cs="Times New Roman"/>
          <w:sz w:val="24"/>
          <w:szCs w:val="24"/>
        </w:rPr>
        <w:t xml:space="preserve">species, particularly </w:t>
      </w:r>
      <w:r w:rsidR="00F51E8F" w:rsidRPr="00D239A0">
        <w:rPr>
          <w:rFonts w:ascii="Times New Roman" w:hAnsi="Times New Roman" w:cs="Times New Roman"/>
          <w:i/>
          <w:sz w:val="24"/>
          <w:szCs w:val="24"/>
        </w:rPr>
        <w:t xml:space="preserve">Aeromonas hydrophila. </w:t>
      </w:r>
      <w:r w:rsidRPr="00D239A0">
        <w:rPr>
          <w:rFonts w:ascii="Times New Roman" w:hAnsi="Times New Roman" w:cs="Times New Roman"/>
          <w:sz w:val="24"/>
          <w:szCs w:val="24"/>
        </w:rPr>
        <w:t>, is now considered to be a major opportunistic pathogen of many species of freshwater fish (Kusdarwati et al., 2020). The clinical signs of infected fish are commonly hemorrhages, ulcerative lesions, fin rot, abdominal distension, excessive mucus secretion and septicemia leading to higher mortality as well as economic loss in aquaculture farms (Shabana et al., 2024).</w:t>
      </w:r>
    </w:p>
    <w:p w14:paraId="1AA7D6B8" w14:textId="77777777" w:rsidR="00047E5F" w:rsidRPr="00D239A0" w:rsidRDefault="00047E5F" w:rsidP="00047E5F">
      <w:pPr>
        <w:spacing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The pathogenic capacity of </w:t>
      </w:r>
      <w:r w:rsidR="00F51E8F" w:rsidRPr="00D239A0">
        <w:rPr>
          <w:rFonts w:ascii="Times New Roman" w:hAnsi="Times New Roman" w:cs="Times New Roman"/>
          <w:i/>
          <w:sz w:val="24"/>
          <w:szCs w:val="24"/>
        </w:rPr>
        <w:t xml:space="preserve">Aeromonas hydrophila. </w:t>
      </w:r>
      <w:r w:rsidRPr="00D239A0">
        <w:rPr>
          <w:rFonts w:ascii="Times New Roman" w:hAnsi="Times New Roman" w:cs="Times New Roman"/>
          <w:sz w:val="24"/>
          <w:szCs w:val="24"/>
        </w:rPr>
        <w:t xml:space="preserve"> is associated with its ability to biosynthesize a variety of virulence factors, including hemolysins, enterotoxins, proteases and extracellular enzymes responsible for tissue destruction and the onset of diseases (Ahangarzadeh et al., 2022). Caused by a highly contagious and lethal disease, it is now recognized as a major problem if massive outbreaks occur in carp culture systems (Das et al., 2023). Conventional disease control methods typically incorporate antibiotics and chemical agents (Gieseker et al., 2022). Should Their Use In Aquaculture Be Problematic and </w:t>
      </w:r>
      <w:r w:rsidR="00F51E8F" w:rsidRPr="00D239A0">
        <w:rPr>
          <w:rFonts w:ascii="Times New Roman" w:hAnsi="Times New Roman" w:cs="Times New Roman"/>
          <w:sz w:val="24"/>
          <w:szCs w:val="24"/>
        </w:rPr>
        <w:t>Uncontrolled. The</w:t>
      </w:r>
      <w:r w:rsidRPr="00D239A0">
        <w:rPr>
          <w:rFonts w:ascii="Times New Roman" w:hAnsi="Times New Roman" w:cs="Times New Roman"/>
          <w:sz w:val="24"/>
          <w:szCs w:val="24"/>
        </w:rPr>
        <w:t xml:space="preserve"> antibiotics indicated caused many problems, like the development of antimicrobial-resistant bacteria, environmental pollution, and deposition of drug residues in fish tissues (Sherif &amp; Kassab, 2023). These constraints necessitate an immediate need for safer, eco-friendly, and sustainable options for disease control in aquaculture (Kerigano et al., 2023).</w:t>
      </w:r>
    </w:p>
    <w:p w14:paraId="33E52118" w14:textId="77777777" w:rsidR="00047E5F" w:rsidRPr="00D239A0" w:rsidRDefault="00047E5F" w:rsidP="00047E5F">
      <w:pPr>
        <w:spacing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Soil microorganisms as a source of antimicrobial active compounds have become increasingly popular in recent years (Nabila &amp; Kannabiran, 2025). Conversely, </w:t>
      </w:r>
      <w:r w:rsidR="00F51E8F" w:rsidRPr="00D239A0">
        <w:rPr>
          <w:rFonts w:ascii="Times New Roman" w:hAnsi="Times New Roman" w:cs="Times New Roman"/>
          <w:i/>
          <w:sz w:val="24"/>
          <w:szCs w:val="24"/>
        </w:rPr>
        <w:t xml:space="preserve">actinomycetes </w:t>
      </w:r>
      <w:r w:rsidRPr="00D239A0">
        <w:rPr>
          <w:rFonts w:ascii="Times New Roman" w:hAnsi="Times New Roman" w:cs="Times New Roman"/>
          <w:sz w:val="24"/>
          <w:szCs w:val="24"/>
        </w:rPr>
        <w:t xml:space="preserve">are widely recognized as a natural source for the generation of various secondary metabolites such as antibiotics, enzymes and other compounds with biological activity (Khaochamnan et al., 2024). Antagonistical activity of </w:t>
      </w:r>
      <w:r w:rsidR="00F51E8F" w:rsidRPr="00D239A0">
        <w:rPr>
          <w:rFonts w:ascii="Times New Roman" w:hAnsi="Times New Roman" w:cs="Times New Roman"/>
          <w:i/>
          <w:sz w:val="24"/>
          <w:szCs w:val="24"/>
        </w:rPr>
        <w:t xml:space="preserve">actinomycetes </w:t>
      </w:r>
      <w:r w:rsidRPr="00D239A0">
        <w:rPr>
          <w:rFonts w:ascii="Times New Roman" w:hAnsi="Times New Roman" w:cs="Times New Roman"/>
          <w:sz w:val="24"/>
          <w:szCs w:val="24"/>
        </w:rPr>
        <w:t xml:space="preserve">(particularly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spp) against several pathogenic microorganisms is well documented (Saha et al., 2021). Although well characterised for medical microbiology, </w:t>
      </w:r>
      <w:r w:rsidR="00F51E8F" w:rsidRPr="00D239A0">
        <w:rPr>
          <w:rFonts w:ascii="Times New Roman" w:hAnsi="Times New Roman" w:cs="Times New Roman"/>
          <w:i/>
          <w:sz w:val="24"/>
          <w:szCs w:val="24"/>
        </w:rPr>
        <w:t xml:space="preserve">actinomycetes </w:t>
      </w:r>
      <w:r w:rsidRPr="00D239A0">
        <w:rPr>
          <w:rFonts w:ascii="Times New Roman" w:hAnsi="Times New Roman" w:cs="Times New Roman"/>
          <w:sz w:val="24"/>
          <w:szCs w:val="24"/>
        </w:rPr>
        <w:t xml:space="preserve">from soil have been relatively poorly studied as a disease-management strategy for aquaculture. The successful utilisation of probiotic or </w:t>
      </w:r>
      <w:r w:rsidRPr="00D239A0">
        <w:rPr>
          <w:rFonts w:ascii="Times New Roman" w:hAnsi="Times New Roman" w:cs="Times New Roman"/>
          <w:sz w:val="24"/>
          <w:szCs w:val="24"/>
        </w:rPr>
        <w:lastRenderedPageBreak/>
        <w:t>antibacterial agents generated from beneficial microbes is an attractive approach to managing fish pathogens without causing environmental side effects (Wahjuningrum et al., 2023).</w:t>
      </w:r>
    </w:p>
    <w:p w14:paraId="78335DCC" w14:textId="77777777" w:rsidR="00047E5F" w:rsidRPr="00D239A0" w:rsidRDefault="00047E5F" w:rsidP="00047E5F">
      <w:pPr>
        <w:spacing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There are well-established molecular identification methods, such as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gene sequencing (Behera et al., 2022), that ensure the accurate characterisation and classification of microbial isolates. Antibacterial activity and minimum inhibitory concentration (MIC) offer important information about the effect of metabolic products on fish pathogens (Sahoo et al., 2019). The use of beneficial microorganisms or their metabolites in the management studies of diseases may improve fish survival and health under culture conditions (Agung et al., 2022).</w:t>
      </w:r>
    </w:p>
    <w:p w14:paraId="65A25145" w14:textId="77777777" w:rsidR="00E74208" w:rsidRPr="00D239A0" w:rsidRDefault="00E74208" w:rsidP="00047E5F">
      <w:pPr>
        <w:spacing w:line="360" w:lineRule="auto"/>
        <w:jc w:val="both"/>
        <w:rPr>
          <w:rFonts w:ascii="Times New Roman" w:hAnsi="Times New Roman" w:cs="Times New Roman"/>
          <w:sz w:val="24"/>
          <w:szCs w:val="24"/>
        </w:rPr>
      </w:pPr>
      <w:r w:rsidRPr="00D239A0">
        <w:rPr>
          <w:rFonts w:ascii="Times New Roman" w:hAnsi="Times New Roman" w:cs="Times New Roman"/>
          <w:sz w:val="24"/>
          <w:szCs w:val="24"/>
        </w:rPr>
        <w:t>The present study aimed to isolate and screen soil actinomycetes for antibacterial activity against Aeromonas hydrophila, the causative agent of Motile Aeromonas Septicemia in Catla catla. A further objective was to molecularly confirm the pathogen and evaluate the isolated actinomycetes as potential biological control agents through the production of antimicrobial metabolites. The study also sought to explore their application in sustainable and eco-friendly disease management for freshwater aquaculture.</w:t>
      </w:r>
    </w:p>
    <w:p w14:paraId="1F14AF24" w14:textId="77777777" w:rsidR="00EF7ABC" w:rsidRPr="00D239A0" w:rsidRDefault="00EF7ABC" w:rsidP="00047E5F">
      <w:pPr>
        <w:spacing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2. Materials and Methods</w:t>
      </w:r>
    </w:p>
    <w:p w14:paraId="778FC134" w14:textId="77777777" w:rsidR="003928EA" w:rsidRPr="00D239A0" w:rsidRDefault="003928EA" w:rsidP="003928EA">
      <w:pPr>
        <w:spacing w:before="240" w:after="240" w:line="360" w:lineRule="auto"/>
        <w:jc w:val="both"/>
        <w:rPr>
          <w:rFonts w:ascii="Times New Roman" w:hAnsi="Times New Roman" w:cs="Times New Roman"/>
          <w:sz w:val="24"/>
          <w:szCs w:val="24"/>
        </w:rPr>
      </w:pPr>
      <w:r w:rsidRPr="00D239A0">
        <w:rPr>
          <w:rFonts w:ascii="Times New Roman" w:hAnsi="Times New Roman" w:cs="Times New Roman"/>
          <w:b/>
          <w:sz w:val="24"/>
          <w:szCs w:val="24"/>
        </w:rPr>
        <w:t>2.1 Soil Sampling</w:t>
      </w:r>
    </w:p>
    <w:p w14:paraId="60F3F2E2" w14:textId="77777777" w:rsidR="006723D0" w:rsidRPr="00D239A0" w:rsidRDefault="006723D0" w:rsidP="003928EA">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Soil samples were taken from a number of ecologically diverse sites to most effectively recover microbial diversity, especially </w:t>
      </w:r>
      <w:r w:rsidR="00F51E8F" w:rsidRPr="00D239A0">
        <w:rPr>
          <w:rFonts w:ascii="Times New Roman" w:hAnsi="Times New Roman" w:cs="Times New Roman"/>
          <w:i/>
          <w:sz w:val="24"/>
          <w:szCs w:val="24"/>
        </w:rPr>
        <w:t xml:space="preserve">actinomycetes </w:t>
      </w:r>
      <w:r w:rsidRPr="00D239A0">
        <w:rPr>
          <w:rFonts w:ascii="Times New Roman" w:hAnsi="Times New Roman" w:cs="Times New Roman"/>
          <w:sz w:val="24"/>
          <w:szCs w:val="24"/>
        </w:rPr>
        <w:t>capable of producing antibacterial agents. The locations for collecting soil were chosen to represent different types of vegetation, moisture levels, and organic matter, since such environments usually host abundant microbial communities. Using sterile spatulas for digging, soil was sampled from a depth of 5-15 cm to avoid contamination with surface materials and transient microorganisms. About 50 g of soil was taken at each location and put into sterile, labeled containers</w:t>
      </w:r>
      <w:r w:rsidR="00610EAE" w:rsidRPr="00D239A0">
        <w:rPr>
          <w:rFonts w:ascii="Times New Roman" w:hAnsi="Times New Roman" w:cs="Times New Roman"/>
          <w:sz w:val="24"/>
          <w:szCs w:val="24"/>
        </w:rPr>
        <w:t>(Saha et al., 2021)</w:t>
      </w:r>
      <w:r w:rsidRPr="00D239A0">
        <w:rPr>
          <w:rFonts w:ascii="Times New Roman" w:hAnsi="Times New Roman" w:cs="Times New Roman"/>
          <w:sz w:val="24"/>
          <w:szCs w:val="24"/>
        </w:rPr>
        <w:t xml:space="preserve">. The samples were kept in insulated containers with ice packs and brought to the laboratory as soon as possible in order to maintain the viability of the microorganisms. When they arrived, the samples were kept in a refrigerator at 4 °C until used. Before starting the analysis, soil samples were left to dry naturally at room temperature in order to lower their moisture content and prevent the growth of fast-growing bacteria. After drying, they were sifted through a 2 mm mesh to get rid of stones, </w:t>
      </w:r>
      <w:r w:rsidRPr="00D239A0">
        <w:rPr>
          <w:rFonts w:ascii="Times New Roman" w:hAnsi="Times New Roman" w:cs="Times New Roman"/>
          <w:sz w:val="24"/>
          <w:szCs w:val="24"/>
        </w:rPr>
        <w:lastRenderedPageBreak/>
        <w:t>plant parts, and other debris. Finally, the samples were mixed thoroughly to ensure that they were uniform and the isolation procedures could produce consistent results.</w:t>
      </w:r>
    </w:p>
    <w:p w14:paraId="09B99FD9" w14:textId="77777777" w:rsidR="003928EA" w:rsidRPr="00D239A0" w:rsidRDefault="003928EA" w:rsidP="003928EA">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 xml:space="preserve">2.2 Isolation of </w:t>
      </w:r>
      <w:r w:rsidR="00F51E8F" w:rsidRPr="00D239A0">
        <w:rPr>
          <w:rFonts w:ascii="Times New Roman" w:hAnsi="Times New Roman" w:cs="Times New Roman"/>
          <w:b/>
          <w:sz w:val="24"/>
          <w:szCs w:val="24"/>
        </w:rPr>
        <w:t>Actinomycete</w:t>
      </w:r>
      <w:r w:rsidRPr="00D239A0">
        <w:rPr>
          <w:rFonts w:ascii="Times New Roman" w:hAnsi="Times New Roman" w:cs="Times New Roman"/>
          <w:b/>
          <w:sz w:val="24"/>
          <w:szCs w:val="24"/>
        </w:rPr>
        <w:t>s</w:t>
      </w:r>
    </w:p>
    <w:p w14:paraId="3135EFD8" w14:textId="77777777" w:rsidR="006723D0" w:rsidRPr="00D239A0" w:rsidRDefault="00F51E8F" w:rsidP="003928EA">
      <w:pPr>
        <w:spacing w:before="240" w:after="240" w:line="360" w:lineRule="auto"/>
        <w:jc w:val="both"/>
        <w:rPr>
          <w:rFonts w:ascii="Times New Roman" w:hAnsi="Times New Roman" w:cs="Times New Roman"/>
          <w:sz w:val="24"/>
          <w:szCs w:val="24"/>
        </w:rPr>
      </w:pPr>
      <w:r w:rsidRPr="00D239A0">
        <w:rPr>
          <w:rFonts w:ascii="Times New Roman" w:hAnsi="Times New Roman" w:cs="Times New Roman"/>
          <w:i/>
          <w:sz w:val="24"/>
          <w:szCs w:val="24"/>
        </w:rPr>
        <w:t xml:space="preserve">Actinomycetes </w:t>
      </w:r>
      <w:r w:rsidR="006723D0" w:rsidRPr="00D239A0">
        <w:rPr>
          <w:rFonts w:ascii="Times New Roman" w:hAnsi="Times New Roman" w:cs="Times New Roman"/>
          <w:sz w:val="24"/>
          <w:szCs w:val="24"/>
        </w:rPr>
        <w:t xml:space="preserve">isolation was done by serial dilution and the spread plate technique for separate colonies. A gram of soil was mixed with 9 mL of sterile distilled water and mixed well to get the stock solution. Serial dilutions reducing the bacteria density by 10 were made to isolate separate colonies. 0.1 mL from each dilution was spread on the starch casein agar (SCA) selective medium for </w:t>
      </w:r>
      <w:r w:rsidRPr="00D239A0">
        <w:rPr>
          <w:rFonts w:ascii="Times New Roman" w:hAnsi="Times New Roman" w:cs="Times New Roman"/>
          <w:i/>
          <w:sz w:val="24"/>
          <w:szCs w:val="24"/>
        </w:rPr>
        <w:t>actinomycete</w:t>
      </w:r>
      <w:r w:rsidR="006723D0" w:rsidRPr="00D239A0">
        <w:rPr>
          <w:rFonts w:ascii="Times New Roman" w:hAnsi="Times New Roman" w:cs="Times New Roman"/>
          <w:sz w:val="24"/>
          <w:szCs w:val="24"/>
        </w:rPr>
        <w:t>s, which was selective as per nutrient composition and carbon sources. To prevent contamination, antifungal agents were also added to the medium. The plates were kept at 28 °C for 7-14 days till the aerobic growth</w:t>
      </w:r>
      <w:r w:rsidR="00610EAE" w:rsidRPr="00D239A0">
        <w:rPr>
          <w:rFonts w:ascii="Times New Roman" w:hAnsi="Times New Roman" w:cs="Times New Roman"/>
          <w:sz w:val="24"/>
          <w:szCs w:val="24"/>
        </w:rPr>
        <w:t>(Khaochamnan et al., 2024)</w:t>
      </w:r>
      <w:r w:rsidR="006723D0" w:rsidRPr="00D239A0">
        <w:rPr>
          <w:rFonts w:ascii="Times New Roman" w:hAnsi="Times New Roman" w:cs="Times New Roman"/>
          <w:sz w:val="24"/>
          <w:szCs w:val="24"/>
        </w:rPr>
        <w:t xml:space="preserve">. Different colonies that had typical </w:t>
      </w:r>
      <w:r w:rsidRPr="00D239A0">
        <w:rPr>
          <w:rFonts w:ascii="Times New Roman" w:hAnsi="Times New Roman" w:cs="Times New Roman"/>
          <w:i/>
          <w:sz w:val="24"/>
          <w:szCs w:val="24"/>
        </w:rPr>
        <w:t>actinomycete</w:t>
      </w:r>
      <w:r w:rsidR="006723D0" w:rsidRPr="00D239A0">
        <w:rPr>
          <w:rFonts w:ascii="Times New Roman" w:hAnsi="Times New Roman" w:cs="Times New Roman"/>
          <w:sz w:val="24"/>
          <w:szCs w:val="24"/>
        </w:rPr>
        <w:t xml:space="preserve"> characteristics, such as dry or powdery texture, filamentous growth, and pigmentation, were very closely monitored, picked, and grown. A second isolation was done by culturing these colonies on fresh SCA plates to obtain pure cultures. Purity ensured by repeating streaking, isolates were then kept as agar slants at 4 </w:t>
      </w:r>
      <w:r w:rsidR="00093D96" w:rsidRPr="00D239A0">
        <w:rPr>
          <w:rFonts w:ascii="Times New Roman" w:hAnsi="Times New Roman" w:cs="Times New Roman"/>
          <w:sz w:val="24"/>
          <w:szCs w:val="24"/>
        </w:rPr>
        <w:t>°C</w:t>
      </w:r>
      <w:r w:rsidR="006723D0" w:rsidRPr="00D239A0">
        <w:rPr>
          <w:rFonts w:ascii="Times New Roman" w:hAnsi="Times New Roman" w:cs="Times New Roman"/>
          <w:sz w:val="24"/>
          <w:szCs w:val="24"/>
        </w:rPr>
        <w:t xml:space="preserve"> for morphological, biochemical, and molecular analyses.</w:t>
      </w:r>
    </w:p>
    <w:p w14:paraId="7D3F0B28" w14:textId="77777777" w:rsidR="003928EA" w:rsidRPr="00D239A0" w:rsidRDefault="003928EA" w:rsidP="003928EA">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2.3 Morphological and Biochemical Characterization</w:t>
      </w:r>
    </w:p>
    <w:p w14:paraId="769BE7A0" w14:textId="77777777" w:rsidR="00093D96" w:rsidRPr="00D239A0" w:rsidRDefault="00093D96" w:rsidP="003928EA">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The purified isolates were morphologically and biochemically characterized in detail to offer preliminary identification. Colony morphology and color size margins, elevation, and the presence of aerial and substrate mycelium were the main parameters for colony observation. Pigmentation of both the colony surface and the reverse side was also noted, as it is an identifying feature of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The isolates were examined microscopically after Gram staining. The staining demonstrated that the isolates were Gram-positive filamentous bacteria with branching hyphae, which is a typical feature of </w:t>
      </w:r>
      <w:r w:rsidR="00F51E8F" w:rsidRPr="00D239A0">
        <w:rPr>
          <w:rFonts w:ascii="Times New Roman" w:hAnsi="Times New Roman" w:cs="Times New Roman"/>
          <w:i/>
          <w:sz w:val="24"/>
          <w:szCs w:val="24"/>
        </w:rPr>
        <w:t>actinomycete</w:t>
      </w:r>
      <w:r w:rsidRPr="00D239A0">
        <w:rPr>
          <w:rFonts w:ascii="Times New Roman" w:hAnsi="Times New Roman" w:cs="Times New Roman"/>
          <w:sz w:val="24"/>
          <w:szCs w:val="24"/>
        </w:rPr>
        <w:t>s. Arrangement of spores and hyphal structures was investigated further under the light microscope to confirm genus-level characters</w:t>
      </w:r>
      <w:r w:rsidR="00610EAE" w:rsidRPr="00D239A0">
        <w:rPr>
          <w:rFonts w:ascii="Times New Roman" w:hAnsi="Times New Roman" w:cs="Times New Roman"/>
          <w:sz w:val="24"/>
          <w:szCs w:val="24"/>
        </w:rPr>
        <w:t>(Abo-Shama et al., 2025)</w:t>
      </w:r>
      <w:r w:rsidRPr="00D239A0">
        <w:rPr>
          <w:rFonts w:ascii="Times New Roman" w:hAnsi="Times New Roman" w:cs="Times New Roman"/>
          <w:sz w:val="24"/>
          <w:szCs w:val="24"/>
        </w:rPr>
        <w:t>. Morphological analysis was complemented by a number of biochemical tests to determine the isolates' metabolic capabilities. The catalase test was done by using hydrogen peroxide.</w:t>
      </w:r>
    </w:p>
    <w:p w14:paraId="5611ED1E" w14:textId="77777777" w:rsidR="00AC7E56" w:rsidRPr="00D239A0" w:rsidRDefault="00AC7E56" w:rsidP="003928EA">
      <w:pPr>
        <w:spacing w:before="240" w:after="240" w:line="360" w:lineRule="auto"/>
        <w:jc w:val="both"/>
        <w:rPr>
          <w:rFonts w:ascii="Times New Roman" w:hAnsi="Times New Roman" w:cs="Times New Roman"/>
          <w:b/>
          <w:sz w:val="24"/>
          <w:szCs w:val="24"/>
        </w:rPr>
      </w:pPr>
    </w:p>
    <w:p w14:paraId="08C28BD1" w14:textId="77777777" w:rsidR="003928EA" w:rsidRPr="00D239A0" w:rsidRDefault="003928EA" w:rsidP="003928EA">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lastRenderedPageBreak/>
        <w:t>2.4 Molecular Identification (</w:t>
      </w:r>
      <w:r w:rsidR="00F51E8F" w:rsidRPr="00D239A0">
        <w:rPr>
          <w:rFonts w:ascii="Times New Roman" w:hAnsi="Times New Roman" w:cs="Times New Roman"/>
          <w:b/>
          <w:sz w:val="24"/>
          <w:szCs w:val="24"/>
        </w:rPr>
        <w:t>Streptomyces</w:t>
      </w:r>
      <w:r w:rsidRPr="00D239A0">
        <w:rPr>
          <w:rFonts w:ascii="Times New Roman" w:hAnsi="Times New Roman" w:cs="Times New Roman"/>
          <w:b/>
          <w:sz w:val="24"/>
          <w:szCs w:val="24"/>
        </w:rPr>
        <w:t xml:space="preserve"> Gene Sequencing)</w:t>
      </w:r>
    </w:p>
    <w:p w14:paraId="2A7A8454" w14:textId="77777777" w:rsidR="00B638C6" w:rsidRPr="00D239A0" w:rsidRDefault="00B638C6" w:rsidP="00B638C6">
      <w:pPr>
        <w:spacing w:before="240" w:after="240" w:line="360" w:lineRule="auto"/>
        <w:jc w:val="both"/>
        <w:rPr>
          <w:rFonts w:ascii="Times New Roman" w:hAnsi="Times New Roman" w:cs="Times New Roman"/>
          <w:i/>
          <w:sz w:val="24"/>
          <w:szCs w:val="24"/>
        </w:rPr>
      </w:pPr>
      <w:r w:rsidRPr="00D239A0">
        <w:rPr>
          <w:rFonts w:ascii="Times New Roman" w:hAnsi="Times New Roman" w:cs="Times New Roman"/>
          <w:sz w:val="24"/>
          <w:szCs w:val="24"/>
        </w:rPr>
        <w:t xml:space="preserve">The obtained </w:t>
      </w:r>
      <w:r w:rsidR="00F51E8F" w:rsidRPr="00D239A0">
        <w:rPr>
          <w:rFonts w:ascii="Times New Roman" w:hAnsi="Times New Roman" w:cs="Times New Roman"/>
          <w:i/>
          <w:sz w:val="24"/>
          <w:szCs w:val="24"/>
        </w:rPr>
        <w:t>actinomycete</w:t>
      </w:r>
      <w:r w:rsidRPr="00D239A0">
        <w:rPr>
          <w:rFonts w:ascii="Times New Roman" w:hAnsi="Times New Roman" w:cs="Times New Roman"/>
          <w:sz w:val="24"/>
          <w:szCs w:val="24"/>
        </w:rPr>
        <w:t xml:space="preserve"> isolate with high antibacterial activity was confirmed by molecular sequencing of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gene. Standard bacterial DNA extraction methods were used to isolate genomic DNA from the purified culture. The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gene was amplified from the extracted DNA using universal bacterial primers 8F and 1541R by PCR, with optimized thermal cycling conditions starting from an initial denaturation at 94 °C for three minutes followed by two steps of annealing at 50 °C for one minute and extension at 72 °C for one minute, with a final extension step performed at 72 °C for ten minutes to ensure full amplification of the target region. </w:t>
      </w:r>
      <w:r w:rsidR="007C2C53" w:rsidRPr="00D239A0">
        <w:rPr>
          <w:rFonts w:ascii="Times New Roman" w:hAnsi="Times New Roman" w:cs="Times New Roman"/>
          <w:sz w:val="24"/>
          <w:szCs w:val="24"/>
        </w:rPr>
        <w:t>Shown in (</w:t>
      </w:r>
      <w:r w:rsidRPr="00D239A0">
        <w:rPr>
          <w:rFonts w:ascii="Times New Roman" w:hAnsi="Times New Roman" w:cs="Times New Roman"/>
          <w:i/>
          <w:sz w:val="24"/>
          <w:szCs w:val="24"/>
        </w:rPr>
        <w:t>Table 1</w:t>
      </w:r>
      <w:r w:rsidR="007C2C53" w:rsidRPr="00D239A0">
        <w:rPr>
          <w:rFonts w:ascii="Times New Roman" w:hAnsi="Times New Roman" w:cs="Times New Roman"/>
          <w:i/>
          <w:sz w:val="24"/>
          <w:szCs w:val="24"/>
        </w:rPr>
        <w:t>)</w:t>
      </w:r>
      <w:r w:rsidRPr="00D239A0">
        <w:rPr>
          <w:rFonts w:ascii="Times New Roman" w:hAnsi="Times New Roman" w:cs="Times New Roman"/>
          <w:sz w:val="24"/>
          <w:szCs w:val="24"/>
        </w:rPr>
        <w:t xml:space="preserve"> depicts the thermal cycling conditions employed in this study. The PCR products were electrophoresed in agarose gel and the amplified fragment (~1400 bp) was confirmed following amplification</w:t>
      </w:r>
      <w:r w:rsidR="00610EAE" w:rsidRPr="00D239A0">
        <w:rPr>
          <w:rFonts w:ascii="Times New Roman" w:hAnsi="Times New Roman" w:cs="Times New Roman"/>
          <w:sz w:val="24"/>
          <w:szCs w:val="24"/>
        </w:rPr>
        <w:t>(Behera et al., 2022)</w:t>
      </w:r>
      <w:r w:rsidRPr="00D239A0">
        <w:rPr>
          <w:rFonts w:ascii="Times New Roman" w:hAnsi="Times New Roman" w:cs="Times New Roman"/>
          <w:sz w:val="24"/>
          <w:szCs w:val="24"/>
        </w:rPr>
        <w:t xml:space="preserve">. PCR amplification </w:t>
      </w:r>
      <w:r w:rsidR="00F51E8F" w:rsidRPr="00D239A0">
        <w:rPr>
          <w:rFonts w:ascii="Times New Roman" w:hAnsi="Times New Roman" w:cs="Times New Roman"/>
          <w:sz w:val="24"/>
          <w:szCs w:val="24"/>
        </w:rPr>
        <w:t>characteristics Template</w:t>
      </w:r>
      <w:r w:rsidRPr="00D239A0">
        <w:rPr>
          <w:rFonts w:ascii="Times New Roman" w:hAnsi="Times New Roman" w:cs="Times New Roman"/>
          <w:sz w:val="24"/>
          <w:szCs w:val="24"/>
        </w:rPr>
        <w:t xml:space="preserve"> concentration, number of cycles, product size along with primer sequences are summarized </w:t>
      </w:r>
      <w:r w:rsidR="007C2C53" w:rsidRPr="00D239A0">
        <w:rPr>
          <w:rFonts w:ascii="Times New Roman" w:hAnsi="Times New Roman" w:cs="Times New Roman"/>
          <w:sz w:val="24"/>
          <w:szCs w:val="24"/>
        </w:rPr>
        <w:t>is showed in</w:t>
      </w:r>
      <w:r w:rsidR="00720E32" w:rsidRPr="00D239A0">
        <w:rPr>
          <w:rFonts w:ascii="Times New Roman" w:hAnsi="Times New Roman" w:cs="Times New Roman"/>
          <w:i/>
          <w:sz w:val="24"/>
          <w:szCs w:val="24"/>
        </w:rPr>
        <w:t>(</w:t>
      </w:r>
      <w:r w:rsidRPr="00D239A0">
        <w:rPr>
          <w:rFonts w:ascii="Times New Roman" w:hAnsi="Times New Roman" w:cs="Times New Roman"/>
          <w:i/>
          <w:sz w:val="24"/>
          <w:szCs w:val="24"/>
        </w:rPr>
        <w:t>Table 2</w:t>
      </w:r>
      <w:r w:rsidR="00720E32" w:rsidRPr="00D239A0">
        <w:rPr>
          <w:rFonts w:ascii="Times New Roman" w:hAnsi="Times New Roman" w:cs="Times New Roman"/>
          <w:i/>
          <w:sz w:val="24"/>
          <w:szCs w:val="24"/>
        </w:rPr>
        <w:t>)</w:t>
      </w:r>
      <w:r w:rsidRPr="00D239A0">
        <w:rPr>
          <w:rFonts w:ascii="Times New Roman" w:hAnsi="Times New Roman" w:cs="Times New Roman"/>
          <w:i/>
          <w:sz w:val="24"/>
          <w:szCs w:val="24"/>
        </w:rPr>
        <w:t xml:space="preserve">. </w:t>
      </w:r>
      <w:r w:rsidRPr="00D239A0">
        <w:rPr>
          <w:rFonts w:ascii="Times New Roman" w:hAnsi="Times New Roman" w:cs="Times New Roman"/>
          <w:sz w:val="24"/>
          <w:szCs w:val="24"/>
        </w:rPr>
        <w:t xml:space="preserve">Bioinformatics analysis of the isolated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gene sequence was performed to confirm molecularly the molecular confirmation of isolate. MUSCLE was used for sequence alignment; Gblocks and PhyML were used in computational tools to refine the aligned sequences and phylogenetic analysis, respectively. Phylogenetic tree visualization was done with TreeDyn. The molecular characterization bioinformatics workflow is shown in </w:t>
      </w:r>
      <w:r w:rsidRPr="00D239A0">
        <w:rPr>
          <w:rFonts w:ascii="Times New Roman" w:hAnsi="Times New Roman" w:cs="Times New Roman"/>
          <w:i/>
          <w:sz w:val="24"/>
          <w:szCs w:val="24"/>
        </w:rPr>
        <w:t>(Table 3).</w:t>
      </w:r>
    </w:p>
    <w:p w14:paraId="39335538" w14:textId="77777777" w:rsidR="003928EA" w:rsidRPr="00D239A0" w:rsidRDefault="003928EA" w:rsidP="003928EA">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2.5 Secondary Metabolite Production and Extraction</w:t>
      </w:r>
    </w:p>
    <w:p w14:paraId="015922DC" w14:textId="77777777" w:rsidR="003928EA" w:rsidRPr="00D239A0" w:rsidRDefault="00093D96" w:rsidP="003928EA">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The chosen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isolate was grown to produce bioactive secondary metabolites through controlled fermentations. A loopful of the culture was inoculated mainly in starch casein broth and incubated at 28 °C with continuous shaking at 150 rpm for 7 days. This submerged fermentation method was the best way to grow the cells and produce metabolites. When the culture was growing, the culture broth became cloudy, showing that the microorganisms were alive and growing. After the culture period, the culture was spun at high speed to pellet the cells and separate them from the liquid</w:t>
      </w:r>
      <w:r w:rsidR="00610EAE" w:rsidRPr="00D239A0">
        <w:rPr>
          <w:rFonts w:ascii="Times New Roman" w:hAnsi="Times New Roman" w:cs="Times New Roman"/>
          <w:sz w:val="24"/>
          <w:szCs w:val="24"/>
        </w:rPr>
        <w:t>(Nabila &amp; Kannabiran, 2025)</w:t>
      </w:r>
      <w:r w:rsidRPr="00D239A0">
        <w:rPr>
          <w:rFonts w:ascii="Times New Roman" w:hAnsi="Times New Roman" w:cs="Times New Roman"/>
          <w:sz w:val="24"/>
          <w:szCs w:val="24"/>
        </w:rPr>
        <w:t xml:space="preserve">. The liquid that contained the metabolites was taken for extraction. After taking the metabolites, an equal volume of ethyl acetate was added to the metabolite-containing liquid, and the mixture was shaken intensely to transfer the metabolites into the organic phase. The ethyl acetate layer was carefully isolated and </w:t>
      </w:r>
      <w:r w:rsidRPr="00D239A0">
        <w:rPr>
          <w:rFonts w:ascii="Times New Roman" w:hAnsi="Times New Roman" w:cs="Times New Roman"/>
          <w:sz w:val="24"/>
          <w:szCs w:val="24"/>
        </w:rPr>
        <w:lastRenderedPageBreak/>
        <w:t>concentrated with the help of a rotary evaporator. The obtained crude extract was weighed and kept at 4 °C for further antibacterial testing. This extract was the bioactive compounds of the isolate.</w:t>
      </w:r>
    </w:p>
    <w:p w14:paraId="539AF969" w14:textId="77777777" w:rsidR="003928EA" w:rsidRPr="00D239A0" w:rsidRDefault="003928EA" w:rsidP="003928EA">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2.6 Antibacterial Activity</w:t>
      </w:r>
    </w:p>
    <w:p w14:paraId="7B5F006B" w14:textId="77777777" w:rsidR="00093D96" w:rsidRPr="00D239A0" w:rsidRDefault="00093D96" w:rsidP="003928EA">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The antibacterial activity of the crude extract was tested against </w:t>
      </w:r>
      <w:r w:rsidR="00F51E8F" w:rsidRPr="00D239A0">
        <w:rPr>
          <w:rFonts w:ascii="Times New Roman" w:hAnsi="Times New Roman" w:cs="Times New Roman"/>
          <w:i/>
          <w:sz w:val="24"/>
          <w:szCs w:val="24"/>
        </w:rPr>
        <w:t xml:space="preserve">Aeromonas hydrophila. </w:t>
      </w:r>
      <w:r w:rsidRPr="00D239A0">
        <w:rPr>
          <w:rFonts w:ascii="Times New Roman" w:hAnsi="Times New Roman" w:cs="Times New Roman"/>
          <w:sz w:val="24"/>
          <w:szCs w:val="24"/>
        </w:rPr>
        <w:t xml:space="preserve"> by the agar well diffusion method. A fresh culture of the pathogen was adjusted to a 0.5 McFarland standard to have a uniform bacterial density. The culture was spread evenly on Mueller-Hinton Agar plates with a sterile swab. Wells of about 6 mm diameter were made in the agar with a sterile cork borer</w:t>
      </w:r>
      <w:r w:rsidR="00610EAE" w:rsidRPr="00D239A0">
        <w:rPr>
          <w:rFonts w:ascii="Times New Roman" w:hAnsi="Times New Roman" w:cs="Times New Roman"/>
          <w:sz w:val="24"/>
          <w:szCs w:val="24"/>
        </w:rPr>
        <w:t>(Wahjuningrum et al., 2023)</w:t>
      </w:r>
      <w:r w:rsidRPr="00D239A0">
        <w:rPr>
          <w:rFonts w:ascii="Times New Roman" w:hAnsi="Times New Roman" w:cs="Times New Roman"/>
          <w:sz w:val="24"/>
          <w:szCs w:val="24"/>
        </w:rPr>
        <w:t xml:space="preserve">. Different concentrations of the crude extract were placed in the wells, while streptomycin was the positive control and sterile distilled water the negative control. The plates were kept at 30 °C for 24 h under appropriate conditions. After incubation, antibacterial activity was identified by clear zones of inhibition around the wells. The diameter of these zones was measured in millimeters with a ruler. The results helped to assess the potency of the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extract against the pathogen.</w:t>
      </w:r>
    </w:p>
    <w:p w14:paraId="069FF4EC" w14:textId="77777777" w:rsidR="003928EA" w:rsidRPr="00D239A0" w:rsidRDefault="003928EA" w:rsidP="003928EA">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2.7 Minimum Inhibitory Concentration (MIC)</w:t>
      </w:r>
    </w:p>
    <w:p w14:paraId="4183B283" w14:textId="77777777" w:rsidR="00093D96" w:rsidRPr="00D239A0" w:rsidRDefault="00093D96" w:rsidP="003928EA">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The determination of the minimum inhibitory concentration (MIC) of the crude extract was carried out through a resazurin-</w:t>
      </w:r>
      <w:r w:rsidR="007B33C2" w:rsidRPr="00D239A0">
        <w:rPr>
          <w:rFonts w:ascii="Times New Roman" w:hAnsi="Times New Roman" w:cs="Times New Roman"/>
          <w:sz w:val="24"/>
          <w:szCs w:val="24"/>
        </w:rPr>
        <w:t>based   micro dilution</w:t>
      </w:r>
      <w:r w:rsidRPr="00D239A0">
        <w:rPr>
          <w:rFonts w:ascii="Times New Roman" w:hAnsi="Times New Roman" w:cs="Times New Roman"/>
          <w:sz w:val="24"/>
          <w:szCs w:val="24"/>
        </w:rPr>
        <w:t xml:space="preserve"> method. This method is not only simple but also gives reliable and sensitive results in the detection of bacterial inhibition. Firstly, several dilutions of the extract were prepared in the sterile microtiter plates to cover a complete range of concentrations. Then each well was inoculated with a standardized bacterial suspension of </w:t>
      </w:r>
      <w:r w:rsidR="00F51E8F" w:rsidRPr="00D239A0">
        <w:rPr>
          <w:rFonts w:ascii="Times New Roman" w:hAnsi="Times New Roman" w:cs="Times New Roman"/>
          <w:i/>
          <w:sz w:val="24"/>
          <w:szCs w:val="24"/>
        </w:rPr>
        <w:t xml:space="preserve">Aeromonas hydrophila. </w:t>
      </w:r>
      <w:r w:rsidRPr="00D239A0">
        <w:rPr>
          <w:rFonts w:ascii="Times New Roman" w:hAnsi="Times New Roman" w:cs="Times New Roman"/>
          <w:sz w:val="24"/>
          <w:szCs w:val="24"/>
        </w:rPr>
        <w:t>. To detect the presence of bacterial growth, resazurin was added since it changes its color as a result of bacteria being metabolically active. The plates were placed at 30 °C for a 24-hour period. If a change in color from blue to pink was observed, it was a sign that bacteria were actively growing, while no change in color meant the opposite, or bacterial inhibition</w:t>
      </w:r>
      <w:r w:rsidR="00610EAE" w:rsidRPr="00D239A0">
        <w:rPr>
          <w:rFonts w:ascii="Times New Roman" w:hAnsi="Times New Roman" w:cs="Times New Roman"/>
          <w:sz w:val="24"/>
          <w:szCs w:val="24"/>
        </w:rPr>
        <w:t>(Gieseker et al., 2022)</w:t>
      </w:r>
      <w:r w:rsidRPr="00D239A0">
        <w:rPr>
          <w:rFonts w:ascii="Times New Roman" w:hAnsi="Times New Roman" w:cs="Times New Roman"/>
          <w:sz w:val="24"/>
          <w:szCs w:val="24"/>
        </w:rPr>
        <w:t xml:space="preserve">. The concentration that was the lowest and still able to stop the color change was recorded as the MIC value. </w:t>
      </w:r>
    </w:p>
    <w:p w14:paraId="74642EF1" w14:textId="77777777" w:rsidR="00AC7E56" w:rsidRPr="00D239A0" w:rsidRDefault="00AC7E56" w:rsidP="003928EA">
      <w:pPr>
        <w:spacing w:before="240" w:after="240" w:line="360" w:lineRule="auto"/>
        <w:jc w:val="both"/>
        <w:rPr>
          <w:rFonts w:ascii="Times New Roman" w:hAnsi="Times New Roman" w:cs="Times New Roman"/>
          <w:b/>
          <w:sz w:val="24"/>
          <w:szCs w:val="24"/>
        </w:rPr>
      </w:pPr>
    </w:p>
    <w:p w14:paraId="4269CE35" w14:textId="77777777" w:rsidR="00AC7E56" w:rsidRPr="00D239A0" w:rsidRDefault="00AC7E56" w:rsidP="003928EA">
      <w:pPr>
        <w:spacing w:before="240" w:after="240" w:line="360" w:lineRule="auto"/>
        <w:jc w:val="both"/>
        <w:rPr>
          <w:rFonts w:ascii="Times New Roman" w:hAnsi="Times New Roman" w:cs="Times New Roman"/>
          <w:b/>
          <w:sz w:val="24"/>
          <w:szCs w:val="24"/>
        </w:rPr>
      </w:pPr>
    </w:p>
    <w:p w14:paraId="7018AE6D" w14:textId="77777777" w:rsidR="003928EA" w:rsidRPr="00D239A0" w:rsidRDefault="003928EA" w:rsidP="003928EA">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lastRenderedPageBreak/>
        <w:t>2.8 Disease Management Study</w:t>
      </w:r>
    </w:p>
    <w:p w14:paraId="7DE8905E" w14:textId="77777777" w:rsidR="00093D96" w:rsidRPr="00D239A0" w:rsidRDefault="00093D96" w:rsidP="003928EA">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To determine how the isolates could be used to control diseases in fish practically, an in vivo experiment was carried out on Catlacatla fingerlings. The healthy fish were brought to the lab and kept in conditions that resembled their natural environment, and divided into control and treatment groups. The treatment group was fed with Freshrut</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culture-supplemented feed for 30 days, and the control group received normal feed. After the feeding period, both groups were experimentally challenged with </w:t>
      </w:r>
      <w:r w:rsidR="00F51E8F" w:rsidRPr="00D239A0">
        <w:rPr>
          <w:rFonts w:ascii="Times New Roman" w:hAnsi="Times New Roman" w:cs="Times New Roman"/>
          <w:i/>
          <w:sz w:val="24"/>
          <w:szCs w:val="24"/>
        </w:rPr>
        <w:t xml:space="preserve">Aeromonas hydrophila. </w:t>
      </w:r>
      <w:r w:rsidRPr="00D239A0">
        <w:rPr>
          <w:rFonts w:ascii="Times New Roman" w:hAnsi="Times New Roman" w:cs="Times New Roman"/>
          <w:sz w:val="24"/>
          <w:szCs w:val="24"/>
        </w:rPr>
        <w:t>. The fish were observed daily for clinical signs, changes in behavior, and mortality. Survival rate, disease progression, and overall health condition were also recorded in a systematic way</w:t>
      </w:r>
      <w:r w:rsidR="00610EAE" w:rsidRPr="00D239A0">
        <w:rPr>
          <w:rFonts w:ascii="Times New Roman" w:hAnsi="Times New Roman" w:cs="Times New Roman"/>
          <w:sz w:val="24"/>
          <w:szCs w:val="24"/>
        </w:rPr>
        <w:t>(Agung et al., 2022)</w:t>
      </w:r>
      <w:r w:rsidRPr="00D239A0">
        <w:rPr>
          <w:rFonts w:ascii="Times New Roman" w:hAnsi="Times New Roman" w:cs="Times New Roman"/>
          <w:sz w:val="24"/>
          <w:szCs w:val="24"/>
        </w:rPr>
        <w:t xml:space="preserve">. The treated group exhibited better resistance to the infection and had a lower mortality rate than the control group. This research showed how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could be used as a probiotic in aquaculture disease management and as a biocontrol agent interface.</w:t>
      </w:r>
    </w:p>
    <w:p w14:paraId="5DF76141" w14:textId="77777777" w:rsidR="003B7F79" w:rsidRPr="00D239A0" w:rsidRDefault="003B7F79" w:rsidP="003928EA">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3. Results</w:t>
      </w:r>
    </w:p>
    <w:p w14:paraId="765AE53C" w14:textId="77777777" w:rsidR="003B7F79" w:rsidRPr="00D239A0" w:rsidRDefault="003B7F79" w:rsidP="003B7F79">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3.1 Morphological and Biochemical Characteristics</w:t>
      </w:r>
    </w:p>
    <w:p w14:paraId="18191AD9" w14:textId="77777777" w:rsidR="0066256A" w:rsidRPr="00D239A0" w:rsidRDefault="0066256A" w:rsidP="0066256A">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On Gram stain, all isolates showed Gram-positive, branching rods in diphtheroidal arrangement on microscopic examination. Act-1 was characterized by its powdery white aerial mycelium and yellow substrate pigment; Act-2 exhibited gray mycelium with brown diffusible pigment, whereas Act-3 had orange spores</w:t>
      </w:r>
      <w:r w:rsidR="00610EAE" w:rsidRPr="00D239A0">
        <w:rPr>
          <w:rFonts w:ascii="Times New Roman" w:hAnsi="Times New Roman" w:cs="Times New Roman"/>
          <w:sz w:val="24"/>
          <w:szCs w:val="24"/>
        </w:rPr>
        <w:t>(Soltani et al., 2016)</w:t>
      </w:r>
      <w:r w:rsidRPr="00D239A0">
        <w:rPr>
          <w:rFonts w:ascii="Times New Roman" w:hAnsi="Times New Roman" w:cs="Times New Roman"/>
          <w:sz w:val="24"/>
          <w:szCs w:val="24"/>
        </w:rPr>
        <w:t xml:space="preserve">. Li et al. show that the addition of optogenetic control expands cytokine release to include MAP-Kinase/ERK and NF-kB pathways, which are normally decoupled in real T cells; Li et al. summarize available approaches here as part of a biochemical profile </w:t>
      </w:r>
      <w:r w:rsidR="0002274E" w:rsidRPr="00D239A0">
        <w:rPr>
          <w:rFonts w:ascii="Times New Roman" w:hAnsi="Times New Roman" w:cs="Times New Roman"/>
          <w:sz w:val="24"/>
          <w:szCs w:val="24"/>
        </w:rPr>
        <w:t xml:space="preserve">shown in </w:t>
      </w:r>
      <w:r w:rsidR="0002274E" w:rsidRPr="00D239A0">
        <w:rPr>
          <w:rFonts w:ascii="Times New Roman" w:hAnsi="Times New Roman" w:cs="Times New Roman"/>
          <w:i/>
          <w:sz w:val="24"/>
          <w:szCs w:val="24"/>
        </w:rPr>
        <w:t>(Table 4</w:t>
      </w:r>
      <w:r w:rsidRPr="00D239A0">
        <w:rPr>
          <w:rFonts w:ascii="Times New Roman" w:hAnsi="Times New Roman" w:cs="Times New Roman"/>
          <w:i/>
          <w:sz w:val="24"/>
          <w:szCs w:val="24"/>
        </w:rPr>
        <w:t>).</w:t>
      </w:r>
    </w:p>
    <w:p w14:paraId="1627A79D" w14:textId="77777777" w:rsidR="0066256A" w:rsidRPr="00D239A0" w:rsidRDefault="00F51E8F" w:rsidP="0066256A">
      <w:pPr>
        <w:spacing w:before="240" w:after="240" w:line="360" w:lineRule="auto"/>
        <w:jc w:val="both"/>
        <w:rPr>
          <w:rFonts w:ascii="Times New Roman" w:hAnsi="Times New Roman" w:cs="Times New Roman"/>
          <w:sz w:val="24"/>
          <w:szCs w:val="24"/>
        </w:rPr>
      </w:pPr>
      <w:r w:rsidRPr="00D239A0">
        <w:rPr>
          <w:rFonts w:ascii="Times New Roman" w:hAnsi="Times New Roman" w:cs="Times New Roman"/>
          <w:i/>
          <w:sz w:val="24"/>
          <w:szCs w:val="24"/>
        </w:rPr>
        <w:t>Actinomycete</w:t>
      </w:r>
      <w:r w:rsidR="0066256A" w:rsidRPr="00D239A0">
        <w:rPr>
          <w:rFonts w:ascii="Times New Roman" w:hAnsi="Times New Roman" w:cs="Times New Roman"/>
          <w:sz w:val="24"/>
          <w:szCs w:val="24"/>
        </w:rPr>
        <w:t xml:space="preserve"> profiles corresponded with actinobacterial genera, whereas Aeromonas controls exhibited classical Enterobacteriaceae responses.</w:t>
      </w:r>
    </w:p>
    <w:p w14:paraId="0A55EF08" w14:textId="77777777" w:rsidR="00B248F8" w:rsidRPr="00D239A0" w:rsidRDefault="00B248F8" w:rsidP="003B7F79">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Using selective isolation techniques, a total of 28 </w:t>
      </w:r>
      <w:r w:rsidR="00F51E8F" w:rsidRPr="00D239A0">
        <w:rPr>
          <w:rFonts w:ascii="Times New Roman" w:hAnsi="Times New Roman" w:cs="Times New Roman"/>
          <w:i/>
          <w:sz w:val="24"/>
          <w:szCs w:val="24"/>
        </w:rPr>
        <w:t>actinomycete</w:t>
      </w:r>
      <w:r w:rsidRPr="00D239A0">
        <w:rPr>
          <w:rFonts w:ascii="Times New Roman" w:hAnsi="Times New Roman" w:cs="Times New Roman"/>
          <w:sz w:val="24"/>
          <w:szCs w:val="24"/>
        </w:rPr>
        <w:t xml:space="preserve"> isolates were successfully derived from the soil samples collected. The isolation was selected based on morphological characterizations typical of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such as having dry and powdery colonies, aerial mycelium, and filamentous growth patterns. The colony morphology seen on the Starch Casein Agar is shown in </w:t>
      </w:r>
      <w:r w:rsidR="00F51E8F" w:rsidRPr="00D239A0">
        <w:rPr>
          <w:rFonts w:ascii="Times New Roman" w:hAnsi="Times New Roman" w:cs="Times New Roman"/>
          <w:i/>
          <w:sz w:val="24"/>
          <w:szCs w:val="24"/>
        </w:rPr>
        <w:t>(</w:t>
      </w:r>
      <w:r w:rsidRPr="00D239A0">
        <w:rPr>
          <w:rFonts w:ascii="Times New Roman" w:hAnsi="Times New Roman" w:cs="Times New Roman"/>
          <w:i/>
          <w:sz w:val="24"/>
          <w:szCs w:val="24"/>
        </w:rPr>
        <w:t>Figure 1</w:t>
      </w:r>
      <w:r w:rsidR="00F51E8F" w:rsidRPr="00D239A0">
        <w:rPr>
          <w:rFonts w:ascii="Times New Roman" w:hAnsi="Times New Roman" w:cs="Times New Roman"/>
          <w:i/>
          <w:sz w:val="24"/>
          <w:szCs w:val="24"/>
        </w:rPr>
        <w:t>)</w:t>
      </w:r>
      <w:r w:rsidRPr="00D239A0">
        <w:rPr>
          <w:rFonts w:ascii="Times New Roman" w:hAnsi="Times New Roman" w:cs="Times New Roman"/>
          <w:i/>
          <w:sz w:val="24"/>
          <w:szCs w:val="24"/>
        </w:rPr>
        <w:t>,</w:t>
      </w:r>
      <w:r w:rsidRPr="00D239A0">
        <w:rPr>
          <w:rFonts w:ascii="Times New Roman" w:hAnsi="Times New Roman" w:cs="Times New Roman"/>
          <w:sz w:val="24"/>
          <w:szCs w:val="24"/>
        </w:rPr>
        <w:t xml:space="preserve"> which depicts their highly-branched and sporulating structures. </w:t>
      </w:r>
      <w:r w:rsidRPr="00D239A0">
        <w:rPr>
          <w:rFonts w:ascii="Times New Roman" w:hAnsi="Times New Roman" w:cs="Times New Roman"/>
          <w:sz w:val="24"/>
          <w:szCs w:val="24"/>
        </w:rPr>
        <w:lastRenderedPageBreak/>
        <w:t xml:space="preserve">Differences in pigment production among isolates in broth cultures </w:t>
      </w:r>
      <w:r w:rsidRPr="00D239A0">
        <w:rPr>
          <w:rFonts w:ascii="Times New Roman" w:hAnsi="Times New Roman" w:cs="Times New Roman"/>
          <w:i/>
          <w:sz w:val="24"/>
          <w:szCs w:val="24"/>
        </w:rPr>
        <w:t>(Figure 2)</w:t>
      </w:r>
      <w:r w:rsidRPr="00D239A0">
        <w:rPr>
          <w:rFonts w:ascii="Times New Roman" w:hAnsi="Times New Roman" w:cs="Times New Roman"/>
          <w:sz w:val="24"/>
          <w:szCs w:val="24"/>
        </w:rPr>
        <w:t xml:space="preserve"> correlate with the metabolic diversity and make these isolates potent</w:t>
      </w:r>
      <w:r w:rsidR="00610EAE" w:rsidRPr="00D239A0">
        <w:rPr>
          <w:rFonts w:ascii="Times New Roman" w:hAnsi="Times New Roman" w:cs="Times New Roman"/>
          <w:sz w:val="24"/>
          <w:szCs w:val="24"/>
        </w:rPr>
        <w:t xml:space="preserve"> secondary metabolite </w:t>
      </w:r>
      <w:r w:rsidR="00F51E8F" w:rsidRPr="00D239A0">
        <w:rPr>
          <w:rFonts w:ascii="Times New Roman" w:hAnsi="Times New Roman" w:cs="Times New Roman"/>
          <w:sz w:val="24"/>
          <w:szCs w:val="24"/>
        </w:rPr>
        <w:t>producers (</w:t>
      </w:r>
      <w:r w:rsidR="00610EAE" w:rsidRPr="00D239A0">
        <w:rPr>
          <w:rFonts w:ascii="Times New Roman" w:hAnsi="Times New Roman" w:cs="Times New Roman"/>
          <w:sz w:val="24"/>
          <w:szCs w:val="24"/>
        </w:rPr>
        <w:t xml:space="preserve">Gieseker et al., 2022). </w:t>
      </w:r>
      <w:r w:rsidRPr="00D239A0">
        <w:rPr>
          <w:rFonts w:ascii="Times New Roman" w:hAnsi="Times New Roman" w:cs="Times New Roman"/>
          <w:sz w:val="24"/>
          <w:szCs w:val="24"/>
        </w:rPr>
        <w:t xml:space="preserve"> The microscopic analysis of the Gram-stained samples revealed Gram-positive filamentous structures with branching hyphae, which unambiguously place the isolates within the </w:t>
      </w:r>
      <w:r w:rsidR="00F51E8F" w:rsidRPr="00D239A0">
        <w:rPr>
          <w:rFonts w:ascii="Times New Roman" w:hAnsi="Times New Roman" w:cs="Times New Roman"/>
          <w:i/>
          <w:sz w:val="24"/>
          <w:szCs w:val="24"/>
        </w:rPr>
        <w:t xml:space="preserve">actinomycetes </w:t>
      </w:r>
      <w:r w:rsidRPr="00D239A0">
        <w:rPr>
          <w:rFonts w:ascii="Times New Roman" w:hAnsi="Times New Roman" w:cs="Times New Roman"/>
          <w:sz w:val="24"/>
          <w:szCs w:val="24"/>
        </w:rPr>
        <w:t xml:space="preserve">group </w:t>
      </w:r>
      <w:r w:rsidRPr="00D239A0">
        <w:rPr>
          <w:rFonts w:ascii="Times New Roman" w:hAnsi="Times New Roman" w:cs="Times New Roman"/>
          <w:i/>
          <w:sz w:val="24"/>
          <w:szCs w:val="24"/>
        </w:rPr>
        <w:t>(Figure 3)</w:t>
      </w:r>
      <w:r w:rsidRPr="00D239A0">
        <w:rPr>
          <w:rFonts w:ascii="Times New Roman" w:hAnsi="Times New Roman" w:cs="Times New Roman"/>
          <w:sz w:val="24"/>
          <w:szCs w:val="24"/>
        </w:rPr>
        <w:t xml:space="preserve">. Furthermore, </w:t>
      </w:r>
      <w:r w:rsidR="001F3684" w:rsidRPr="00D239A0">
        <w:rPr>
          <w:rFonts w:ascii="Times New Roman" w:hAnsi="Times New Roman" w:cs="Times New Roman"/>
          <w:i/>
          <w:sz w:val="24"/>
          <w:szCs w:val="24"/>
        </w:rPr>
        <w:t>(</w:t>
      </w:r>
      <w:r w:rsidRPr="00D239A0">
        <w:rPr>
          <w:rFonts w:ascii="Times New Roman" w:hAnsi="Times New Roman" w:cs="Times New Roman"/>
          <w:i/>
          <w:sz w:val="24"/>
          <w:szCs w:val="24"/>
        </w:rPr>
        <w:t>Figure 4</w:t>
      </w:r>
      <w:r w:rsidR="001F3684" w:rsidRPr="00D239A0">
        <w:rPr>
          <w:rFonts w:ascii="Times New Roman" w:hAnsi="Times New Roman" w:cs="Times New Roman"/>
          <w:i/>
          <w:sz w:val="24"/>
          <w:szCs w:val="24"/>
        </w:rPr>
        <w:t>)</w:t>
      </w:r>
      <w:r w:rsidRPr="00D239A0">
        <w:rPr>
          <w:rFonts w:ascii="Times New Roman" w:hAnsi="Times New Roman" w:cs="Times New Roman"/>
          <w:sz w:val="24"/>
          <w:szCs w:val="24"/>
        </w:rPr>
        <w:t xml:space="preserve"> depicts the growth of the isolates in liquid medium under submerged fermentation conditions, thus providing additional evidence of these isolates actively developing biomass. Integrating the morphological and microscopic data set strongly backed the preliminary classification of the isolates as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spp.</w:t>
      </w:r>
    </w:p>
    <w:p w14:paraId="1DBFB3D7" w14:textId="77777777" w:rsidR="003B7F79" w:rsidRPr="00D239A0" w:rsidRDefault="003B7F79" w:rsidP="003B7F79">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3.2 Molecular Identification</w:t>
      </w:r>
    </w:p>
    <w:p w14:paraId="5E62FFD8" w14:textId="77777777" w:rsidR="00875807" w:rsidRPr="00D239A0" w:rsidRDefault="001A0C71" w:rsidP="003B7F79">
      <w:pPr>
        <w:spacing w:before="240" w:after="240" w:line="360" w:lineRule="auto"/>
        <w:jc w:val="both"/>
        <w:rPr>
          <w:rFonts w:ascii="Times New Roman" w:hAnsi="Times New Roman" w:cs="Times New Roman"/>
          <w:i/>
          <w:sz w:val="24"/>
          <w:szCs w:val="24"/>
        </w:rPr>
      </w:pPr>
      <w:r w:rsidRPr="00D239A0">
        <w:rPr>
          <w:rFonts w:ascii="Times New Roman" w:hAnsi="Times New Roman" w:cs="Times New Roman"/>
          <w:sz w:val="24"/>
          <w:szCs w:val="24"/>
        </w:rPr>
        <w:t xml:space="preserve">Molecular identification of the chosen isolate was done by sequencing the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gene to get a full and precise classification. PCR amplification with the universal primers </w:t>
      </w:r>
      <w:r w:rsidR="007B33C2" w:rsidRPr="00D239A0">
        <w:rPr>
          <w:rFonts w:ascii="Times New Roman" w:hAnsi="Times New Roman" w:cs="Times New Roman"/>
          <w:sz w:val="24"/>
          <w:szCs w:val="24"/>
        </w:rPr>
        <w:t>8</w:t>
      </w:r>
      <w:r w:rsidRPr="00D239A0">
        <w:rPr>
          <w:rFonts w:ascii="Times New Roman" w:hAnsi="Times New Roman" w:cs="Times New Roman"/>
          <w:sz w:val="24"/>
          <w:szCs w:val="24"/>
        </w:rPr>
        <w:t xml:space="preserve">F and </w:t>
      </w:r>
      <w:r w:rsidR="007B33C2" w:rsidRPr="00D239A0">
        <w:rPr>
          <w:rFonts w:ascii="Times New Roman" w:hAnsi="Times New Roman" w:cs="Times New Roman"/>
          <w:sz w:val="24"/>
          <w:szCs w:val="24"/>
        </w:rPr>
        <w:t>1541</w:t>
      </w:r>
      <w:r w:rsidRPr="00D239A0">
        <w:rPr>
          <w:rFonts w:ascii="Times New Roman" w:hAnsi="Times New Roman" w:cs="Times New Roman"/>
          <w:sz w:val="24"/>
          <w:szCs w:val="24"/>
        </w:rPr>
        <w:t>R yielded a strong band of about 1500 base pairs, indicating that the target gene was effectively amplified</w:t>
      </w:r>
      <w:r w:rsidR="00B00EC7" w:rsidRPr="00D239A0">
        <w:rPr>
          <w:rFonts w:ascii="Times New Roman" w:hAnsi="Times New Roman" w:cs="Times New Roman"/>
          <w:sz w:val="24"/>
          <w:szCs w:val="24"/>
        </w:rPr>
        <w:t>(Abo-Shama et al., 2025)</w:t>
      </w:r>
      <w:r w:rsidRPr="00D239A0">
        <w:rPr>
          <w:rFonts w:ascii="Times New Roman" w:hAnsi="Times New Roman" w:cs="Times New Roman"/>
          <w:sz w:val="24"/>
          <w:szCs w:val="24"/>
        </w:rPr>
        <w:t>. The sulfated silk product was sequenced, and the nucleotide sequence obtained was subjected to NCBI BLAST analysis</w:t>
      </w:r>
      <w:r w:rsidR="00A5378C" w:rsidRPr="00D239A0">
        <w:rPr>
          <w:rFonts w:ascii="Times New Roman" w:hAnsi="Times New Roman" w:cs="Times New Roman"/>
          <w:sz w:val="24"/>
          <w:szCs w:val="24"/>
        </w:rPr>
        <w:t xml:space="preserve"> shows </w:t>
      </w:r>
      <w:r w:rsidR="00B00EC7" w:rsidRPr="00D239A0">
        <w:rPr>
          <w:rFonts w:ascii="Times New Roman" w:hAnsi="Times New Roman" w:cs="Times New Roman"/>
          <w:i/>
          <w:sz w:val="24"/>
          <w:szCs w:val="24"/>
        </w:rPr>
        <w:t>(T</w:t>
      </w:r>
      <w:r w:rsidR="00A5378C" w:rsidRPr="00D239A0">
        <w:rPr>
          <w:rFonts w:ascii="Times New Roman" w:hAnsi="Times New Roman" w:cs="Times New Roman"/>
          <w:i/>
          <w:sz w:val="24"/>
          <w:szCs w:val="24"/>
        </w:rPr>
        <w:t>able 5</w:t>
      </w:r>
      <w:r w:rsidR="00B00EC7" w:rsidRPr="00D239A0">
        <w:rPr>
          <w:rFonts w:ascii="Times New Roman" w:hAnsi="Times New Roman" w:cs="Times New Roman"/>
          <w:i/>
          <w:sz w:val="24"/>
          <w:szCs w:val="24"/>
        </w:rPr>
        <w:t>)</w:t>
      </w:r>
      <w:r w:rsidRPr="00D239A0">
        <w:rPr>
          <w:rFonts w:ascii="Times New Roman" w:hAnsi="Times New Roman" w:cs="Times New Roman"/>
          <w:i/>
          <w:sz w:val="24"/>
          <w:szCs w:val="24"/>
        </w:rPr>
        <w:t>.</w:t>
      </w:r>
      <w:r w:rsidRPr="00D239A0">
        <w:rPr>
          <w:rFonts w:ascii="Times New Roman" w:hAnsi="Times New Roman" w:cs="Times New Roman"/>
          <w:sz w:val="24"/>
          <w:szCs w:val="24"/>
        </w:rPr>
        <w:t xml:space="preserve"> The findings revealed &gt;98% similarity to known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species, suggesting a close genetic relationship. Additionally, they designed a phylogenetic tree to reveal evolutionary relationships between the isolate and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reference strains, based on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gene sequences. According to the phylogenetic tree, the isolate was grouped with reference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species, confirming its membership in the </w:t>
      </w:r>
      <w:r w:rsidR="00610EAE" w:rsidRPr="00D239A0">
        <w:rPr>
          <w:rFonts w:ascii="Times New Roman" w:hAnsi="Times New Roman" w:cs="Times New Roman"/>
          <w:sz w:val="24"/>
          <w:szCs w:val="24"/>
        </w:rPr>
        <w:t>genus (Kerigano et al., 2023)</w:t>
      </w:r>
      <w:r w:rsidRPr="00D239A0">
        <w:rPr>
          <w:rFonts w:ascii="Times New Roman" w:hAnsi="Times New Roman" w:cs="Times New Roman"/>
          <w:sz w:val="24"/>
          <w:szCs w:val="24"/>
        </w:rPr>
        <w:t xml:space="preserve">. </w:t>
      </w:r>
      <w:r w:rsidR="004471F1" w:rsidRPr="00D239A0">
        <w:rPr>
          <w:rFonts w:ascii="Times New Roman" w:hAnsi="Times New Roman" w:cs="Times New Roman"/>
          <w:sz w:val="24"/>
          <w:szCs w:val="24"/>
        </w:rPr>
        <w:t xml:space="preserve">High bootstrap values confirmed the robustness of the phylogenetic tree. The isolate clustered closely with related reference strains, indicating a strong evolutionary </w:t>
      </w:r>
      <w:r w:rsidR="004C3ABC" w:rsidRPr="00D239A0">
        <w:rPr>
          <w:rFonts w:ascii="Times New Roman" w:hAnsi="Times New Roman" w:cs="Times New Roman"/>
          <w:sz w:val="24"/>
          <w:szCs w:val="24"/>
        </w:rPr>
        <w:t>relationship. These</w:t>
      </w:r>
      <w:r w:rsidRPr="00D239A0">
        <w:rPr>
          <w:rFonts w:ascii="Times New Roman" w:hAnsi="Times New Roman" w:cs="Times New Roman"/>
          <w:sz w:val="24"/>
          <w:szCs w:val="24"/>
        </w:rPr>
        <w:t xml:space="preserve"> molecular data were in agreement with the morphological and biochemical traits described before. In brief, phylogenetic analysis established that the isolate is a member of the </w:t>
      </w:r>
      <w:r w:rsidR="00F51E8F" w:rsidRPr="00D239A0">
        <w:rPr>
          <w:rFonts w:ascii="Times New Roman" w:hAnsi="Times New Roman" w:cs="Times New Roman"/>
          <w:i/>
          <w:sz w:val="24"/>
          <w:szCs w:val="24"/>
        </w:rPr>
        <w:t xml:space="preserve">Streptomyces sp. </w:t>
      </w:r>
      <w:r w:rsidRPr="00D239A0">
        <w:rPr>
          <w:rFonts w:ascii="Times New Roman" w:hAnsi="Times New Roman" w:cs="Times New Roman"/>
          <w:sz w:val="24"/>
          <w:szCs w:val="24"/>
        </w:rPr>
        <w:t>and lends further support to its biocontrol potential</w:t>
      </w:r>
      <w:r w:rsidR="00A5378C" w:rsidRPr="00D239A0">
        <w:rPr>
          <w:rFonts w:ascii="Times New Roman" w:hAnsi="Times New Roman" w:cs="Times New Roman"/>
          <w:sz w:val="24"/>
          <w:szCs w:val="24"/>
        </w:rPr>
        <w:t xml:space="preserve"> shows in figure 5 and the graphical representations are shown in </w:t>
      </w:r>
      <w:r w:rsidR="008248CB" w:rsidRPr="00D239A0">
        <w:rPr>
          <w:rFonts w:ascii="Times New Roman" w:hAnsi="Times New Roman" w:cs="Times New Roman"/>
          <w:i/>
          <w:sz w:val="24"/>
          <w:szCs w:val="24"/>
        </w:rPr>
        <w:t>(F</w:t>
      </w:r>
      <w:r w:rsidR="00A5378C" w:rsidRPr="00D239A0">
        <w:rPr>
          <w:rFonts w:ascii="Times New Roman" w:hAnsi="Times New Roman" w:cs="Times New Roman"/>
          <w:i/>
          <w:sz w:val="24"/>
          <w:szCs w:val="24"/>
        </w:rPr>
        <w:t>igure a,b,c,d and e</w:t>
      </w:r>
      <w:r w:rsidR="008248CB" w:rsidRPr="00D239A0">
        <w:rPr>
          <w:rFonts w:ascii="Times New Roman" w:hAnsi="Times New Roman" w:cs="Times New Roman"/>
          <w:i/>
          <w:sz w:val="24"/>
          <w:szCs w:val="24"/>
        </w:rPr>
        <w:t>)</w:t>
      </w:r>
      <w:r w:rsidRPr="00D239A0">
        <w:rPr>
          <w:rFonts w:ascii="Times New Roman" w:hAnsi="Times New Roman" w:cs="Times New Roman"/>
          <w:i/>
          <w:sz w:val="24"/>
          <w:szCs w:val="24"/>
        </w:rPr>
        <w:t>.</w:t>
      </w:r>
    </w:p>
    <w:p w14:paraId="16FDD8EA" w14:textId="77777777" w:rsidR="003B7F79" w:rsidRPr="00D239A0" w:rsidRDefault="003B7F79" w:rsidP="003B7F79">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3.3 Disease Confirmation in Fish</w:t>
      </w:r>
    </w:p>
    <w:p w14:paraId="23773B83" w14:textId="77777777" w:rsidR="000B53B2" w:rsidRPr="00D239A0" w:rsidRDefault="005509D1" w:rsidP="003B7F79">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The diagnosis was confirmed by collecting clinically infected Catlacatla specimens from the affected fish culture systems. The infected fish showed several typical external symptoms, such as the presence of hemorrhages on the body surface, fin erosion, scale loss, and slight abdominal </w:t>
      </w:r>
      <w:r w:rsidRPr="00D239A0">
        <w:rPr>
          <w:rFonts w:ascii="Times New Roman" w:hAnsi="Times New Roman" w:cs="Times New Roman"/>
          <w:sz w:val="24"/>
          <w:szCs w:val="24"/>
        </w:rPr>
        <w:lastRenderedPageBreak/>
        <w:t>distension. Internal examination showed the fish with signs of septicemia, such as fluid accumulation and discoloration of the organs</w:t>
      </w:r>
      <w:r w:rsidR="00B00EC7" w:rsidRPr="00D239A0">
        <w:rPr>
          <w:rFonts w:ascii="Times New Roman" w:hAnsi="Times New Roman" w:cs="Times New Roman"/>
          <w:sz w:val="24"/>
          <w:szCs w:val="24"/>
        </w:rPr>
        <w:t>(Ozdemir et al., 2023)</w:t>
      </w:r>
      <w:r w:rsidRPr="00D239A0">
        <w:rPr>
          <w:rFonts w:ascii="Times New Roman" w:hAnsi="Times New Roman" w:cs="Times New Roman"/>
          <w:sz w:val="24"/>
          <w:szCs w:val="24"/>
        </w:rPr>
        <w:t xml:space="preserve">. Kidney and liver tissue samples were taken under sterile conditions for microbiological examination. The samples were </w:t>
      </w:r>
      <w:r w:rsidR="004A209F" w:rsidRPr="00D239A0">
        <w:rPr>
          <w:rFonts w:ascii="Times New Roman" w:hAnsi="Times New Roman" w:cs="Times New Roman"/>
          <w:sz w:val="24"/>
          <w:szCs w:val="24"/>
        </w:rPr>
        <w:t>placed</w:t>
      </w:r>
      <w:r w:rsidRPr="00D239A0">
        <w:rPr>
          <w:rFonts w:ascii="Times New Roman" w:hAnsi="Times New Roman" w:cs="Times New Roman"/>
          <w:sz w:val="24"/>
          <w:szCs w:val="24"/>
        </w:rPr>
        <w:t xml:space="preserve"> on selective media, where typical bacterial colonies were </w:t>
      </w:r>
      <w:r w:rsidR="00610EAE" w:rsidRPr="00D239A0">
        <w:rPr>
          <w:rFonts w:ascii="Times New Roman" w:hAnsi="Times New Roman" w:cs="Times New Roman"/>
          <w:sz w:val="24"/>
          <w:szCs w:val="24"/>
        </w:rPr>
        <w:t>obtained (Laltlanmawia et al., 2023)</w:t>
      </w:r>
      <w:r w:rsidRPr="00D239A0">
        <w:rPr>
          <w:rFonts w:ascii="Times New Roman" w:hAnsi="Times New Roman" w:cs="Times New Roman"/>
          <w:sz w:val="24"/>
          <w:szCs w:val="24"/>
        </w:rPr>
        <w:t xml:space="preserve">. Oxidase and TSI tests and other biochemical identification tests indicated the presence of </w:t>
      </w:r>
      <w:r w:rsidR="00F51E8F" w:rsidRPr="00D239A0">
        <w:rPr>
          <w:rFonts w:ascii="Times New Roman" w:hAnsi="Times New Roman" w:cs="Times New Roman"/>
          <w:i/>
          <w:sz w:val="24"/>
          <w:szCs w:val="24"/>
        </w:rPr>
        <w:t xml:space="preserve">Aeromonas hydrophila. </w:t>
      </w:r>
      <w:r w:rsidR="004A209F" w:rsidRPr="00D239A0">
        <w:rPr>
          <w:rFonts w:ascii="Times New Roman" w:hAnsi="Times New Roman" w:cs="Times New Roman"/>
          <w:sz w:val="24"/>
          <w:szCs w:val="24"/>
        </w:rPr>
        <w:t xml:space="preserve"> shown in figure 6</w:t>
      </w:r>
      <w:r w:rsidRPr="00D239A0">
        <w:rPr>
          <w:rFonts w:ascii="Times New Roman" w:hAnsi="Times New Roman" w:cs="Times New Roman"/>
          <w:sz w:val="24"/>
          <w:szCs w:val="24"/>
        </w:rPr>
        <w:t xml:space="preserve">. The symptoms and the laboratory results led to the confirmation of </w:t>
      </w:r>
      <w:r w:rsidR="00F51E8F" w:rsidRPr="00D239A0">
        <w:rPr>
          <w:rFonts w:ascii="Times New Roman" w:hAnsi="Times New Roman" w:cs="Times New Roman"/>
          <w:i/>
          <w:sz w:val="24"/>
          <w:szCs w:val="24"/>
        </w:rPr>
        <w:t xml:space="preserve">Motile Aeromonas </w:t>
      </w:r>
      <w:r w:rsidRPr="00D239A0">
        <w:rPr>
          <w:rFonts w:ascii="Times New Roman" w:hAnsi="Times New Roman" w:cs="Times New Roman"/>
          <w:sz w:val="24"/>
          <w:szCs w:val="24"/>
        </w:rPr>
        <w:t xml:space="preserve">Septicemia in these fish. </w:t>
      </w:r>
      <w:r w:rsidR="000B53B2" w:rsidRPr="00D239A0">
        <w:rPr>
          <w:rFonts w:ascii="Times New Roman" w:hAnsi="Times New Roman" w:cs="Times New Roman"/>
          <w:sz w:val="24"/>
          <w:szCs w:val="24"/>
        </w:rPr>
        <w:t>The infected fish exhibited characteristic signs of Motile Aeromonas Septicemia (MAS), including hemorrhagic lesions, skin ulceration, fin erosion, and abdominal swelling (Figure 7). These observations confirmed successful infection by Aeromonas hydrophila and validated its use as the challenge pathogen in subsequent antibacterial and biocontrol experiments.</w:t>
      </w:r>
    </w:p>
    <w:p w14:paraId="3032D467" w14:textId="77777777" w:rsidR="003B7F79" w:rsidRPr="00D239A0" w:rsidRDefault="003B7F79" w:rsidP="003B7F79">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3.4 Antibacterial Activity</w:t>
      </w:r>
    </w:p>
    <w:p w14:paraId="290B35A8" w14:textId="77777777" w:rsidR="00633937" w:rsidRPr="00D239A0" w:rsidRDefault="00633937" w:rsidP="0002274E">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The synopsis of the antibacterial activity of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extract against </w:t>
      </w:r>
      <w:r w:rsidR="00F51E8F" w:rsidRPr="00D239A0">
        <w:rPr>
          <w:rFonts w:ascii="Times New Roman" w:hAnsi="Times New Roman" w:cs="Times New Roman"/>
          <w:i/>
          <w:sz w:val="24"/>
          <w:szCs w:val="24"/>
        </w:rPr>
        <w:t xml:space="preserve">Aeromonas hydrophila. </w:t>
      </w:r>
      <w:r w:rsidRPr="00D239A0">
        <w:rPr>
          <w:rFonts w:ascii="Times New Roman" w:hAnsi="Times New Roman" w:cs="Times New Roman"/>
          <w:sz w:val="24"/>
          <w:szCs w:val="24"/>
        </w:rPr>
        <w:t xml:space="preserve"> is given in </w:t>
      </w:r>
      <w:r w:rsidR="00F51E8F" w:rsidRPr="00D239A0">
        <w:rPr>
          <w:rFonts w:ascii="Times New Roman" w:hAnsi="Times New Roman" w:cs="Times New Roman"/>
          <w:i/>
          <w:sz w:val="24"/>
          <w:szCs w:val="24"/>
        </w:rPr>
        <w:t>(</w:t>
      </w:r>
      <w:r w:rsidRPr="00D239A0">
        <w:rPr>
          <w:rFonts w:ascii="Times New Roman" w:hAnsi="Times New Roman" w:cs="Times New Roman"/>
          <w:i/>
          <w:sz w:val="24"/>
          <w:szCs w:val="24"/>
        </w:rPr>
        <w:t>Table 1</w:t>
      </w:r>
      <w:r w:rsidR="00F51E8F" w:rsidRPr="00D239A0">
        <w:rPr>
          <w:rFonts w:ascii="Times New Roman" w:hAnsi="Times New Roman" w:cs="Times New Roman"/>
          <w:i/>
          <w:sz w:val="24"/>
          <w:szCs w:val="24"/>
        </w:rPr>
        <w:t>)</w:t>
      </w:r>
      <w:r w:rsidRPr="00D239A0">
        <w:rPr>
          <w:rFonts w:ascii="Times New Roman" w:hAnsi="Times New Roman" w:cs="Times New Roman"/>
          <w:i/>
          <w:sz w:val="24"/>
          <w:szCs w:val="24"/>
        </w:rPr>
        <w:t>.</w:t>
      </w:r>
      <w:r w:rsidRPr="00D239A0">
        <w:rPr>
          <w:rFonts w:ascii="Times New Roman" w:hAnsi="Times New Roman" w:cs="Times New Roman"/>
          <w:sz w:val="24"/>
          <w:szCs w:val="24"/>
        </w:rPr>
        <w:t xml:space="preserve"> The data clearly demonstrates a dose-response dependency that results in measurable inhibition zones increasing in size from the lowest to the highest concentrations. A moderate inhibition zone of 12.4 ± 0.8 mm was obtained at the concentration of 2.5 mg/mL. At this concentration, it reached a value of 18.2 ± 1.3 mm (p &lt;0.01) at the same time, showing increased antibacterial effect against S.aureus by 31% when compared to the DMSO control group and an increase of about 83.4% from the initial value (10 mg/mL). The maximum activity was observed at 10 mg/mL, disabling a zone of</w:t>
      </w:r>
      <w:r w:rsidR="00FC723D" w:rsidRPr="00D239A0">
        <w:rPr>
          <w:rFonts w:ascii="Times New Roman" w:hAnsi="Times New Roman" w:cs="Times New Roman"/>
          <w:sz w:val="24"/>
          <w:szCs w:val="24"/>
        </w:rPr>
        <w:t xml:space="preserve"> 24.6 ± 1.8 mm. The MIC of 62.5</w:t>
      </w:r>
      <w:r w:rsidRPr="00D239A0">
        <w:rPr>
          <w:rFonts w:ascii="Times New Roman" w:hAnsi="Times New Roman" w:cs="Times New Roman"/>
          <w:sz w:val="24"/>
          <w:szCs w:val="24"/>
        </w:rPr>
        <w:t xml:space="preserve">µg/mL reaffirms the efficacy of the extract even at low </w:t>
      </w:r>
      <w:r w:rsidR="00610EAE" w:rsidRPr="00D239A0">
        <w:rPr>
          <w:rFonts w:ascii="Times New Roman" w:hAnsi="Times New Roman" w:cs="Times New Roman"/>
          <w:sz w:val="24"/>
          <w:szCs w:val="24"/>
        </w:rPr>
        <w:t>concentrations (Kumari et al., 2023)</w:t>
      </w:r>
      <w:r w:rsidRPr="00D239A0">
        <w:rPr>
          <w:rFonts w:ascii="Times New Roman" w:hAnsi="Times New Roman" w:cs="Times New Roman"/>
          <w:sz w:val="24"/>
          <w:szCs w:val="24"/>
        </w:rPr>
        <w:t>. In general, the data illustrated in Table 6 provided consistent evidence for potent and concentration-dependent antimicrobial activity.</w:t>
      </w:r>
    </w:p>
    <w:p w14:paraId="2E163763" w14:textId="77777777" w:rsidR="008A17CE" w:rsidRPr="00D239A0" w:rsidRDefault="008A17CE" w:rsidP="0002274E">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The antibacterial effect is mainly shown by distinct, clear regions, which cover the wells on the agar plate. These areas mean that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extract has been able to stop the bacteria from growing. The bigger the clear regions, the higher the extract concentration, which has also been confirmed by the data in the table. The lack of bacteria in these places shows that </w:t>
      </w:r>
      <w:r w:rsidR="00F51E8F" w:rsidRPr="00D239A0">
        <w:rPr>
          <w:rFonts w:ascii="Times New Roman" w:hAnsi="Times New Roman" w:cs="Times New Roman"/>
          <w:i/>
          <w:sz w:val="24"/>
          <w:szCs w:val="24"/>
        </w:rPr>
        <w:t xml:space="preserve">Aeromonas hydrophila. </w:t>
      </w:r>
      <w:r w:rsidRPr="00D239A0">
        <w:rPr>
          <w:rFonts w:ascii="Times New Roman" w:hAnsi="Times New Roman" w:cs="Times New Roman"/>
          <w:sz w:val="24"/>
          <w:szCs w:val="24"/>
        </w:rPr>
        <w:t xml:space="preserve"> is quite sensitive to the bioactive compounds. In addition, the clearly visible inhibition zones serve as a confirmation of the efficiency of the extract</w:t>
      </w:r>
      <w:r w:rsidR="004A209F" w:rsidRPr="00D239A0">
        <w:rPr>
          <w:rFonts w:ascii="Times New Roman" w:hAnsi="Times New Roman" w:cs="Times New Roman"/>
          <w:sz w:val="24"/>
          <w:szCs w:val="24"/>
        </w:rPr>
        <w:t xml:space="preserve"> shown in </w:t>
      </w:r>
      <w:r w:rsidR="00F51E8F" w:rsidRPr="00D239A0">
        <w:rPr>
          <w:rFonts w:ascii="Times New Roman" w:hAnsi="Times New Roman" w:cs="Times New Roman"/>
          <w:i/>
          <w:sz w:val="24"/>
          <w:szCs w:val="24"/>
        </w:rPr>
        <w:t>(F</w:t>
      </w:r>
      <w:r w:rsidR="004A209F" w:rsidRPr="00D239A0">
        <w:rPr>
          <w:rFonts w:ascii="Times New Roman" w:hAnsi="Times New Roman" w:cs="Times New Roman"/>
          <w:i/>
          <w:sz w:val="24"/>
          <w:szCs w:val="24"/>
        </w:rPr>
        <w:t>igure 8</w:t>
      </w:r>
      <w:r w:rsidR="00F51E8F" w:rsidRPr="00D239A0">
        <w:rPr>
          <w:rFonts w:ascii="Times New Roman" w:hAnsi="Times New Roman" w:cs="Times New Roman"/>
          <w:i/>
          <w:sz w:val="24"/>
          <w:szCs w:val="24"/>
        </w:rPr>
        <w:t>)</w:t>
      </w:r>
      <w:r w:rsidRPr="00D239A0">
        <w:rPr>
          <w:rFonts w:ascii="Times New Roman" w:hAnsi="Times New Roman" w:cs="Times New Roman"/>
          <w:i/>
          <w:sz w:val="24"/>
          <w:szCs w:val="24"/>
        </w:rPr>
        <w:t>.</w:t>
      </w:r>
    </w:p>
    <w:p w14:paraId="2557A423" w14:textId="77777777" w:rsidR="00C71299" w:rsidRPr="00D239A0" w:rsidRDefault="003B7F79" w:rsidP="003B7F79">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lastRenderedPageBreak/>
        <w:t>3.5 In Vivo Survival Study</w:t>
      </w:r>
      <w:r w:rsidR="00472764" w:rsidRPr="00D239A0">
        <w:rPr>
          <w:rFonts w:ascii="Times New Roman" w:hAnsi="Times New Roman" w:cs="Times New Roman"/>
          <w:b/>
          <w:sz w:val="24"/>
          <w:szCs w:val="24"/>
        </w:rPr>
        <w:t xml:space="preserve"> Analysis of Probiotic-Treated Fish</w:t>
      </w:r>
    </w:p>
    <w:p w14:paraId="2E409E05" w14:textId="77777777" w:rsidR="00633937" w:rsidRPr="00D239A0" w:rsidRDefault="00633937" w:rsidP="00DC737C">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The probiotic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isolate significantly improved the disease resistance of Catlacatla when investigated through in vivo survival analysis. Fish given feed supplemented with probiotics had significantly greater survival than controls after infection by </w:t>
      </w:r>
      <w:r w:rsidR="00F51E8F" w:rsidRPr="00D239A0">
        <w:rPr>
          <w:rFonts w:ascii="Times New Roman" w:hAnsi="Times New Roman" w:cs="Times New Roman"/>
          <w:i/>
          <w:sz w:val="24"/>
          <w:szCs w:val="24"/>
        </w:rPr>
        <w:t xml:space="preserve">Aeromonas hydrophila. </w:t>
      </w:r>
      <w:r w:rsidRPr="00D239A0">
        <w:rPr>
          <w:rFonts w:ascii="Times New Roman" w:hAnsi="Times New Roman" w:cs="Times New Roman"/>
          <w:sz w:val="24"/>
          <w:szCs w:val="24"/>
        </w:rPr>
        <w:t xml:space="preserve">. Treated fish had better health conditions and lower prevalence of clinical signs (e.g., hemorrhages, fin damage) than control fish and were more active. Their mortality and manifestations of the disease were higher in the control group. In contrast, the treated groups exhibited a higher survival rate upon infection challenge. This protective effect may be explained by the involvement of antibacterial activity in addition to the immune stimulatory functions of the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isolate</w:t>
      </w:r>
      <w:r w:rsidR="00194ED9" w:rsidRPr="00D239A0">
        <w:rPr>
          <w:rFonts w:ascii="Times New Roman" w:hAnsi="Times New Roman" w:cs="Times New Roman"/>
          <w:sz w:val="24"/>
          <w:szCs w:val="24"/>
        </w:rPr>
        <w:t>(Riauwaty et al., 2020).</w:t>
      </w:r>
      <w:r w:rsidRPr="00D239A0">
        <w:rPr>
          <w:rFonts w:ascii="Times New Roman" w:hAnsi="Times New Roman" w:cs="Times New Roman"/>
          <w:sz w:val="24"/>
          <w:szCs w:val="24"/>
        </w:rPr>
        <w:t xml:space="preserve">Visual observations of fish condition and survival trends further supported these findings. These results clearly indicate that the isolate possesses both biocontrol and probiotic potential for aquaculture systems. In conclusion, this study confirmed the efficacy of soil-derived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against </w:t>
      </w:r>
      <w:r w:rsidR="00F51E8F" w:rsidRPr="00D239A0">
        <w:rPr>
          <w:rFonts w:ascii="Times New Roman" w:hAnsi="Times New Roman" w:cs="Times New Roman"/>
          <w:i/>
          <w:sz w:val="24"/>
          <w:szCs w:val="24"/>
        </w:rPr>
        <w:t xml:space="preserve">Motile Aeromonas </w:t>
      </w:r>
      <w:r w:rsidRPr="00D239A0">
        <w:rPr>
          <w:rFonts w:ascii="Times New Roman" w:hAnsi="Times New Roman" w:cs="Times New Roman"/>
          <w:sz w:val="24"/>
          <w:szCs w:val="24"/>
        </w:rPr>
        <w:t>Septicemia.</w:t>
      </w:r>
    </w:p>
    <w:p w14:paraId="7FFAEE58" w14:textId="77777777" w:rsidR="00DC737C" w:rsidRPr="00D239A0" w:rsidRDefault="00DC737C" w:rsidP="00DC737C">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4. Discussion</w:t>
      </w:r>
    </w:p>
    <w:p w14:paraId="58969F94" w14:textId="77777777" w:rsidR="000E034B" w:rsidRPr="00D239A0" w:rsidRDefault="000E034B" w:rsidP="00770409">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This study explored the effectiveness of soil-derived Streptomyces species as biological control agents against Motile Aeromonas Septicemia (MAS) infection in Catla catla. Aeromonas hydrophila is associated with a wide range of bacterial diseases in aquaculture and represents one of the major threats to freshwater fish farming, causing severe morbidity, mortality, and economic losses in cultured fish populations. For example, outbreaks of MAS have been reported to cause mortality rates exceeding 60–80% in carp and catfish farms, leading to substantial losses due to reduced fish production, increased treatment costs, and decreased market value of infected fish (Jeamsripong et al., 2025). Consequently, the search for cost-effective and environmentally friendly alternatives to antibiotics has become an important strategy for disease management in aquaculture.</w:t>
      </w:r>
    </w:p>
    <w:p w14:paraId="2574C31D" w14:textId="77777777" w:rsidR="00B638C6" w:rsidRPr="00D239A0" w:rsidRDefault="00B638C6" w:rsidP="00770409">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Among the 28 </w:t>
      </w:r>
      <w:r w:rsidR="00F51E8F" w:rsidRPr="00D239A0">
        <w:rPr>
          <w:rFonts w:ascii="Times New Roman" w:hAnsi="Times New Roman" w:cs="Times New Roman"/>
          <w:i/>
          <w:sz w:val="24"/>
          <w:szCs w:val="24"/>
        </w:rPr>
        <w:t>actinomycete</w:t>
      </w:r>
      <w:r w:rsidRPr="00D239A0">
        <w:rPr>
          <w:rFonts w:ascii="Times New Roman" w:hAnsi="Times New Roman" w:cs="Times New Roman"/>
          <w:sz w:val="24"/>
          <w:szCs w:val="24"/>
        </w:rPr>
        <w:t xml:space="preserve"> isolates from soil samples, 1 isolate showed morphological and biochemical characteristics similar to those of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species. The isolate was confirmed molecularly by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gene sequencing with more than 98% homology of the identity. Molecular techniques increased the confidence in microbial characterization and validated placing this isolate within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w:t>
      </w:r>
    </w:p>
    <w:p w14:paraId="0B6DFAEB" w14:textId="77777777" w:rsidR="002F7005" w:rsidRPr="00D239A0" w:rsidRDefault="002F7005" w:rsidP="00770409">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lastRenderedPageBreak/>
        <w:t xml:space="preserve">Antibacterial activity assay revealed a precise dose-dependent inhibition of </w:t>
      </w:r>
      <w:r w:rsidR="00F51E8F" w:rsidRPr="00D239A0">
        <w:rPr>
          <w:rFonts w:ascii="Times New Roman" w:hAnsi="Times New Roman" w:cs="Times New Roman"/>
          <w:i/>
          <w:sz w:val="24"/>
          <w:szCs w:val="24"/>
        </w:rPr>
        <w:t xml:space="preserve">Aeromonas hydrophila. </w:t>
      </w:r>
      <w:r w:rsidRPr="00D239A0">
        <w:rPr>
          <w:rFonts w:ascii="Times New Roman" w:hAnsi="Times New Roman" w:cs="Times New Roman"/>
          <w:sz w:val="24"/>
          <w:szCs w:val="24"/>
        </w:rPr>
        <w:t xml:space="preserve">. A similar incremental rise in inhibition zone from 12.4 ± 0.8 mm at a concentration of 2.5 mg/mL to 24.6 ± 1.8 mm at a concentration of 10 mg/mL was also observed. The MIC value of 62.5 µg/mL also suggested potent antibacterial activity at lower </w:t>
      </w:r>
      <w:r w:rsidR="00194ED9" w:rsidRPr="00D239A0">
        <w:rPr>
          <w:rFonts w:ascii="Times New Roman" w:hAnsi="Times New Roman" w:cs="Times New Roman"/>
          <w:sz w:val="24"/>
          <w:szCs w:val="24"/>
        </w:rPr>
        <w:t>concentrations (Das et al., 2023)</w:t>
      </w:r>
      <w:r w:rsidRPr="00D239A0">
        <w:rPr>
          <w:rFonts w:ascii="Times New Roman" w:hAnsi="Times New Roman" w:cs="Times New Roman"/>
          <w:sz w:val="24"/>
          <w:szCs w:val="24"/>
        </w:rPr>
        <w:t xml:space="preserve">. The inhibitory effect is probably due to the production of secondary metabolites, including antibiotics, enzymes, and polyketides, synthesized by various species of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Such compounds act by disrupting the synthesis of the bacterial cell wall and other crucial metabolic pathways of disease-causing bacteria.</w:t>
      </w:r>
    </w:p>
    <w:p w14:paraId="153FB282" w14:textId="77777777" w:rsidR="00860822" w:rsidRPr="00D239A0" w:rsidRDefault="00860822" w:rsidP="00770409">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The isolate was found to be effective in controlling MAS infection in an in vivo disease management study. The survival rate of fish treated with the probiotic formulation was 72%, whereas the untreated control group showed a lower survival rate (29%). Treated fish exhibited reduced clinical signs and improved health status. The reduction in mortality may be attributed to the ability of probiotic microorganisms to inhibit pathogen growth and enhance host immune responses (Ozdemir et al., 2023). However, mortality in the untreated group may also have been influenced by additional factors, including environmental stress, water quality conditions, stocking density, nutritional status, and the overall health of the fish, which can increase susceptibility to infection. Nevertheless, the significantly higher survival rate observed in the treated group suggests that the Streptomyces-based probiotic formulation contributed substantially to disease control.</w:t>
      </w:r>
    </w:p>
    <w:p w14:paraId="47AFF45A" w14:textId="77777777" w:rsidR="0002274E" w:rsidRPr="00D239A0" w:rsidRDefault="002F7005" w:rsidP="00770409">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The results of the current study confirmed reports that soil </w:t>
      </w:r>
      <w:r w:rsidR="00F51E8F" w:rsidRPr="00D239A0">
        <w:rPr>
          <w:rFonts w:ascii="Times New Roman" w:hAnsi="Times New Roman" w:cs="Times New Roman"/>
          <w:i/>
          <w:sz w:val="24"/>
          <w:szCs w:val="24"/>
        </w:rPr>
        <w:t>actinomycete</w:t>
      </w:r>
      <w:r w:rsidRPr="00D239A0">
        <w:rPr>
          <w:rFonts w:ascii="Times New Roman" w:hAnsi="Times New Roman" w:cs="Times New Roman"/>
          <w:sz w:val="24"/>
          <w:szCs w:val="24"/>
        </w:rPr>
        <w:t xml:space="preserve"> extracts are a potential source of antimicrobial and probiotic agents suitable for controlling various aquaculture diseases. Integration of the morphological, biochemical, molecular, and in vivo analyses reinforces the importance of the study and suggests that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 species could be used as an environmentally-friendly substitute for chemical </w:t>
      </w:r>
      <w:r w:rsidR="00194ED9" w:rsidRPr="00D239A0">
        <w:rPr>
          <w:rFonts w:ascii="Times New Roman" w:hAnsi="Times New Roman" w:cs="Times New Roman"/>
          <w:sz w:val="24"/>
          <w:szCs w:val="24"/>
        </w:rPr>
        <w:t>antibiotics (Islam et al., 2022)</w:t>
      </w:r>
      <w:r w:rsidRPr="00D239A0">
        <w:rPr>
          <w:rFonts w:ascii="Times New Roman" w:hAnsi="Times New Roman" w:cs="Times New Roman"/>
          <w:sz w:val="24"/>
          <w:szCs w:val="24"/>
        </w:rPr>
        <w:t xml:space="preserve">. Still, more studies on the physical-chemical characterizations of the bioactive compounds responsible for their effects are needed, and effectiveness must be evaluated under large-scale aquaculture conditions. </w:t>
      </w:r>
    </w:p>
    <w:p w14:paraId="443DF357" w14:textId="77777777" w:rsidR="0002274E" w:rsidRPr="00D239A0" w:rsidRDefault="0002274E" w:rsidP="0002274E">
      <w:pPr>
        <w:spacing w:before="240" w:after="240" w:line="360" w:lineRule="auto"/>
        <w:jc w:val="center"/>
        <w:rPr>
          <w:rFonts w:ascii="Times New Roman" w:hAnsi="Times New Roman" w:cs="Times New Roman"/>
          <w:b/>
          <w:sz w:val="24"/>
          <w:szCs w:val="24"/>
        </w:rPr>
        <w:sectPr w:rsidR="0002274E" w:rsidRPr="00D239A0" w:rsidSect="00545589">
          <w:type w:val="continuous"/>
          <w:pgSz w:w="12240" w:h="15840"/>
          <w:pgMar w:top="1440" w:right="1440" w:bottom="1440" w:left="1440" w:header="720" w:footer="720" w:gutter="0"/>
          <w:cols w:space="720"/>
          <w:docGrid w:linePitch="360"/>
        </w:sectPr>
      </w:pPr>
    </w:p>
    <w:p w14:paraId="17AD37DC" w14:textId="77777777" w:rsidR="0002274E" w:rsidRPr="00D239A0" w:rsidRDefault="0002274E" w:rsidP="0002274E">
      <w:pPr>
        <w:spacing w:before="240" w:after="240" w:line="360" w:lineRule="auto"/>
        <w:jc w:val="center"/>
        <w:rPr>
          <w:rFonts w:ascii="Times New Roman" w:hAnsi="Times New Roman" w:cs="Times New Roman"/>
          <w:b/>
          <w:sz w:val="24"/>
          <w:szCs w:val="24"/>
        </w:rPr>
      </w:pPr>
    </w:p>
    <w:p w14:paraId="6B44B1EF" w14:textId="77777777" w:rsidR="00BC2D9E" w:rsidRPr="00D239A0" w:rsidRDefault="00BC2D9E" w:rsidP="0002274E">
      <w:pPr>
        <w:spacing w:before="240" w:after="240" w:line="360" w:lineRule="auto"/>
        <w:jc w:val="center"/>
        <w:rPr>
          <w:rFonts w:ascii="Times New Roman" w:hAnsi="Times New Roman" w:cs="Times New Roman"/>
          <w:b/>
          <w:sz w:val="24"/>
          <w:szCs w:val="24"/>
        </w:rPr>
      </w:pPr>
    </w:p>
    <w:p w14:paraId="456B14CF" w14:textId="77777777" w:rsidR="0002274E" w:rsidRPr="00D239A0" w:rsidRDefault="0002274E" w:rsidP="0002274E">
      <w:pPr>
        <w:spacing w:before="240" w:after="240" w:line="360" w:lineRule="auto"/>
        <w:jc w:val="center"/>
        <w:rPr>
          <w:rFonts w:ascii="Times New Roman" w:hAnsi="Times New Roman" w:cs="Times New Roman"/>
          <w:b/>
          <w:sz w:val="24"/>
          <w:szCs w:val="24"/>
        </w:rPr>
      </w:pPr>
      <w:r w:rsidRPr="00D239A0">
        <w:rPr>
          <w:rFonts w:ascii="Times New Roman" w:hAnsi="Times New Roman" w:cs="Times New Roman"/>
          <w:b/>
          <w:sz w:val="24"/>
          <w:szCs w:val="24"/>
        </w:rPr>
        <w:lastRenderedPageBreak/>
        <w:t>Table 1: Thermal Cycling Conditions</w:t>
      </w:r>
    </w:p>
    <w:tbl>
      <w:tblPr>
        <w:tblStyle w:val="LightShading"/>
        <w:tblW w:w="3700" w:type="dxa"/>
        <w:jc w:val="center"/>
        <w:shd w:val="clear" w:color="auto" w:fill="FFFFFF" w:themeFill="background1"/>
        <w:tblLook w:val="04A0" w:firstRow="1" w:lastRow="0" w:firstColumn="1" w:lastColumn="0" w:noHBand="0" w:noVBand="1"/>
      </w:tblPr>
      <w:tblGrid>
        <w:gridCol w:w="1590"/>
        <w:gridCol w:w="2176"/>
      </w:tblGrid>
      <w:tr w:rsidR="0002274E" w:rsidRPr="00D239A0" w14:paraId="5ED4C0CC" w14:textId="77777777" w:rsidTr="0002274E">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80" w:type="dxa"/>
            <w:shd w:val="clear" w:color="auto" w:fill="FFFFFF" w:themeFill="background1"/>
            <w:hideMark/>
          </w:tcPr>
          <w:p w14:paraId="380A341F" w14:textId="77777777" w:rsidR="0002274E" w:rsidRPr="00D239A0" w:rsidRDefault="0002274E" w:rsidP="002C7064">
            <w:pPr>
              <w:spacing w:before="240" w:after="240" w:line="360" w:lineRule="auto"/>
              <w:jc w:val="center"/>
              <w:rPr>
                <w:rFonts w:ascii="Times New Roman" w:eastAsia="Times New Roman" w:hAnsi="Times New Roman" w:cs="Times New Roman"/>
                <w:b w:val="0"/>
                <w:bCs w:val="0"/>
                <w:color w:val="000000"/>
                <w:sz w:val="24"/>
                <w:szCs w:val="24"/>
              </w:rPr>
            </w:pPr>
            <w:r w:rsidRPr="00D239A0">
              <w:rPr>
                <w:rFonts w:ascii="Times New Roman" w:eastAsia="Times New Roman" w:hAnsi="Times New Roman" w:cs="Times New Roman"/>
                <w:color w:val="000000"/>
                <w:sz w:val="24"/>
                <w:szCs w:val="24"/>
              </w:rPr>
              <w:t>Step</w:t>
            </w:r>
          </w:p>
        </w:tc>
        <w:tc>
          <w:tcPr>
            <w:tcW w:w="2220" w:type="dxa"/>
            <w:shd w:val="clear" w:color="auto" w:fill="FFFFFF" w:themeFill="background1"/>
            <w:hideMark/>
          </w:tcPr>
          <w:p w14:paraId="7A7E6AD1" w14:textId="77777777" w:rsidR="0002274E" w:rsidRPr="00D239A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D239A0">
              <w:rPr>
                <w:rFonts w:ascii="Times New Roman" w:eastAsia="Times New Roman" w:hAnsi="Times New Roman" w:cs="Times New Roman"/>
                <w:color w:val="000000"/>
                <w:sz w:val="24"/>
                <w:szCs w:val="24"/>
              </w:rPr>
              <w:t>Temperature/Time</w:t>
            </w:r>
          </w:p>
        </w:tc>
      </w:tr>
      <w:tr w:rsidR="0002274E" w:rsidRPr="00D239A0" w14:paraId="749FBDD2" w14:textId="77777777" w:rsidTr="0002274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80" w:type="dxa"/>
            <w:shd w:val="clear" w:color="auto" w:fill="FFFFFF" w:themeFill="background1"/>
            <w:hideMark/>
          </w:tcPr>
          <w:p w14:paraId="22F5291A"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Denaturation</w:t>
            </w:r>
          </w:p>
        </w:tc>
        <w:tc>
          <w:tcPr>
            <w:tcW w:w="2220" w:type="dxa"/>
            <w:shd w:val="clear" w:color="auto" w:fill="FFFFFF" w:themeFill="background1"/>
            <w:hideMark/>
          </w:tcPr>
          <w:p w14:paraId="32369FDD"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94°C/3 min</w:t>
            </w:r>
          </w:p>
        </w:tc>
      </w:tr>
      <w:tr w:rsidR="0002274E" w:rsidRPr="00D239A0" w14:paraId="199DEA45" w14:textId="77777777" w:rsidTr="0002274E">
        <w:trPr>
          <w:trHeight w:val="300"/>
          <w:jc w:val="center"/>
        </w:trPr>
        <w:tc>
          <w:tcPr>
            <w:cnfStyle w:val="001000000000" w:firstRow="0" w:lastRow="0" w:firstColumn="1" w:lastColumn="0" w:oddVBand="0" w:evenVBand="0" w:oddHBand="0" w:evenHBand="0" w:firstRowFirstColumn="0" w:firstRowLastColumn="0" w:lastRowFirstColumn="0" w:lastRowLastColumn="0"/>
            <w:tcW w:w="1480" w:type="dxa"/>
            <w:shd w:val="clear" w:color="auto" w:fill="FFFFFF" w:themeFill="background1"/>
            <w:hideMark/>
          </w:tcPr>
          <w:p w14:paraId="2F4207A4"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Annealing</w:t>
            </w:r>
          </w:p>
        </w:tc>
        <w:tc>
          <w:tcPr>
            <w:tcW w:w="2220" w:type="dxa"/>
            <w:shd w:val="clear" w:color="auto" w:fill="FFFFFF" w:themeFill="background1"/>
            <w:hideMark/>
          </w:tcPr>
          <w:p w14:paraId="132BFD37" w14:textId="77777777" w:rsidR="0002274E" w:rsidRPr="00D239A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50°C/60 s</w:t>
            </w:r>
          </w:p>
        </w:tc>
      </w:tr>
      <w:tr w:rsidR="0002274E" w:rsidRPr="00D239A0" w14:paraId="6B4302AB" w14:textId="77777777" w:rsidTr="0002274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80" w:type="dxa"/>
            <w:shd w:val="clear" w:color="auto" w:fill="FFFFFF" w:themeFill="background1"/>
            <w:hideMark/>
          </w:tcPr>
          <w:p w14:paraId="5A3110E3"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Extension</w:t>
            </w:r>
          </w:p>
        </w:tc>
        <w:tc>
          <w:tcPr>
            <w:tcW w:w="2220" w:type="dxa"/>
            <w:shd w:val="clear" w:color="auto" w:fill="FFFFFF" w:themeFill="background1"/>
            <w:hideMark/>
          </w:tcPr>
          <w:p w14:paraId="2761BAAB"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72°C/60 s</w:t>
            </w:r>
          </w:p>
        </w:tc>
      </w:tr>
      <w:tr w:rsidR="0002274E" w:rsidRPr="00D239A0" w14:paraId="1AA58E01" w14:textId="77777777" w:rsidTr="0002274E">
        <w:trPr>
          <w:trHeight w:val="300"/>
          <w:jc w:val="center"/>
        </w:trPr>
        <w:tc>
          <w:tcPr>
            <w:cnfStyle w:val="001000000000" w:firstRow="0" w:lastRow="0" w:firstColumn="1" w:lastColumn="0" w:oddVBand="0" w:evenVBand="0" w:oddHBand="0" w:evenHBand="0" w:firstRowFirstColumn="0" w:firstRowLastColumn="0" w:lastRowFirstColumn="0" w:lastRowLastColumn="0"/>
            <w:tcW w:w="1480" w:type="dxa"/>
            <w:tcBorders>
              <w:bottom w:val="single" w:sz="4" w:space="0" w:color="auto"/>
            </w:tcBorders>
            <w:shd w:val="clear" w:color="auto" w:fill="FFFFFF" w:themeFill="background1"/>
            <w:hideMark/>
          </w:tcPr>
          <w:p w14:paraId="04CA3E14"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Final</w:t>
            </w:r>
          </w:p>
        </w:tc>
        <w:tc>
          <w:tcPr>
            <w:tcW w:w="2220" w:type="dxa"/>
            <w:tcBorders>
              <w:bottom w:val="single" w:sz="4" w:space="0" w:color="auto"/>
            </w:tcBorders>
            <w:shd w:val="clear" w:color="auto" w:fill="FFFFFF" w:themeFill="background1"/>
            <w:hideMark/>
          </w:tcPr>
          <w:p w14:paraId="5DBC44BA" w14:textId="77777777" w:rsidR="0002274E" w:rsidRPr="00D239A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72°C/10 min</w:t>
            </w:r>
          </w:p>
        </w:tc>
      </w:tr>
    </w:tbl>
    <w:p w14:paraId="5C458E8F" w14:textId="77777777" w:rsidR="0002274E" w:rsidRPr="00D239A0" w:rsidRDefault="0002274E" w:rsidP="0002274E">
      <w:pPr>
        <w:tabs>
          <w:tab w:val="center" w:pos="4680"/>
          <w:tab w:val="left" w:pos="6921"/>
        </w:tabs>
        <w:spacing w:after="0" w:line="360" w:lineRule="auto"/>
        <w:rPr>
          <w:rFonts w:ascii="Times New Roman" w:hAnsi="Times New Roman" w:cs="Times New Roman"/>
          <w:b/>
          <w:sz w:val="24"/>
          <w:szCs w:val="24"/>
        </w:rPr>
      </w:pPr>
    </w:p>
    <w:p w14:paraId="737AE7C0" w14:textId="77777777" w:rsidR="0002274E" w:rsidRPr="00D239A0" w:rsidRDefault="0002274E" w:rsidP="0002274E">
      <w:pPr>
        <w:tabs>
          <w:tab w:val="center" w:pos="4680"/>
          <w:tab w:val="left" w:pos="6921"/>
        </w:tabs>
        <w:spacing w:after="0" w:line="360" w:lineRule="auto"/>
        <w:jc w:val="center"/>
        <w:rPr>
          <w:rFonts w:ascii="Times New Roman" w:hAnsi="Times New Roman" w:cs="Times New Roman"/>
          <w:b/>
          <w:sz w:val="24"/>
          <w:szCs w:val="24"/>
        </w:rPr>
      </w:pPr>
      <w:r w:rsidRPr="00D239A0">
        <w:rPr>
          <w:rFonts w:ascii="Times New Roman" w:hAnsi="Times New Roman" w:cs="Times New Roman"/>
          <w:b/>
          <w:sz w:val="24"/>
          <w:szCs w:val="24"/>
        </w:rPr>
        <w:t>Table 2: PCR Amplification Details</w:t>
      </w:r>
    </w:p>
    <w:tbl>
      <w:tblPr>
        <w:tblStyle w:val="LightShading"/>
        <w:tblW w:w="8352" w:type="dxa"/>
        <w:jc w:val="center"/>
        <w:shd w:val="clear" w:color="auto" w:fill="FFFFFF" w:themeFill="background1"/>
        <w:tblLook w:val="04A0" w:firstRow="1" w:lastRow="0" w:firstColumn="1" w:lastColumn="0" w:noHBand="0" w:noVBand="1"/>
      </w:tblPr>
      <w:tblGrid>
        <w:gridCol w:w="1364"/>
        <w:gridCol w:w="6988"/>
      </w:tblGrid>
      <w:tr w:rsidR="0002274E" w:rsidRPr="00D239A0" w14:paraId="10FFEB63" w14:textId="77777777" w:rsidTr="0002274E">
        <w:trPr>
          <w:cnfStyle w:val="100000000000" w:firstRow="1" w:lastRow="0" w:firstColumn="0" w:lastColumn="0" w:oddVBand="0" w:evenVBand="0" w:oddHBand="0"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1364" w:type="dxa"/>
            <w:shd w:val="clear" w:color="auto" w:fill="FFFFFF" w:themeFill="background1"/>
            <w:hideMark/>
          </w:tcPr>
          <w:p w14:paraId="4D19AEDB" w14:textId="77777777" w:rsidR="0002274E" w:rsidRPr="00D239A0" w:rsidRDefault="0002274E" w:rsidP="002C7064">
            <w:pPr>
              <w:spacing w:before="240" w:after="240" w:line="360" w:lineRule="auto"/>
              <w:jc w:val="center"/>
              <w:rPr>
                <w:rFonts w:ascii="Times New Roman" w:eastAsia="Times New Roman" w:hAnsi="Times New Roman" w:cs="Times New Roman"/>
                <w:b w:val="0"/>
                <w:bCs w:val="0"/>
                <w:color w:val="000000"/>
                <w:sz w:val="24"/>
                <w:szCs w:val="24"/>
              </w:rPr>
            </w:pPr>
            <w:r w:rsidRPr="00D239A0">
              <w:rPr>
                <w:rFonts w:ascii="Times New Roman" w:eastAsia="Times New Roman" w:hAnsi="Times New Roman" w:cs="Times New Roman"/>
                <w:color w:val="000000"/>
                <w:sz w:val="24"/>
                <w:szCs w:val="24"/>
              </w:rPr>
              <w:t>Parameter</w:t>
            </w:r>
          </w:p>
        </w:tc>
        <w:tc>
          <w:tcPr>
            <w:tcW w:w="6988" w:type="dxa"/>
            <w:shd w:val="clear" w:color="auto" w:fill="FFFFFF" w:themeFill="background1"/>
            <w:hideMark/>
          </w:tcPr>
          <w:p w14:paraId="6D55D602" w14:textId="77777777" w:rsidR="0002274E" w:rsidRPr="00D239A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D239A0">
              <w:rPr>
                <w:rFonts w:ascii="Times New Roman" w:eastAsia="Times New Roman" w:hAnsi="Times New Roman" w:cs="Times New Roman"/>
                <w:color w:val="000000"/>
                <w:sz w:val="24"/>
                <w:szCs w:val="24"/>
              </w:rPr>
              <w:t>Value</w:t>
            </w:r>
          </w:p>
        </w:tc>
      </w:tr>
      <w:tr w:rsidR="0002274E" w:rsidRPr="00D239A0" w14:paraId="4DEE50AA" w14:textId="77777777" w:rsidTr="0002274E">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64" w:type="dxa"/>
            <w:shd w:val="clear" w:color="auto" w:fill="FFFFFF" w:themeFill="background1"/>
            <w:hideMark/>
          </w:tcPr>
          <w:p w14:paraId="44F5F4BB"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Primers</w:t>
            </w:r>
          </w:p>
        </w:tc>
        <w:tc>
          <w:tcPr>
            <w:tcW w:w="6988" w:type="dxa"/>
            <w:shd w:val="clear" w:color="auto" w:fill="FFFFFF" w:themeFill="background1"/>
            <w:hideMark/>
          </w:tcPr>
          <w:p w14:paraId="2ABA7384" w14:textId="77777777" w:rsidR="0002274E" w:rsidRPr="00D239A0" w:rsidRDefault="0002274E" w:rsidP="002C7064">
            <w:pPr>
              <w:spacing w:before="240" w:after="24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239A0">
              <w:rPr>
                <w:rFonts w:ascii="Times New Roman" w:eastAsia="Times New Roman" w:hAnsi="Times New Roman" w:cs="Times New Roman"/>
                <w:sz w:val="24"/>
                <w:szCs w:val="24"/>
              </w:rPr>
              <w:t>8F (AGAGTTTGATCCTGGCTCAG), 1541R (AAGGAGGTGATCCAGCCGCA)</w:t>
            </w:r>
          </w:p>
        </w:tc>
      </w:tr>
      <w:tr w:rsidR="0002274E" w:rsidRPr="00D239A0" w14:paraId="5B07FE46" w14:textId="77777777" w:rsidTr="0002274E">
        <w:trPr>
          <w:trHeight w:val="231"/>
          <w:jc w:val="center"/>
        </w:trPr>
        <w:tc>
          <w:tcPr>
            <w:cnfStyle w:val="001000000000" w:firstRow="0" w:lastRow="0" w:firstColumn="1" w:lastColumn="0" w:oddVBand="0" w:evenVBand="0" w:oddHBand="0" w:evenHBand="0" w:firstRowFirstColumn="0" w:firstRowLastColumn="0" w:lastRowFirstColumn="0" w:lastRowLastColumn="0"/>
            <w:tcW w:w="1364" w:type="dxa"/>
            <w:shd w:val="clear" w:color="auto" w:fill="FFFFFF" w:themeFill="background1"/>
            <w:hideMark/>
          </w:tcPr>
          <w:p w14:paraId="4A996F0F"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Template</w:t>
            </w:r>
          </w:p>
        </w:tc>
        <w:tc>
          <w:tcPr>
            <w:tcW w:w="6988" w:type="dxa"/>
            <w:shd w:val="clear" w:color="auto" w:fill="FFFFFF" w:themeFill="background1"/>
            <w:hideMark/>
          </w:tcPr>
          <w:p w14:paraId="7B468277" w14:textId="77777777" w:rsidR="0002274E" w:rsidRPr="00D239A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5 µL genomic DNA</w:t>
            </w:r>
          </w:p>
        </w:tc>
      </w:tr>
      <w:tr w:rsidR="0002274E" w:rsidRPr="00D239A0" w14:paraId="3F2A561E" w14:textId="77777777" w:rsidTr="0002274E">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364" w:type="dxa"/>
            <w:shd w:val="clear" w:color="auto" w:fill="FFFFFF" w:themeFill="background1"/>
            <w:hideMark/>
          </w:tcPr>
          <w:p w14:paraId="5CB2A4C3"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Cycles</w:t>
            </w:r>
          </w:p>
        </w:tc>
        <w:tc>
          <w:tcPr>
            <w:tcW w:w="6988" w:type="dxa"/>
            <w:shd w:val="clear" w:color="auto" w:fill="FFFFFF" w:themeFill="background1"/>
            <w:hideMark/>
          </w:tcPr>
          <w:p w14:paraId="4C67A4CE"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30</w:t>
            </w:r>
          </w:p>
        </w:tc>
      </w:tr>
      <w:tr w:rsidR="0002274E" w:rsidRPr="00D239A0" w14:paraId="0C0E5C88" w14:textId="77777777" w:rsidTr="0002274E">
        <w:trPr>
          <w:trHeight w:val="657"/>
          <w:jc w:val="center"/>
        </w:trPr>
        <w:tc>
          <w:tcPr>
            <w:cnfStyle w:val="001000000000" w:firstRow="0" w:lastRow="0" w:firstColumn="1" w:lastColumn="0" w:oddVBand="0" w:evenVBand="0" w:oddHBand="0" w:evenHBand="0" w:firstRowFirstColumn="0" w:firstRowLastColumn="0" w:lastRowFirstColumn="0" w:lastRowLastColumn="0"/>
            <w:tcW w:w="1364" w:type="dxa"/>
            <w:shd w:val="clear" w:color="auto" w:fill="FFFFFF" w:themeFill="background1"/>
            <w:hideMark/>
          </w:tcPr>
          <w:p w14:paraId="56368A39"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Product size</w:t>
            </w:r>
          </w:p>
        </w:tc>
        <w:tc>
          <w:tcPr>
            <w:tcW w:w="6988" w:type="dxa"/>
            <w:shd w:val="clear" w:color="auto" w:fill="FFFFFF" w:themeFill="background1"/>
            <w:hideMark/>
          </w:tcPr>
          <w:p w14:paraId="056197EF" w14:textId="77777777" w:rsidR="0002274E" w:rsidRPr="00D239A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~1400 bp 0723_234_001_PCR_BACTERIAL_CULTURE_16SF_C04.pdf+1</w:t>
            </w:r>
          </w:p>
        </w:tc>
      </w:tr>
    </w:tbl>
    <w:p w14:paraId="1E00836F" w14:textId="77777777" w:rsidR="0002274E" w:rsidRPr="00D239A0" w:rsidRDefault="0002274E" w:rsidP="0002274E">
      <w:pPr>
        <w:spacing w:before="240" w:after="240" w:line="360" w:lineRule="auto"/>
        <w:jc w:val="center"/>
        <w:rPr>
          <w:rFonts w:ascii="Times New Roman" w:hAnsi="Times New Roman" w:cs="Times New Roman"/>
          <w:b/>
          <w:sz w:val="24"/>
          <w:szCs w:val="24"/>
        </w:rPr>
      </w:pPr>
    </w:p>
    <w:p w14:paraId="14BEEB61" w14:textId="77777777" w:rsidR="0002274E" w:rsidRPr="00D239A0" w:rsidRDefault="0002274E" w:rsidP="0002274E">
      <w:pPr>
        <w:spacing w:before="240" w:after="240" w:line="360" w:lineRule="auto"/>
        <w:jc w:val="center"/>
        <w:rPr>
          <w:rFonts w:ascii="Times New Roman" w:hAnsi="Times New Roman" w:cs="Times New Roman"/>
          <w:b/>
          <w:sz w:val="24"/>
          <w:szCs w:val="24"/>
        </w:rPr>
      </w:pPr>
    </w:p>
    <w:p w14:paraId="7B58A899" w14:textId="77777777" w:rsidR="0002274E" w:rsidRPr="00D239A0" w:rsidRDefault="0002274E" w:rsidP="0002274E">
      <w:pPr>
        <w:spacing w:before="240" w:after="240" w:line="360" w:lineRule="auto"/>
        <w:jc w:val="center"/>
        <w:rPr>
          <w:rFonts w:ascii="Times New Roman" w:hAnsi="Times New Roman" w:cs="Times New Roman"/>
          <w:b/>
          <w:sz w:val="24"/>
          <w:szCs w:val="24"/>
        </w:rPr>
      </w:pPr>
      <w:r w:rsidRPr="00D239A0">
        <w:rPr>
          <w:rFonts w:ascii="Times New Roman" w:hAnsi="Times New Roman" w:cs="Times New Roman"/>
          <w:b/>
          <w:sz w:val="24"/>
          <w:szCs w:val="24"/>
        </w:rPr>
        <w:lastRenderedPageBreak/>
        <w:t>Table 3: Bioinformatics Analysis Plan</w:t>
      </w:r>
    </w:p>
    <w:tbl>
      <w:tblPr>
        <w:tblStyle w:val="LightShading"/>
        <w:tblW w:w="5700" w:type="dxa"/>
        <w:jc w:val="center"/>
        <w:shd w:val="clear" w:color="auto" w:fill="FFFFFF" w:themeFill="background1"/>
        <w:tblLook w:val="04A0" w:firstRow="1" w:lastRow="0" w:firstColumn="1" w:lastColumn="0" w:noHBand="0" w:noVBand="1"/>
      </w:tblPr>
      <w:tblGrid>
        <w:gridCol w:w="3920"/>
        <w:gridCol w:w="1780"/>
      </w:tblGrid>
      <w:tr w:rsidR="0002274E" w:rsidRPr="00D239A0" w14:paraId="1BAFE0CB" w14:textId="77777777" w:rsidTr="0002274E">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20" w:type="dxa"/>
            <w:shd w:val="clear" w:color="auto" w:fill="FFFFFF" w:themeFill="background1"/>
            <w:hideMark/>
          </w:tcPr>
          <w:p w14:paraId="1348F6E9" w14:textId="77777777" w:rsidR="0002274E" w:rsidRPr="00D239A0" w:rsidRDefault="0002274E" w:rsidP="002C7064">
            <w:pPr>
              <w:spacing w:before="240" w:after="240" w:line="360" w:lineRule="auto"/>
              <w:jc w:val="center"/>
              <w:rPr>
                <w:rFonts w:ascii="Times New Roman" w:eastAsia="Times New Roman" w:hAnsi="Times New Roman" w:cs="Times New Roman"/>
                <w:b w:val="0"/>
                <w:bCs w:val="0"/>
                <w:color w:val="000000"/>
                <w:sz w:val="24"/>
                <w:szCs w:val="24"/>
              </w:rPr>
            </w:pPr>
            <w:r w:rsidRPr="00D239A0">
              <w:rPr>
                <w:rFonts w:ascii="Times New Roman" w:eastAsia="Times New Roman" w:hAnsi="Times New Roman" w:cs="Times New Roman"/>
                <w:color w:val="000000"/>
                <w:sz w:val="24"/>
                <w:szCs w:val="24"/>
              </w:rPr>
              <w:t>Tool</w:t>
            </w:r>
          </w:p>
        </w:tc>
        <w:tc>
          <w:tcPr>
            <w:tcW w:w="1780" w:type="dxa"/>
            <w:shd w:val="clear" w:color="auto" w:fill="FFFFFF" w:themeFill="background1"/>
            <w:hideMark/>
          </w:tcPr>
          <w:p w14:paraId="71350FE6" w14:textId="77777777" w:rsidR="0002274E" w:rsidRPr="00D239A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hyperlink r:id="rId14" w:tgtFrame="_blank" w:history="1">
              <w:r w:rsidRPr="00D239A0">
                <w:rPr>
                  <w:rFonts w:ascii="Times New Roman" w:eastAsia="Times New Roman" w:hAnsi="Times New Roman" w:cs="Times New Roman"/>
                  <w:sz w:val="24"/>
                  <w:szCs w:val="24"/>
                </w:rPr>
                <w:t>Purpose</w:t>
              </w:r>
            </w:hyperlink>
          </w:p>
        </w:tc>
      </w:tr>
      <w:tr w:rsidR="0002274E" w:rsidRPr="00D239A0" w14:paraId="0BD18A35" w14:textId="77777777" w:rsidTr="0002274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20" w:type="dxa"/>
            <w:shd w:val="clear" w:color="auto" w:fill="FFFFFF" w:themeFill="background1"/>
            <w:hideMark/>
          </w:tcPr>
          <w:p w14:paraId="454F9780"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MUSCLE</w:t>
            </w:r>
          </w:p>
        </w:tc>
        <w:tc>
          <w:tcPr>
            <w:tcW w:w="1780" w:type="dxa"/>
            <w:shd w:val="clear" w:color="auto" w:fill="FFFFFF" w:themeFill="background1"/>
            <w:hideMark/>
          </w:tcPr>
          <w:p w14:paraId="1973D57B"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Alignment</w:t>
            </w:r>
          </w:p>
        </w:tc>
      </w:tr>
      <w:tr w:rsidR="0002274E" w:rsidRPr="00D239A0" w14:paraId="7C8D4675" w14:textId="77777777" w:rsidTr="0002274E">
        <w:trPr>
          <w:trHeight w:val="300"/>
          <w:jc w:val="center"/>
        </w:trPr>
        <w:tc>
          <w:tcPr>
            <w:cnfStyle w:val="001000000000" w:firstRow="0" w:lastRow="0" w:firstColumn="1" w:lastColumn="0" w:oddVBand="0" w:evenVBand="0" w:oddHBand="0" w:evenHBand="0" w:firstRowFirstColumn="0" w:firstRowLastColumn="0" w:lastRowFirstColumn="0" w:lastRowLastColumn="0"/>
            <w:tcW w:w="3920" w:type="dxa"/>
            <w:shd w:val="clear" w:color="auto" w:fill="FFFFFF" w:themeFill="background1"/>
            <w:hideMark/>
          </w:tcPr>
          <w:p w14:paraId="00AFC16A"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Gblocks</w:t>
            </w:r>
          </w:p>
        </w:tc>
        <w:tc>
          <w:tcPr>
            <w:tcW w:w="1780" w:type="dxa"/>
            <w:shd w:val="clear" w:color="auto" w:fill="FFFFFF" w:themeFill="background1"/>
            <w:hideMark/>
          </w:tcPr>
          <w:p w14:paraId="719BAEC9" w14:textId="77777777" w:rsidR="0002274E" w:rsidRPr="00D239A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Noise removal</w:t>
            </w:r>
          </w:p>
        </w:tc>
      </w:tr>
      <w:tr w:rsidR="0002274E" w:rsidRPr="00D239A0" w14:paraId="662448CD" w14:textId="77777777" w:rsidTr="0002274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20" w:type="dxa"/>
            <w:shd w:val="clear" w:color="auto" w:fill="FFFFFF" w:themeFill="background1"/>
            <w:hideMark/>
          </w:tcPr>
          <w:p w14:paraId="52D50265"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PhyML (HKY85)</w:t>
            </w:r>
          </w:p>
        </w:tc>
        <w:tc>
          <w:tcPr>
            <w:tcW w:w="1780" w:type="dxa"/>
            <w:shd w:val="clear" w:color="auto" w:fill="FFFFFF" w:themeFill="background1"/>
            <w:hideMark/>
          </w:tcPr>
          <w:p w14:paraId="50C9BB53"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Phylogeny</w:t>
            </w:r>
          </w:p>
        </w:tc>
      </w:tr>
      <w:tr w:rsidR="0002274E" w:rsidRPr="00D239A0" w14:paraId="3AA8E358" w14:textId="77777777" w:rsidTr="0002274E">
        <w:trPr>
          <w:trHeight w:val="300"/>
          <w:jc w:val="center"/>
        </w:trPr>
        <w:tc>
          <w:tcPr>
            <w:cnfStyle w:val="001000000000" w:firstRow="0" w:lastRow="0" w:firstColumn="1" w:lastColumn="0" w:oddVBand="0" w:evenVBand="0" w:oddHBand="0" w:evenHBand="0" w:firstRowFirstColumn="0" w:firstRowLastColumn="0" w:lastRowFirstColumn="0" w:lastRowLastColumn="0"/>
            <w:tcW w:w="3920" w:type="dxa"/>
            <w:shd w:val="clear" w:color="auto" w:fill="FFFFFF" w:themeFill="background1"/>
            <w:hideMark/>
          </w:tcPr>
          <w:p w14:paraId="1909BEA9"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TreeDyn</w:t>
            </w:r>
          </w:p>
        </w:tc>
        <w:tc>
          <w:tcPr>
            <w:tcW w:w="1780" w:type="dxa"/>
            <w:shd w:val="clear" w:color="auto" w:fill="FFFFFF" w:themeFill="background1"/>
            <w:hideMark/>
          </w:tcPr>
          <w:p w14:paraId="25E4193C" w14:textId="77777777" w:rsidR="0002274E" w:rsidRPr="00D239A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Tree rendering</w:t>
            </w:r>
          </w:p>
        </w:tc>
      </w:tr>
    </w:tbl>
    <w:p w14:paraId="7C268AEB" w14:textId="77777777" w:rsidR="0002274E" w:rsidRPr="00D239A0" w:rsidRDefault="0002274E" w:rsidP="0002274E">
      <w:pPr>
        <w:spacing w:before="240" w:after="240" w:line="360" w:lineRule="auto"/>
        <w:jc w:val="center"/>
        <w:rPr>
          <w:rFonts w:ascii="Times New Roman" w:hAnsi="Times New Roman" w:cs="Times New Roman"/>
          <w:b/>
          <w:sz w:val="24"/>
          <w:szCs w:val="24"/>
        </w:rPr>
      </w:pPr>
    </w:p>
    <w:p w14:paraId="6DAC6569" w14:textId="77777777" w:rsidR="0002274E" w:rsidRPr="00D239A0" w:rsidRDefault="0002274E" w:rsidP="0002274E">
      <w:pPr>
        <w:spacing w:before="240" w:after="240" w:line="360" w:lineRule="auto"/>
        <w:jc w:val="center"/>
        <w:rPr>
          <w:rFonts w:ascii="Times New Roman" w:hAnsi="Times New Roman" w:cs="Times New Roman"/>
          <w:b/>
          <w:sz w:val="24"/>
          <w:szCs w:val="24"/>
        </w:rPr>
      </w:pPr>
      <w:r w:rsidRPr="00D239A0">
        <w:rPr>
          <w:rFonts w:ascii="Times New Roman" w:hAnsi="Times New Roman" w:cs="Times New Roman"/>
          <w:b/>
          <w:sz w:val="24"/>
          <w:szCs w:val="24"/>
        </w:rPr>
        <w:t xml:space="preserve">Table 4: Biochemical Characteristics of </w:t>
      </w:r>
      <w:r w:rsidR="00F51E8F" w:rsidRPr="00D239A0">
        <w:rPr>
          <w:rFonts w:ascii="Times New Roman" w:hAnsi="Times New Roman" w:cs="Times New Roman"/>
          <w:b/>
          <w:i/>
          <w:sz w:val="24"/>
          <w:szCs w:val="24"/>
        </w:rPr>
        <w:t>Actinomycete</w:t>
      </w:r>
      <w:r w:rsidRPr="00D239A0">
        <w:rPr>
          <w:rFonts w:ascii="Times New Roman" w:hAnsi="Times New Roman" w:cs="Times New Roman"/>
          <w:b/>
          <w:sz w:val="24"/>
          <w:szCs w:val="24"/>
        </w:rPr>
        <w:t xml:space="preserve"> Isolates</w:t>
      </w:r>
    </w:p>
    <w:tbl>
      <w:tblPr>
        <w:tblStyle w:val="LightShading"/>
        <w:tblW w:w="9640" w:type="dxa"/>
        <w:tblLook w:val="04A0" w:firstRow="1" w:lastRow="0" w:firstColumn="1" w:lastColumn="0" w:noHBand="0" w:noVBand="1"/>
      </w:tblPr>
      <w:tblGrid>
        <w:gridCol w:w="2413"/>
        <w:gridCol w:w="1476"/>
        <w:gridCol w:w="1436"/>
        <w:gridCol w:w="1350"/>
        <w:gridCol w:w="2965"/>
      </w:tblGrid>
      <w:tr w:rsidR="0002274E" w:rsidRPr="00D239A0" w14:paraId="5DA3EA47" w14:textId="77777777" w:rsidTr="0002274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09BB59B8" w14:textId="77777777" w:rsidR="0002274E" w:rsidRPr="00D239A0" w:rsidRDefault="0002274E" w:rsidP="002C7064">
            <w:pPr>
              <w:spacing w:before="240" w:after="240" w:line="360" w:lineRule="auto"/>
              <w:jc w:val="center"/>
              <w:rPr>
                <w:rFonts w:ascii="Times New Roman" w:eastAsia="Times New Roman" w:hAnsi="Times New Roman" w:cs="Times New Roman"/>
                <w:b w:val="0"/>
                <w:bCs w:val="0"/>
                <w:color w:val="000000"/>
                <w:sz w:val="24"/>
                <w:szCs w:val="24"/>
              </w:rPr>
            </w:pPr>
            <w:r w:rsidRPr="00D239A0">
              <w:rPr>
                <w:rFonts w:ascii="Times New Roman" w:eastAsia="Times New Roman" w:hAnsi="Times New Roman" w:cs="Times New Roman"/>
                <w:color w:val="000000"/>
                <w:sz w:val="24"/>
                <w:szCs w:val="24"/>
              </w:rPr>
              <w:t>Test</w:t>
            </w:r>
          </w:p>
        </w:tc>
        <w:tc>
          <w:tcPr>
            <w:tcW w:w="1476" w:type="dxa"/>
            <w:shd w:val="clear" w:color="auto" w:fill="FFFFFF" w:themeFill="background1"/>
            <w:hideMark/>
          </w:tcPr>
          <w:p w14:paraId="736DA2F6" w14:textId="77777777" w:rsidR="0002274E" w:rsidRPr="00D239A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D239A0">
              <w:rPr>
                <w:rFonts w:ascii="Times New Roman" w:eastAsia="Times New Roman" w:hAnsi="Times New Roman" w:cs="Times New Roman"/>
                <w:color w:val="000000"/>
                <w:sz w:val="24"/>
                <w:szCs w:val="24"/>
              </w:rPr>
              <w:t>Act-1</w:t>
            </w:r>
          </w:p>
        </w:tc>
        <w:tc>
          <w:tcPr>
            <w:tcW w:w="1436" w:type="dxa"/>
            <w:shd w:val="clear" w:color="auto" w:fill="FFFFFF" w:themeFill="background1"/>
            <w:hideMark/>
          </w:tcPr>
          <w:p w14:paraId="50119D45" w14:textId="77777777" w:rsidR="0002274E" w:rsidRPr="00D239A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D239A0">
              <w:rPr>
                <w:rFonts w:ascii="Times New Roman" w:eastAsia="Times New Roman" w:hAnsi="Times New Roman" w:cs="Times New Roman"/>
                <w:color w:val="000000"/>
                <w:sz w:val="24"/>
                <w:szCs w:val="24"/>
              </w:rPr>
              <w:t>Act-2</w:t>
            </w:r>
          </w:p>
        </w:tc>
        <w:tc>
          <w:tcPr>
            <w:tcW w:w="1350" w:type="dxa"/>
            <w:shd w:val="clear" w:color="auto" w:fill="FFFFFF" w:themeFill="background1"/>
            <w:hideMark/>
          </w:tcPr>
          <w:p w14:paraId="4ECB3B1B" w14:textId="77777777" w:rsidR="0002274E" w:rsidRPr="00D239A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D239A0">
              <w:rPr>
                <w:rFonts w:ascii="Times New Roman" w:eastAsia="Times New Roman" w:hAnsi="Times New Roman" w:cs="Times New Roman"/>
                <w:color w:val="000000"/>
                <w:sz w:val="24"/>
                <w:szCs w:val="24"/>
              </w:rPr>
              <w:t>Act-3</w:t>
            </w:r>
          </w:p>
        </w:tc>
        <w:tc>
          <w:tcPr>
            <w:tcW w:w="2965" w:type="dxa"/>
            <w:shd w:val="clear" w:color="auto" w:fill="FFFFFF" w:themeFill="background1"/>
            <w:hideMark/>
          </w:tcPr>
          <w:p w14:paraId="65A748E2" w14:textId="77777777" w:rsidR="0002274E" w:rsidRPr="00D239A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hyperlink r:id="rId15" w:tgtFrame="_blank" w:history="1">
              <w:r w:rsidRPr="00D239A0">
                <w:rPr>
                  <w:rFonts w:ascii="Times New Roman" w:eastAsia="Times New Roman" w:hAnsi="Times New Roman" w:cs="Times New Roman"/>
                  <w:sz w:val="24"/>
                  <w:szCs w:val="24"/>
                </w:rPr>
                <w:t xml:space="preserve">Aeromonas schubertii (control) </w:t>
              </w:r>
            </w:hyperlink>
          </w:p>
        </w:tc>
      </w:tr>
      <w:tr w:rsidR="0002274E" w:rsidRPr="00D239A0" w14:paraId="37789C4D" w14:textId="77777777" w:rsidTr="0002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745FA05F" w14:textId="77777777" w:rsidR="0002274E" w:rsidRPr="00D239A0" w:rsidRDefault="0002274E" w:rsidP="002C7064">
            <w:pPr>
              <w:spacing w:before="240" w:after="240" w:line="360" w:lineRule="auto"/>
              <w:jc w:val="center"/>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Gram stain</w:t>
            </w:r>
          </w:p>
        </w:tc>
        <w:tc>
          <w:tcPr>
            <w:tcW w:w="1476" w:type="dxa"/>
            <w:shd w:val="clear" w:color="auto" w:fill="FFFFFF" w:themeFill="background1"/>
            <w:hideMark/>
          </w:tcPr>
          <w:p w14:paraId="13986303"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 (rods)</w:t>
            </w:r>
          </w:p>
        </w:tc>
        <w:tc>
          <w:tcPr>
            <w:tcW w:w="1436" w:type="dxa"/>
            <w:shd w:val="clear" w:color="auto" w:fill="FFFFFF" w:themeFill="background1"/>
            <w:hideMark/>
          </w:tcPr>
          <w:p w14:paraId="581B1F5D"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 (rods)</w:t>
            </w:r>
          </w:p>
        </w:tc>
        <w:tc>
          <w:tcPr>
            <w:tcW w:w="1350" w:type="dxa"/>
            <w:shd w:val="clear" w:color="auto" w:fill="FFFFFF" w:themeFill="background1"/>
            <w:hideMark/>
          </w:tcPr>
          <w:p w14:paraId="238F123F"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 (rods)</w:t>
            </w:r>
          </w:p>
        </w:tc>
        <w:tc>
          <w:tcPr>
            <w:tcW w:w="2965" w:type="dxa"/>
            <w:shd w:val="clear" w:color="auto" w:fill="FFFFFF" w:themeFill="background1"/>
            <w:hideMark/>
          </w:tcPr>
          <w:p w14:paraId="42BBBE19"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u w:val="single"/>
              </w:rPr>
            </w:pPr>
            <w:hyperlink r:id="rId16" w:tgtFrame="_blank" w:history="1">
              <w:r w:rsidRPr="00D239A0">
                <w:rPr>
                  <w:rFonts w:ascii="Times New Roman" w:eastAsia="Times New Roman" w:hAnsi="Times New Roman" w:cs="Times New Roman"/>
                  <w:sz w:val="24"/>
                  <w:szCs w:val="24"/>
                  <w:u w:val="single"/>
                </w:rPr>
                <w:t xml:space="preserve">+ </w:t>
              </w:r>
            </w:hyperlink>
          </w:p>
        </w:tc>
      </w:tr>
      <w:tr w:rsidR="0002274E" w:rsidRPr="00D239A0" w14:paraId="648007F6" w14:textId="77777777" w:rsidTr="0002274E">
        <w:trPr>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2910F9EF" w14:textId="77777777" w:rsidR="0002274E" w:rsidRPr="00D239A0" w:rsidRDefault="0002274E" w:rsidP="002C7064">
            <w:pPr>
              <w:spacing w:before="240" w:after="240" w:line="360" w:lineRule="auto"/>
              <w:jc w:val="center"/>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Catalase</w:t>
            </w:r>
          </w:p>
        </w:tc>
        <w:tc>
          <w:tcPr>
            <w:tcW w:w="1476" w:type="dxa"/>
            <w:shd w:val="clear" w:color="auto" w:fill="FFFFFF" w:themeFill="background1"/>
            <w:hideMark/>
          </w:tcPr>
          <w:p w14:paraId="0B511600"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40C5BF1D"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7D418F74"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57293FC3"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239A0">
              <w:rPr>
                <w:rFonts w:ascii="Times New Roman" w:eastAsia="Times New Roman" w:hAnsi="Times New Roman" w:cs="Times New Roman"/>
                <w:sz w:val="24"/>
                <w:szCs w:val="24"/>
              </w:rPr>
              <w:t>+</w:t>
            </w:r>
          </w:p>
        </w:tc>
      </w:tr>
      <w:tr w:rsidR="0002274E" w:rsidRPr="00D239A0" w14:paraId="0F1C8BEE" w14:textId="77777777" w:rsidTr="0002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1EBE4654" w14:textId="77777777" w:rsidR="0002274E" w:rsidRPr="00D239A0" w:rsidRDefault="0002274E" w:rsidP="002C7064">
            <w:pPr>
              <w:spacing w:before="240" w:after="240" w:line="360" w:lineRule="auto"/>
              <w:jc w:val="center"/>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Oxidase</w:t>
            </w:r>
          </w:p>
        </w:tc>
        <w:tc>
          <w:tcPr>
            <w:tcW w:w="1476" w:type="dxa"/>
            <w:shd w:val="clear" w:color="auto" w:fill="FFFFFF" w:themeFill="background1"/>
            <w:hideMark/>
          </w:tcPr>
          <w:p w14:paraId="049CD5D1"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0FC3697A"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56B229C9"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0BF9F444"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u w:val="single"/>
              </w:rPr>
            </w:pPr>
            <w:hyperlink r:id="rId17" w:tgtFrame="_blank" w:history="1">
              <w:r w:rsidRPr="00D239A0">
                <w:rPr>
                  <w:rFonts w:ascii="Times New Roman" w:eastAsia="Times New Roman" w:hAnsi="Times New Roman" w:cs="Times New Roman"/>
                  <w:sz w:val="24"/>
                  <w:szCs w:val="24"/>
                  <w:u w:val="single"/>
                </w:rPr>
                <w:t xml:space="preserve">+ </w:t>
              </w:r>
            </w:hyperlink>
          </w:p>
        </w:tc>
      </w:tr>
      <w:tr w:rsidR="0002274E" w:rsidRPr="00D239A0" w14:paraId="46381C55" w14:textId="77777777" w:rsidTr="0002274E">
        <w:trPr>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5530D7EA" w14:textId="77777777" w:rsidR="0002274E" w:rsidRPr="00D239A0" w:rsidRDefault="0002274E" w:rsidP="002C7064">
            <w:pPr>
              <w:spacing w:before="240" w:after="240" w:line="360" w:lineRule="auto"/>
              <w:jc w:val="center"/>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Methyl Red</w:t>
            </w:r>
          </w:p>
        </w:tc>
        <w:tc>
          <w:tcPr>
            <w:tcW w:w="1476" w:type="dxa"/>
            <w:shd w:val="clear" w:color="auto" w:fill="FFFFFF" w:themeFill="background1"/>
            <w:hideMark/>
          </w:tcPr>
          <w:p w14:paraId="4DD81D86"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76F17EA2"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29940EB4"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3004E0FD"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u w:val="single"/>
              </w:rPr>
            </w:pPr>
            <w:hyperlink r:id="rId18" w:tgtFrame="_blank" w:history="1">
              <w:r w:rsidRPr="00D239A0">
                <w:rPr>
                  <w:rFonts w:ascii="Times New Roman" w:eastAsia="Times New Roman" w:hAnsi="Times New Roman" w:cs="Times New Roman"/>
                  <w:sz w:val="24"/>
                  <w:szCs w:val="24"/>
                  <w:u w:val="single"/>
                </w:rPr>
                <w:t xml:space="preserve">+ </w:t>
              </w:r>
            </w:hyperlink>
          </w:p>
        </w:tc>
      </w:tr>
      <w:tr w:rsidR="0002274E" w:rsidRPr="00D239A0" w14:paraId="24ACD71D" w14:textId="77777777" w:rsidTr="0002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71A3BB39" w14:textId="77777777" w:rsidR="0002274E" w:rsidRPr="00D239A0" w:rsidRDefault="0002274E" w:rsidP="002C7064">
            <w:pPr>
              <w:spacing w:before="240" w:after="240" w:line="360" w:lineRule="auto"/>
              <w:jc w:val="center"/>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Voges-Proskauer</w:t>
            </w:r>
          </w:p>
        </w:tc>
        <w:tc>
          <w:tcPr>
            <w:tcW w:w="1476" w:type="dxa"/>
            <w:shd w:val="clear" w:color="auto" w:fill="FFFFFF" w:themeFill="background1"/>
            <w:hideMark/>
          </w:tcPr>
          <w:p w14:paraId="31526B73"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41F0EA6D"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525E34A8"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031701CD"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239A0">
              <w:rPr>
                <w:rFonts w:ascii="Times New Roman" w:eastAsia="Times New Roman" w:hAnsi="Times New Roman" w:cs="Times New Roman"/>
                <w:sz w:val="24"/>
                <w:szCs w:val="24"/>
              </w:rPr>
              <w:t>-</w:t>
            </w:r>
          </w:p>
        </w:tc>
      </w:tr>
      <w:tr w:rsidR="0002274E" w:rsidRPr="00D239A0" w14:paraId="7F6B46F3" w14:textId="77777777" w:rsidTr="0002274E">
        <w:trPr>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15C52B83" w14:textId="77777777" w:rsidR="0002274E" w:rsidRPr="00D239A0" w:rsidRDefault="0002274E" w:rsidP="002C7064">
            <w:pPr>
              <w:spacing w:before="240" w:after="240" w:line="360" w:lineRule="auto"/>
              <w:jc w:val="center"/>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lastRenderedPageBreak/>
              <w:t>Indole</w:t>
            </w:r>
          </w:p>
        </w:tc>
        <w:tc>
          <w:tcPr>
            <w:tcW w:w="1476" w:type="dxa"/>
            <w:shd w:val="clear" w:color="auto" w:fill="FFFFFF" w:themeFill="background1"/>
            <w:hideMark/>
          </w:tcPr>
          <w:p w14:paraId="4822FF01"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019DAEF8"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194E1F43"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65120589"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u w:val="single"/>
              </w:rPr>
            </w:pPr>
            <w:hyperlink r:id="rId19" w:tgtFrame="_blank" w:history="1">
              <w:r w:rsidRPr="00D239A0">
                <w:rPr>
                  <w:rFonts w:ascii="Times New Roman" w:eastAsia="Times New Roman" w:hAnsi="Times New Roman" w:cs="Times New Roman"/>
                  <w:sz w:val="24"/>
                  <w:szCs w:val="24"/>
                  <w:u w:val="single"/>
                </w:rPr>
                <w:t xml:space="preserve">+ </w:t>
              </w:r>
            </w:hyperlink>
          </w:p>
        </w:tc>
      </w:tr>
      <w:tr w:rsidR="0002274E" w:rsidRPr="00D239A0" w14:paraId="7E2AA4DD" w14:textId="77777777" w:rsidTr="0002274E">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518DC945" w14:textId="77777777" w:rsidR="0002274E" w:rsidRPr="00D239A0" w:rsidRDefault="0002274E" w:rsidP="002C7064">
            <w:pPr>
              <w:spacing w:before="240" w:after="240" w:line="360" w:lineRule="auto"/>
              <w:jc w:val="center"/>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TSI (K/A)</w:t>
            </w:r>
          </w:p>
        </w:tc>
        <w:tc>
          <w:tcPr>
            <w:tcW w:w="1476" w:type="dxa"/>
            <w:shd w:val="clear" w:color="auto" w:fill="FFFFFF" w:themeFill="background1"/>
            <w:hideMark/>
          </w:tcPr>
          <w:p w14:paraId="476F329C"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Acid</w:t>
            </w:r>
          </w:p>
        </w:tc>
        <w:tc>
          <w:tcPr>
            <w:tcW w:w="1436" w:type="dxa"/>
            <w:shd w:val="clear" w:color="auto" w:fill="FFFFFF" w:themeFill="background1"/>
            <w:hideMark/>
          </w:tcPr>
          <w:p w14:paraId="0FF55CA6"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Acid</w:t>
            </w:r>
          </w:p>
        </w:tc>
        <w:tc>
          <w:tcPr>
            <w:tcW w:w="1350" w:type="dxa"/>
            <w:shd w:val="clear" w:color="auto" w:fill="FFFFFF" w:themeFill="background1"/>
            <w:hideMark/>
          </w:tcPr>
          <w:p w14:paraId="52EFF4D7"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Alkaline</w:t>
            </w:r>
          </w:p>
        </w:tc>
        <w:tc>
          <w:tcPr>
            <w:tcW w:w="2965" w:type="dxa"/>
            <w:shd w:val="clear" w:color="auto" w:fill="FFFFFF" w:themeFill="background1"/>
            <w:hideMark/>
          </w:tcPr>
          <w:p w14:paraId="5A90C035"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u w:val="single"/>
              </w:rPr>
            </w:pPr>
            <w:r w:rsidRPr="00D239A0">
              <w:rPr>
                <w:rFonts w:ascii="Times New Roman" w:eastAsia="Times New Roman" w:hAnsi="Times New Roman" w:cs="Times New Roman"/>
                <w:sz w:val="24"/>
                <w:szCs w:val="24"/>
                <w:u w:val="single"/>
              </w:rPr>
              <w:t>K/A H</w:t>
            </w:r>
            <w:r w:rsidRPr="00D239A0">
              <w:rPr>
                <w:rFonts w:ascii="Cambria Math" w:eastAsia="Times New Roman" w:hAnsi="Cambria Math" w:cs="Cambria Math"/>
                <w:sz w:val="24"/>
                <w:szCs w:val="24"/>
                <w:u w:val="single"/>
              </w:rPr>
              <w:t>₂</w:t>
            </w:r>
            <w:r w:rsidRPr="00D239A0">
              <w:rPr>
                <w:rFonts w:ascii="Times New Roman" w:eastAsia="Times New Roman" w:hAnsi="Times New Roman" w:cs="Times New Roman"/>
                <w:sz w:val="24"/>
                <w:szCs w:val="24"/>
                <w:u w:val="single"/>
              </w:rPr>
              <w:t>S</w:t>
            </w:r>
          </w:p>
        </w:tc>
      </w:tr>
      <w:tr w:rsidR="0002274E" w:rsidRPr="00D239A0" w14:paraId="639A0175" w14:textId="77777777" w:rsidTr="0002274E">
        <w:trPr>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4503BCE7" w14:textId="77777777" w:rsidR="0002274E" w:rsidRPr="00D239A0" w:rsidRDefault="0002274E" w:rsidP="002C7064">
            <w:pPr>
              <w:spacing w:before="240" w:after="240" w:line="360" w:lineRule="auto"/>
              <w:jc w:val="center"/>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Gelatin liquefaction</w:t>
            </w:r>
          </w:p>
        </w:tc>
        <w:tc>
          <w:tcPr>
            <w:tcW w:w="1476" w:type="dxa"/>
            <w:shd w:val="clear" w:color="auto" w:fill="FFFFFF" w:themeFill="background1"/>
            <w:hideMark/>
          </w:tcPr>
          <w:p w14:paraId="3B72C542"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3D063890"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32B4C002"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5B36E271"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239A0">
              <w:rPr>
                <w:rFonts w:ascii="Times New Roman" w:eastAsia="Times New Roman" w:hAnsi="Times New Roman" w:cs="Times New Roman"/>
                <w:sz w:val="24"/>
                <w:szCs w:val="24"/>
              </w:rPr>
              <w:t>+</w:t>
            </w:r>
          </w:p>
        </w:tc>
      </w:tr>
      <w:tr w:rsidR="0002274E" w:rsidRPr="00D239A0" w14:paraId="27BC8F67" w14:textId="77777777" w:rsidTr="0002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2636E1BD" w14:textId="77777777" w:rsidR="0002274E" w:rsidRPr="00D239A0" w:rsidRDefault="0002274E" w:rsidP="002C7064">
            <w:pPr>
              <w:spacing w:before="240" w:after="240" w:line="360" w:lineRule="auto"/>
              <w:jc w:val="center"/>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Starch hydrolysis</w:t>
            </w:r>
          </w:p>
        </w:tc>
        <w:tc>
          <w:tcPr>
            <w:tcW w:w="1476" w:type="dxa"/>
            <w:shd w:val="clear" w:color="auto" w:fill="FFFFFF" w:themeFill="background1"/>
            <w:hideMark/>
          </w:tcPr>
          <w:p w14:paraId="227EC948"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74FC9CC7"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1A178564"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136513FD" w14:textId="77777777" w:rsidR="0002274E" w:rsidRPr="00D239A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239A0">
              <w:rPr>
                <w:rFonts w:ascii="Times New Roman" w:eastAsia="Times New Roman" w:hAnsi="Times New Roman" w:cs="Times New Roman"/>
                <w:sz w:val="24"/>
                <w:szCs w:val="24"/>
              </w:rPr>
              <w:t>-</w:t>
            </w:r>
          </w:p>
        </w:tc>
      </w:tr>
      <w:tr w:rsidR="0002274E" w:rsidRPr="00D239A0" w14:paraId="1125BC9F" w14:textId="77777777" w:rsidTr="0002274E">
        <w:trPr>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07D628A1" w14:textId="77777777" w:rsidR="0002274E" w:rsidRPr="00D239A0" w:rsidRDefault="0002274E" w:rsidP="002C7064">
            <w:pPr>
              <w:spacing w:before="240" w:after="240" w:line="360" w:lineRule="auto"/>
              <w:jc w:val="center"/>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Urease</w:t>
            </w:r>
          </w:p>
        </w:tc>
        <w:tc>
          <w:tcPr>
            <w:tcW w:w="1476" w:type="dxa"/>
            <w:shd w:val="clear" w:color="auto" w:fill="FFFFFF" w:themeFill="background1"/>
            <w:hideMark/>
          </w:tcPr>
          <w:p w14:paraId="3DE16388"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0AB43758"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3EBBE3C4"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491DA3E7" w14:textId="77777777" w:rsidR="0002274E" w:rsidRPr="00D239A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239A0">
              <w:rPr>
                <w:rFonts w:ascii="Times New Roman" w:eastAsia="Times New Roman" w:hAnsi="Times New Roman" w:cs="Times New Roman"/>
                <w:sz w:val="24"/>
                <w:szCs w:val="24"/>
              </w:rPr>
              <w:t>-</w:t>
            </w:r>
          </w:p>
        </w:tc>
      </w:tr>
    </w:tbl>
    <w:p w14:paraId="6FC1E238" w14:textId="77777777" w:rsidR="0002274E" w:rsidRPr="00D239A0" w:rsidRDefault="0002274E" w:rsidP="0002274E">
      <w:pPr>
        <w:spacing w:before="240" w:after="240" w:line="360" w:lineRule="auto"/>
        <w:jc w:val="both"/>
        <w:rPr>
          <w:rFonts w:ascii="Times New Roman" w:hAnsi="Times New Roman" w:cs="Times New Roman"/>
          <w:sz w:val="24"/>
          <w:szCs w:val="24"/>
        </w:rPr>
      </w:pPr>
      <w:r w:rsidRPr="00D239A0">
        <w:rPr>
          <w:rFonts w:ascii="Times New Roman" w:hAnsi="Times New Roman" w:cs="Times New Roman"/>
          <w:b/>
          <w:sz w:val="24"/>
          <w:szCs w:val="24"/>
        </w:rPr>
        <w:br/>
      </w:r>
      <w:r w:rsidR="00BC2D9E" w:rsidRPr="00D239A0">
        <w:rPr>
          <w:rFonts w:ascii="Times New Roman" w:hAnsi="Times New Roman" w:cs="Times New Roman"/>
          <w:sz w:val="24"/>
          <w:szCs w:val="24"/>
        </w:rPr>
        <w:t xml:space="preserve">    </w:t>
      </w:r>
      <w:r w:rsidRPr="00D239A0">
        <w:rPr>
          <w:rFonts w:ascii="Times New Roman" w:hAnsi="Times New Roman" w:cs="Times New Roman"/>
          <w:noProof/>
          <w:sz w:val="24"/>
          <w:szCs w:val="24"/>
        </w:rPr>
        <w:drawing>
          <wp:inline distT="0" distB="0" distL="0" distR="0" wp14:anchorId="638CAC71" wp14:editId="26C06689">
            <wp:extent cx="1676402" cy="1257300"/>
            <wp:effectExtent l="19050" t="0" r="0" b="0"/>
            <wp:docPr id="4" name="Picture 10" descr="C:\Users\WRITER-ADM\Desktop\teena mam\meena zoology\identification of Bacteri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RITER-ADM\Desktop\teena mam\meena zoology\identification of Bacteria-1.JPG"/>
                    <pic:cNvPicPr>
                      <a:picLocks noChangeAspect="1" noChangeArrowheads="1"/>
                    </pic:cNvPicPr>
                  </pic:nvPicPr>
                  <pic:blipFill>
                    <a:blip r:embed="rId20" cstate="print"/>
                    <a:srcRect/>
                    <a:stretch>
                      <a:fillRect/>
                    </a:stretch>
                  </pic:blipFill>
                  <pic:spPr bwMode="auto">
                    <a:xfrm>
                      <a:off x="0" y="0"/>
                      <a:ext cx="1676094" cy="1257069"/>
                    </a:xfrm>
                    <a:prstGeom prst="rect">
                      <a:avLst/>
                    </a:prstGeom>
                    <a:noFill/>
                    <a:ln w="9525">
                      <a:noFill/>
                      <a:miter lim="800000"/>
                      <a:headEnd/>
                      <a:tailEnd/>
                    </a:ln>
                  </pic:spPr>
                </pic:pic>
              </a:graphicData>
            </a:graphic>
          </wp:inline>
        </w:drawing>
      </w:r>
      <w:r w:rsidR="00BC2D9E" w:rsidRPr="00D239A0">
        <w:rPr>
          <w:rFonts w:ascii="Times New Roman" w:hAnsi="Times New Roman" w:cs="Times New Roman"/>
          <w:sz w:val="24"/>
          <w:szCs w:val="24"/>
        </w:rPr>
        <w:t xml:space="preserve">                                                  </w:t>
      </w:r>
      <w:r w:rsidRPr="00D239A0">
        <w:rPr>
          <w:rFonts w:ascii="Times New Roman" w:hAnsi="Times New Roman" w:cs="Times New Roman"/>
          <w:noProof/>
          <w:sz w:val="24"/>
          <w:szCs w:val="24"/>
        </w:rPr>
        <w:drawing>
          <wp:inline distT="0" distB="0" distL="0" distR="0" wp14:anchorId="3E2A566F" wp14:editId="7942B0CB">
            <wp:extent cx="1895475" cy="1261123"/>
            <wp:effectExtent l="19050" t="0" r="0" b="0"/>
            <wp:docPr id="5" name="Picture 13" descr="C:\Users\WRITER-ADM\Desktop\teena mam\meena zoology\1000695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RITER-ADM\Desktop\teena mam\meena zoology\1000695544.jpg"/>
                    <pic:cNvPicPr>
                      <a:picLocks noChangeAspect="1" noChangeArrowheads="1"/>
                    </pic:cNvPicPr>
                  </pic:nvPicPr>
                  <pic:blipFill>
                    <a:blip r:embed="rId21" cstate="print"/>
                    <a:srcRect/>
                    <a:stretch>
                      <a:fillRect/>
                    </a:stretch>
                  </pic:blipFill>
                  <pic:spPr bwMode="auto">
                    <a:xfrm>
                      <a:off x="0" y="0"/>
                      <a:ext cx="1895545" cy="1261170"/>
                    </a:xfrm>
                    <a:prstGeom prst="rect">
                      <a:avLst/>
                    </a:prstGeom>
                    <a:noFill/>
                    <a:ln w="9525">
                      <a:noFill/>
                      <a:miter lim="800000"/>
                      <a:headEnd/>
                      <a:tailEnd/>
                    </a:ln>
                  </pic:spPr>
                </pic:pic>
              </a:graphicData>
            </a:graphic>
          </wp:inline>
        </w:drawing>
      </w:r>
    </w:p>
    <w:p w14:paraId="7C1082F7" w14:textId="77777777" w:rsidR="0002274E" w:rsidRPr="00D239A0" w:rsidRDefault="00BC2D9E" w:rsidP="0002274E">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 xml:space="preserve">    </w:t>
      </w:r>
      <w:r w:rsidR="0002274E" w:rsidRPr="00D239A0">
        <w:rPr>
          <w:rFonts w:ascii="Times New Roman" w:hAnsi="Times New Roman" w:cs="Times New Roman"/>
          <w:b/>
          <w:sz w:val="24"/>
          <w:szCs w:val="24"/>
        </w:rPr>
        <w:t xml:space="preserve">Fig1: Colony morphology                                     </w:t>
      </w:r>
      <w:r w:rsidRPr="00D239A0">
        <w:rPr>
          <w:rFonts w:ascii="Times New Roman" w:hAnsi="Times New Roman" w:cs="Times New Roman"/>
          <w:b/>
          <w:sz w:val="24"/>
          <w:szCs w:val="24"/>
        </w:rPr>
        <w:t xml:space="preserve">             </w:t>
      </w:r>
      <w:r w:rsidR="0002274E" w:rsidRPr="00D239A0">
        <w:rPr>
          <w:rFonts w:ascii="Times New Roman" w:hAnsi="Times New Roman" w:cs="Times New Roman"/>
          <w:b/>
          <w:sz w:val="24"/>
          <w:szCs w:val="24"/>
        </w:rPr>
        <w:t>Fig 2: Aerial mycelium</w:t>
      </w:r>
    </w:p>
    <w:p w14:paraId="207D2B0E" w14:textId="77777777" w:rsidR="0002274E" w:rsidRPr="00D239A0" w:rsidRDefault="00BC2D9E" w:rsidP="0002274E">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  </w:t>
      </w:r>
      <w:r w:rsidR="0002274E" w:rsidRPr="00D239A0">
        <w:rPr>
          <w:rFonts w:ascii="Times New Roman" w:hAnsi="Times New Roman" w:cs="Times New Roman"/>
          <w:b/>
          <w:noProof/>
          <w:sz w:val="24"/>
          <w:szCs w:val="24"/>
        </w:rPr>
        <w:drawing>
          <wp:inline distT="0" distB="0" distL="0" distR="0" wp14:anchorId="0E855F19" wp14:editId="2D9E0598">
            <wp:extent cx="1819275" cy="1460395"/>
            <wp:effectExtent l="19050" t="0" r="9525" b="0"/>
            <wp:docPr id="6" name="Picture 14" descr="C:\Users\WRITER-ADM\Desktop\teena mam\meena zoology\Aerogin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RITER-ADM\Desktop\teena mam\meena zoology\Aerogines-2.jpg"/>
                    <pic:cNvPicPr>
                      <a:picLocks noChangeAspect="1" noChangeArrowheads="1"/>
                    </pic:cNvPicPr>
                  </pic:nvPicPr>
                  <pic:blipFill>
                    <a:blip r:embed="rId22" cstate="print"/>
                    <a:srcRect/>
                    <a:stretch>
                      <a:fillRect/>
                    </a:stretch>
                  </pic:blipFill>
                  <pic:spPr bwMode="auto">
                    <a:xfrm>
                      <a:off x="0" y="0"/>
                      <a:ext cx="1823678" cy="1463929"/>
                    </a:xfrm>
                    <a:prstGeom prst="rect">
                      <a:avLst/>
                    </a:prstGeom>
                    <a:noFill/>
                    <a:ln w="9525">
                      <a:noFill/>
                      <a:miter lim="800000"/>
                      <a:headEnd/>
                      <a:tailEnd/>
                    </a:ln>
                  </pic:spPr>
                </pic:pic>
              </a:graphicData>
            </a:graphic>
          </wp:inline>
        </w:drawing>
      </w:r>
      <w:r w:rsidRPr="00D239A0">
        <w:rPr>
          <w:rFonts w:ascii="Times New Roman" w:hAnsi="Times New Roman" w:cs="Times New Roman"/>
          <w:sz w:val="24"/>
          <w:szCs w:val="24"/>
        </w:rPr>
        <w:t xml:space="preserve">                                                    </w:t>
      </w:r>
      <w:r w:rsidR="0002274E" w:rsidRPr="00D239A0">
        <w:rPr>
          <w:rFonts w:ascii="Times New Roman" w:hAnsi="Times New Roman" w:cs="Times New Roman"/>
          <w:noProof/>
          <w:sz w:val="24"/>
          <w:szCs w:val="24"/>
        </w:rPr>
        <w:drawing>
          <wp:inline distT="0" distB="0" distL="0" distR="0" wp14:anchorId="224964F3" wp14:editId="74B271C0">
            <wp:extent cx="1596159" cy="1504950"/>
            <wp:effectExtent l="19050" t="0" r="4041" b="0"/>
            <wp:docPr id="7" name="Picture 16" descr="C:\Users\WRITER-ADM\Desktop\teena mam\meena zoology\Aerogines Bro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RITER-ADM\Desktop\teena mam\meena zoology\Aerogines Broth.JPG"/>
                    <pic:cNvPicPr>
                      <a:picLocks noChangeAspect="1" noChangeArrowheads="1"/>
                    </pic:cNvPicPr>
                  </pic:nvPicPr>
                  <pic:blipFill>
                    <a:blip r:embed="rId23" cstate="print"/>
                    <a:srcRect/>
                    <a:stretch>
                      <a:fillRect/>
                    </a:stretch>
                  </pic:blipFill>
                  <pic:spPr bwMode="auto">
                    <a:xfrm>
                      <a:off x="0" y="0"/>
                      <a:ext cx="1609867" cy="1517874"/>
                    </a:xfrm>
                    <a:prstGeom prst="rect">
                      <a:avLst/>
                    </a:prstGeom>
                    <a:noFill/>
                    <a:ln w="9525">
                      <a:noFill/>
                      <a:miter lim="800000"/>
                      <a:headEnd/>
                      <a:tailEnd/>
                    </a:ln>
                  </pic:spPr>
                </pic:pic>
              </a:graphicData>
            </a:graphic>
          </wp:inline>
        </w:drawing>
      </w:r>
    </w:p>
    <w:p w14:paraId="7CE96C28" w14:textId="77777777" w:rsidR="0002274E" w:rsidRPr="00D239A0" w:rsidRDefault="00BC2D9E" w:rsidP="0002274E">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 xml:space="preserve">    </w:t>
      </w:r>
      <w:r w:rsidR="0002274E" w:rsidRPr="00D239A0">
        <w:rPr>
          <w:rFonts w:ascii="Times New Roman" w:hAnsi="Times New Roman" w:cs="Times New Roman"/>
          <w:b/>
          <w:sz w:val="24"/>
          <w:szCs w:val="24"/>
        </w:rPr>
        <w:t xml:space="preserve">Fig 3: Microscopic structure                                 </w:t>
      </w:r>
      <w:r w:rsidRPr="00D239A0">
        <w:rPr>
          <w:rFonts w:ascii="Times New Roman" w:hAnsi="Times New Roman" w:cs="Times New Roman"/>
          <w:b/>
          <w:sz w:val="24"/>
          <w:szCs w:val="24"/>
        </w:rPr>
        <w:t xml:space="preserve">               </w:t>
      </w:r>
      <w:r w:rsidR="0002274E" w:rsidRPr="00D239A0">
        <w:rPr>
          <w:rFonts w:ascii="Times New Roman" w:hAnsi="Times New Roman" w:cs="Times New Roman"/>
          <w:b/>
          <w:sz w:val="24"/>
          <w:szCs w:val="24"/>
        </w:rPr>
        <w:t xml:space="preserve">Fig 4: Gram staining </w:t>
      </w:r>
    </w:p>
    <w:p w14:paraId="21E743F4" w14:textId="77777777" w:rsidR="0002274E" w:rsidRPr="00D239A0" w:rsidRDefault="0002274E" w:rsidP="0002274E">
      <w:pPr>
        <w:spacing w:before="240" w:after="240" w:line="360" w:lineRule="auto"/>
        <w:jc w:val="both"/>
        <w:rPr>
          <w:rFonts w:ascii="Times New Roman" w:hAnsi="Times New Roman" w:cs="Times New Roman"/>
          <w:sz w:val="24"/>
          <w:szCs w:val="24"/>
        </w:rPr>
      </w:pPr>
    </w:p>
    <w:p w14:paraId="4026A036" w14:textId="77777777" w:rsidR="0002274E" w:rsidRPr="00D239A0" w:rsidRDefault="00170B1A" w:rsidP="0002274E">
      <w:pPr>
        <w:spacing w:before="240" w:after="240" w:line="360" w:lineRule="auto"/>
        <w:jc w:val="both"/>
        <w:rPr>
          <w:rFonts w:ascii="Times New Roman" w:hAnsi="Times New Roman" w:cs="Times New Roman"/>
          <w:sz w:val="24"/>
          <w:szCs w:val="24"/>
        </w:rPr>
      </w:pPr>
      <w:r w:rsidRPr="00D239A0">
        <w:rPr>
          <w:rFonts w:ascii="Times New Roman" w:hAnsi="Times New Roman" w:cs="Times New Roman"/>
          <w:noProof/>
          <w:sz w:val="24"/>
          <w:szCs w:val="24"/>
        </w:rPr>
        <w:lastRenderedPageBreak/>
        <w:drawing>
          <wp:anchor distT="0" distB="0" distL="114300" distR="114300" simplePos="0" relativeHeight="251658240" behindDoc="0" locked="0" layoutInCell="1" allowOverlap="1" wp14:anchorId="7CC2CAC8" wp14:editId="57EA5A8F">
            <wp:simplePos x="0" y="0"/>
            <wp:positionH relativeFrom="column">
              <wp:posOffset>919802</wp:posOffset>
            </wp:positionH>
            <wp:positionV relativeFrom="paragraph">
              <wp:posOffset>25362</wp:posOffset>
            </wp:positionV>
            <wp:extent cx="4057650" cy="2103120"/>
            <wp:effectExtent l="19050" t="0" r="0" b="0"/>
            <wp:wrapSquare wrapText="bothSides"/>
            <wp:docPr id="8" name="Picture 1" descr="C:\Users\NOVA-F\Downloads\ChatGPT Image Apr 25, 2026, 01_55_2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OVA-F\Downloads\ChatGPT Image Apr 25, 2026, 01_55_26 PM.png"/>
                    <pic:cNvPicPr>
                      <a:picLocks noChangeAspect="1" noChangeArrowheads="1"/>
                    </pic:cNvPicPr>
                  </pic:nvPicPr>
                  <pic:blipFill>
                    <a:blip r:embed="rId24" cstate="print"/>
                    <a:srcRect b="10997"/>
                    <a:stretch>
                      <a:fillRect/>
                    </a:stretch>
                  </pic:blipFill>
                  <pic:spPr bwMode="auto">
                    <a:xfrm>
                      <a:off x="0" y="0"/>
                      <a:ext cx="4057650" cy="2103120"/>
                    </a:xfrm>
                    <a:prstGeom prst="rect">
                      <a:avLst/>
                    </a:prstGeom>
                    <a:noFill/>
                    <a:ln w="9525">
                      <a:noFill/>
                      <a:miter lim="800000"/>
                      <a:headEnd/>
                      <a:tailEnd/>
                    </a:ln>
                  </pic:spPr>
                </pic:pic>
              </a:graphicData>
            </a:graphic>
          </wp:anchor>
        </w:drawing>
      </w:r>
    </w:p>
    <w:p w14:paraId="24DD16C7" w14:textId="77777777" w:rsidR="0002274E" w:rsidRPr="00D239A0" w:rsidRDefault="0002274E" w:rsidP="0002274E">
      <w:pPr>
        <w:spacing w:before="240" w:after="240" w:line="360" w:lineRule="auto"/>
        <w:jc w:val="both"/>
        <w:rPr>
          <w:rFonts w:ascii="Times New Roman" w:hAnsi="Times New Roman" w:cs="Times New Roman"/>
          <w:sz w:val="24"/>
          <w:szCs w:val="24"/>
        </w:rPr>
      </w:pPr>
    </w:p>
    <w:p w14:paraId="50BF9DFE" w14:textId="77777777" w:rsidR="0002274E" w:rsidRPr="00D239A0" w:rsidRDefault="0002274E" w:rsidP="0002274E">
      <w:pPr>
        <w:spacing w:before="240" w:after="240" w:line="360" w:lineRule="auto"/>
        <w:rPr>
          <w:rFonts w:ascii="Times New Roman" w:hAnsi="Times New Roman" w:cs="Times New Roman"/>
          <w:sz w:val="24"/>
          <w:szCs w:val="24"/>
        </w:rPr>
      </w:pPr>
      <w:r w:rsidRPr="00D239A0">
        <w:rPr>
          <w:rFonts w:ascii="Times New Roman" w:hAnsi="Times New Roman" w:cs="Times New Roman"/>
          <w:sz w:val="24"/>
          <w:szCs w:val="24"/>
        </w:rPr>
        <w:br w:type="textWrapping" w:clear="all"/>
      </w:r>
    </w:p>
    <w:p w14:paraId="621D00F9" w14:textId="77777777" w:rsidR="0002274E" w:rsidRPr="00D239A0" w:rsidRDefault="0002274E" w:rsidP="0002274E">
      <w:pPr>
        <w:spacing w:before="240" w:after="240" w:line="360" w:lineRule="auto"/>
        <w:rPr>
          <w:rFonts w:ascii="Times New Roman" w:hAnsi="Times New Roman" w:cs="Times New Roman"/>
          <w:b/>
          <w:sz w:val="24"/>
          <w:szCs w:val="24"/>
        </w:rPr>
      </w:pPr>
      <w:r w:rsidRPr="00D239A0">
        <w:rPr>
          <w:rFonts w:ascii="Times New Roman" w:hAnsi="Times New Roman" w:cs="Times New Roman"/>
          <w:b/>
          <w:noProof/>
          <w:sz w:val="24"/>
          <w:szCs w:val="24"/>
        </w:rPr>
        <w:drawing>
          <wp:inline distT="0" distB="0" distL="0" distR="0" wp14:anchorId="54A0FC2F" wp14:editId="3EF787EB">
            <wp:extent cx="1649500" cy="1445468"/>
            <wp:effectExtent l="19050" t="0" r="7850" b="0"/>
            <wp:docPr id="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srcRect/>
                    <a:stretch>
                      <a:fillRect/>
                    </a:stretch>
                  </pic:blipFill>
                  <pic:spPr bwMode="auto">
                    <a:xfrm>
                      <a:off x="0" y="0"/>
                      <a:ext cx="1676232" cy="1468894"/>
                    </a:xfrm>
                    <a:prstGeom prst="rect">
                      <a:avLst/>
                    </a:prstGeom>
                    <a:noFill/>
                    <a:ln w="9525">
                      <a:noFill/>
                      <a:miter lim="800000"/>
                      <a:headEnd/>
                      <a:tailEnd/>
                    </a:ln>
                  </pic:spPr>
                </pic:pic>
              </a:graphicData>
            </a:graphic>
          </wp:inline>
        </w:drawing>
      </w:r>
      <w:r w:rsidRPr="00D239A0">
        <w:rPr>
          <w:rFonts w:ascii="Times New Roman" w:hAnsi="Times New Roman" w:cs="Times New Roman"/>
          <w:b/>
          <w:noProof/>
          <w:sz w:val="24"/>
          <w:szCs w:val="24"/>
        </w:rPr>
        <w:drawing>
          <wp:inline distT="0" distB="0" distL="0" distR="0" wp14:anchorId="39260AFA" wp14:editId="037FF30A">
            <wp:extent cx="1490773" cy="1439631"/>
            <wp:effectExtent l="19050" t="0" r="0" b="0"/>
            <wp:docPr id="1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srcRect/>
                    <a:stretch>
                      <a:fillRect/>
                    </a:stretch>
                  </pic:blipFill>
                  <pic:spPr bwMode="auto">
                    <a:xfrm>
                      <a:off x="0" y="0"/>
                      <a:ext cx="1502059" cy="1450530"/>
                    </a:xfrm>
                    <a:prstGeom prst="rect">
                      <a:avLst/>
                    </a:prstGeom>
                    <a:noFill/>
                    <a:ln w="9525">
                      <a:noFill/>
                      <a:miter lim="800000"/>
                      <a:headEnd/>
                      <a:tailEnd/>
                    </a:ln>
                  </pic:spPr>
                </pic:pic>
              </a:graphicData>
            </a:graphic>
          </wp:inline>
        </w:drawing>
      </w:r>
      <w:r w:rsidRPr="00D239A0">
        <w:rPr>
          <w:rFonts w:ascii="Times New Roman" w:hAnsi="Times New Roman" w:cs="Times New Roman"/>
          <w:b/>
          <w:noProof/>
          <w:sz w:val="24"/>
          <w:szCs w:val="24"/>
        </w:rPr>
        <w:drawing>
          <wp:inline distT="0" distB="0" distL="0" distR="0" wp14:anchorId="5E9B6E6B" wp14:editId="0BE7EA06">
            <wp:extent cx="1660894" cy="1446178"/>
            <wp:effectExtent l="19050" t="0" r="0" b="0"/>
            <wp:docPr id="1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srcRect/>
                    <a:stretch>
                      <a:fillRect/>
                    </a:stretch>
                  </pic:blipFill>
                  <pic:spPr bwMode="auto">
                    <a:xfrm>
                      <a:off x="0" y="0"/>
                      <a:ext cx="1675416" cy="1458823"/>
                    </a:xfrm>
                    <a:prstGeom prst="rect">
                      <a:avLst/>
                    </a:prstGeom>
                    <a:noFill/>
                    <a:ln w="9525">
                      <a:noFill/>
                      <a:miter lim="800000"/>
                      <a:headEnd/>
                      <a:tailEnd/>
                    </a:ln>
                  </pic:spPr>
                </pic:pic>
              </a:graphicData>
            </a:graphic>
          </wp:inline>
        </w:drawing>
      </w:r>
    </w:p>
    <w:p w14:paraId="0DBB3949" w14:textId="77777777" w:rsidR="0002274E" w:rsidRPr="00D239A0" w:rsidRDefault="0002274E" w:rsidP="0002274E">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 xml:space="preserve">                    Fig-(a</w:t>
      </w:r>
      <w:r w:rsidRPr="00D239A0">
        <w:rPr>
          <w:rFonts w:ascii="Times New Roman" w:hAnsi="Times New Roman" w:cs="Times New Roman"/>
          <w:sz w:val="24"/>
          <w:szCs w:val="24"/>
        </w:rPr>
        <w:t xml:space="preserve">)                                     </w:t>
      </w:r>
      <w:r w:rsidRPr="00D239A0">
        <w:rPr>
          <w:rFonts w:ascii="Times New Roman" w:hAnsi="Times New Roman" w:cs="Times New Roman"/>
          <w:b/>
          <w:sz w:val="24"/>
          <w:szCs w:val="24"/>
        </w:rPr>
        <w:t>Fig-(b)                                      Fig-(c)</w:t>
      </w:r>
    </w:p>
    <w:p w14:paraId="62915D6A" w14:textId="77777777" w:rsidR="0002274E" w:rsidRPr="00D239A0" w:rsidRDefault="0002274E" w:rsidP="0002274E">
      <w:pPr>
        <w:spacing w:before="240" w:after="240" w:line="360" w:lineRule="auto"/>
        <w:jc w:val="both"/>
        <w:rPr>
          <w:rFonts w:ascii="Times New Roman" w:hAnsi="Times New Roman" w:cs="Times New Roman"/>
          <w:sz w:val="24"/>
          <w:szCs w:val="24"/>
        </w:rPr>
      </w:pPr>
      <w:r w:rsidRPr="00D239A0">
        <w:rPr>
          <w:rFonts w:ascii="Times New Roman" w:hAnsi="Times New Roman" w:cs="Times New Roman"/>
          <w:b/>
          <w:noProof/>
          <w:sz w:val="24"/>
          <w:szCs w:val="24"/>
        </w:rPr>
        <w:drawing>
          <wp:inline distT="0" distB="0" distL="0" distR="0" wp14:anchorId="5B0991EA" wp14:editId="192F9E85">
            <wp:extent cx="2031617" cy="1297172"/>
            <wp:effectExtent l="19050" t="0" r="6733" b="0"/>
            <wp:docPr id="1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srcRect/>
                    <a:stretch>
                      <a:fillRect/>
                    </a:stretch>
                  </pic:blipFill>
                  <pic:spPr bwMode="auto">
                    <a:xfrm>
                      <a:off x="0" y="0"/>
                      <a:ext cx="2049071" cy="1308316"/>
                    </a:xfrm>
                    <a:prstGeom prst="rect">
                      <a:avLst/>
                    </a:prstGeom>
                    <a:noFill/>
                    <a:ln w="9525">
                      <a:noFill/>
                      <a:miter lim="800000"/>
                      <a:headEnd/>
                      <a:tailEnd/>
                    </a:ln>
                  </pic:spPr>
                </pic:pic>
              </a:graphicData>
            </a:graphic>
          </wp:inline>
        </w:drawing>
      </w:r>
      <w:r w:rsidRPr="00D239A0">
        <w:rPr>
          <w:rFonts w:ascii="Times New Roman" w:hAnsi="Times New Roman" w:cs="Times New Roman"/>
          <w:b/>
          <w:noProof/>
          <w:sz w:val="24"/>
          <w:szCs w:val="24"/>
        </w:rPr>
        <w:drawing>
          <wp:inline distT="0" distB="0" distL="0" distR="0" wp14:anchorId="52E105FE" wp14:editId="1DAFCB86">
            <wp:extent cx="1892877" cy="1253836"/>
            <wp:effectExtent l="19050" t="0" r="0" b="0"/>
            <wp:docPr id="1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cstate="print"/>
                    <a:srcRect/>
                    <a:stretch>
                      <a:fillRect/>
                    </a:stretch>
                  </pic:blipFill>
                  <pic:spPr bwMode="auto">
                    <a:xfrm>
                      <a:off x="0" y="0"/>
                      <a:ext cx="1892723" cy="1253734"/>
                    </a:xfrm>
                    <a:prstGeom prst="rect">
                      <a:avLst/>
                    </a:prstGeom>
                    <a:noFill/>
                    <a:ln w="9525">
                      <a:noFill/>
                      <a:miter lim="800000"/>
                      <a:headEnd/>
                      <a:tailEnd/>
                    </a:ln>
                  </pic:spPr>
                </pic:pic>
              </a:graphicData>
            </a:graphic>
          </wp:inline>
        </w:drawing>
      </w:r>
    </w:p>
    <w:p w14:paraId="7DB998AD" w14:textId="77777777" w:rsidR="0002274E" w:rsidRPr="00D239A0" w:rsidRDefault="0002274E" w:rsidP="0002274E">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 xml:space="preserve">  Fig-(d)                                              Fig-(e)</w:t>
      </w:r>
    </w:p>
    <w:p w14:paraId="542317A3" w14:textId="77777777" w:rsidR="0002274E" w:rsidRPr="00D239A0" w:rsidRDefault="00170B1A" w:rsidP="0002274E">
      <w:pPr>
        <w:spacing w:before="240" w:after="240" w:line="360" w:lineRule="auto"/>
        <w:jc w:val="center"/>
        <w:rPr>
          <w:rFonts w:ascii="Times New Roman" w:hAnsi="Times New Roman" w:cs="Times New Roman"/>
          <w:b/>
          <w:sz w:val="24"/>
          <w:szCs w:val="24"/>
        </w:rPr>
      </w:pPr>
      <w:r w:rsidRPr="00D239A0">
        <w:rPr>
          <w:rFonts w:ascii="Times New Roman" w:hAnsi="Times New Roman" w:cs="Times New Roman"/>
          <w:b/>
          <w:sz w:val="24"/>
          <w:szCs w:val="24"/>
        </w:rPr>
        <w:t>Figure 5: Phylogenetic tree of Streptomyces sp.</w:t>
      </w:r>
    </w:p>
    <w:p w14:paraId="614EAC8B" w14:textId="77777777" w:rsidR="0002274E" w:rsidRPr="00D239A0" w:rsidRDefault="0002274E" w:rsidP="0002274E">
      <w:pPr>
        <w:spacing w:before="240" w:after="240" w:line="360" w:lineRule="auto"/>
        <w:jc w:val="center"/>
        <w:rPr>
          <w:rFonts w:ascii="Times New Roman" w:hAnsi="Times New Roman" w:cs="Times New Roman"/>
          <w:b/>
          <w:sz w:val="24"/>
          <w:szCs w:val="24"/>
        </w:rPr>
      </w:pPr>
    </w:p>
    <w:p w14:paraId="223E32A8" w14:textId="77777777" w:rsidR="0002274E" w:rsidRPr="00D239A0" w:rsidRDefault="0002274E" w:rsidP="0002274E">
      <w:pPr>
        <w:spacing w:before="240" w:after="240" w:line="360" w:lineRule="auto"/>
        <w:jc w:val="center"/>
        <w:rPr>
          <w:rFonts w:ascii="Times New Roman" w:hAnsi="Times New Roman" w:cs="Times New Roman"/>
          <w:b/>
          <w:sz w:val="24"/>
          <w:szCs w:val="24"/>
        </w:rPr>
      </w:pPr>
      <w:r w:rsidRPr="00D239A0">
        <w:rPr>
          <w:rFonts w:ascii="Times New Roman" w:hAnsi="Times New Roman" w:cs="Times New Roman"/>
          <w:b/>
          <w:sz w:val="24"/>
          <w:szCs w:val="24"/>
        </w:rPr>
        <w:t>Table 5: Molecular Identification Strategy</w:t>
      </w:r>
    </w:p>
    <w:tbl>
      <w:tblPr>
        <w:tblStyle w:val="LightShading"/>
        <w:tblW w:w="9555" w:type="dxa"/>
        <w:shd w:val="clear" w:color="auto" w:fill="FFFFFF" w:themeFill="background1"/>
        <w:tblLayout w:type="fixed"/>
        <w:tblLook w:val="04A0" w:firstRow="1" w:lastRow="0" w:firstColumn="1" w:lastColumn="0" w:noHBand="0" w:noVBand="1"/>
      </w:tblPr>
      <w:tblGrid>
        <w:gridCol w:w="1336"/>
        <w:gridCol w:w="1469"/>
        <w:gridCol w:w="6750"/>
      </w:tblGrid>
      <w:tr w:rsidR="0002274E" w:rsidRPr="00D239A0" w14:paraId="7D9ADADD" w14:textId="77777777" w:rsidTr="0002274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6" w:type="dxa"/>
            <w:shd w:val="clear" w:color="auto" w:fill="FFFFFF" w:themeFill="background1"/>
            <w:hideMark/>
          </w:tcPr>
          <w:p w14:paraId="472A088F" w14:textId="77777777" w:rsidR="0002274E" w:rsidRPr="00D239A0" w:rsidRDefault="0002274E" w:rsidP="002C7064">
            <w:pPr>
              <w:spacing w:before="240" w:after="240" w:line="360" w:lineRule="auto"/>
              <w:jc w:val="center"/>
              <w:rPr>
                <w:rFonts w:ascii="Times New Roman" w:eastAsia="Times New Roman" w:hAnsi="Times New Roman" w:cs="Times New Roman"/>
                <w:b w:val="0"/>
                <w:bCs w:val="0"/>
                <w:color w:val="000000"/>
                <w:sz w:val="24"/>
                <w:szCs w:val="24"/>
              </w:rPr>
            </w:pPr>
            <w:r w:rsidRPr="00D239A0">
              <w:rPr>
                <w:rFonts w:ascii="Times New Roman" w:eastAsia="Times New Roman" w:hAnsi="Times New Roman" w:cs="Times New Roman"/>
                <w:color w:val="000000"/>
                <w:sz w:val="24"/>
                <w:szCs w:val="24"/>
              </w:rPr>
              <w:lastRenderedPageBreak/>
              <w:t>Step</w:t>
            </w:r>
          </w:p>
        </w:tc>
        <w:tc>
          <w:tcPr>
            <w:tcW w:w="1469" w:type="dxa"/>
            <w:shd w:val="clear" w:color="auto" w:fill="FFFFFF" w:themeFill="background1"/>
            <w:hideMark/>
          </w:tcPr>
          <w:p w14:paraId="32973243" w14:textId="77777777" w:rsidR="0002274E" w:rsidRPr="00D239A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D239A0">
              <w:rPr>
                <w:rFonts w:ascii="Times New Roman" w:eastAsia="Times New Roman" w:hAnsi="Times New Roman" w:cs="Times New Roman"/>
                <w:color w:val="000000"/>
                <w:sz w:val="24"/>
                <w:szCs w:val="24"/>
              </w:rPr>
              <w:t>Method</w:t>
            </w:r>
          </w:p>
        </w:tc>
        <w:tc>
          <w:tcPr>
            <w:tcW w:w="6750" w:type="dxa"/>
            <w:shd w:val="clear" w:color="auto" w:fill="FFFFFF" w:themeFill="background1"/>
            <w:hideMark/>
          </w:tcPr>
          <w:p w14:paraId="6D7005C9" w14:textId="77777777" w:rsidR="0002274E" w:rsidRPr="00D239A0" w:rsidRDefault="0002274E" w:rsidP="002C7064">
            <w:pPr>
              <w:tabs>
                <w:tab w:val="left" w:pos="602"/>
                <w:tab w:val="center" w:pos="3267"/>
              </w:tabs>
              <w:spacing w:before="240" w:after="24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D239A0">
              <w:tab/>
            </w:r>
            <w:r w:rsidRPr="00D239A0">
              <w:tab/>
            </w:r>
            <w:hyperlink r:id="rId30" w:tgtFrame="_blank" w:history="1">
              <w:r w:rsidRPr="00D239A0">
                <w:rPr>
                  <w:rFonts w:ascii="Times New Roman" w:eastAsia="Times New Roman" w:hAnsi="Times New Roman" w:cs="Times New Roman"/>
                  <w:sz w:val="24"/>
                  <w:szCs w:val="24"/>
                </w:rPr>
                <w:t xml:space="preserve">Output </w:t>
              </w:r>
            </w:hyperlink>
          </w:p>
        </w:tc>
      </w:tr>
      <w:tr w:rsidR="0002274E" w:rsidRPr="00D239A0" w14:paraId="11E8A285" w14:textId="77777777" w:rsidTr="0002274E">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336" w:type="dxa"/>
            <w:shd w:val="clear" w:color="auto" w:fill="FFFFFF" w:themeFill="background1"/>
            <w:hideMark/>
          </w:tcPr>
          <w:p w14:paraId="38CB5163"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Extraction</w:t>
            </w:r>
          </w:p>
        </w:tc>
        <w:tc>
          <w:tcPr>
            <w:tcW w:w="1469" w:type="dxa"/>
            <w:shd w:val="clear" w:color="auto" w:fill="FFFFFF" w:themeFill="background1"/>
            <w:hideMark/>
          </w:tcPr>
          <w:p w14:paraId="6AFE1B9A"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B Cube kit</w:t>
            </w:r>
          </w:p>
        </w:tc>
        <w:tc>
          <w:tcPr>
            <w:tcW w:w="6750" w:type="dxa"/>
            <w:shd w:val="clear" w:color="auto" w:fill="FFFFFF" w:themeFill="background1"/>
            <w:hideMark/>
          </w:tcPr>
          <w:p w14:paraId="3175DE94"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High-quality DNA</w:t>
            </w:r>
          </w:p>
        </w:tc>
      </w:tr>
      <w:tr w:rsidR="0002274E" w:rsidRPr="00D239A0" w14:paraId="1106E4A2" w14:textId="77777777" w:rsidTr="0002274E">
        <w:trPr>
          <w:trHeight w:val="855"/>
        </w:trPr>
        <w:tc>
          <w:tcPr>
            <w:cnfStyle w:val="001000000000" w:firstRow="0" w:lastRow="0" w:firstColumn="1" w:lastColumn="0" w:oddVBand="0" w:evenVBand="0" w:oddHBand="0" w:evenHBand="0" w:firstRowFirstColumn="0" w:firstRowLastColumn="0" w:lastRowFirstColumn="0" w:lastRowLastColumn="0"/>
            <w:tcW w:w="1336" w:type="dxa"/>
            <w:shd w:val="clear" w:color="auto" w:fill="FFFFFF" w:themeFill="background1"/>
            <w:hideMark/>
          </w:tcPr>
          <w:p w14:paraId="24AF781F"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Sequencing</w:t>
            </w:r>
          </w:p>
        </w:tc>
        <w:tc>
          <w:tcPr>
            <w:tcW w:w="1469" w:type="dxa"/>
            <w:shd w:val="clear" w:color="auto" w:fill="FFFFFF" w:themeFill="background1"/>
            <w:hideMark/>
          </w:tcPr>
          <w:p w14:paraId="7AA012C0" w14:textId="77777777" w:rsidR="0002274E" w:rsidRPr="00D239A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Sanger (ABI)</w:t>
            </w:r>
          </w:p>
        </w:tc>
        <w:tc>
          <w:tcPr>
            <w:tcW w:w="6750" w:type="dxa"/>
            <w:shd w:val="clear" w:color="auto" w:fill="FFFFFF" w:themeFill="background1"/>
            <w:hideMark/>
          </w:tcPr>
          <w:p w14:paraId="69FC599E" w14:textId="77777777" w:rsidR="0002274E" w:rsidRPr="00D239A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Chromatograms 0723_234_001_PCR_BACTERIAL_CULTURE_16SF_C04.pdf+1</w:t>
            </w:r>
          </w:p>
        </w:tc>
      </w:tr>
      <w:tr w:rsidR="0002274E" w:rsidRPr="00D239A0" w14:paraId="0E08E0D4" w14:textId="77777777" w:rsidTr="0002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6" w:type="dxa"/>
            <w:shd w:val="clear" w:color="auto" w:fill="FFFFFF" w:themeFill="background1"/>
            <w:hideMark/>
          </w:tcPr>
          <w:p w14:paraId="507DD359"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Analysis</w:t>
            </w:r>
          </w:p>
        </w:tc>
        <w:tc>
          <w:tcPr>
            <w:tcW w:w="1469" w:type="dxa"/>
            <w:shd w:val="clear" w:color="auto" w:fill="FFFFFF" w:themeFill="background1"/>
            <w:hideMark/>
          </w:tcPr>
          <w:p w14:paraId="0621D587"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BLAST, PhyML</w:t>
            </w:r>
          </w:p>
        </w:tc>
        <w:tc>
          <w:tcPr>
            <w:tcW w:w="6750" w:type="dxa"/>
            <w:shd w:val="clear" w:color="auto" w:fill="FFFFFF" w:themeFill="background1"/>
            <w:hideMark/>
          </w:tcPr>
          <w:p w14:paraId="5B094780"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rPr>
            </w:pPr>
            <w:r w:rsidRPr="00D239A0">
              <w:rPr>
                <w:rFonts w:ascii="Times New Roman" w:eastAsia="Times New Roman" w:hAnsi="Times New Roman" w:cs="Times New Roman"/>
                <w:i/>
                <w:iCs/>
                <w:color w:val="000000"/>
                <w:sz w:val="24"/>
                <w:szCs w:val="24"/>
              </w:rPr>
              <w:t>Aeromonas schubertii</w:t>
            </w:r>
            <w:r w:rsidRPr="00D239A0">
              <w:rPr>
                <w:rFonts w:ascii="Times New Roman" w:eastAsia="Times New Roman" w:hAnsi="Times New Roman" w:cs="Times New Roman"/>
                <w:color w:val="000000"/>
                <w:sz w:val="24"/>
                <w:szCs w:val="24"/>
              </w:rPr>
              <w:t xml:space="preserve"> (~98% identity)</w:t>
            </w:r>
          </w:p>
        </w:tc>
      </w:tr>
    </w:tbl>
    <w:p w14:paraId="05A5EB01" w14:textId="77777777" w:rsidR="0002274E" w:rsidRPr="00D239A0" w:rsidRDefault="0002274E" w:rsidP="0002274E">
      <w:pPr>
        <w:spacing w:before="240" w:after="240" w:line="360" w:lineRule="auto"/>
        <w:jc w:val="center"/>
        <w:rPr>
          <w:rFonts w:ascii="Times New Roman" w:hAnsi="Times New Roman" w:cs="Times New Roman"/>
          <w:b/>
          <w:sz w:val="24"/>
          <w:szCs w:val="24"/>
        </w:rPr>
      </w:pPr>
      <w:r w:rsidRPr="00D239A0">
        <w:rPr>
          <w:rFonts w:ascii="Times New Roman" w:hAnsi="Times New Roman" w:cs="Times New Roman"/>
          <w:noProof/>
          <w:sz w:val="24"/>
          <w:szCs w:val="24"/>
        </w:rPr>
        <w:drawing>
          <wp:inline distT="0" distB="0" distL="0" distR="0" wp14:anchorId="7C1F9CE2" wp14:editId="63D275B2">
            <wp:extent cx="5081728" cy="1264314"/>
            <wp:effectExtent l="19050" t="0" r="4622" b="0"/>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srcRect/>
                    <a:stretch>
                      <a:fillRect/>
                    </a:stretch>
                  </pic:blipFill>
                  <pic:spPr bwMode="auto">
                    <a:xfrm>
                      <a:off x="0" y="0"/>
                      <a:ext cx="5082219" cy="1264436"/>
                    </a:xfrm>
                    <a:prstGeom prst="rect">
                      <a:avLst/>
                    </a:prstGeom>
                    <a:noFill/>
                    <a:ln w="9525">
                      <a:noFill/>
                      <a:miter lim="800000"/>
                      <a:headEnd/>
                      <a:tailEnd/>
                    </a:ln>
                  </pic:spPr>
                </pic:pic>
              </a:graphicData>
            </a:graphic>
          </wp:inline>
        </w:drawing>
      </w:r>
    </w:p>
    <w:p w14:paraId="49352B80" w14:textId="77777777" w:rsidR="0002274E" w:rsidRPr="00D239A0" w:rsidRDefault="0002274E" w:rsidP="0002274E">
      <w:pPr>
        <w:spacing w:before="240" w:after="240" w:line="360" w:lineRule="auto"/>
        <w:jc w:val="center"/>
        <w:rPr>
          <w:rFonts w:ascii="Times New Roman" w:hAnsi="Times New Roman" w:cs="Times New Roman"/>
          <w:b/>
          <w:sz w:val="24"/>
          <w:szCs w:val="24"/>
        </w:rPr>
      </w:pPr>
      <w:r w:rsidRPr="00D239A0">
        <w:rPr>
          <w:rFonts w:ascii="Times New Roman" w:hAnsi="Times New Roman" w:cs="Times New Roman"/>
          <w:b/>
          <w:sz w:val="24"/>
          <w:szCs w:val="24"/>
        </w:rPr>
        <w:t>Figure 6: (</w:t>
      </w:r>
      <w:r w:rsidR="00F51E8F" w:rsidRPr="00D239A0">
        <w:rPr>
          <w:rFonts w:ascii="Times New Roman" w:hAnsi="Times New Roman" w:cs="Times New Roman"/>
          <w:b/>
          <w:i/>
          <w:sz w:val="24"/>
          <w:szCs w:val="24"/>
        </w:rPr>
        <w:t>Streptomyces</w:t>
      </w:r>
      <w:r w:rsidRPr="00D239A0">
        <w:rPr>
          <w:rFonts w:ascii="Times New Roman" w:hAnsi="Times New Roman" w:cs="Times New Roman"/>
          <w:b/>
          <w:sz w:val="24"/>
          <w:szCs w:val="24"/>
        </w:rPr>
        <w:t xml:space="preserve"> phylogenetic tree )</w:t>
      </w:r>
    </w:p>
    <w:p w14:paraId="17D2B8CD" w14:textId="77777777" w:rsidR="0002274E" w:rsidRPr="00D239A0" w:rsidRDefault="0002274E" w:rsidP="0002274E">
      <w:pPr>
        <w:spacing w:before="240" w:after="240" w:line="360" w:lineRule="auto"/>
        <w:jc w:val="center"/>
        <w:rPr>
          <w:rFonts w:ascii="Times New Roman" w:hAnsi="Times New Roman" w:cs="Times New Roman"/>
          <w:sz w:val="24"/>
          <w:szCs w:val="24"/>
        </w:rPr>
      </w:pPr>
      <w:r w:rsidRPr="00D239A0">
        <w:rPr>
          <w:rFonts w:ascii="Times New Roman" w:hAnsi="Times New Roman" w:cs="Times New Roman"/>
          <w:noProof/>
          <w:sz w:val="24"/>
          <w:szCs w:val="24"/>
        </w:rPr>
        <w:drawing>
          <wp:inline distT="0" distB="0" distL="0" distR="0" wp14:anchorId="1BFA2793" wp14:editId="66CCFA2E">
            <wp:extent cx="3943868" cy="1790700"/>
            <wp:effectExtent l="19050" t="0" r="0" b="0"/>
            <wp:docPr id="19" name="Picture 17" descr="C:\Users\WRITER-ADM\Desktop\teena mam\meena zoology\Fish Sa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RITER-ADM\Desktop\teena mam\meena zoology\Fish Sample.JPG"/>
                    <pic:cNvPicPr>
                      <a:picLocks noChangeAspect="1" noChangeArrowheads="1"/>
                    </pic:cNvPicPr>
                  </pic:nvPicPr>
                  <pic:blipFill>
                    <a:blip r:embed="rId32" cstate="print"/>
                    <a:srcRect/>
                    <a:stretch>
                      <a:fillRect/>
                    </a:stretch>
                  </pic:blipFill>
                  <pic:spPr bwMode="auto">
                    <a:xfrm>
                      <a:off x="0" y="0"/>
                      <a:ext cx="3962855" cy="1799321"/>
                    </a:xfrm>
                    <a:prstGeom prst="rect">
                      <a:avLst/>
                    </a:prstGeom>
                    <a:noFill/>
                    <a:ln w="9525">
                      <a:noFill/>
                      <a:miter lim="800000"/>
                      <a:headEnd/>
                      <a:tailEnd/>
                    </a:ln>
                  </pic:spPr>
                </pic:pic>
              </a:graphicData>
            </a:graphic>
          </wp:inline>
        </w:drawing>
      </w:r>
    </w:p>
    <w:p w14:paraId="0A084826" w14:textId="77777777" w:rsidR="0002274E" w:rsidRPr="00D239A0" w:rsidRDefault="0002274E" w:rsidP="0002274E">
      <w:pPr>
        <w:spacing w:before="240" w:after="240" w:line="360" w:lineRule="auto"/>
        <w:jc w:val="center"/>
        <w:rPr>
          <w:rFonts w:ascii="Times New Roman" w:hAnsi="Times New Roman" w:cs="Times New Roman"/>
          <w:b/>
          <w:sz w:val="24"/>
          <w:szCs w:val="24"/>
        </w:rPr>
      </w:pPr>
      <w:r w:rsidRPr="00D239A0">
        <w:rPr>
          <w:rFonts w:ascii="Times New Roman" w:hAnsi="Times New Roman" w:cs="Times New Roman"/>
          <w:b/>
          <w:sz w:val="24"/>
          <w:szCs w:val="24"/>
        </w:rPr>
        <w:t>Figure 7: Diseased fish showing MAS symptoms</w:t>
      </w:r>
    </w:p>
    <w:p w14:paraId="7AC48BB4" w14:textId="77777777" w:rsidR="0002274E" w:rsidRPr="00D239A0" w:rsidRDefault="0002274E" w:rsidP="0002274E">
      <w:pPr>
        <w:spacing w:before="240" w:after="240" w:line="360" w:lineRule="auto"/>
        <w:jc w:val="center"/>
        <w:rPr>
          <w:rFonts w:ascii="Times New Roman" w:hAnsi="Times New Roman" w:cs="Times New Roman"/>
          <w:b/>
          <w:sz w:val="24"/>
          <w:szCs w:val="24"/>
        </w:rPr>
      </w:pPr>
      <w:r w:rsidRPr="00D239A0">
        <w:rPr>
          <w:rFonts w:ascii="Times New Roman" w:hAnsi="Times New Roman" w:cs="Times New Roman"/>
          <w:b/>
          <w:sz w:val="24"/>
          <w:szCs w:val="24"/>
        </w:rPr>
        <w:t>Table 6: Inhibition Zones (mm) and MIC (µg/mL)</w:t>
      </w:r>
    </w:p>
    <w:tbl>
      <w:tblPr>
        <w:tblStyle w:val="LightShading"/>
        <w:tblW w:w="8280" w:type="dxa"/>
        <w:jc w:val="center"/>
        <w:shd w:val="clear" w:color="auto" w:fill="FFFFFF" w:themeFill="background1"/>
        <w:tblLook w:val="04A0" w:firstRow="1" w:lastRow="0" w:firstColumn="1" w:lastColumn="0" w:noHBand="0" w:noVBand="1"/>
      </w:tblPr>
      <w:tblGrid>
        <w:gridCol w:w="3075"/>
        <w:gridCol w:w="1705"/>
        <w:gridCol w:w="1603"/>
        <w:gridCol w:w="946"/>
        <w:gridCol w:w="951"/>
      </w:tblGrid>
      <w:tr w:rsidR="0002274E" w:rsidRPr="00D239A0" w14:paraId="10246868" w14:textId="77777777" w:rsidTr="0002274E">
        <w:trPr>
          <w:cnfStyle w:val="100000000000" w:firstRow="1" w:lastRow="0" w:firstColumn="0" w:lastColumn="0" w:oddVBand="0" w:evenVBand="0" w:oddHBand="0"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3075" w:type="dxa"/>
            <w:shd w:val="clear" w:color="auto" w:fill="FFFFFF" w:themeFill="background1"/>
            <w:hideMark/>
          </w:tcPr>
          <w:p w14:paraId="6130778B" w14:textId="77777777" w:rsidR="0002274E" w:rsidRPr="00D239A0" w:rsidRDefault="0002274E" w:rsidP="002C7064">
            <w:pPr>
              <w:spacing w:before="240" w:after="240" w:line="360" w:lineRule="auto"/>
              <w:jc w:val="center"/>
              <w:rPr>
                <w:rFonts w:ascii="Times New Roman" w:eastAsia="Times New Roman" w:hAnsi="Times New Roman" w:cs="Times New Roman"/>
                <w:b w:val="0"/>
                <w:bCs w:val="0"/>
                <w:color w:val="000000"/>
                <w:sz w:val="24"/>
                <w:szCs w:val="24"/>
              </w:rPr>
            </w:pPr>
            <w:r w:rsidRPr="00D239A0">
              <w:rPr>
                <w:rFonts w:ascii="Times New Roman" w:eastAsia="Times New Roman" w:hAnsi="Times New Roman" w:cs="Times New Roman"/>
                <w:color w:val="000000"/>
                <w:sz w:val="24"/>
                <w:szCs w:val="24"/>
              </w:rPr>
              <w:lastRenderedPageBreak/>
              <w:t>Extract Conc. (mg/mL)</w:t>
            </w:r>
          </w:p>
        </w:tc>
        <w:tc>
          <w:tcPr>
            <w:tcW w:w="1705" w:type="dxa"/>
            <w:shd w:val="clear" w:color="auto" w:fill="FFFFFF" w:themeFill="background1"/>
            <w:hideMark/>
          </w:tcPr>
          <w:p w14:paraId="1B66F2C7" w14:textId="77777777" w:rsidR="0002274E" w:rsidRPr="00D239A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i/>
                <w:iCs/>
                <w:color w:val="000000"/>
                <w:sz w:val="24"/>
                <w:szCs w:val="24"/>
              </w:rPr>
            </w:pPr>
            <w:r w:rsidRPr="00D239A0">
              <w:rPr>
                <w:rFonts w:ascii="Times New Roman" w:eastAsia="Times New Roman" w:hAnsi="Times New Roman" w:cs="Times New Roman"/>
                <w:i/>
                <w:iCs/>
                <w:color w:val="000000"/>
                <w:sz w:val="24"/>
                <w:szCs w:val="24"/>
              </w:rPr>
              <w:t>A. schubertii</w:t>
            </w:r>
          </w:p>
        </w:tc>
        <w:tc>
          <w:tcPr>
            <w:tcW w:w="1603" w:type="dxa"/>
            <w:shd w:val="clear" w:color="auto" w:fill="FFFFFF" w:themeFill="background1"/>
            <w:hideMark/>
          </w:tcPr>
          <w:p w14:paraId="577C899E" w14:textId="77777777" w:rsidR="0002274E" w:rsidRPr="00D239A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D239A0">
              <w:rPr>
                <w:rFonts w:ascii="Times New Roman" w:eastAsia="Times New Roman" w:hAnsi="Times New Roman" w:cs="Times New Roman"/>
                <w:color w:val="000000"/>
                <w:sz w:val="24"/>
                <w:szCs w:val="24"/>
              </w:rPr>
              <w:t>Streptomycin</w:t>
            </w:r>
          </w:p>
        </w:tc>
        <w:tc>
          <w:tcPr>
            <w:tcW w:w="946" w:type="dxa"/>
            <w:shd w:val="clear" w:color="auto" w:fill="FFFFFF" w:themeFill="background1"/>
            <w:hideMark/>
          </w:tcPr>
          <w:p w14:paraId="5FB85D9F" w14:textId="77777777" w:rsidR="0002274E" w:rsidRPr="00D239A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i/>
                <w:iCs/>
                <w:color w:val="000000"/>
                <w:sz w:val="24"/>
                <w:szCs w:val="24"/>
              </w:rPr>
            </w:pPr>
            <w:r w:rsidRPr="00D239A0">
              <w:rPr>
                <w:rFonts w:ascii="Times New Roman" w:eastAsia="Times New Roman" w:hAnsi="Times New Roman" w:cs="Times New Roman"/>
                <w:i/>
                <w:iCs/>
                <w:color w:val="000000"/>
                <w:sz w:val="24"/>
                <w:szCs w:val="24"/>
              </w:rPr>
              <w:t>E. coli</w:t>
            </w:r>
          </w:p>
        </w:tc>
        <w:tc>
          <w:tcPr>
            <w:tcW w:w="951" w:type="dxa"/>
            <w:shd w:val="clear" w:color="auto" w:fill="FFFFFF" w:themeFill="background1"/>
            <w:hideMark/>
          </w:tcPr>
          <w:p w14:paraId="3EEC73D4" w14:textId="77777777" w:rsidR="0002274E" w:rsidRPr="00D239A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D239A0">
              <w:rPr>
                <w:rFonts w:ascii="Times New Roman" w:eastAsia="Times New Roman" w:hAnsi="Times New Roman" w:cs="Times New Roman"/>
                <w:color w:val="000000"/>
                <w:sz w:val="24"/>
                <w:szCs w:val="24"/>
              </w:rPr>
              <w:t>MIC</w:t>
            </w:r>
          </w:p>
        </w:tc>
      </w:tr>
      <w:tr w:rsidR="0002274E" w:rsidRPr="00D239A0" w14:paraId="19AB6FE3" w14:textId="77777777" w:rsidTr="0002274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075" w:type="dxa"/>
            <w:shd w:val="clear" w:color="auto" w:fill="FFFFFF" w:themeFill="background1"/>
            <w:hideMark/>
          </w:tcPr>
          <w:p w14:paraId="5FC60FD5"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2.5</w:t>
            </w:r>
          </w:p>
        </w:tc>
        <w:tc>
          <w:tcPr>
            <w:tcW w:w="1705" w:type="dxa"/>
            <w:shd w:val="clear" w:color="auto" w:fill="FFFFFF" w:themeFill="background1"/>
            <w:hideMark/>
          </w:tcPr>
          <w:p w14:paraId="4C5A451B"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12.4 ± 0.8</w:t>
            </w:r>
          </w:p>
        </w:tc>
        <w:tc>
          <w:tcPr>
            <w:tcW w:w="1603" w:type="dxa"/>
            <w:shd w:val="clear" w:color="auto" w:fill="FFFFFF" w:themeFill="background1"/>
            <w:hideMark/>
          </w:tcPr>
          <w:p w14:paraId="3E19F7C6"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946" w:type="dxa"/>
            <w:shd w:val="clear" w:color="auto" w:fill="FFFFFF" w:themeFill="background1"/>
            <w:hideMark/>
          </w:tcPr>
          <w:p w14:paraId="05432E0A"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0</w:t>
            </w:r>
          </w:p>
        </w:tc>
        <w:tc>
          <w:tcPr>
            <w:tcW w:w="951" w:type="dxa"/>
            <w:shd w:val="clear" w:color="auto" w:fill="FFFFFF" w:themeFill="background1"/>
            <w:hideMark/>
          </w:tcPr>
          <w:p w14:paraId="7D49F791"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r>
      <w:tr w:rsidR="0002274E" w:rsidRPr="00D239A0" w14:paraId="476DFBA9" w14:textId="77777777" w:rsidTr="0002274E">
        <w:trPr>
          <w:trHeight w:val="300"/>
          <w:jc w:val="center"/>
        </w:trPr>
        <w:tc>
          <w:tcPr>
            <w:cnfStyle w:val="001000000000" w:firstRow="0" w:lastRow="0" w:firstColumn="1" w:lastColumn="0" w:oddVBand="0" w:evenVBand="0" w:oddHBand="0" w:evenHBand="0" w:firstRowFirstColumn="0" w:firstRowLastColumn="0" w:lastRowFirstColumn="0" w:lastRowLastColumn="0"/>
            <w:tcW w:w="3075" w:type="dxa"/>
            <w:shd w:val="clear" w:color="auto" w:fill="FFFFFF" w:themeFill="background1"/>
            <w:hideMark/>
          </w:tcPr>
          <w:p w14:paraId="60F014D4"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5</w:t>
            </w:r>
          </w:p>
        </w:tc>
        <w:tc>
          <w:tcPr>
            <w:tcW w:w="1705" w:type="dxa"/>
            <w:shd w:val="clear" w:color="auto" w:fill="FFFFFF" w:themeFill="background1"/>
            <w:hideMark/>
          </w:tcPr>
          <w:p w14:paraId="755C0026" w14:textId="77777777" w:rsidR="0002274E" w:rsidRPr="00D239A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18.2 ± 1.3</w:t>
            </w:r>
          </w:p>
        </w:tc>
        <w:tc>
          <w:tcPr>
            <w:tcW w:w="1603" w:type="dxa"/>
            <w:shd w:val="clear" w:color="auto" w:fill="FFFFFF" w:themeFill="background1"/>
            <w:hideMark/>
          </w:tcPr>
          <w:p w14:paraId="657EAAA9" w14:textId="77777777" w:rsidR="0002274E" w:rsidRPr="00D239A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c>
          <w:tcPr>
            <w:tcW w:w="946" w:type="dxa"/>
            <w:shd w:val="clear" w:color="auto" w:fill="FFFFFF" w:themeFill="background1"/>
            <w:hideMark/>
          </w:tcPr>
          <w:p w14:paraId="47661526" w14:textId="77777777" w:rsidR="0002274E" w:rsidRPr="00D239A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0</w:t>
            </w:r>
          </w:p>
        </w:tc>
        <w:tc>
          <w:tcPr>
            <w:tcW w:w="951" w:type="dxa"/>
            <w:shd w:val="clear" w:color="auto" w:fill="FFFFFF" w:themeFill="background1"/>
            <w:hideMark/>
          </w:tcPr>
          <w:p w14:paraId="32462108" w14:textId="77777777" w:rsidR="0002274E" w:rsidRPr="00D239A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62.5</w:t>
            </w:r>
          </w:p>
        </w:tc>
      </w:tr>
      <w:tr w:rsidR="0002274E" w:rsidRPr="00D239A0" w14:paraId="6E7B0EDC" w14:textId="77777777" w:rsidTr="0002274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075" w:type="dxa"/>
            <w:shd w:val="clear" w:color="auto" w:fill="FFFFFF" w:themeFill="background1"/>
            <w:hideMark/>
          </w:tcPr>
          <w:p w14:paraId="615C4E5F" w14:textId="77777777" w:rsidR="0002274E" w:rsidRPr="00D239A0" w:rsidRDefault="0002274E" w:rsidP="002C7064">
            <w:pPr>
              <w:spacing w:before="240" w:after="240" w:line="360" w:lineRule="auto"/>
              <w:jc w:val="both"/>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10</w:t>
            </w:r>
          </w:p>
        </w:tc>
        <w:tc>
          <w:tcPr>
            <w:tcW w:w="1705" w:type="dxa"/>
            <w:shd w:val="clear" w:color="auto" w:fill="FFFFFF" w:themeFill="background1"/>
            <w:hideMark/>
          </w:tcPr>
          <w:p w14:paraId="2D377365"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24.6 ± 1.8</w:t>
            </w:r>
          </w:p>
        </w:tc>
        <w:tc>
          <w:tcPr>
            <w:tcW w:w="1603" w:type="dxa"/>
            <w:shd w:val="clear" w:color="auto" w:fill="FFFFFF" w:themeFill="background1"/>
            <w:hideMark/>
          </w:tcPr>
          <w:p w14:paraId="4352BE36"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28.4 ± 0.9</w:t>
            </w:r>
          </w:p>
        </w:tc>
        <w:tc>
          <w:tcPr>
            <w:tcW w:w="946" w:type="dxa"/>
            <w:shd w:val="clear" w:color="auto" w:fill="FFFFFF" w:themeFill="background1"/>
            <w:hideMark/>
          </w:tcPr>
          <w:p w14:paraId="5857F342"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0</w:t>
            </w:r>
          </w:p>
        </w:tc>
        <w:tc>
          <w:tcPr>
            <w:tcW w:w="951" w:type="dxa"/>
            <w:shd w:val="clear" w:color="auto" w:fill="FFFFFF" w:themeFill="background1"/>
            <w:hideMark/>
          </w:tcPr>
          <w:p w14:paraId="411C1C6B" w14:textId="77777777" w:rsidR="0002274E" w:rsidRPr="00D239A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239A0">
              <w:rPr>
                <w:rFonts w:ascii="Times New Roman" w:eastAsia="Times New Roman" w:hAnsi="Times New Roman" w:cs="Times New Roman"/>
                <w:color w:val="000000"/>
                <w:sz w:val="24"/>
                <w:szCs w:val="24"/>
              </w:rPr>
              <w:t>-</w:t>
            </w:r>
          </w:p>
        </w:tc>
      </w:tr>
    </w:tbl>
    <w:p w14:paraId="01F5ED89" w14:textId="77777777" w:rsidR="0002274E" w:rsidRPr="00D239A0" w:rsidRDefault="0002274E" w:rsidP="0002274E">
      <w:pPr>
        <w:spacing w:before="240" w:after="240" w:line="360" w:lineRule="auto"/>
        <w:jc w:val="center"/>
        <w:rPr>
          <w:rFonts w:ascii="Times New Roman" w:hAnsi="Times New Roman" w:cs="Times New Roman"/>
          <w:sz w:val="24"/>
          <w:szCs w:val="24"/>
        </w:rPr>
      </w:pPr>
      <w:r w:rsidRPr="00D239A0">
        <w:rPr>
          <w:rFonts w:ascii="Times New Roman" w:hAnsi="Times New Roman" w:cs="Times New Roman"/>
          <w:noProof/>
          <w:sz w:val="24"/>
          <w:szCs w:val="24"/>
        </w:rPr>
        <w:drawing>
          <wp:inline distT="0" distB="0" distL="0" distR="0" wp14:anchorId="60A6B75C" wp14:editId="76D53FE7">
            <wp:extent cx="1916628" cy="1849649"/>
            <wp:effectExtent l="19050" t="0" r="7422" b="0"/>
            <wp:docPr id="20" name="Picture 18" descr="C:\Users\WRITER-ADM\Desktop\teena mam\meena zoology\identification of Bacteri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RITER-ADM\Desktop\teena mam\meena zoology\identification of Bacteria-4.JPG"/>
                    <pic:cNvPicPr>
                      <a:picLocks noChangeAspect="1" noChangeArrowheads="1"/>
                    </pic:cNvPicPr>
                  </pic:nvPicPr>
                  <pic:blipFill>
                    <a:blip r:embed="rId33" cstate="print"/>
                    <a:srcRect/>
                    <a:stretch>
                      <a:fillRect/>
                    </a:stretch>
                  </pic:blipFill>
                  <pic:spPr bwMode="auto">
                    <a:xfrm>
                      <a:off x="0" y="0"/>
                      <a:ext cx="1914759" cy="1847845"/>
                    </a:xfrm>
                    <a:prstGeom prst="rect">
                      <a:avLst/>
                    </a:prstGeom>
                    <a:noFill/>
                    <a:ln w="9525">
                      <a:noFill/>
                      <a:miter lim="800000"/>
                      <a:headEnd/>
                      <a:tailEnd/>
                    </a:ln>
                  </pic:spPr>
                </pic:pic>
              </a:graphicData>
            </a:graphic>
          </wp:inline>
        </w:drawing>
      </w:r>
    </w:p>
    <w:p w14:paraId="52A64B8E" w14:textId="77777777" w:rsidR="0002274E" w:rsidRPr="00D239A0" w:rsidRDefault="0002274E" w:rsidP="0002274E">
      <w:pPr>
        <w:spacing w:before="240" w:after="240" w:line="360" w:lineRule="auto"/>
        <w:jc w:val="center"/>
        <w:rPr>
          <w:rFonts w:ascii="Times New Roman" w:hAnsi="Times New Roman" w:cs="Times New Roman"/>
          <w:b/>
          <w:sz w:val="24"/>
          <w:szCs w:val="24"/>
        </w:rPr>
      </w:pPr>
      <w:r w:rsidRPr="00D239A0">
        <w:rPr>
          <w:rFonts w:ascii="Times New Roman" w:hAnsi="Times New Roman" w:cs="Times New Roman"/>
          <w:b/>
          <w:sz w:val="24"/>
          <w:szCs w:val="24"/>
        </w:rPr>
        <w:t xml:space="preserve">Figure 8: Zone of inhibition against </w:t>
      </w:r>
      <w:r w:rsidR="00F51E8F" w:rsidRPr="00D239A0">
        <w:rPr>
          <w:rFonts w:ascii="Times New Roman" w:hAnsi="Times New Roman" w:cs="Times New Roman"/>
          <w:b/>
          <w:i/>
          <w:sz w:val="24"/>
          <w:szCs w:val="24"/>
        </w:rPr>
        <w:t xml:space="preserve">Aeromonas hydrophila. </w:t>
      </w:r>
      <w:r w:rsidRPr="00D239A0">
        <w:rPr>
          <w:rFonts w:ascii="Times New Roman" w:hAnsi="Times New Roman" w:cs="Times New Roman"/>
          <w:b/>
          <w:sz w:val="24"/>
          <w:szCs w:val="24"/>
        </w:rPr>
        <w:t>.</w:t>
      </w:r>
    </w:p>
    <w:p w14:paraId="50AD5590" w14:textId="77777777" w:rsidR="0002274E" w:rsidRPr="00D239A0" w:rsidRDefault="0002274E" w:rsidP="00770409">
      <w:pPr>
        <w:spacing w:before="240" w:after="240" w:line="360" w:lineRule="auto"/>
        <w:jc w:val="both"/>
        <w:rPr>
          <w:rFonts w:ascii="Times New Roman" w:hAnsi="Times New Roman" w:cs="Times New Roman"/>
          <w:sz w:val="24"/>
          <w:szCs w:val="24"/>
        </w:rPr>
      </w:pPr>
    </w:p>
    <w:p w14:paraId="28D9B642" w14:textId="77777777" w:rsidR="006A122C" w:rsidRPr="006A122C" w:rsidRDefault="003B7F79" w:rsidP="006A122C">
      <w:pPr>
        <w:spacing w:before="100" w:beforeAutospacing="1" w:after="100" w:afterAutospacing="1" w:line="240" w:lineRule="auto"/>
        <w:outlineLvl w:val="2"/>
        <w:rPr>
          <w:rFonts w:ascii="Times New Roman" w:eastAsia="Times New Roman" w:hAnsi="Times New Roman" w:cs="Times New Roman"/>
          <w:b/>
          <w:bCs/>
          <w:sz w:val="27"/>
          <w:szCs w:val="27"/>
        </w:rPr>
      </w:pPr>
      <w:r w:rsidRPr="00D239A0">
        <w:rPr>
          <w:rFonts w:ascii="Times New Roman" w:hAnsi="Times New Roman" w:cs="Times New Roman"/>
          <w:b/>
          <w:sz w:val="24"/>
          <w:szCs w:val="24"/>
        </w:rPr>
        <w:t xml:space="preserve">5. </w:t>
      </w:r>
      <w:r w:rsidR="006A122C" w:rsidRPr="006A122C">
        <w:rPr>
          <w:rFonts w:ascii="Times New Roman" w:eastAsia="Times New Roman" w:hAnsi="Times New Roman" w:cs="Times New Roman"/>
          <w:b/>
          <w:bCs/>
          <w:sz w:val="27"/>
          <w:szCs w:val="27"/>
        </w:rPr>
        <w:t>Conclusion</w:t>
      </w:r>
    </w:p>
    <w:p w14:paraId="4331B826" w14:textId="77777777" w:rsidR="006A122C" w:rsidRPr="006A122C" w:rsidRDefault="006A122C" w:rsidP="006A122C">
      <w:pPr>
        <w:spacing w:before="100" w:beforeAutospacing="1" w:after="100" w:afterAutospacing="1" w:line="240" w:lineRule="auto"/>
        <w:rPr>
          <w:rFonts w:ascii="Times New Roman" w:eastAsia="Times New Roman" w:hAnsi="Times New Roman" w:cs="Times New Roman"/>
          <w:sz w:val="24"/>
          <w:szCs w:val="24"/>
        </w:rPr>
      </w:pPr>
      <w:r w:rsidRPr="006A122C">
        <w:rPr>
          <w:rFonts w:ascii="Times New Roman" w:eastAsia="Times New Roman" w:hAnsi="Times New Roman" w:cs="Times New Roman"/>
          <w:sz w:val="24"/>
          <w:szCs w:val="24"/>
        </w:rPr>
        <w:t xml:space="preserve">The study indicates that soil-derived Streptomyces sp. can produce bioactive metabolites with inhibitory activity against the bacterial pathogen associated with Motile Aeromonas Septicemia in Catla catla. The selected isolate showed typical actinomycete characteristics and was further examined using biochemical and molecular methods. Ethyl acetate extract from the isolate produced measurable antibacterial activity, with inhibition increasing with extract concentration. The maximum inhibition zone was 24.6 ± 1.8 mm at 10 mg/mL, and the minimum inhibitory concentration was 62.5 µg/mL. In the fish challenge experiment, Streptomyces-supplemented feed was associated with improved survival of treated fish compared with untreated controls. These findings suggest that Streptomyces-derived metabolites may have potential as a supportive biological approach for managing bacterial disease in aquaculture. Nevertheless, the results should be interpreted cautiously because additional confirmation of the active compounds, pathogen identity, experimental reproducibility, and field-level performance is necessary. Further </w:t>
      </w:r>
      <w:r w:rsidRPr="006A122C">
        <w:rPr>
          <w:rFonts w:ascii="Times New Roman" w:eastAsia="Times New Roman" w:hAnsi="Times New Roman" w:cs="Times New Roman"/>
          <w:sz w:val="24"/>
          <w:szCs w:val="24"/>
        </w:rPr>
        <w:lastRenderedPageBreak/>
        <w:t>studies are required before the isolate or its metabolites can be recommended for routine aquaculture use.</w:t>
      </w:r>
    </w:p>
    <w:p w14:paraId="65727028" w14:textId="26D1F624" w:rsidR="006A122C" w:rsidRPr="006A122C" w:rsidRDefault="000B5DA7" w:rsidP="006A122C">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6. </w:t>
      </w:r>
      <w:r w:rsidR="006A122C" w:rsidRPr="006A122C">
        <w:rPr>
          <w:rFonts w:ascii="Times New Roman" w:eastAsia="Times New Roman" w:hAnsi="Times New Roman" w:cs="Times New Roman"/>
          <w:b/>
          <w:bCs/>
          <w:sz w:val="27"/>
          <w:szCs w:val="27"/>
        </w:rPr>
        <w:t>Limitations</w:t>
      </w:r>
    </w:p>
    <w:p w14:paraId="72458D03" w14:textId="77777777" w:rsidR="006A122C" w:rsidRPr="006A122C" w:rsidRDefault="006A122C" w:rsidP="006A122C">
      <w:pPr>
        <w:spacing w:before="100" w:beforeAutospacing="1" w:after="100" w:afterAutospacing="1" w:line="240" w:lineRule="auto"/>
        <w:rPr>
          <w:rFonts w:ascii="Times New Roman" w:eastAsia="Times New Roman" w:hAnsi="Times New Roman" w:cs="Times New Roman"/>
          <w:sz w:val="24"/>
          <w:szCs w:val="24"/>
        </w:rPr>
      </w:pPr>
      <w:r w:rsidRPr="006A122C">
        <w:rPr>
          <w:rFonts w:ascii="Times New Roman" w:eastAsia="Times New Roman" w:hAnsi="Times New Roman" w:cs="Times New Roman"/>
          <w:sz w:val="24"/>
          <w:szCs w:val="24"/>
        </w:rPr>
        <w:t>This study has several limitations that should be addressed in future work. The active antibacterial compounds present in the Streptomyces extract were not purified or structurally identified, and therefore the specific molecules responsible for inhibition remain unknown. The molecular identification requires clearer reporting, including sequence details, accession information, and confirmation of the target gene analyzed. The in vivo experiment provides preliminary evidence of improved fish survival, but details such as fish number, replicate design, challenge dose, water-quality parameters, and statistical analysis require clearer documentation. The study was conducted under controlled experimental conditions, and its applicability under commercial aquaculture conditions remains uncertain. Long-term safety, environmental effects, optimal dosage, stability of the formulation, and possible effects on fish growth and microbiota were not fully evaluated. These limitations should be resolved before practical field application.</w:t>
      </w:r>
    </w:p>
    <w:p w14:paraId="52F3D4C3" w14:textId="713FAE2A" w:rsidR="00D3148E" w:rsidRPr="00D239A0" w:rsidRDefault="00D3148E" w:rsidP="006A122C">
      <w:pPr>
        <w:spacing w:before="240" w:after="240" w:line="360" w:lineRule="auto"/>
        <w:jc w:val="both"/>
        <w:rPr>
          <w:rFonts w:ascii="Times New Roman" w:hAnsi="Times New Roman" w:cs="Times New Roman"/>
          <w:sz w:val="24"/>
          <w:szCs w:val="24"/>
        </w:rPr>
      </w:pPr>
    </w:p>
    <w:p w14:paraId="6F36146E" w14:textId="2CEFE6E2" w:rsidR="003B7F79" w:rsidRPr="00D239A0" w:rsidRDefault="000B5DA7" w:rsidP="003B7F79">
      <w:pPr>
        <w:spacing w:before="240" w:after="240" w:line="360" w:lineRule="auto"/>
        <w:jc w:val="both"/>
        <w:rPr>
          <w:rFonts w:ascii="Times New Roman" w:hAnsi="Times New Roman" w:cs="Times New Roman"/>
          <w:b/>
          <w:sz w:val="24"/>
          <w:szCs w:val="24"/>
        </w:rPr>
      </w:pPr>
      <w:r>
        <w:rPr>
          <w:rFonts w:ascii="Times New Roman" w:hAnsi="Times New Roman" w:cs="Times New Roman"/>
          <w:b/>
          <w:sz w:val="24"/>
          <w:szCs w:val="24"/>
        </w:rPr>
        <w:t>7</w:t>
      </w:r>
      <w:r w:rsidR="003B7F79" w:rsidRPr="00D239A0">
        <w:rPr>
          <w:rFonts w:ascii="Times New Roman" w:hAnsi="Times New Roman" w:cs="Times New Roman"/>
          <w:b/>
          <w:sz w:val="24"/>
          <w:szCs w:val="24"/>
        </w:rPr>
        <w:t>. Future Work</w:t>
      </w:r>
    </w:p>
    <w:p w14:paraId="08BAA6C4" w14:textId="77777777" w:rsidR="008A17CE" w:rsidRPr="00D239A0" w:rsidRDefault="008A17CE" w:rsidP="003B7F79">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Although this study demonstrated the potential of soil-derived </w:t>
      </w:r>
      <w:r w:rsidR="00F51E8F" w:rsidRPr="00D239A0">
        <w:rPr>
          <w:rFonts w:ascii="Times New Roman" w:hAnsi="Times New Roman" w:cs="Times New Roman"/>
          <w:i/>
          <w:sz w:val="24"/>
          <w:szCs w:val="24"/>
        </w:rPr>
        <w:t xml:space="preserve">Streptomyces sp. </w:t>
      </w:r>
      <w:r w:rsidRPr="00D239A0">
        <w:rPr>
          <w:rFonts w:ascii="Times New Roman" w:hAnsi="Times New Roman" w:cs="Times New Roman"/>
          <w:sz w:val="24"/>
          <w:szCs w:val="24"/>
        </w:rPr>
        <w:t>as a biocontrol agent, additional investigation is needed to fully exploit its applications in aquaculture. One major direction of future research could be the isolation and structural delineation of the active antibacterial compounds. Sophisticated methods such as High-Performance Liquid Chromatography (HPLC) and Liquid Chromatography-Mass Spectrometry (LC-MS) can be used to separate, identify, and characterize these molecules at the molecular level. That would give a more thorough understanding of their mechanism of action as well as their pharmaceutical or industrial potential. Besides, genomic and metabolomic analyses can reveal the biosynthetic gene clusters producing these metabolites.</w:t>
      </w:r>
    </w:p>
    <w:p w14:paraId="7B9C68C5" w14:textId="77777777" w:rsidR="008A17CE" w:rsidRPr="00D239A0" w:rsidRDefault="008A17CE" w:rsidP="003B7F79">
      <w:pPr>
        <w:spacing w:before="240" w:after="240" w:line="360" w:lineRule="auto"/>
        <w:jc w:val="both"/>
        <w:rPr>
          <w:rFonts w:ascii="Times New Roman" w:hAnsi="Times New Roman" w:cs="Times New Roman"/>
          <w:sz w:val="24"/>
          <w:szCs w:val="24"/>
        </w:rPr>
      </w:pPr>
      <w:r w:rsidRPr="00D239A0">
        <w:rPr>
          <w:rFonts w:ascii="Times New Roman" w:hAnsi="Times New Roman" w:cs="Times New Roman"/>
          <w:sz w:val="24"/>
          <w:szCs w:val="24"/>
        </w:rPr>
        <w:t xml:space="preserve"> Whole-genome sequencing combined with the application of bioinformatics tools facilitates the dissection of metabolic pathways, which may further support genetic engineering approaches to maximize the production and potency of the compounds. Large-scale field experiments under real aquaculture scenarios are necessary to demonstrate the viability, effectiveness, and environmental compatibility of the treatments with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 xml:space="preserve">-based agents. Besides the evaluation of fish growth and disease resistance, aspects like water quality and the long-term ecological impact of fish should be considered here. Further investigations may also go a step </w:t>
      </w:r>
      <w:r w:rsidRPr="00D239A0">
        <w:rPr>
          <w:rFonts w:ascii="Times New Roman" w:hAnsi="Times New Roman" w:cs="Times New Roman"/>
          <w:sz w:val="24"/>
          <w:szCs w:val="24"/>
        </w:rPr>
        <w:lastRenderedPageBreak/>
        <w:t xml:space="preserve">further and create new formulations by combining different effective strains of microorganisms for wider implementation and efficiency of bio-control. Microbes such as Bacillus or lactic acid bacteria could be incorporated into formulations containing </w:t>
      </w:r>
      <w:r w:rsidR="00F51E8F" w:rsidRPr="00D239A0">
        <w:rPr>
          <w:rFonts w:ascii="Times New Roman" w:hAnsi="Times New Roman" w:cs="Times New Roman"/>
          <w:i/>
          <w:sz w:val="24"/>
          <w:szCs w:val="24"/>
        </w:rPr>
        <w:t>Streptomyces</w:t>
      </w:r>
      <w:r w:rsidRPr="00D239A0">
        <w:rPr>
          <w:rFonts w:ascii="Times New Roman" w:hAnsi="Times New Roman" w:cs="Times New Roman"/>
          <w:sz w:val="24"/>
          <w:szCs w:val="24"/>
        </w:rPr>
        <w:t>.</w:t>
      </w:r>
    </w:p>
    <w:p w14:paraId="3A6C36EB" w14:textId="77777777" w:rsidR="004815B7" w:rsidRPr="00D239A0" w:rsidRDefault="004815B7" w:rsidP="004815B7">
      <w:pPr>
        <w:pStyle w:val="NoSpacing"/>
        <w:rPr>
          <w:rFonts w:ascii="Arial" w:hAnsi="Arial" w:cs="Arial"/>
        </w:rPr>
      </w:pPr>
      <w:bookmarkStart w:id="0" w:name="_Hlk198031404"/>
      <w:r w:rsidRPr="00D239A0">
        <w:rPr>
          <w:rFonts w:ascii="Arial" w:hAnsi="Arial" w:cs="Arial"/>
        </w:rPr>
        <w:t>Disclaimer (Artificial intelligence)</w:t>
      </w:r>
    </w:p>
    <w:p w14:paraId="648397D5" w14:textId="77777777" w:rsidR="004815B7" w:rsidRPr="00D239A0" w:rsidRDefault="004815B7" w:rsidP="004815B7">
      <w:pPr>
        <w:pStyle w:val="NoSpacing"/>
        <w:rPr>
          <w:rFonts w:ascii="Arial" w:hAnsi="Arial" w:cs="Arial"/>
        </w:rPr>
      </w:pPr>
    </w:p>
    <w:p w14:paraId="2764A4A4" w14:textId="77777777" w:rsidR="004815B7" w:rsidRPr="00D239A0" w:rsidRDefault="004815B7" w:rsidP="004815B7">
      <w:pPr>
        <w:pStyle w:val="NoSpacing"/>
        <w:rPr>
          <w:rFonts w:ascii="Arial" w:hAnsi="Arial" w:cs="Arial"/>
        </w:rPr>
      </w:pPr>
      <w:r w:rsidRPr="00D239A0">
        <w:rPr>
          <w:rFonts w:ascii="Arial" w:hAnsi="Arial" w:cs="Arial"/>
        </w:rPr>
        <w:t xml:space="preserve">Author(s) hereby declare that NO generative AI technologies such as Large Language Models (ChatGPT, COPILOT, etc.) and text-to-image generators have been used during the writing or editing of this manuscript. </w:t>
      </w:r>
    </w:p>
    <w:bookmarkEnd w:id="0"/>
    <w:p w14:paraId="5B0CEE62" w14:textId="77777777" w:rsidR="004815B7" w:rsidRPr="00D239A0" w:rsidRDefault="004815B7" w:rsidP="003B7F79">
      <w:pPr>
        <w:spacing w:before="240" w:after="240" w:line="360" w:lineRule="auto"/>
        <w:jc w:val="both"/>
        <w:rPr>
          <w:rFonts w:ascii="Times New Roman" w:hAnsi="Times New Roman" w:cs="Times New Roman"/>
          <w:sz w:val="24"/>
          <w:szCs w:val="24"/>
        </w:rPr>
      </w:pPr>
    </w:p>
    <w:p w14:paraId="1A221865" w14:textId="77777777" w:rsidR="00B41457" w:rsidRPr="00D239A0" w:rsidRDefault="00B41457" w:rsidP="003B7F79">
      <w:pPr>
        <w:spacing w:before="240" w:after="240" w:line="360" w:lineRule="auto"/>
        <w:jc w:val="both"/>
        <w:rPr>
          <w:rFonts w:ascii="Times New Roman" w:hAnsi="Times New Roman" w:cs="Times New Roman"/>
          <w:b/>
          <w:sz w:val="24"/>
          <w:szCs w:val="24"/>
        </w:rPr>
      </w:pPr>
    </w:p>
    <w:p w14:paraId="290E98A9" w14:textId="77777777" w:rsidR="000D2C83" w:rsidRPr="00D239A0" w:rsidRDefault="000D2C83" w:rsidP="003B7F79">
      <w:pPr>
        <w:spacing w:before="240" w:after="240" w:line="360" w:lineRule="auto"/>
        <w:jc w:val="both"/>
        <w:rPr>
          <w:rFonts w:ascii="Times New Roman" w:hAnsi="Times New Roman" w:cs="Times New Roman"/>
          <w:b/>
          <w:sz w:val="24"/>
          <w:szCs w:val="24"/>
        </w:rPr>
      </w:pPr>
      <w:r w:rsidRPr="00D239A0">
        <w:rPr>
          <w:rFonts w:ascii="Times New Roman" w:hAnsi="Times New Roman" w:cs="Times New Roman"/>
          <w:b/>
          <w:sz w:val="24"/>
          <w:szCs w:val="24"/>
        </w:rPr>
        <w:t>References</w:t>
      </w:r>
    </w:p>
    <w:p w14:paraId="30034730"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Nabila, M. I., &amp; Kannabiran, K. (2025). </w:t>
      </w:r>
      <w:r w:rsidR="00F51E8F" w:rsidRPr="00D239A0">
        <w:rPr>
          <w:rFonts w:ascii="Times New Roman" w:hAnsi="Times New Roman"/>
          <w:i/>
          <w:sz w:val="24"/>
          <w:szCs w:val="24"/>
          <w:lang w:val="en-IN"/>
        </w:rPr>
        <w:t>Streptomyces</w:t>
      </w:r>
      <w:r w:rsidRPr="00D239A0">
        <w:rPr>
          <w:rFonts w:ascii="Times New Roman" w:hAnsi="Times New Roman"/>
          <w:sz w:val="24"/>
          <w:szCs w:val="24"/>
          <w:lang w:val="en-IN"/>
        </w:rPr>
        <w:t xml:space="preserve"> and their secondary metabolites as natural antibiotics for the control of fish microbial diseases in aquaculture. LIANBS, 144(262), 1–14. </w:t>
      </w:r>
    </w:p>
    <w:p w14:paraId="08CED455"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Saha, S., Ishaque, N. M., Burgsdorf, I., Macho, M., Ewe, D., Steindler, L., Hrouzek, P., Kannabiran, K., &amp; Saurav, K. (2021). Draft genome sequence of terrestrial </w:t>
      </w:r>
      <w:r w:rsidR="00F51E8F" w:rsidRPr="00D239A0">
        <w:rPr>
          <w:rFonts w:ascii="Times New Roman" w:hAnsi="Times New Roman"/>
          <w:i/>
          <w:sz w:val="24"/>
          <w:szCs w:val="24"/>
          <w:lang w:val="en-IN"/>
        </w:rPr>
        <w:t xml:space="preserve">Streptomyces sp. </w:t>
      </w:r>
      <w:r w:rsidRPr="00D239A0">
        <w:rPr>
          <w:rFonts w:ascii="Times New Roman" w:hAnsi="Times New Roman"/>
          <w:sz w:val="24"/>
          <w:szCs w:val="24"/>
          <w:lang w:val="en-IN"/>
        </w:rPr>
        <w:t xml:space="preserve">strain VITNK9, isolated from Vellore, Tamil Nadu, India, exhibiting antagonistic activity against fish pathogens. Microbiology Resource Announcements, 10(1), e01282-20, 1–2. </w:t>
      </w:r>
    </w:p>
    <w:p w14:paraId="01B476D5"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Khaochamnan, R., Suanyuk, N., Lertcanawanichakul, M., &amp;Pedpradab, P. (2024). Isolation, characterization and optimization of a marine </w:t>
      </w:r>
      <w:r w:rsidR="00F51E8F" w:rsidRPr="00D239A0">
        <w:rPr>
          <w:rFonts w:ascii="Times New Roman" w:hAnsi="Times New Roman"/>
          <w:i/>
          <w:sz w:val="24"/>
          <w:szCs w:val="24"/>
          <w:lang w:val="en-IN"/>
        </w:rPr>
        <w:t>Streptomyces</w:t>
      </w:r>
      <w:r w:rsidRPr="00D239A0">
        <w:rPr>
          <w:rFonts w:ascii="Times New Roman" w:hAnsi="Times New Roman"/>
          <w:sz w:val="24"/>
          <w:szCs w:val="24"/>
          <w:lang w:val="en-IN"/>
        </w:rPr>
        <w:t xml:space="preserve">hiroshimensis SK3 producing anti-vibriosis metabolites. PeerJ, 12, e18053, 1–29. </w:t>
      </w:r>
    </w:p>
    <w:p w14:paraId="033F7477"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Riauwaty, M., Sari, T. E. Y., &amp; Adelina, A. (2020). Potency of turmeric in reducing </w:t>
      </w:r>
      <w:r w:rsidR="00F51E8F" w:rsidRPr="00D239A0">
        <w:rPr>
          <w:rFonts w:ascii="Times New Roman" w:hAnsi="Times New Roman"/>
          <w:i/>
          <w:sz w:val="24"/>
          <w:szCs w:val="24"/>
          <w:lang w:val="en-IN"/>
        </w:rPr>
        <w:t xml:space="preserve">Motile Aeromonas </w:t>
      </w:r>
      <w:r w:rsidRPr="00D239A0">
        <w:rPr>
          <w:rFonts w:ascii="Times New Roman" w:hAnsi="Times New Roman"/>
          <w:sz w:val="24"/>
          <w:szCs w:val="24"/>
          <w:lang w:val="en-IN"/>
        </w:rPr>
        <w:t xml:space="preserve">septicemia (MAS) in Pangasius hypopthalmus. IOP Conference Series: Earth and Environmental Science, 430(1), Article 012025. </w:t>
      </w:r>
    </w:p>
    <w:p w14:paraId="3463BDB8"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Le, T. S., Nguyen, T. H., Vo, H. P., Doan, V. C., Nguyen, H. L., Tran, M. T., Tran, T. T., Southgate, P. C., &amp;Kurtböke, D. I. (2018). Protective effects of bacteriophages against </w:t>
      </w:r>
      <w:r w:rsidR="00F51E8F" w:rsidRPr="00D239A0">
        <w:rPr>
          <w:rFonts w:ascii="Times New Roman" w:hAnsi="Times New Roman"/>
          <w:i/>
          <w:sz w:val="24"/>
          <w:szCs w:val="24"/>
          <w:lang w:val="en-IN"/>
        </w:rPr>
        <w:t xml:space="preserve">Aeromonas hydrophila. </w:t>
      </w:r>
      <w:r w:rsidRPr="00D239A0">
        <w:rPr>
          <w:rFonts w:ascii="Times New Roman" w:hAnsi="Times New Roman"/>
          <w:sz w:val="24"/>
          <w:szCs w:val="24"/>
          <w:lang w:val="en-IN"/>
        </w:rPr>
        <w:t xml:space="preserve"> causing </w:t>
      </w:r>
      <w:r w:rsidR="00F51E8F" w:rsidRPr="00D239A0">
        <w:rPr>
          <w:rFonts w:ascii="Times New Roman" w:hAnsi="Times New Roman"/>
          <w:i/>
          <w:sz w:val="24"/>
          <w:szCs w:val="24"/>
          <w:lang w:val="en-IN"/>
        </w:rPr>
        <w:t xml:space="preserve">Motile Aeromonas </w:t>
      </w:r>
      <w:r w:rsidRPr="00D239A0">
        <w:rPr>
          <w:rFonts w:ascii="Times New Roman" w:hAnsi="Times New Roman"/>
          <w:sz w:val="24"/>
          <w:szCs w:val="24"/>
          <w:lang w:val="en-IN"/>
        </w:rPr>
        <w:t xml:space="preserve">septicemia (MAS) in striped catfish. Microorganisms, 6(1), 19. </w:t>
      </w:r>
    </w:p>
    <w:p w14:paraId="71720710"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lastRenderedPageBreak/>
        <w:t xml:space="preserve">Islam, M. A., Rahman, M. M., Hossain, M. T., Siddique, M. P., Haque, M. E., Khasruzzaman, A. K. M., &amp; Rahman, M. A. (2022). Efficacy of bi-valent whole cell inactivated bacterial vaccine against </w:t>
      </w:r>
      <w:r w:rsidR="00F51E8F" w:rsidRPr="00D239A0">
        <w:rPr>
          <w:rFonts w:ascii="Times New Roman" w:hAnsi="Times New Roman"/>
          <w:i/>
          <w:sz w:val="24"/>
          <w:szCs w:val="24"/>
          <w:lang w:val="en-IN"/>
        </w:rPr>
        <w:t xml:space="preserve">Motile Aeromonas </w:t>
      </w:r>
      <w:r w:rsidRPr="00D239A0">
        <w:rPr>
          <w:rFonts w:ascii="Times New Roman" w:hAnsi="Times New Roman"/>
          <w:sz w:val="24"/>
          <w:szCs w:val="24"/>
          <w:lang w:val="en-IN"/>
        </w:rPr>
        <w:t xml:space="preserve">septicemia (MAS) in cultured catfishes (Heteropneustesfossilis, Clarias batrachus and Pangasius pangasius) in Bangladesh. Saudi Journal of Biological Sciences, 29(8), 3881–3889. </w:t>
      </w:r>
    </w:p>
    <w:p w14:paraId="3E85F776"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Soltani, M., Moghimi, S. M., Ebrahimzade Mousavi, H., Abdi, K., &amp; Soltani, E. (2016). Isolation, phenotypic and molecular characterization of </w:t>
      </w:r>
      <w:r w:rsidR="00F51E8F" w:rsidRPr="00D239A0">
        <w:rPr>
          <w:rFonts w:ascii="Times New Roman" w:hAnsi="Times New Roman"/>
          <w:i/>
          <w:sz w:val="24"/>
          <w:szCs w:val="24"/>
          <w:lang w:val="en-IN"/>
        </w:rPr>
        <w:t xml:space="preserve">Motile Aeromonas </w:t>
      </w:r>
      <w:r w:rsidRPr="00D239A0">
        <w:rPr>
          <w:rFonts w:ascii="Times New Roman" w:hAnsi="Times New Roman"/>
          <w:sz w:val="24"/>
          <w:szCs w:val="24"/>
          <w:lang w:val="en-IN"/>
        </w:rPr>
        <w:t xml:space="preserve">species, the cause of bacterial hemorrhagicsepticemia in affected farmed carp in Iran. </w:t>
      </w:r>
    </w:p>
    <w:p w14:paraId="34732D14"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Agung, L. A., Rohmawati, I., &amp; Ningsih, E. P. (2022). Application of dry probiotic rabal (yeast and lactic acid bacteria) to prevent MAS (</w:t>
      </w:r>
      <w:r w:rsidR="00F51E8F" w:rsidRPr="00D239A0">
        <w:rPr>
          <w:rFonts w:ascii="Times New Roman" w:hAnsi="Times New Roman"/>
          <w:i/>
          <w:sz w:val="24"/>
          <w:szCs w:val="24"/>
          <w:lang w:val="en-IN"/>
        </w:rPr>
        <w:t xml:space="preserve">Motile Aeromonas </w:t>
      </w:r>
      <w:r w:rsidRPr="00D239A0">
        <w:rPr>
          <w:rFonts w:ascii="Times New Roman" w:hAnsi="Times New Roman"/>
          <w:sz w:val="24"/>
          <w:szCs w:val="24"/>
          <w:lang w:val="en-IN"/>
        </w:rPr>
        <w:t xml:space="preserve">septicemia) disease in catfish (Clarias sp.). </w:t>
      </w:r>
    </w:p>
    <w:p w14:paraId="41952F7B"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Kusdarwati, R., Kismiyati, Sudarno, Kurniawan, H., &amp;Prayogi, Y. T. (2020). Isolation and identification of </w:t>
      </w:r>
      <w:r w:rsidR="00F51E8F" w:rsidRPr="00D239A0">
        <w:rPr>
          <w:rFonts w:ascii="Times New Roman" w:hAnsi="Times New Roman"/>
          <w:i/>
          <w:sz w:val="24"/>
          <w:szCs w:val="24"/>
          <w:lang w:val="en-IN"/>
        </w:rPr>
        <w:t xml:space="preserve">Aeromonas hydrophila. </w:t>
      </w:r>
      <w:r w:rsidRPr="00D239A0">
        <w:rPr>
          <w:rFonts w:ascii="Times New Roman" w:hAnsi="Times New Roman"/>
          <w:sz w:val="24"/>
          <w:szCs w:val="24"/>
          <w:lang w:val="en-IN"/>
        </w:rPr>
        <w:t xml:space="preserve"> and Saprolegnia sp. on catfish (Clarias gariepinus) in floating cages in Bozem Moro Krembangan Surabaya.</w:t>
      </w:r>
    </w:p>
    <w:p w14:paraId="134B6C03"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Abdella, B., Shokrak, N. M., Abozahra, N. A., Elshamy, Y. M., &amp; Mohamed, R. A. (2024). Aquaculture and </w:t>
      </w:r>
      <w:r w:rsidR="00F51E8F" w:rsidRPr="00D239A0">
        <w:rPr>
          <w:rFonts w:ascii="Times New Roman" w:hAnsi="Times New Roman"/>
          <w:i/>
          <w:sz w:val="24"/>
          <w:szCs w:val="24"/>
          <w:lang w:val="en-IN"/>
        </w:rPr>
        <w:t xml:space="preserve">Aeromonas hydrophila. </w:t>
      </w:r>
      <w:r w:rsidRPr="00D239A0">
        <w:rPr>
          <w:rFonts w:ascii="Times New Roman" w:hAnsi="Times New Roman"/>
          <w:sz w:val="24"/>
          <w:szCs w:val="24"/>
          <w:lang w:val="en-IN"/>
        </w:rPr>
        <w:t>: a complex interplay of environmental factors and virulence. Aquaculture International, 32, 7671–7681.</w:t>
      </w:r>
    </w:p>
    <w:p w14:paraId="4F7B58E6"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Jeamsripong, S., Odoi, J., Shahi, M. K., Anuntawirun, S., &amp;Thiptara, A. (2025). Global spread and antimicrobial resistance of </w:t>
      </w:r>
      <w:r w:rsidR="00F51E8F" w:rsidRPr="00D239A0">
        <w:rPr>
          <w:rFonts w:ascii="Times New Roman" w:hAnsi="Times New Roman"/>
          <w:i/>
          <w:sz w:val="24"/>
          <w:szCs w:val="24"/>
          <w:lang w:val="en-IN"/>
        </w:rPr>
        <w:t xml:space="preserve">Aeromonas hydrophila. </w:t>
      </w:r>
      <w:r w:rsidRPr="00D239A0">
        <w:rPr>
          <w:rFonts w:ascii="Times New Roman" w:hAnsi="Times New Roman"/>
          <w:sz w:val="24"/>
          <w:szCs w:val="24"/>
          <w:lang w:val="en-IN"/>
        </w:rPr>
        <w:t xml:space="preserve"> in aquatic food animals: a systematic review and meta-analysis. Scientific Reports, 15, 28441.</w:t>
      </w:r>
    </w:p>
    <w:p w14:paraId="4A0E5708"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Gieseker, C. M., Gaunt, P. S., Hawke, J. P., Crosby, T. C., &amp; Grim, C. J. (2022). Epidemiological cutoff values for susceptibility testing of </w:t>
      </w:r>
      <w:r w:rsidR="00F51E8F" w:rsidRPr="00D239A0">
        <w:rPr>
          <w:rFonts w:ascii="Times New Roman" w:hAnsi="Times New Roman"/>
          <w:i/>
          <w:sz w:val="24"/>
          <w:szCs w:val="24"/>
          <w:lang w:val="en-IN"/>
        </w:rPr>
        <w:t xml:space="preserve">Aeromonas hydrophila. </w:t>
      </w:r>
      <w:r w:rsidRPr="00D239A0">
        <w:rPr>
          <w:rFonts w:ascii="Times New Roman" w:hAnsi="Times New Roman"/>
          <w:sz w:val="24"/>
          <w:szCs w:val="24"/>
          <w:lang w:val="en-IN"/>
        </w:rPr>
        <w:t xml:space="preserve"> isolated from fish. Microbial Drug Resistance, 28(8), 893–903.</w:t>
      </w:r>
    </w:p>
    <w:p w14:paraId="232DA1D4"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Das, B. K., Kumar, V., Das, P., &amp; Nayak, K. K. (2023). Whole transcriptome analysis of </w:t>
      </w:r>
      <w:r w:rsidR="00F51E8F" w:rsidRPr="00D239A0">
        <w:rPr>
          <w:rFonts w:ascii="Times New Roman" w:hAnsi="Times New Roman"/>
          <w:i/>
          <w:sz w:val="24"/>
          <w:szCs w:val="24"/>
          <w:lang w:val="en-IN"/>
        </w:rPr>
        <w:t xml:space="preserve">Aeromonas hydrophila. </w:t>
      </w:r>
      <w:r w:rsidRPr="00D239A0">
        <w:rPr>
          <w:rFonts w:ascii="Times New Roman" w:hAnsi="Times New Roman"/>
          <w:sz w:val="24"/>
          <w:szCs w:val="24"/>
          <w:lang w:val="en-IN"/>
        </w:rPr>
        <w:t xml:space="preserve"> isolated from infected Labeorohita. Frontiers in Microbiology, 14, 1247652.</w:t>
      </w:r>
    </w:p>
    <w:p w14:paraId="28A60647"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Ahangarzadeh, M., Najafabadi, M. G., Peyghan, R., Houshmand, H., Rohani, M. S., &amp; Soltani, M. (2022). Detection and distribution of virulence genes in </w:t>
      </w:r>
      <w:r w:rsidR="00F51E8F" w:rsidRPr="00D239A0">
        <w:rPr>
          <w:rFonts w:ascii="Times New Roman" w:hAnsi="Times New Roman"/>
          <w:i/>
          <w:sz w:val="24"/>
          <w:szCs w:val="24"/>
          <w:lang w:val="en-IN"/>
        </w:rPr>
        <w:t xml:space="preserve">Aeromonas hydrophila. </w:t>
      </w:r>
      <w:r w:rsidRPr="00D239A0">
        <w:rPr>
          <w:rFonts w:ascii="Times New Roman" w:hAnsi="Times New Roman"/>
          <w:sz w:val="24"/>
          <w:szCs w:val="24"/>
          <w:lang w:val="en-IN"/>
        </w:rPr>
        <w:t xml:space="preserve"> isolates causing infection in cultured carps. Veterinary Research Forum, 13(1), 97–103.</w:t>
      </w:r>
    </w:p>
    <w:p w14:paraId="044B977B"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lastRenderedPageBreak/>
        <w:t xml:space="preserve">Abo-Shama, U. H., Abd El Raheem, A. A., Alsaadawy, R. M., &amp; Sayed, H. H. (2025). Phenotypic and genotypic characterization of </w:t>
      </w:r>
      <w:r w:rsidR="00F51E8F" w:rsidRPr="00D239A0">
        <w:rPr>
          <w:rFonts w:ascii="Times New Roman" w:hAnsi="Times New Roman"/>
          <w:i/>
          <w:sz w:val="24"/>
          <w:szCs w:val="24"/>
          <w:lang w:val="en-IN"/>
        </w:rPr>
        <w:t xml:space="preserve">Aeromonas hydrophila. </w:t>
      </w:r>
      <w:r w:rsidRPr="00D239A0">
        <w:rPr>
          <w:rFonts w:ascii="Times New Roman" w:hAnsi="Times New Roman"/>
          <w:sz w:val="24"/>
          <w:szCs w:val="24"/>
          <w:lang w:val="en-IN"/>
        </w:rPr>
        <w:t xml:space="preserve"> isolated from freshwater fishes at Middle Upper Egypt. Scientific Reports, 15, 5920. </w:t>
      </w:r>
    </w:p>
    <w:p w14:paraId="62FEFA4F"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Behera, B. K., Dhar, S., Kumar, V., Parida, P. K., Hoque, F., Parida, S. N., Bisai, K., Devnath, S., Jana, A. K., Mistri, A., &amp; Das, B. K. (2022). Molecular approach and techniques used in the diagnosis of fish parasites. Journal of Parasitic Diseases, 46(2), 403–417. </w:t>
      </w:r>
    </w:p>
    <w:p w14:paraId="6AD5A47A"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Shabana, S. M., Rashed, M. A., Atia, A. A., &amp; Abd El-Hady, H. A. M. (2024). Characterization of </w:t>
      </w:r>
      <w:r w:rsidR="00F51E8F" w:rsidRPr="00D239A0">
        <w:rPr>
          <w:rFonts w:ascii="Times New Roman" w:hAnsi="Times New Roman"/>
          <w:i/>
          <w:sz w:val="24"/>
          <w:szCs w:val="24"/>
          <w:lang w:val="en-IN"/>
        </w:rPr>
        <w:t xml:space="preserve">Aeromonas hydrophila. </w:t>
      </w:r>
      <w:r w:rsidRPr="00D239A0">
        <w:rPr>
          <w:rFonts w:ascii="Times New Roman" w:hAnsi="Times New Roman"/>
          <w:sz w:val="24"/>
          <w:szCs w:val="24"/>
          <w:lang w:val="en-IN"/>
        </w:rPr>
        <w:t xml:space="preserve"> isolated from freshwater fish with control trial. Scientific Reports, 14, 22145.</w:t>
      </w:r>
    </w:p>
    <w:p w14:paraId="2113DF39"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Kumari, R., Yadav, R., Kumar, D., Chaube, R., &amp; Nath, G. (2023). Evaluation of bacteriophage therapy of </w:t>
      </w:r>
      <w:r w:rsidR="00F51E8F" w:rsidRPr="00D239A0">
        <w:rPr>
          <w:rFonts w:ascii="Times New Roman" w:hAnsi="Times New Roman"/>
          <w:i/>
          <w:sz w:val="24"/>
          <w:szCs w:val="24"/>
          <w:lang w:val="en-IN"/>
        </w:rPr>
        <w:t xml:space="preserve">Aeromonas hydrophila. </w:t>
      </w:r>
      <w:r w:rsidRPr="00D239A0">
        <w:rPr>
          <w:rFonts w:ascii="Times New Roman" w:hAnsi="Times New Roman"/>
          <w:sz w:val="24"/>
          <w:szCs w:val="24"/>
          <w:lang w:val="en-IN"/>
        </w:rPr>
        <w:t xml:space="preserve"> infection in a freshwater fish, Pangasius buchanani. Frontiers in Aquaculture, 2.</w:t>
      </w:r>
    </w:p>
    <w:p w14:paraId="12674DC6"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Laltlanmawia, C., Saha, H., Ghosh, L., Saha, R. K., &amp; Malla, S. (2023). Unveiling the mechanisms of </w:t>
      </w:r>
      <w:r w:rsidR="00F51E8F" w:rsidRPr="00D239A0">
        <w:rPr>
          <w:rFonts w:ascii="Times New Roman" w:hAnsi="Times New Roman"/>
          <w:i/>
          <w:sz w:val="24"/>
          <w:szCs w:val="24"/>
          <w:lang w:val="en-IN"/>
        </w:rPr>
        <w:t xml:space="preserve">Aeromonas hydrophila. </w:t>
      </w:r>
      <w:r w:rsidRPr="00D239A0">
        <w:rPr>
          <w:rFonts w:ascii="Times New Roman" w:hAnsi="Times New Roman"/>
          <w:sz w:val="24"/>
          <w:szCs w:val="24"/>
          <w:lang w:val="en-IN"/>
        </w:rPr>
        <w:t xml:space="preserve"> induced mortality in Labeorohita: Hemato-biochemical and immune-pathological perspectives. Indian Journal of Animal Research, 57(10), 1305–1313.</w:t>
      </w:r>
    </w:p>
    <w:p w14:paraId="201F6406"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Kerigano, N. K., Chibsa, T. R., &amp; Molla, Y. G. (2023). Phenotypic, molecular detection and antibiogram analysis of </w:t>
      </w:r>
      <w:r w:rsidR="00F51E8F" w:rsidRPr="00D239A0">
        <w:rPr>
          <w:rFonts w:ascii="Times New Roman" w:hAnsi="Times New Roman"/>
          <w:i/>
          <w:sz w:val="24"/>
          <w:szCs w:val="24"/>
          <w:lang w:val="en-IN"/>
        </w:rPr>
        <w:t xml:space="preserve">Aeromonas hydrophila. </w:t>
      </w:r>
      <w:r w:rsidRPr="00D239A0">
        <w:rPr>
          <w:rFonts w:ascii="Times New Roman" w:hAnsi="Times New Roman"/>
          <w:sz w:val="24"/>
          <w:szCs w:val="24"/>
          <w:lang w:val="en-IN"/>
        </w:rPr>
        <w:t xml:space="preserve"> from Oreochromis niloticus and ready-to-eat fish products in selected Rift Valley lakes of Ethiopia. BMC Veterinary Research, 19, 120.</w:t>
      </w:r>
    </w:p>
    <w:p w14:paraId="6F4CEB68"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Sherif, A. H., &amp; Kassab, A. S. (2023). Multidrug-resistant Aeromonas bacteria prevalence in Nile tilapia broodstock. BMC Microbiology, 23, 85.</w:t>
      </w:r>
    </w:p>
    <w:p w14:paraId="74EFDB94"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Ozdemir, E., Abdelhamed, H., Ozdemir, O., Lawrence, M., &amp; Karsi, A. (2023). Development of bioluminescent virulent </w:t>
      </w:r>
      <w:r w:rsidR="00F51E8F" w:rsidRPr="00D239A0">
        <w:rPr>
          <w:rFonts w:ascii="Times New Roman" w:hAnsi="Times New Roman"/>
          <w:i/>
          <w:sz w:val="24"/>
          <w:szCs w:val="24"/>
          <w:lang w:val="en-IN"/>
        </w:rPr>
        <w:t xml:space="preserve">Aeromonas hydrophila. </w:t>
      </w:r>
      <w:r w:rsidRPr="00D239A0">
        <w:rPr>
          <w:rFonts w:ascii="Times New Roman" w:hAnsi="Times New Roman"/>
          <w:sz w:val="24"/>
          <w:szCs w:val="24"/>
          <w:lang w:val="en-IN"/>
        </w:rPr>
        <w:t xml:space="preserve"> for understanding pathogenicity. Pathogens, 12(5), 670.</w:t>
      </w:r>
    </w:p>
    <w:p w14:paraId="30C7C510"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 xml:space="preserve">Wahjuningrum, D., Hilal, A., Waturangi, D. E., &amp;Nuryati, S. (2023). The potential of shallot skin powder and </w:t>
      </w:r>
      <w:r w:rsidR="00F51E8F" w:rsidRPr="00D239A0">
        <w:rPr>
          <w:rFonts w:ascii="Times New Roman" w:hAnsi="Times New Roman"/>
          <w:i/>
          <w:sz w:val="24"/>
          <w:szCs w:val="24"/>
          <w:lang w:val="en-IN"/>
        </w:rPr>
        <w:t xml:space="preserve">actinomycetes </w:t>
      </w:r>
      <w:r w:rsidRPr="00D239A0">
        <w:rPr>
          <w:rFonts w:ascii="Times New Roman" w:hAnsi="Times New Roman"/>
          <w:sz w:val="24"/>
          <w:szCs w:val="24"/>
          <w:lang w:val="en-IN"/>
        </w:rPr>
        <w:t xml:space="preserve">metabolites as antimicrobe and antibiofilm in the treatment of eel infected with </w:t>
      </w:r>
      <w:r w:rsidR="00F51E8F" w:rsidRPr="00D239A0">
        <w:rPr>
          <w:rFonts w:ascii="Times New Roman" w:hAnsi="Times New Roman"/>
          <w:i/>
          <w:sz w:val="24"/>
          <w:szCs w:val="24"/>
          <w:lang w:val="en-IN"/>
        </w:rPr>
        <w:t xml:space="preserve">Aeromonas hydrophila. </w:t>
      </w:r>
      <w:r w:rsidRPr="00D239A0">
        <w:rPr>
          <w:rFonts w:ascii="Times New Roman" w:hAnsi="Times New Roman"/>
          <w:sz w:val="24"/>
          <w:szCs w:val="24"/>
          <w:lang w:val="en-IN"/>
        </w:rPr>
        <w:t>. BMC Research Notes, 16, 324.</w:t>
      </w:r>
    </w:p>
    <w:p w14:paraId="7ADFB9DF"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lastRenderedPageBreak/>
        <w:t>Lavanya, C., Neeraja, T., Ramana, T. V., Balasubramanian, A., &amp; Sudhakar, O. (2024). Species diversity, existence of virulence gene profile and in-vivo pathogenicity study of Aeromonas spp. isolated from diseased Catlacatla.</w:t>
      </w:r>
    </w:p>
    <w:p w14:paraId="73EA8FA7" w14:textId="77777777" w:rsidR="00351C57" w:rsidRPr="00D239A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D239A0">
        <w:rPr>
          <w:rFonts w:ascii="Times New Roman" w:hAnsi="Times New Roman"/>
          <w:sz w:val="24"/>
          <w:szCs w:val="24"/>
          <w:lang w:val="en-IN"/>
        </w:rPr>
        <w:t>Sahoo, P. K., Shankar, R. S., Pasim, R. K., Pattanayak, S., &amp; Das, N. K. (2019). Pathogenic status, antibiogram, adhesive characteristics, heavy metal tolerance and incidence of integrons of infected fish-isolated Aeromonas sp. Journal of Sustainability Science and Management, 14(2), 1–12.</w:t>
      </w:r>
    </w:p>
    <w:p w14:paraId="0895EC63" w14:textId="77777777" w:rsidR="00351C57" w:rsidRPr="00351C57" w:rsidRDefault="00351C57" w:rsidP="00351C57">
      <w:pPr>
        <w:pStyle w:val="ListParagraph"/>
        <w:spacing w:before="240" w:after="240" w:line="360" w:lineRule="auto"/>
        <w:jc w:val="both"/>
        <w:rPr>
          <w:rFonts w:ascii="Times New Roman" w:hAnsi="Times New Roman"/>
          <w:sz w:val="24"/>
          <w:szCs w:val="24"/>
          <w:lang w:val="en-IN"/>
        </w:rPr>
      </w:pPr>
    </w:p>
    <w:p w14:paraId="7A9A4909" w14:textId="77777777" w:rsidR="00351C57" w:rsidRPr="00351C57" w:rsidRDefault="00351C57" w:rsidP="00351C57">
      <w:pPr>
        <w:pStyle w:val="ListParagraph"/>
        <w:spacing w:before="240" w:after="240" w:line="360" w:lineRule="auto"/>
        <w:jc w:val="both"/>
        <w:rPr>
          <w:rFonts w:ascii="Times New Roman" w:hAnsi="Times New Roman"/>
          <w:sz w:val="24"/>
          <w:szCs w:val="24"/>
          <w:lang w:val="en-IN"/>
        </w:rPr>
      </w:pPr>
    </w:p>
    <w:p w14:paraId="0BF0CB85" w14:textId="77777777" w:rsidR="00351C57" w:rsidRPr="00351C57" w:rsidRDefault="00351C57" w:rsidP="00351C57">
      <w:pPr>
        <w:pStyle w:val="ListParagraph"/>
        <w:spacing w:before="240" w:after="240" w:line="360" w:lineRule="auto"/>
        <w:jc w:val="both"/>
        <w:rPr>
          <w:rFonts w:ascii="Times New Roman" w:hAnsi="Times New Roman"/>
          <w:sz w:val="24"/>
          <w:szCs w:val="24"/>
          <w:lang w:val="en-IN"/>
        </w:rPr>
      </w:pPr>
    </w:p>
    <w:p w14:paraId="2FBC5A80" w14:textId="77777777" w:rsidR="00351C57" w:rsidRPr="00351C57" w:rsidRDefault="00351C57" w:rsidP="00351C57">
      <w:pPr>
        <w:pStyle w:val="ListParagraph"/>
        <w:spacing w:before="240" w:after="240" w:line="360" w:lineRule="auto"/>
        <w:jc w:val="both"/>
        <w:rPr>
          <w:rFonts w:ascii="Times New Roman" w:hAnsi="Times New Roman"/>
          <w:sz w:val="24"/>
          <w:szCs w:val="24"/>
          <w:lang w:val="en-IN"/>
        </w:rPr>
      </w:pPr>
    </w:p>
    <w:p w14:paraId="67E8A847" w14:textId="77777777" w:rsidR="000D2C83" w:rsidRPr="00941CCF" w:rsidRDefault="000D2C83" w:rsidP="00351C57">
      <w:pPr>
        <w:pStyle w:val="ListParagraph"/>
        <w:spacing w:before="240" w:after="240" w:line="360" w:lineRule="auto"/>
        <w:jc w:val="both"/>
        <w:rPr>
          <w:rFonts w:ascii="Times New Roman" w:hAnsi="Times New Roman"/>
          <w:sz w:val="24"/>
          <w:szCs w:val="24"/>
          <w:lang w:val="en-IN"/>
        </w:rPr>
      </w:pPr>
    </w:p>
    <w:sectPr w:rsidR="000D2C83" w:rsidRPr="00941CCF" w:rsidSect="0054558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83067" w14:textId="77777777" w:rsidR="004E28FA" w:rsidRDefault="004E28FA" w:rsidP="003F7B28">
      <w:pPr>
        <w:spacing w:after="0" w:line="240" w:lineRule="auto"/>
      </w:pPr>
      <w:r>
        <w:separator/>
      </w:r>
    </w:p>
  </w:endnote>
  <w:endnote w:type="continuationSeparator" w:id="0">
    <w:p w14:paraId="1F211629" w14:textId="77777777" w:rsidR="004E28FA" w:rsidRDefault="004E28FA" w:rsidP="003F7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B6F6" w14:textId="77777777" w:rsidR="003F7B28" w:rsidRDefault="003F7B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49604" w14:textId="77777777" w:rsidR="003F7B28" w:rsidRDefault="003F7B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10B02" w14:textId="77777777" w:rsidR="003F7B28" w:rsidRDefault="003F7B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4C6AD" w14:textId="77777777" w:rsidR="004E28FA" w:rsidRDefault="004E28FA" w:rsidP="003F7B28">
      <w:pPr>
        <w:spacing w:after="0" w:line="240" w:lineRule="auto"/>
      </w:pPr>
      <w:r>
        <w:separator/>
      </w:r>
    </w:p>
  </w:footnote>
  <w:footnote w:type="continuationSeparator" w:id="0">
    <w:p w14:paraId="5D99374A" w14:textId="77777777" w:rsidR="004E28FA" w:rsidRDefault="004E28FA" w:rsidP="003F7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065AF" w14:textId="77777777" w:rsidR="003F7B28" w:rsidRDefault="00000000">
    <w:pPr>
      <w:pStyle w:val="Header"/>
    </w:pPr>
    <w:r>
      <w:rPr>
        <w:noProof/>
      </w:rPr>
      <w:pict w14:anchorId="2B75D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8220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1C14" w14:textId="77777777" w:rsidR="003F7B28" w:rsidRDefault="00000000">
    <w:pPr>
      <w:pStyle w:val="Header"/>
    </w:pPr>
    <w:r>
      <w:rPr>
        <w:noProof/>
      </w:rPr>
      <w:pict w14:anchorId="63BB23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8220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059D" w14:textId="77777777" w:rsidR="003F7B28" w:rsidRDefault="00000000">
    <w:pPr>
      <w:pStyle w:val="Header"/>
    </w:pPr>
    <w:r>
      <w:rPr>
        <w:noProof/>
      </w:rPr>
      <w:pict w14:anchorId="1D3CFF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8220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1B0D91"/>
    <w:multiLevelType w:val="hybridMultilevel"/>
    <w:tmpl w:val="650E50BE"/>
    <w:lvl w:ilvl="0" w:tplc="6D78F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0358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MrU0NzQ3MDU0NzW1MDRU0lEKTi0uzszPAykwrAUAiAfI/CwAAAA="/>
  </w:docVars>
  <w:rsids>
    <w:rsidRoot w:val="00692CE1"/>
    <w:rsid w:val="0002274E"/>
    <w:rsid w:val="00047E5F"/>
    <w:rsid w:val="0005286E"/>
    <w:rsid w:val="000871C9"/>
    <w:rsid w:val="00093D96"/>
    <w:rsid w:val="000A731D"/>
    <w:rsid w:val="000B53B2"/>
    <w:rsid w:val="000B5DA7"/>
    <w:rsid w:val="000C0070"/>
    <w:rsid w:val="000D2C83"/>
    <w:rsid w:val="000E034B"/>
    <w:rsid w:val="00120EFD"/>
    <w:rsid w:val="001604BB"/>
    <w:rsid w:val="00162853"/>
    <w:rsid w:val="00170B1A"/>
    <w:rsid w:val="00194ED9"/>
    <w:rsid w:val="001A0C71"/>
    <w:rsid w:val="001B33C4"/>
    <w:rsid w:val="001F3684"/>
    <w:rsid w:val="00212C20"/>
    <w:rsid w:val="00221236"/>
    <w:rsid w:val="00242C6A"/>
    <w:rsid w:val="002C16F9"/>
    <w:rsid w:val="002F7005"/>
    <w:rsid w:val="003137EA"/>
    <w:rsid w:val="00351C57"/>
    <w:rsid w:val="00355CCC"/>
    <w:rsid w:val="003928EA"/>
    <w:rsid w:val="003B41E9"/>
    <w:rsid w:val="003B7F79"/>
    <w:rsid w:val="003F33B8"/>
    <w:rsid w:val="003F7B28"/>
    <w:rsid w:val="004059E9"/>
    <w:rsid w:val="00407D7A"/>
    <w:rsid w:val="004453BB"/>
    <w:rsid w:val="004471F1"/>
    <w:rsid w:val="00472764"/>
    <w:rsid w:val="004815B7"/>
    <w:rsid w:val="00492650"/>
    <w:rsid w:val="004A209F"/>
    <w:rsid w:val="004C3ABC"/>
    <w:rsid w:val="004C7A89"/>
    <w:rsid w:val="004E28FA"/>
    <w:rsid w:val="00545589"/>
    <w:rsid w:val="005509D1"/>
    <w:rsid w:val="00557576"/>
    <w:rsid w:val="0057653E"/>
    <w:rsid w:val="00590B7E"/>
    <w:rsid w:val="00592E4C"/>
    <w:rsid w:val="005A5ADD"/>
    <w:rsid w:val="005D1695"/>
    <w:rsid w:val="005D49C1"/>
    <w:rsid w:val="005E0412"/>
    <w:rsid w:val="005F69D6"/>
    <w:rsid w:val="00610EAE"/>
    <w:rsid w:val="00633937"/>
    <w:rsid w:val="0066256A"/>
    <w:rsid w:val="00666874"/>
    <w:rsid w:val="006723D0"/>
    <w:rsid w:val="00692CE1"/>
    <w:rsid w:val="006A122C"/>
    <w:rsid w:val="00700AC6"/>
    <w:rsid w:val="00712C71"/>
    <w:rsid w:val="00720E32"/>
    <w:rsid w:val="00733990"/>
    <w:rsid w:val="00756C14"/>
    <w:rsid w:val="00770409"/>
    <w:rsid w:val="00794B00"/>
    <w:rsid w:val="007A59EA"/>
    <w:rsid w:val="007B33C2"/>
    <w:rsid w:val="007C2C53"/>
    <w:rsid w:val="007C42D4"/>
    <w:rsid w:val="007F356D"/>
    <w:rsid w:val="008248CB"/>
    <w:rsid w:val="00860822"/>
    <w:rsid w:val="00875807"/>
    <w:rsid w:val="008974B5"/>
    <w:rsid w:val="008A0937"/>
    <w:rsid w:val="008A17CE"/>
    <w:rsid w:val="00900FD6"/>
    <w:rsid w:val="00915CE3"/>
    <w:rsid w:val="009E1B48"/>
    <w:rsid w:val="00A016E8"/>
    <w:rsid w:val="00A27F70"/>
    <w:rsid w:val="00A5378C"/>
    <w:rsid w:val="00A965CB"/>
    <w:rsid w:val="00AC7E56"/>
    <w:rsid w:val="00B00EC7"/>
    <w:rsid w:val="00B248F8"/>
    <w:rsid w:val="00B41457"/>
    <w:rsid w:val="00B638C6"/>
    <w:rsid w:val="00B70E0D"/>
    <w:rsid w:val="00B94BF5"/>
    <w:rsid w:val="00BC2D9E"/>
    <w:rsid w:val="00BD1DCB"/>
    <w:rsid w:val="00BD51A1"/>
    <w:rsid w:val="00BD7964"/>
    <w:rsid w:val="00BE639A"/>
    <w:rsid w:val="00C2403F"/>
    <w:rsid w:val="00C71299"/>
    <w:rsid w:val="00C95B1D"/>
    <w:rsid w:val="00CA7FDA"/>
    <w:rsid w:val="00CC29E9"/>
    <w:rsid w:val="00D05B49"/>
    <w:rsid w:val="00D066AD"/>
    <w:rsid w:val="00D239A0"/>
    <w:rsid w:val="00D3148E"/>
    <w:rsid w:val="00D32881"/>
    <w:rsid w:val="00D80054"/>
    <w:rsid w:val="00DC737C"/>
    <w:rsid w:val="00DE7819"/>
    <w:rsid w:val="00E05AC7"/>
    <w:rsid w:val="00E20A58"/>
    <w:rsid w:val="00E74208"/>
    <w:rsid w:val="00EF7ABC"/>
    <w:rsid w:val="00F44202"/>
    <w:rsid w:val="00F51E8F"/>
    <w:rsid w:val="00FA6523"/>
    <w:rsid w:val="00FB6830"/>
    <w:rsid w:val="00FC72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FB9FC"/>
  <w15:docId w15:val="{4113D956-89D0-484C-9322-9F331C16D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C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2C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CE1"/>
    <w:rPr>
      <w:rFonts w:ascii="Tahoma" w:hAnsi="Tahoma" w:cs="Tahoma"/>
      <w:sz w:val="16"/>
      <w:szCs w:val="16"/>
    </w:rPr>
  </w:style>
  <w:style w:type="paragraph" w:styleId="ListParagraph">
    <w:name w:val="List Paragraph"/>
    <w:basedOn w:val="Normal"/>
    <w:uiPriority w:val="99"/>
    <w:unhideWhenUsed/>
    <w:qFormat/>
    <w:rsid w:val="000D2C83"/>
    <w:pPr>
      <w:spacing w:after="0" w:line="240" w:lineRule="auto"/>
      <w:ind w:left="720"/>
      <w:contextualSpacing/>
    </w:pPr>
    <w:rPr>
      <w:rFonts w:eastAsiaTheme="minorEastAsia"/>
      <w:sz w:val="20"/>
      <w:szCs w:val="20"/>
      <w:lang w:eastAsia="zh-CN"/>
    </w:rPr>
  </w:style>
  <w:style w:type="table" w:styleId="TableGrid">
    <w:name w:val="Table Grid"/>
    <w:basedOn w:val="TableNormal"/>
    <w:uiPriority w:val="59"/>
    <w:rsid w:val="000A731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
    <w:name w:val="Light Shading"/>
    <w:basedOn w:val="TableNormal"/>
    <w:uiPriority w:val="60"/>
    <w:rsid w:val="0002274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545589"/>
    <w:rPr>
      <w:color w:val="0000FF" w:themeColor="hyperlink"/>
      <w:u w:val="single"/>
    </w:rPr>
  </w:style>
  <w:style w:type="character" w:customStyle="1" w:styleId="UnresolvedMention1">
    <w:name w:val="Unresolved Mention1"/>
    <w:basedOn w:val="DefaultParagraphFont"/>
    <w:uiPriority w:val="99"/>
    <w:semiHidden/>
    <w:unhideWhenUsed/>
    <w:rsid w:val="00545589"/>
    <w:rPr>
      <w:color w:val="605E5C"/>
      <w:shd w:val="clear" w:color="auto" w:fill="E1DFDD"/>
    </w:rPr>
  </w:style>
  <w:style w:type="paragraph" w:styleId="Header">
    <w:name w:val="header"/>
    <w:basedOn w:val="Normal"/>
    <w:link w:val="HeaderChar"/>
    <w:uiPriority w:val="99"/>
    <w:unhideWhenUsed/>
    <w:rsid w:val="003F7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B28"/>
  </w:style>
  <w:style w:type="paragraph" w:styleId="Footer">
    <w:name w:val="footer"/>
    <w:basedOn w:val="Normal"/>
    <w:link w:val="FooterChar"/>
    <w:uiPriority w:val="99"/>
    <w:unhideWhenUsed/>
    <w:rsid w:val="003F7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B28"/>
  </w:style>
  <w:style w:type="paragraph" w:styleId="NoSpacing">
    <w:name w:val="No Spacing"/>
    <w:uiPriority w:val="1"/>
    <w:qFormat/>
    <w:rsid w:val="004815B7"/>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580595">
      <w:bodyDiv w:val="1"/>
      <w:marLeft w:val="0"/>
      <w:marRight w:val="0"/>
      <w:marTop w:val="0"/>
      <w:marBottom w:val="0"/>
      <w:divBdr>
        <w:top w:val="none" w:sz="0" w:space="0" w:color="auto"/>
        <w:left w:val="none" w:sz="0" w:space="0" w:color="auto"/>
        <w:bottom w:val="none" w:sz="0" w:space="0" w:color="auto"/>
        <w:right w:val="none" w:sz="0" w:space="0" w:color="auto"/>
      </w:divBdr>
    </w:div>
    <w:div w:id="213362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ppl-ai-file-upload.s3.amazonaws.com/web/direct-files/attachments/images/151610019/291e5962-80c0-439c-a31f-235042cb0fcc/identification-of-Bacteria-3.jpg" TargetMode="External"/><Relationship Id="rId26" Type="http://schemas.openxmlformats.org/officeDocument/2006/relationships/image" Target="media/image7.emf"/><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ppl-ai-file-upload.s3.amazonaws.com/web/direct-files/attachments/images/151610019/0f9b0f0f-926d-4981-bf56-18fd366b5442/identification-of-Bacteria-2.jpg" TargetMode="External"/><Relationship Id="rId25" Type="http://schemas.openxmlformats.org/officeDocument/2006/relationships/image" Target="media/image6.emf"/><Relationship Id="rId33"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hyperlink" Target="https://ppl-ai-file-upload.s3.amazonaws.com/web/direct-files/attachments/images/151610019/0f9b0f0f-926d-4981-bf56-18fd366b5442/identification-of-Bacteria-2.jpg" TargetMode="External"/><Relationship Id="rId20" Type="http://schemas.openxmlformats.org/officeDocument/2006/relationships/image" Target="media/image1.jpe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hyperlink" Target="https://ppl-ai-file-upload.s3.amazonaws.com/web/direct-files/attachments/151610019/e479bf4d-a3d5-4f74-9fad-85f0a0255953/Materials-and-methods.docx" TargetMode="External"/><Relationship Id="rId23" Type="http://schemas.openxmlformats.org/officeDocument/2006/relationships/image" Target="media/image4.jpeg"/><Relationship Id="rId28" Type="http://schemas.openxmlformats.org/officeDocument/2006/relationships/image" Target="media/image9.png"/><Relationship Id="rId10" Type="http://schemas.openxmlformats.org/officeDocument/2006/relationships/footer" Target="footer1.xml"/><Relationship Id="rId19" Type="http://schemas.openxmlformats.org/officeDocument/2006/relationships/hyperlink" Target="https://ppl-ai-file-upload.s3.amazonaws.com/web/direct-files/attachments/images/151610019/4cfc8844-3689-4f57-ab6d-91fda46b73e4/identification-of-Bacteria-4.jpg" TargetMode="Externa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pl-ai-file-upload.s3.amazonaws.com/web/direct-files/attachments/151610019/b867ffc5-2cb0-4b02-a1bd-262171275684/Report.pdf" TargetMode="External"/><Relationship Id="rId22" Type="http://schemas.openxmlformats.org/officeDocument/2006/relationships/image" Target="media/image3.jpeg"/><Relationship Id="rId27" Type="http://schemas.openxmlformats.org/officeDocument/2006/relationships/image" Target="media/image8.emf"/><Relationship Id="rId30" Type="http://schemas.openxmlformats.org/officeDocument/2006/relationships/hyperlink" Target="https://ppl-ai-file-upload.s3.amazonaws.com/web/direct-files/attachments/151610019/b867ffc5-2cb0-4b02-a1bd-262171275684/Report.pdf" TargetMode="Externa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6C834-A979-4EB5-9109-FF92AB439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22</Pages>
  <Words>6076</Words>
  <Characters>34635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NOVA-F</dc:creator>
  <cp:lastModifiedBy>SDI 1020</cp:lastModifiedBy>
  <cp:revision>92</cp:revision>
  <dcterms:created xsi:type="dcterms:W3CDTF">2026-04-28T04:48:00Z</dcterms:created>
  <dcterms:modified xsi:type="dcterms:W3CDTF">2026-06-15T04:40:00Z</dcterms:modified>
</cp:coreProperties>
</file>