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4276B" w14:textId="77777777" w:rsidR="00883E51" w:rsidRDefault="00000000">
      <w:pPr>
        <w:spacing w:after="360" w:line="360" w:lineRule="auto"/>
        <w:jc w:val="center"/>
        <w:rPr>
          <w:b/>
          <w:bCs/>
          <w:sz w:val="32"/>
          <w:szCs w:val="32"/>
        </w:rPr>
      </w:pPr>
      <w:r>
        <w:rPr>
          <w:b/>
          <w:bCs/>
          <w:sz w:val="32"/>
          <w:szCs w:val="32"/>
        </w:rPr>
        <w:t>Antimicrobial Stewardship in Paediatric Intensive Care Units: A Critical Narrative Review of Implementation Strategies, Barriers, Clinical Outcomes and Future Perspectives</w:t>
      </w:r>
    </w:p>
    <w:p w14:paraId="4BE90EAF" w14:textId="77777777" w:rsidR="00A93526" w:rsidRDefault="00A93526">
      <w:pPr>
        <w:spacing w:after="360" w:line="360" w:lineRule="auto"/>
        <w:jc w:val="center"/>
      </w:pPr>
    </w:p>
    <w:p w14:paraId="46E52F1C" w14:textId="77777777" w:rsidR="00883E51" w:rsidRDefault="00000000">
      <w:pPr>
        <w:pStyle w:val="Heading1"/>
        <w:spacing w:before="240" w:after="160"/>
      </w:pPr>
      <w:r>
        <w:t>Abstract</w:t>
      </w:r>
    </w:p>
    <w:p w14:paraId="614D0F59" w14:textId="77777777" w:rsidR="00883E51" w:rsidRDefault="00000000">
      <w:pPr>
        <w:spacing w:after="160" w:line="360" w:lineRule="auto"/>
        <w:jc w:val="both"/>
      </w:pPr>
      <w:r>
        <w:t>Most children admitted to paediatric intensive care units receive antimicrobials, yet a substantial share of that exposure is unnecessary, excessively broad, poorly dosed or prolonged beyond the point of benefit. Antimicrobial stewardship programmes are now widely recommended for paediatric intensive care units, but the evidence supporting specific interventions in this setting remains fragmented across quality-improvement reports, single-centre before-and-after studies, surveys and a small number of pragmatic trials. This critical narrative review examines how stewardship has been implemented in paediatric intensive care units, which strategies have been evaluated, what barriers constrain their adoption, and what the available evidence shows about clinical, microbiological and economic outcomes. Literature was identified through structured searches of biomedical and multidisciplinary scholarly databases, authoritative institutional sources and citation chasing, and was appraised thematically with attention to study design, measurement and generalisability. The synthesis indicates that persuasive, rounding-based interventions such as prospective audit with feedback, structured antimicrobial time-outs and multidisciplinary review are consistently associated with lower antimicrobial consumption without detectable harm, although most of these data derive from non-randomised designs in high-income settings. Diagnostic stewardship of blood and endotracheal cultures has the most robust multicentre evidence, while biomarker-guided algorithms show inconsistent effects that appear to depend on adherence, baseline stewardship intensity and patient mix. Pharmacokinetic evidence shows frequent failure to attain β-lactam and glycopeptide exposure targets, but the clinical benefit of routine therapeutic drug monitoring or prolonged infusion has not been established in children. Effects on antimicrobial resistance, healthcare-associated infection and cost are rarely measured with adequate designs, and evidence from low- and middle-income countries remains sparse relative to disease burden. Important unresolved questions include the safe duration of therapy for culture-negative sepsis and ventilator-associated infection, the appropriate metrics for benchmarking critically ill children, and the implementation conditions under which decision-</w:t>
      </w:r>
      <w:r>
        <w:lastRenderedPageBreak/>
        <w:t>support and machine-learning tools improve prescribing. Stewardship in paediatric intensive care is best regarded as a set of context-dependent practices with credible short-term process benefits and uncertain long-term effects, which require multicentre, adequately powered and implementation-informed evaluation.</w:t>
      </w:r>
    </w:p>
    <w:p w14:paraId="6452C2CA" w14:textId="77777777" w:rsidR="00883E51" w:rsidRDefault="00000000">
      <w:pPr>
        <w:spacing w:after="240" w:line="360" w:lineRule="auto"/>
      </w:pPr>
      <w:r>
        <w:rPr>
          <w:b/>
          <w:bCs/>
        </w:rPr>
        <w:t>Keywords:</w:t>
      </w:r>
      <w:r>
        <w:t xml:space="preserve"> antimicrobial stewardship; critical care; paediatrics; diagnostic stewardship; procalcitonin; therapeutic drug monitoring; antimicrobial resistance; implementation science</w:t>
      </w:r>
    </w:p>
    <w:p w14:paraId="5607AA14" w14:textId="77777777" w:rsidR="00883E51" w:rsidRDefault="00000000">
      <w:pPr>
        <w:pStyle w:val="Heading1"/>
        <w:keepNext/>
        <w:spacing w:before="360" w:after="160"/>
      </w:pPr>
      <w:r>
        <w:t>1. Introduction</w:t>
      </w:r>
    </w:p>
    <w:p w14:paraId="7F14B447" w14:textId="77777777" w:rsidR="00883E51" w:rsidRDefault="00000000">
      <w:pPr>
        <w:spacing w:after="160" w:line="360" w:lineRule="auto"/>
        <w:jc w:val="both"/>
      </w:pPr>
      <w:r>
        <w:t xml:space="preserve">Antimicrobial resistance (AMR) has become one of the defining threats to modern medicine. The most comprehensive recent estimates suggest that 4.71 million deaths were associated with bacterial AMR in 2021, including 1.14 million deaths directly attributable to resistance, with forecasts of 1.91 million attributable deaths by 2050 (GBD 2021 Antimicrobial Resistance Collaborators, 2024). The same analysis reported that AMR mortality among children younger than 5 years fell by more than half between 1990 and 2021, a trend that coexisted with sharp increases in resistance to carbapenems among Gram-negative bacteria and in </w:t>
      </w:r>
      <w:proofErr w:type="spellStart"/>
      <w:r>
        <w:t>meticillin</w:t>
      </w:r>
      <w:proofErr w:type="spellEnd"/>
      <w:r>
        <w:t xml:space="preserve">-resistant </w:t>
      </w:r>
      <w:r>
        <w:rPr>
          <w:i/>
          <w:iCs/>
        </w:rPr>
        <w:t>Staphylococcus aureus</w:t>
      </w:r>
      <w:r>
        <w:t xml:space="preserve"> (GBD 2021 Antimicrobial Resistance Collaborators, 2024). Declining childhood mortality therefore does not imply that the paediatric antimicrobial problem is receding. Children who survive severe infection are increasingly those cared for in highly resourced units that concentrate invasive devices, broad-spectrum therapy and pathogens with acquired resistance.</w:t>
      </w:r>
    </w:p>
    <w:p w14:paraId="58550107" w14:textId="77777777" w:rsidR="00883E51" w:rsidRDefault="00000000">
      <w:pPr>
        <w:spacing w:after="160" w:line="360" w:lineRule="auto"/>
        <w:jc w:val="both"/>
      </w:pPr>
      <w:r>
        <w:t>Antimicrobial stewardship refers to coordinated interventions intended to improve the selection, dose, route and duration of antimicrobial therapy so that clinical outcomes are optimised while toxicity, selection of resistant organisms and unnecessary cost are minimised (</w:t>
      </w:r>
      <w:proofErr w:type="spellStart"/>
      <w:r>
        <w:t>Barlam</w:t>
      </w:r>
      <w:proofErr w:type="spellEnd"/>
      <w:r>
        <w:t xml:space="preserve"> et al., 2016; Dellit et al., 2007). Institutional antimicrobial stewardship programmes (ASPs) were formalised in joint North American guidance in 2007, which identified prospective audit with feedback and formulary restriction with preauthorisation as the two core strategies (Dellit et al., 2007). Both strategies were retained when the guidance was revised in 2016 (</w:t>
      </w:r>
      <w:proofErr w:type="spellStart"/>
      <w:r>
        <w:t>Barlam</w:t>
      </w:r>
      <w:proofErr w:type="spellEnd"/>
      <w:r>
        <w:t xml:space="preserve"> et al., 2016). Comparable guidance has been produced for hospitals generally by the </w:t>
      </w:r>
      <w:proofErr w:type="spellStart"/>
      <w:r>
        <w:t>Centers</w:t>
      </w:r>
      <w:proofErr w:type="spellEnd"/>
      <w:r>
        <w:t xml:space="preserve"> for Disease Control and Prevention (2019) and, with explicit attention to resource-limited health systems, by the World Health Organization (2019). The World Health Organization (2022) has also operationalised the Access, Watch and Reserve (</w:t>
      </w:r>
      <w:proofErr w:type="spellStart"/>
      <w:r>
        <w:t>AWaRe</w:t>
      </w:r>
      <w:proofErr w:type="spellEnd"/>
      <w:r>
        <w:t>) classification in a clinical antibiotic handbook that is increasingly used as a stewardship metric.</w:t>
      </w:r>
    </w:p>
    <w:p w14:paraId="50153F7C" w14:textId="77777777" w:rsidR="00883E51" w:rsidRDefault="00000000">
      <w:pPr>
        <w:spacing w:after="160" w:line="360" w:lineRule="auto"/>
        <w:jc w:val="both"/>
      </w:pPr>
      <w:r>
        <w:lastRenderedPageBreak/>
        <w:t>The paediatric intensive care unit (PICU) occupies an unusual position within this framework. A ten-centre point prevalence study in the United States found that 58% of admitted children had at least one antibiotic order and that 34% of assessable orders were inappropriate, with the proportion varying between 19% and 43% across institutions (</w:t>
      </w:r>
      <w:proofErr w:type="spellStart"/>
      <w:r>
        <w:t>Chiotos</w:t>
      </w:r>
      <w:proofErr w:type="spellEnd"/>
      <w:r>
        <w:t xml:space="preserve"> et al., 2023). In a Spanish multicentre cohort of 11,260 critically ill children, 74.2% received at least one antibiotic (</w:t>
      </w:r>
      <w:proofErr w:type="spellStart"/>
      <w:r>
        <w:t>Fresán</w:t>
      </w:r>
      <w:proofErr w:type="spellEnd"/>
      <w:r>
        <w:t>-Ruiz et al., 2022). Such figures are not simply evidence of careless prescribing. Critically ill children present with non-specific signs, deteriorate quickly, frequently carry indwelling devices and are cared for under guidelines that emphasise very early empirical therapy for suspected sepsis (Weiss et al., 2020). Stewardship in this environment must therefore reconcile two legitimate imperatives: prompt treatment of potentially lethal infection and timely withdrawal or refinement of therapy once the diagnostic picture clarifies (Branstetter et al., 2021).</w:t>
      </w:r>
      <w:r>
        <w:rPr>
          <w:highlight w:val="yellow"/>
        </w:rPr>
        <w:t xml:space="preserve"> Recent quality-improvement evidence from a paediatric cardiac intensive care unit further indicates that multidisciplinary stewardship can be integrated into high-acuity subspecialty care while supporting more selective broad-spectrum antimicrobial use (Hillyer et al., 2024).</w:t>
      </w:r>
    </w:p>
    <w:p w14:paraId="5A315EFF" w14:textId="77777777" w:rsidR="00883E51" w:rsidRDefault="00000000">
      <w:pPr>
        <w:spacing w:after="160" w:line="360" w:lineRule="auto"/>
        <w:jc w:val="both"/>
      </w:pPr>
      <w:r>
        <w:t>Several reviews have examined paediatric stewardship broadly. Early systematic reviews described a small number of inpatient studies, mainly from the United States, that reported reductions in antimicrobial use, cost and prescribing errors without apparent harm (Smith et al., 2015). A later review restricted to general paediatric wards and PICUs identified only nine eligible studies and concluded that evidence specific to PICUs was limited, particularly for healthcare-associated infection (HAI) and resistance outcomes (Araujo da Silva et al., 2018). A systematic scoping review of 113 paediatric studies found that about two-thirds used before-and-after designs and that stewardship had been adopted unevenly outside North America (Donà et al., 2020). Reviews focused on low- and middle-income countries (LMICs) have reported favourable effects on prescribing but have emphasised heterogeneity and the scarcity of clinical outcome data (Abo et al., 2022; Gres et al., 2025). Narrative reviews addressing the PICU specifically have outlined its distinctive challenges (Branstetter et al., 2021) and summarised diagnostic stewardship practices (Sick-Samuels &amp; Woods-Hill, 2022), and a recent review has addressed antifungal stewardship in this population (</w:t>
      </w:r>
      <w:proofErr w:type="spellStart"/>
      <w:r>
        <w:t>Chorafa</w:t>
      </w:r>
      <w:proofErr w:type="spellEnd"/>
      <w:r>
        <w:t xml:space="preserve"> et al., 2026).</w:t>
      </w:r>
      <w:r>
        <w:rPr>
          <w:highlight w:val="yellow"/>
        </w:rPr>
        <w:t xml:space="preserve"> A PICU-specific systematic review similarly concluded that stewardship studies were heterogeneous in intervention design and outcome assessment, leaving limited high-quality evidence for several clinically important endpoints (Chorafa et al., 2023). Evidence from hospitals caring for both adults and children also suggests that dedicated paediatric stewardship </w:t>
      </w:r>
      <w:r>
        <w:rPr>
          <w:highlight w:val="yellow"/>
        </w:rPr>
        <w:lastRenderedPageBreak/>
        <w:t>expertise may be important for achieving sustained reductions in paediatric antibiotic use (Tribble et al., 2024).</w:t>
      </w:r>
    </w:p>
    <w:p w14:paraId="33164C81" w14:textId="77777777" w:rsidR="00883E51" w:rsidRDefault="00000000">
      <w:pPr>
        <w:spacing w:after="160" w:line="360" w:lineRule="auto"/>
        <w:jc w:val="both"/>
      </w:pPr>
      <w:r>
        <w:t>What remains insufficiently resolved is how these separate strands fit together. Since 2021, the evidence base has changed materially through multicentre diagnostic stewardship collaboratives (Woods-Hill et al., 2022), a large pragmatic trial of procalcitonin-guided treatment duration in hospitalised children (Waldron et al., 2025), revised international sepsis criteria and management guidelines (</w:t>
      </w:r>
      <w:proofErr w:type="spellStart"/>
      <w:r>
        <w:t>Schlapbach</w:t>
      </w:r>
      <w:proofErr w:type="spellEnd"/>
      <w:r>
        <w:t xml:space="preserve"> et al., 2024; Weiss et al., 2026), and a growing pharmacokinetic literature on target attainment in critically ill children (</w:t>
      </w:r>
      <w:proofErr w:type="spellStart"/>
      <w:r>
        <w:t>Schouwenburg</w:t>
      </w:r>
      <w:proofErr w:type="spellEnd"/>
      <w:r>
        <w:t xml:space="preserve"> et al., 2026; Van Der Heggen et al., 2022). Existing reviews also tend to catalogue interventions rather than to explain why similar interventions succeed in one unit and fail in another, and they rarely examine whether the outcomes used to judge success are fit for purpose in a population characterised by extreme case-mix heterogeneity (Wattier et al., 2021).</w:t>
      </w:r>
      <w:r>
        <w:rPr>
          <w:highlight w:val="yellow"/>
        </w:rPr>
        <w:t xml:space="preserve"> Qualitative work in a PICU has additionally highlighted multidisciplinary support, communication, local resources and workplace culture as factors that can enable successful stewardship practice, reinforcing the need to interpret intervention effects in their implementation context (Roche et al., 2024).</w:t>
      </w:r>
    </w:p>
    <w:p w14:paraId="7981D1F8" w14:textId="77777777" w:rsidR="00883E51" w:rsidRDefault="00000000">
      <w:pPr>
        <w:pStyle w:val="Heading2"/>
        <w:keepNext/>
        <w:spacing w:before="240" w:after="120"/>
      </w:pPr>
      <w:r>
        <w:t>1.1 Scope, Research Gap and Objectives</w:t>
      </w:r>
    </w:p>
    <w:p w14:paraId="04610086" w14:textId="77777777" w:rsidR="00883E51" w:rsidRDefault="00000000">
      <w:pPr>
        <w:spacing w:after="160" w:line="360" w:lineRule="auto"/>
        <w:jc w:val="both"/>
      </w:pPr>
      <w:r>
        <w:t xml:space="preserve">This review addresses antimicrobial stewardship as it applies to children beyond the neonatal period who are cared for in paediatric, cardiac or mixed paediatric intensive care units. Evidence from neonatal units, general paediatric wards, emergency departments and adult intensive care is considered only where it clarifies a mechanism, supplies a methodological contrast or fills a gap that PICU-specific research has not yet addressed. Antibacterial agents form the principal focus, with antifungal stewardship examined as a distinct but related domain. Antiviral stewardship, surgical prophylaxis as a stand-alone topic and outpatient prescribing are excluded. The specific knowledge gap is the absence of an integrated, critically appraised account that links the implementation models used in PICUs to the diagnostic, pharmacological and organisational mechanisms through which they act, and that evaluates whether reported clinical, microbiological and economic outcomes are supported by adequate study designs. The objectives are to characterise the drivers of inappropriate antimicrobial use in critically ill children; to compare the main organisational and clinical stewardship strategies and the evidence underpinning them; to appraise the diagnostic, biomarker and dose-optimisation approaches that extend stewardship beyond prescription review; to evaluate the strength of evidence for effects on consumption, safety, resistance, infection and cost; to examine </w:t>
      </w:r>
      <w:r>
        <w:lastRenderedPageBreak/>
        <w:t>implementation barriers across different resource settings; and to set out prioritised directions for research. The intended contribution is a theory-informed synthesis that distinguishes well-supported conclusions from promising but unproven practices and that identifies the study designs needed to resolve the principal uncertainties.</w:t>
      </w:r>
    </w:p>
    <w:p w14:paraId="185DB7AD" w14:textId="77777777" w:rsidR="00883E51" w:rsidRDefault="00000000">
      <w:pPr>
        <w:pStyle w:val="Heading1"/>
        <w:keepNext/>
        <w:spacing w:before="360" w:after="160"/>
      </w:pPr>
      <w:r>
        <w:t>2. Methods for Literature Selection</w:t>
      </w:r>
    </w:p>
    <w:p w14:paraId="5E5C14A7" w14:textId="77777777" w:rsidR="00883E51" w:rsidRDefault="00000000">
      <w:pPr>
        <w:pStyle w:val="Heading2"/>
        <w:keepNext/>
        <w:spacing w:before="240" w:after="120"/>
      </w:pPr>
      <w:r>
        <w:t>2.1 Review Design and Rationale</w:t>
      </w:r>
    </w:p>
    <w:p w14:paraId="0D913C56" w14:textId="77777777" w:rsidR="00883E51" w:rsidRDefault="00000000">
      <w:pPr>
        <w:spacing w:after="160" w:line="360" w:lineRule="auto"/>
        <w:jc w:val="both"/>
      </w:pPr>
      <w:r>
        <w:t>A critical narrative review design was selected because the relevant evidence spans heterogeneous designs, including point prevalence surveys, interrupted time-series analyses, quality-improvement collaboratives, pharmacokinetic studies, consensus statements, qualitative implementation work and a small number of randomised trials. The interventions of interest are also complex and context-dependent, which limits the value of pooled effect estimates and makes interpretative comparison across mechanisms more informative than quantitative aggregation. A systematic review or meta-analysis would have required a narrower question, such as the effect of a single intervention on one outcome, and would have excluded much of the implementation and pharmacological evidence that explains variation in effectiveness. The design does not remove the need for transparency. The conduct and reporting of this review were therefore guided by the six quality domains of the Scale for the Assessment of Narrative Review Articles, namely justification of importance, statement of aims, description of the literature search, referencing, scientific reasoning and presentation of relevant endpoint data (</w:t>
      </w:r>
      <w:proofErr w:type="spellStart"/>
      <w:r>
        <w:t>Baethge</w:t>
      </w:r>
      <w:proofErr w:type="spellEnd"/>
      <w:r>
        <w:t xml:space="preserve"> et al., 2019).</w:t>
      </w:r>
    </w:p>
    <w:p w14:paraId="17C477C7" w14:textId="77777777" w:rsidR="00883E51" w:rsidRDefault="00000000">
      <w:pPr>
        <w:pStyle w:val="Heading2"/>
        <w:keepNext/>
        <w:spacing w:before="240" w:after="120"/>
      </w:pPr>
      <w:r>
        <w:t>2.2 Information Sources</w:t>
      </w:r>
    </w:p>
    <w:p w14:paraId="6733BA2C" w14:textId="77777777" w:rsidR="00883E51" w:rsidRDefault="00000000">
      <w:pPr>
        <w:spacing w:after="160" w:line="360" w:lineRule="auto"/>
        <w:jc w:val="both"/>
      </w:pPr>
      <w:r>
        <w:t xml:space="preserve">The literature was identified through PubMed, Europe PMC, </w:t>
      </w:r>
      <w:proofErr w:type="spellStart"/>
      <w:r>
        <w:t>Crossref</w:t>
      </w:r>
      <w:proofErr w:type="spellEnd"/>
      <w:r>
        <w:t xml:space="preserve">, Google Scholar, Semantic Scholar and the Directory of Open Access Journals (DOAJ). PubMed and Europe PMC served as the principal biomedical sources, </w:t>
      </w:r>
      <w:proofErr w:type="spellStart"/>
      <w:r>
        <w:t>Crossref</w:t>
      </w:r>
      <w:proofErr w:type="spellEnd"/>
      <w:r>
        <w:t xml:space="preserve"> was used for bibliographic metadata and for detecting corrections or retractions, and the remaining multidisciplinary indexes were used to capture articles in open-access and regional journals that may be less visible in biomedical indexes. Authoritative institutional sources were searched directly, including the Institutional Repository for Information Sharing of the World Health Organization and the antibiotic stewardship pages of the </w:t>
      </w:r>
      <w:proofErr w:type="spellStart"/>
      <w:r>
        <w:t>Centers</w:t>
      </w:r>
      <w:proofErr w:type="spellEnd"/>
      <w:r>
        <w:t xml:space="preserve"> for Disease Control and Prevention. Database searching was supplemented by backward citation searching of recent systematic, scoping and narrative reviews, forward citation searching of influential PICU studies, related-article searching and targeted searches for trial publications arising from registered protocols.</w:t>
      </w:r>
    </w:p>
    <w:p w14:paraId="467A229E" w14:textId="77777777" w:rsidR="00883E51" w:rsidRDefault="00000000">
      <w:pPr>
        <w:pStyle w:val="Heading2"/>
        <w:keepNext/>
        <w:spacing w:before="240" w:after="120"/>
      </w:pPr>
      <w:r>
        <w:lastRenderedPageBreak/>
        <w:t>2.3 Search Strategy and Search Period</w:t>
      </w:r>
    </w:p>
    <w:p w14:paraId="568EF22C" w14:textId="77777777" w:rsidR="00883E51" w:rsidRDefault="00000000">
      <w:pPr>
        <w:spacing w:after="160" w:line="360" w:lineRule="auto"/>
        <w:jc w:val="both"/>
      </w:pPr>
      <w:r>
        <w:t xml:space="preserve">The search strategy combined five concept groups: stewardship interventions; the paediatric critical care population; antimicrobial agents and prescribing behaviour; diagnostic and pharmacological adjuncts; and outcomes or implementation terms. Controlled vocabulary was used where available, including the Medical Subject Headings "Antimicrobial Stewardship", "Intensive Care Units, </w:t>
      </w:r>
      <w:proofErr w:type="spellStart"/>
      <w:r>
        <w:t>Pediatric</w:t>
      </w:r>
      <w:proofErr w:type="spellEnd"/>
      <w:r>
        <w:t>", "Critical Illness", "Procalcitonin" and "Drug Monitoring", and was combined with free-text synonyms using Boolean operators. Representative search strings are presented in Table 1. Searches were adapted to the syntax of each source and were iteratively refined as new terminology, such as "diagnostic stewardship" and "handshake stewardship", was identified in retrieved articles. The search period extended from 1 January 2007 to 17 July 2026. The starting year corresponds to the first joint professional guidance for institutional stewardship programmes (Dellit et al., 2007). Foundational work published earlier was eligible only when it remained conceptually necessary.</w:t>
      </w:r>
    </w:p>
    <w:p w14:paraId="44ED559B" w14:textId="77777777" w:rsidR="00883E51" w:rsidRDefault="00000000">
      <w:pPr>
        <w:pStyle w:val="Heading2"/>
        <w:keepNext/>
        <w:spacing w:before="240" w:after="120"/>
      </w:pPr>
      <w:r>
        <w:t>2.4 Eligibility Criteria</w:t>
      </w:r>
    </w:p>
    <w:p w14:paraId="5FF9EA0E" w14:textId="77777777" w:rsidR="00883E51" w:rsidRDefault="00000000">
      <w:pPr>
        <w:spacing w:after="160" w:line="360" w:lineRule="auto"/>
        <w:jc w:val="both"/>
      </w:pPr>
      <w:r>
        <w:t>Eligible sources were peer-reviewed original studies, systematic and scoping reviews, meta-analyses, consensus statements and clinical guidelines that addressed antimicrobial prescribing, stewardship interventions, diagnostic stewardship, dose optimisation or stewardship-relevant outcomes in critically ill children aged from 1 month to 18 years. Studies that combined PICU patients with other high-risk paediatric groups were included when PICU-relevant findings could be interpreted. Neonatal, adult and general paediatric evidence was eligible only for comparative or mechanistic purposes. Reports from recognised governmental and intergovernmental bodies were included where they defined stewardship standards or metrics. Publications in English were included. Conference abstracts, editorials without original data, trade publications, commercial material and non-peer-reviewed preprints were excluded. Articles published after the search end date, articles with incomplete or inconsistent bibliographic metadata, and retracted articles were excluded.</w:t>
      </w:r>
    </w:p>
    <w:p w14:paraId="1195179F" w14:textId="77777777" w:rsidR="00883E51" w:rsidRDefault="00000000">
      <w:pPr>
        <w:pStyle w:val="Heading2"/>
        <w:keepNext/>
        <w:spacing w:before="240" w:after="120"/>
      </w:pPr>
      <w:r>
        <w:t>2.5 Screening, Duplicate Handling and Study Selection</w:t>
      </w:r>
    </w:p>
    <w:p w14:paraId="1FB7DDE5" w14:textId="77777777" w:rsidR="00883E51" w:rsidRDefault="00000000">
      <w:pPr>
        <w:spacing w:after="160" w:line="360" w:lineRule="auto"/>
        <w:jc w:val="both"/>
      </w:pPr>
      <w:r>
        <w:t xml:space="preserve">Titles and abstracts were screened for relevance to the review objectives, and potentially relevant records were assessed in full text or, where full text was not openly accessible, through the complete published abstract together with publisher and indexing records. Duplicate records retrieved from multiple sources were identified by Digital Object Identifier, PubMed identifier and title matching and were retained once. Records that could not be matched to a verifiable publication were discarded. Selection was purposive rather than exhaustive: priority </w:t>
      </w:r>
      <w:r>
        <w:lastRenderedPageBreak/>
        <w:t>was given to multicentre studies, randomised and controlled designs, interrupted time-series analyses, studies reporting balancing or safety measures, and studies from under-represented regions. Record counts are not reported because the process was designed to support critical interpretation rather than to enumerate a complete evidence base, and no flow diagram is therefore presented.</w:t>
      </w:r>
    </w:p>
    <w:p w14:paraId="6BC85755" w14:textId="77777777" w:rsidR="00883E51" w:rsidRDefault="00000000">
      <w:pPr>
        <w:pStyle w:val="Heading2"/>
        <w:keepNext/>
        <w:spacing w:before="240" w:after="120"/>
      </w:pPr>
      <w:r>
        <w:t>2.6 Critical Appraisal and Evidence Synthesis</w:t>
      </w:r>
    </w:p>
    <w:p w14:paraId="7FCB3A1B" w14:textId="77777777" w:rsidR="00883E51" w:rsidRDefault="00000000">
      <w:pPr>
        <w:spacing w:after="160" w:line="360" w:lineRule="auto"/>
        <w:jc w:val="both"/>
      </w:pPr>
      <w:r>
        <w:t>Each included study was appraised for design, comparator, sample size, measurement of exposure and outcome, handling of secular trends and confounding, reporting of balancing measures, and transferability across settings. Formal risk-of-bias scores were not assigned. Quasi-experimental studies were interpreted with particular attention to regression to the mean, concurrent interventions and changes in case mix, including those related to the coronavirus disease 2019 pandemic. Themes were developed iteratively around the mechanisms through which stewardship is expected to act: reducing unnecessary initiation, improving diagnostic certainty, optimising exposure, shortening duration and changing organisational behaviour. Where studies disagreed, differences in population, baseline practice, intervention fidelity and outcome definition were examined as candidate explanations before any conclusion was drawn. Confidence statements in the synthesis reflect the consistency, design strength and directness of the supporting evidence.</w:t>
      </w:r>
    </w:p>
    <w:p w14:paraId="3281231B" w14:textId="77777777" w:rsidR="00883E51" w:rsidRDefault="00000000">
      <w:pPr>
        <w:spacing w:after="160" w:line="360" w:lineRule="auto"/>
        <w:jc w:val="both"/>
      </w:pPr>
      <w:r>
        <w:t>Table 1 summarises the concept groups and representative search strings used across the principal databases. The strings illustrate how stewardship, population and mechanism terms were combined, and they show that the strategy was deliberately broadened to include diagnostic and pharmacological stewardship rather than restricted to prescription review.</w:t>
      </w:r>
    </w:p>
    <w:p w14:paraId="1F2CA20B" w14:textId="77777777" w:rsidR="00883E51" w:rsidRDefault="00000000">
      <w:pPr>
        <w:keepNext/>
        <w:spacing w:before="200" w:after="120"/>
      </w:pPr>
      <w:r>
        <w:rPr>
          <w:b/>
          <w:bCs/>
          <w:sz w:val="22"/>
          <w:szCs w:val="22"/>
        </w:rPr>
        <w:t>Table 1.</w:t>
      </w:r>
      <w:r>
        <w:rPr>
          <w:sz w:val="22"/>
          <w:szCs w:val="22"/>
        </w:rPr>
        <w:t xml:space="preserve"> Search concepts and representative Boolean search strings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5"/>
        <w:gridCol w:w="4513"/>
        <w:gridCol w:w="2708"/>
      </w:tblGrid>
      <w:tr w:rsidR="00883E51" w14:paraId="5BC38ECA" w14:textId="77777777">
        <w:trPr>
          <w:cantSplit/>
          <w:tblHeader/>
        </w:trPr>
        <w:tc>
          <w:tcPr>
            <w:tcW w:w="180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E5154AB" w14:textId="77777777" w:rsidR="00883E51" w:rsidRDefault="00000000">
            <w:r>
              <w:rPr>
                <w:b/>
                <w:bCs/>
                <w:sz w:val="18"/>
                <w:szCs w:val="18"/>
              </w:rPr>
              <w:t>Concept group</w:t>
            </w:r>
          </w:p>
        </w:tc>
        <w:tc>
          <w:tcPr>
            <w:tcW w:w="4513"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129E156" w14:textId="77777777" w:rsidR="00883E51" w:rsidRDefault="00000000">
            <w:r>
              <w:rPr>
                <w:b/>
                <w:bCs/>
                <w:sz w:val="18"/>
                <w:szCs w:val="18"/>
              </w:rPr>
              <w:t>Representative terms and Boolean structure</w:t>
            </w:r>
          </w:p>
        </w:tc>
        <w:tc>
          <w:tcPr>
            <w:tcW w:w="270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EB68972" w14:textId="77777777" w:rsidR="00883E51" w:rsidRDefault="00000000">
            <w:r>
              <w:rPr>
                <w:b/>
                <w:bCs/>
                <w:sz w:val="18"/>
                <w:szCs w:val="18"/>
              </w:rPr>
              <w:t>Supporting references</w:t>
            </w:r>
          </w:p>
        </w:tc>
      </w:tr>
      <w:tr w:rsidR="00883E51" w14:paraId="171EDA24"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849B3F2" w14:textId="77777777" w:rsidR="00883E51" w:rsidRDefault="00000000">
            <w:r>
              <w:rPr>
                <w:sz w:val="18"/>
                <w:szCs w:val="18"/>
              </w:rPr>
              <w:t>Stewardship intervention</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893F94" w14:textId="77777777" w:rsidR="00883E51" w:rsidRDefault="00000000">
            <w:r>
              <w:rPr>
                <w:sz w:val="18"/>
                <w:szCs w:val="18"/>
              </w:rPr>
              <w:t xml:space="preserve">("antimicrobial stewardship" OR "antibiotic stewardship" OR "prospective audit" OR </w:t>
            </w:r>
            <w:proofErr w:type="spellStart"/>
            <w:r>
              <w:rPr>
                <w:sz w:val="18"/>
                <w:szCs w:val="18"/>
              </w:rPr>
              <w:t>preauthori</w:t>
            </w:r>
            <w:proofErr w:type="spellEnd"/>
            <w:r>
              <w:rPr>
                <w:sz w:val="18"/>
                <w:szCs w:val="18"/>
              </w:rPr>
              <w:t>* OR "time-out" OR "handshake stewardship" OR "diagnostic stewardship")</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58E390" w14:textId="77777777" w:rsidR="00883E51" w:rsidRDefault="00000000">
            <w:r w:rsidRPr="00EC5346">
              <w:rPr>
                <w:sz w:val="18"/>
                <w:szCs w:val="18"/>
                <w:lang w:val="nl-BE"/>
              </w:rPr>
              <w:t xml:space="preserve">Barlam et al. (2016); Hurst et al. </w:t>
            </w:r>
            <w:r>
              <w:rPr>
                <w:sz w:val="18"/>
                <w:szCs w:val="18"/>
              </w:rPr>
              <w:t>(2016); Sick-Samuels &amp; Woods-Hill (2022)</w:t>
            </w:r>
          </w:p>
        </w:tc>
      </w:tr>
      <w:tr w:rsidR="00883E51" w14:paraId="00C4694D"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A34DDB" w14:textId="77777777" w:rsidR="00883E51" w:rsidRDefault="00000000">
            <w:r>
              <w:rPr>
                <w:sz w:val="18"/>
                <w:szCs w:val="18"/>
              </w:rPr>
              <w:t>Population and setting</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EE7592" w14:textId="77777777" w:rsidR="00883E51" w:rsidRDefault="00000000">
            <w:r>
              <w:rPr>
                <w:sz w:val="18"/>
                <w:szCs w:val="18"/>
              </w:rPr>
              <w:t>("</w:t>
            </w:r>
            <w:proofErr w:type="spellStart"/>
            <w:r>
              <w:rPr>
                <w:sz w:val="18"/>
                <w:szCs w:val="18"/>
              </w:rPr>
              <w:t>pediatric</w:t>
            </w:r>
            <w:proofErr w:type="spellEnd"/>
            <w:r>
              <w:rPr>
                <w:sz w:val="18"/>
                <w:szCs w:val="18"/>
              </w:rPr>
              <w:t xml:space="preserve"> intensive care" OR "paediatric intensive care" OR PICU OR "critically ill children" OR "Intensive Care Units, </w:t>
            </w:r>
            <w:proofErr w:type="spellStart"/>
            <w:r>
              <w:rPr>
                <w:sz w:val="18"/>
                <w:szCs w:val="18"/>
              </w:rPr>
              <w:t>Pediatric</w:t>
            </w:r>
            <w:proofErr w:type="spellEnd"/>
            <w:r>
              <w:rPr>
                <w:sz w:val="18"/>
                <w:szCs w:val="18"/>
              </w:rPr>
              <w:t>"[</w:t>
            </w:r>
            <w:proofErr w:type="spellStart"/>
            <w:r>
              <w:rPr>
                <w:sz w:val="18"/>
                <w:szCs w:val="18"/>
              </w:rPr>
              <w:t>MeSH</w:t>
            </w:r>
            <w:proofErr w:type="spellEnd"/>
            <w:r>
              <w:rPr>
                <w:sz w:val="18"/>
                <w:szCs w:val="18"/>
              </w:rPr>
              <w:t>])</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211F8E" w14:textId="77777777" w:rsidR="00883E51" w:rsidRDefault="00000000">
            <w:r w:rsidRPr="00EC5346">
              <w:rPr>
                <w:sz w:val="18"/>
                <w:szCs w:val="18"/>
                <w:lang w:val="nl-BE"/>
              </w:rPr>
              <w:t xml:space="preserve">Branstetter et al. (2021); Chiotos et al. </w:t>
            </w:r>
            <w:r>
              <w:rPr>
                <w:sz w:val="18"/>
                <w:szCs w:val="18"/>
              </w:rPr>
              <w:t>(2023)</w:t>
            </w:r>
          </w:p>
        </w:tc>
      </w:tr>
      <w:tr w:rsidR="00883E51" w14:paraId="71C211EE"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0852DE" w14:textId="77777777" w:rsidR="00883E51" w:rsidRDefault="00000000">
            <w:r>
              <w:rPr>
                <w:sz w:val="18"/>
                <w:szCs w:val="18"/>
              </w:rPr>
              <w:t>Agent and prescribing behaviour</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5FC259" w14:textId="77777777" w:rsidR="00883E51" w:rsidRDefault="00000000">
            <w:r>
              <w:rPr>
                <w:sz w:val="18"/>
                <w:szCs w:val="18"/>
              </w:rPr>
              <w:t>(antibiotic</w:t>
            </w:r>
            <w:r>
              <w:rPr>
                <w:i/>
                <w:iCs/>
                <w:sz w:val="18"/>
                <w:szCs w:val="18"/>
              </w:rPr>
              <w:t xml:space="preserve"> OR antimicrobial</w:t>
            </w:r>
            <w:r>
              <w:rPr>
                <w:sz w:val="18"/>
                <w:szCs w:val="18"/>
              </w:rPr>
              <w:t xml:space="preserve"> OR antifungal* OR "days of therapy" OR appropriateness OR de-escalation OR duration)</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AFC26A" w14:textId="77777777" w:rsidR="00883E51" w:rsidRDefault="00000000">
            <w:r w:rsidRPr="00EC5346">
              <w:rPr>
                <w:sz w:val="18"/>
                <w:szCs w:val="18"/>
                <w:lang w:val="nl-BE"/>
              </w:rPr>
              <w:t xml:space="preserve">Chorafa et al. (2025); Fresán-Ruiz et al. </w:t>
            </w:r>
            <w:r>
              <w:rPr>
                <w:sz w:val="18"/>
                <w:szCs w:val="18"/>
              </w:rPr>
              <w:t>(2022)</w:t>
            </w:r>
          </w:p>
        </w:tc>
      </w:tr>
      <w:tr w:rsidR="00883E51" w14:paraId="34635230"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36C4DC" w14:textId="77777777" w:rsidR="00883E51" w:rsidRDefault="00000000">
            <w:r>
              <w:rPr>
                <w:sz w:val="18"/>
                <w:szCs w:val="18"/>
              </w:rPr>
              <w:t>Diagnostic and pharmacological adjuncts</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92AF26D" w14:textId="77777777" w:rsidR="00883E51" w:rsidRDefault="00000000">
            <w:r>
              <w:rPr>
                <w:sz w:val="18"/>
                <w:szCs w:val="18"/>
              </w:rPr>
              <w:t>(procalcitonin OR "C-reactive protein" OR "blood culture" OR "endotracheal aspirate" OR "multiplex PCR" OR metagenomic* OR "therapeutic drug monitoring" OR "beta-lactam" OR "machine learning")</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A33CE0" w14:textId="77777777" w:rsidR="00883E51" w:rsidRDefault="00000000">
            <w:r>
              <w:rPr>
                <w:sz w:val="18"/>
                <w:szCs w:val="18"/>
              </w:rPr>
              <w:t>Downes et al. (2020); Tang Girdwood et al. (2022); Woods-Hill et al. (2022)</w:t>
            </w:r>
          </w:p>
        </w:tc>
      </w:tr>
      <w:tr w:rsidR="00883E51" w14:paraId="5066B0A4"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54DC2B" w14:textId="77777777" w:rsidR="00883E51" w:rsidRDefault="00000000">
            <w:r>
              <w:rPr>
                <w:sz w:val="18"/>
                <w:szCs w:val="18"/>
              </w:rPr>
              <w:lastRenderedPageBreak/>
              <w:t>Outcomes and implementation</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8F4A92" w14:textId="77777777" w:rsidR="00883E51" w:rsidRDefault="00000000">
            <w:r>
              <w:rPr>
                <w:sz w:val="18"/>
                <w:szCs w:val="18"/>
              </w:rPr>
              <w:t>(mortality OR "length of stay" OR resistance OR "healthcare-associated infection" OR cost</w:t>
            </w:r>
            <w:r>
              <w:rPr>
                <w:i/>
                <w:iCs/>
                <w:sz w:val="18"/>
                <w:szCs w:val="18"/>
              </w:rPr>
              <w:t xml:space="preserve"> OR barrier</w:t>
            </w:r>
            <w:r>
              <w:rPr>
                <w:sz w:val="18"/>
                <w:szCs w:val="18"/>
              </w:rPr>
              <w:t xml:space="preserve"> OR implementation OR "low- and middle-income")</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2C7A91" w14:textId="77777777" w:rsidR="00883E51" w:rsidRDefault="00000000">
            <w:r w:rsidRPr="00EC5346">
              <w:rPr>
                <w:sz w:val="18"/>
                <w:szCs w:val="18"/>
                <w:lang w:val="nl-BE"/>
              </w:rPr>
              <w:t xml:space="preserve">Donà et al. (2020); Gres et al. </w:t>
            </w:r>
            <w:r>
              <w:rPr>
                <w:sz w:val="18"/>
                <w:szCs w:val="18"/>
              </w:rPr>
              <w:t>(2025); Woods-Hill et al. (2024)</w:t>
            </w:r>
          </w:p>
        </w:tc>
      </w:tr>
      <w:tr w:rsidR="00883E51" w14:paraId="7FD8BA27" w14:textId="77777777">
        <w:trPr>
          <w:cantSplit/>
        </w:trPr>
        <w:tc>
          <w:tcPr>
            <w:tcW w:w="180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E93649D" w14:textId="77777777" w:rsidR="00883E51" w:rsidRDefault="00000000">
            <w:r>
              <w:rPr>
                <w:sz w:val="18"/>
                <w:szCs w:val="18"/>
              </w:rPr>
              <w:t>Example combined PubMed string</w:t>
            </w:r>
          </w:p>
        </w:tc>
        <w:tc>
          <w:tcPr>
            <w:tcW w:w="451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879721" w14:textId="77777777" w:rsidR="00883E51" w:rsidRDefault="00000000">
            <w:r>
              <w:rPr>
                <w:sz w:val="18"/>
                <w:szCs w:val="18"/>
              </w:rPr>
              <w:t>("antimicrobial stewardship"[</w:t>
            </w:r>
            <w:proofErr w:type="spellStart"/>
            <w:r>
              <w:rPr>
                <w:sz w:val="18"/>
                <w:szCs w:val="18"/>
              </w:rPr>
              <w:t>tiab</w:t>
            </w:r>
            <w:proofErr w:type="spellEnd"/>
            <w:r>
              <w:rPr>
                <w:sz w:val="18"/>
                <w:szCs w:val="18"/>
              </w:rPr>
              <w:t>] OR "antibiotic stewardship"[</w:t>
            </w:r>
            <w:proofErr w:type="spellStart"/>
            <w:r>
              <w:rPr>
                <w:sz w:val="18"/>
                <w:szCs w:val="18"/>
              </w:rPr>
              <w:t>tiab</w:t>
            </w:r>
            <w:proofErr w:type="spellEnd"/>
            <w:r>
              <w:rPr>
                <w:sz w:val="18"/>
                <w:szCs w:val="18"/>
              </w:rPr>
              <w:t>]) AND ("</w:t>
            </w:r>
            <w:proofErr w:type="spellStart"/>
            <w:r>
              <w:rPr>
                <w:sz w:val="18"/>
                <w:szCs w:val="18"/>
              </w:rPr>
              <w:t>pediatric</w:t>
            </w:r>
            <w:proofErr w:type="spellEnd"/>
            <w:r>
              <w:rPr>
                <w:sz w:val="18"/>
                <w:szCs w:val="18"/>
              </w:rPr>
              <w:t xml:space="preserve"> intensive care"[</w:t>
            </w:r>
            <w:proofErr w:type="spellStart"/>
            <w:r>
              <w:rPr>
                <w:sz w:val="18"/>
                <w:szCs w:val="18"/>
              </w:rPr>
              <w:t>tiab</w:t>
            </w:r>
            <w:proofErr w:type="spellEnd"/>
            <w:r>
              <w:rPr>
                <w:sz w:val="18"/>
                <w:szCs w:val="18"/>
              </w:rPr>
              <w:t>] OR "paediatric intensive care"[</w:t>
            </w:r>
            <w:proofErr w:type="spellStart"/>
            <w:r>
              <w:rPr>
                <w:sz w:val="18"/>
                <w:szCs w:val="18"/>
              </w:rPr>
              <w:t>tiab</w:t>
            </w:r>
            <w:proofErr w:type="spellEnd"/>
            <w:r>
              <w:rPr>
                <w:sz w:val="18"/>
                <w:szCs w:val="18"/>
              </w:rPr>
              <w:t xml:space="preserve">] OR </w:t>
            </w:r>
            <w:proofErr w:type="gramStart"/>
            <w:r>
              <w:rPr>
                <w:sz w:val="18"/>
                <w:szCs w:val="18"/>
              </w:rPr>
              <w:t>PICU[</w:t>
            </w:r>
            <w:proofErr w:type="spellStart"/>
            <w:proofErr w:type="gramEnd"/>
            <w:r>
              <w:rPr>
                <w:sz w:val="18"/>
                <w:szCs w:val="18"/>
              </w:rPr>
              <w:t>tiab</w:t>
            </w:r>
            <w:proofErr w:type="spellEnd"/>
            <w:r>
              <w:rPr>
                <w:sz w:val="18"/>
                <w:szCs w:val="18"/>
              </w:rPr>
              <w:t>] OR "critically ill children"[</w:t>
            </w:r>
            <w:proofErr w:type="spellStart"/>
            <w:r>
              <w:rPr>
                <w:sz w:val="18"/>
                <w:szCs w:val="18"/>
              </w:rPr>
              <w:t>tiab</w:t>
            </w:r>
            <w:proofErr w:type="spellEnd"/>
            <w:r>
              <w:rPr>
                <w:sz w:val="18"/>
                <w:szCs w:val="18"/>
              </w:rPr>
              <w:t>]); publication date 2007/01/01 to 2026/07/17</w:t>
            </w:r>
          </w:p>
        </w:tc>
        <w:tc>
          <w:tcPr>
            <w:tcW w:w="270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BD9A64" w14:textId="77777777" w:rsidR="00883E51" w:rsidRDefault="00000000">
            <w:r>
              <w:rPr>
                <w:sz w:val="18"/>
                <w:szCs w:val="18"/>
              </w:rPr>
              <w:t>Not applicable</w:t>
            </w:r>
          </w:p>
        </w:tc>
      </w:tr>
    </w:tbl>
    <w:p w14:paraId="386A637A" w14:textId="77777777" w:rsidR="00883E51" w:rsidRDefault="00000000">
      <w:pPr>
        <w:spacing w:before="80" w:after="240"/>
      </w:pPr>
      <w:r>
        <w:rPr>
          <w:sz w:val="18"/>
          <w:szCs w:val="18"/>
        </w:rPr>
        <w:t xml:space="preserve">Note. </w:t>
      </w:r>
      <w:proofErr w:type="spellStart"/>
      <w:r>
        <w:rPr>
          <w:sz w:val="18"/>
          <w:szCs w:val="18"/>
        </w:rPr>
        <w:t>MeSH</w:t>
      </w:r>
      <w:proofErr w:type="spellEnd"/>
      <w:r>
        <w:rPr>
          <w:sz w:val="18"/>
          <w:szCs w:val="18"/>
        </w:rPr>
        <w:t xml:space="preserve"> = Medical Subject Headings; PCR = polymerase chain reaction; PICU = paediatric intensive care unit; </w:t>
      </w:r>
      <w:proofErr w:type="spellStart"/>
      <w:r>
        <w:rPr>
          <w:sz w:val="18"/>
          <w:szCs w:val="18"/>
        </w:rPr>
        <w:t>tiab</w:t>
      </w:r>
      <w:proofErr w:type="spellEnd"/>
      <w:r>
        <w:rPr>
          <w:sz w:val="18"/>
          <w:szCs w:val="18"/>
        </w:rPr>
        <w:t xml:space="preserve"> = title and abstract field. Strings were adapted to the syntax of each information source; truncation symbols are shown as used in PubMed.</w:t>
      </w:r>
    </w:p>
    <w:p w14:paraId="64771C28" w14:textId="77777777" w:rsidR="00883E51" w:rsidRDefault="00000000">
      <w:pPr>
        <w:pStyle w:val="Heading1"/>
        <w:keepNext/>
        <w:spacing w:before="360" w:after="160"/>
      </w:pPr>
      <w:r>
        <w:t>3. The Paediatric Intensive Care Unit as a Distinct Stewardship Environment</w:t>
      </w:r>
    </w:p>
    <w:p w14:paraId="48800665" w14:textId="77777777" w:rsidR="00883E51" w:rsidRDefault="00000000">
      <w:pPr>
        <w:spacing w:after="160" w:line="360" w:lineRule="auto"/>
        <w:jc w:val="both"/>
      </w:pPr>
      <w:r>
        <w:t>Stewardship interventions that work on general wards cannot be assumed to transfer unchanged to the PICU. The purpose of this section is to identify the features of paediatric critical illness that generate inappropriate antimicrobial exposure, because the mechanism by which an intervention acts must match the mechanism by which the problem arises.</w:t>
      </w:r>
    </w:p>
    <w:p w14:paraId="72821EB0" w14:textId="77777777" w:rsidR="00883E51" w:rsidRDefault="00000000">
      <w:pPr>
        <w:pStyle w:val="Heading2"/>
        <w:keepNext/>
        <w:spacing w:before="240" w:after="120"/>
      </w:pPr>
      <w:r>
        <w:t>3.1 Magnitude, Pattern and Appropriateness of Exposure</w:t>
      </w:r>
    </w:p>
    <w:p w14:paraId="04E04984" w14:textId="77777777" w:rsidR="00883E51" w:rsidRDefault="00000000">
      <w:pPr>
        <w:spacing w:after="160" w:line="360" w:lineRule="auto"/>
        <w:jc w:val="both"/>
      </w:pPr>
      <w:r>
        <w:t xml:space="preserve">Point prevalence and cohort studies consistently show that antimicrobial exposure in PICUs is high, but they also show that the composition of that exposure varies widely. In the ten-centre study by </w:t>
      </w:r>
      <w:proofErr w:type="spellStart"/>
      <w:r>
        <w:t>Chiotos</w:t>
      </w:r>
      <w:proofErr w:type="spellEnd"/>
      <w:r>
        <w:t xml:space="preserve"> et al. (2023), the leading indications were empirical treatment of suspected bacterial infection without sepsis, non-operative prophylaxis and empirical treatment of sepsis or septic shock, and the indications most often judged inappropriate were empirical therapy without sepsis, sepsis itself, community-acquired pneumonia, ventilator-associated infection (VAI) and postoperative prophylaxis. The rubric-based appropriateness assessment was a methodological strength, although 292 of the 1,277 orders could not be assessed because no evidence-based standard existed, which implies that the true burden of inappropriate use may be either under- or overestimated (</w:t>
      </w:r>
      <w:proofErr w:type="spellStart"/>
      <w:r>
        <w:t>Chiotos</w:t>
      </w:r>
      <w:proofErr w:type="spellEnd"/>
      <w:r>
        <w:t xml:space="preserve"> et al., 2023). A French multicentre study applying national recommendations found non-compliance in 51.1% of antibiotic episodes, most often because of inappropriate choice or excessive duration, and identified combination therapy, prolonged broad-spectrum treatment and suspected catheter-related bacteraemia as independent risk factors (</w:t>
      </w:r>
      <w:proofErr w:type="spellStart"/>
      <w:r>
        <w:t>Amadieu</w:t>
      </w:r>
      <w:proofErr w:type="spellEnd"/>
      <w:r>
        <w:t xml:space="preserve"> et al., 2024). A retrospective Saudi study reported that 48% of courses breached at least one step of a structured appropriateness framework, with cefazolin and vancomycin contributing most inappropriate days of therapy (Kazzaz et al., 2020).</w:t>
      </w:r>
    </w:p>
    <w:p w14:paraId="2B70FEEF" w14:textId="77777777" w:rsidR="00883E51" w:rsidRDefault="00000000">
      <w:pPr>
        <w:spacing w:after="160" w:line="360" w:lineRule="auto"/>
        <w:jc w:val="both"/>
      </w:pPr>
      <w:r>
        <w:t xml:space="preserve">Quantitative consumption also differs markedly between settings. A comparison of German and Brazilian units reported average use of 888.1 and 1,440.7 days of therapy (DOT) per 1,000 </w:t>
      </w:r>
      <w:r>
        <w:lastRenderedPageBreak/>
        <w:t>patient-days in the respective PICUs, with glycopeptides predominating in Brazil and antipseudomonal penicillins in Germany (Araujo da Silva et al., 2020). An Indian PICU recorded 1,318 DOT per 1,000 patient-days, with Watch-group agents accounting for most consumption and Reserve-group agents such as colistin also prominent (Singh et al., 2024). A national survey of 62 Indian PICUs found that most respondents used seven-day courses even for culture-negative sepsis and that combination therapy with a β-lactam and vancomycin was common for suspected device-associated infection (Chattopadhyay et al., 2022). These comparisons are difficult to interpret because case mix, local resistance and denominators differ, but they establish that absolute consumption and agent selection are shaped as much by local ecology and habit as by clinical need.</w:t>
      </w:r>
    </w:p>
    <w:p w14:paraId="28F0D039" w14:textId="77777777" w:rsidR="00883E51" w:rsidRDefault="00000000">
      <w:pPr>
        <w:pStyle w:val="Heading2"/>
        <w:keepNext/>
        <w:spacing w:before="240" w:after="120"/>
      </w:pPr>
      <w:r>
        <w:t>3.2 Diagnostic Uncertainty and the Sepsis Imperative</w:t>
      </w:r>
    </w:p>
    <w:p w14:paraId="3970D36E" w14:textId="77777777" w:rsidR="00883E51" w:rsidRDefault="00000000">
      <w:pPr>
        <w:spacing w:after="160" w:line="360" w:lineRule="auto"/>
        <w:jc w:val="both"/>
      </w:pPr>
      <w:r>
        <w:t>The central clinical driver of excess exposure is the difficulty of distinguishing bacterial infection from the many non-infectious causes of fever, inflammation and organ dysfunction in critically ill children. The 2020 Surviving Sepsis Campaign guidelines recommended starting antimicrobials as soon as possible, ideally within 1 hour, in children with septic shock, and within 3 hours of recognition in sepsis-associated organ dysfunction without shock, while also advising daily reassessment for de-escalation (Weiss et al., 2020). The 2026 update contains 61 statements, but only three recommendations are based on high or moderate certainty evidence, which underlines how much of paediatric sepsis care still rests on low-certainty data (Weiss et al., 2026). Observational evidence supports urgency: in a single-centre PICU cohort, delays of more than 3 hours to initial or first appropriate antimicrobial therapy were associated with higher PICU mortality after adjustment for illness severity (Weiss et al., 2014), and in New York State completion of a 1-hour sepsis bundle was associated with lower risk-adjusted mortality, although timely antibiotic administration alone was not significantly associated with survival (Evans et al., 2018).</w:t>
      </w:r>
    </w:p>
    <w:p w14:paraId="386BE9B2" w14:textId="77777777" w:rsidR="00883E51" w:rsidRDefault="00000000">
      <w:pPr>
        <w:spacing w:after="160" w:line="360" w:lineRule="auto"/>
        <w:jc w:val="both"/>
      </w:pPr>
      <w:r>
        <w:t>The implication for stewardship is not that early treatment should be discouraged, but that the decision to continue treatment deserves the same rigour as the decision to start it. The Phoenix criteria now define paediatric sepsis as suspected infection with a Phoenix Sepsis Score of at least 2 points, reflecting respiratory, cardiovascular, coagulation or neurological dysfunction, and replace earlier criteria based on the systemic inflammatory response syndrome, which had poor predictive properties (</w:t>
      </w:r>
      <w:proofErr w:type="spellStart"/>
      <w:r>
        <w:t>Schlapbach</w:t>
      </w:r>
      <w:proofErr w:type="spellEnd"/>
      <w:r>
        <w:t xml:space="preserve"> et al., 2024). Narrower sepsis criteria may reduce reflexive treatment of inflammation without organ dysfunction, but they do not resolve the diagnostic question of whether infection is present. Survey work illustrates how clinicians </w:t>
      </w:r>
      <w:r>
        <w:lastRenderedPageBreak/>
        <w:t>respond to that uncertainty. Saudi paediatric intensivists reported that young age, immunodeficiency, organ dysfunction, high illness severity scores and raised inflammatory markers would prolong therapy across all clinical scenarios, whereas no factor consistently shortened it, and most would continue antibiotics for at least five days despite a positive viral polymerase chain reaction result in sepsis (Kazzaz et al., 2021). The asymmetry between perceived reasons to extend and reasons to stop therapy is a plausible behavioural explanation for prolonged courses.</w:t>
      </w:r>
    </w:p>
    <w:p w14:paraId="1EF11720" w14:textId="77777777" w:rsidR="00883E51" w:rsidRDefault="00000000">
      <w:pPr>
        <w:pStyle w:val="Heading2"/>
        <w:keepNext/>
        <w:spacing w:before="240" w:after="120"/>
      </w:pPr>
      <w:r>
        <w:t>3.3 Physiological Heterogeneity and Special Populations</w:t>
      </w:r>
    </w:p>
    <w:p w14:paraId="2210E8B7" w14:textId="77777777" w:rsidR="00883E51" w:rsidRDefault="00000000">
      <w:pPr>
        <w:spacing w:after="160" w:line="360" w:lineRule="auto"/>
        <w:jc w:val="both"/>
      </w:pPr>
      <w:r>
        <w:t>The PICU population includes infants and adolescents, previously healthy children and those with complex chronic conditions, postoperative cardiac patients, oncology and transplant recipients, and children receiving extracorporeal support. This heterogeneity affects both the pre-test probability of infection and the pharmacology of antimicrobials. Immunocompromised children in a specialist United Kingdom hospital received substantially broader-spectrum therapy than immunocompetent children throughout a two-year period (Zombori et al., 2023). Children after cardiopulmonary bypass frequently develop inflammatory responses that mimic infection; in one Spanish cohort, infection was confirmed in only 16.8% of postoperative suspicions (</w:t>
      </w:r>
      <w:proofErr w:type="spellStart"/>
      <w:r>
        <w:t>Bobillo</w:t>
      </w:r>
      <w:proofErr w:type="spellEnd"/>
      <w:r>
        <w:t>-Perez et al., 2019). Stewardship programmes that audit high-risk groups have been reluctant to intervene, yet a nine-year analysis of stewardship recommendations for neonatal, oncology and PICU patients found that agreement with recommendations, half of which were to stop antibiotics, was not associated with higher mortality or readmission (Goldman et al., 2019). This finding is reassuring, although it is subject to confounding by indication because clinicians may have accepted recommendations selectively in more stable patients.</w:t>
      </w:r>
    </w:p>
    <w:p w14:paraId="7DBC6FE5" w14:textId="77777777" w:rsidR="00883E51" w:rsidRDefault="00000000">
      <w:pPr>
        <w:pStyle w:val="Heading2"/>
        <w:keepNext/>
        <w:spacing w:before="240" w:after="120"/>
      </w:pPr>
      <w:r>
        <w:t>3.4 Resistance Ecology and the Harms of Exposure</w:t>
      </w:r>
    </w:p>
    <w:p w14:paraId="411DA5F8" w14:textId="77777777" w:rsidR="00883E51" w:rsidRDefault="00000000">
      <w:pPr>
        <w:spacing w:after="160" w:line="360" w:lineRule="auto"/>
        <w:jc w:val="both"/>
      </w:pPr>
      <w:r>
        <w:t xml:space="preserve">Surveillance data from the United States showed that </w:t>
      </w:r>
      <w:r>
        <w:rPr>
          <w:i/>
          <w:iCs/>
        </w:rPr>
        <w:t>S. aureus</w:t>
      </w:r>
      <w:r>
        <w:t xml:space="preserve">, coagulase-negative staphylococci, </w:t>
      </w:r>
      <w:r>
        <w:rPr>
          <w:i/>
          <w:iCs/>
        </w:rPr>
        <w:t>Escherichia coli</w:t>
      </w:r>
      <w:r>
        <w:t xml:space="preserve">, </w:t>
      </w:r>
      <w:r>
        <w:rPr>
          <w:i/>
          <w:iCs/>
        </w:rPr>
        <w:t>Klebsiella pneumoniae</w:t>
      </w:r>
      <w:r>
        <w:t xml:space="preserve"> or </w:t>
      </w:r>
      <w:r>
        <w:rPr>
          <w:i/>
          <w:iCs/>
        </w:rPr>
        <w:t xml:space="preserve">Klebsiella </w:t>
      </w:r>
      <w:proofErr w:type="spellStart"/>
      <w:r>
        <w:rPr>
          <w:i/>
          <w:iCs/>
        </w:rPr>
        <w:t>oxytoca</w:t>
      </w:r>
      <w:proofErr w:type="spellEnd"/>
      <w:r>
        <w:t xml:space="preserve"> and </w:t>
      </w:r>
      <w:r>
        <w:rPr>
          <w:i/>
          <w:iCs/>
        </w:rPr>
        <w:t>Enterococcus faecalis</w:t>
      </w:r>
      <w:r>
        <w:t xml:space="preserve"> accounted for more than 60% of pathogens in paediatric HAIs, with carbapenem resistance reaching about 20% for </w:t>
      </w:r>
      <w:r>
        <w:rPr>
          <w:i/>
          <w:iCs/>
        </w:rPr>
        <w:t>Pseudomonas aeruginosa</w:t>
      </w:r>
      <w:r>
        <w:t xml:space="preserve"> in some device-associated infections (Lake et al., 2018). Resistance patterns in LMIC units are often more severe, and the high consumption of Watch and Reserve agents reported from India and Brazil is consistent with that ecology (Araujo da Silva et al., 2020; Singh et al., 2024). The harms of antimicrobial exposure extend beyond resistance. An umbrella review of randomised trials </w:t>
      </w:r>
      <w:r>
        <w:lastRenderedPageBreak/>
        <w:t>estimated that each additional day of therapy was associated with a 4% increase in the odds of an adverse event (Curran et al., 2022). A meta-analysis of observational studies in children linked early-life antibiotic exposure to later asthma, overweight and several immune-mediated and neurodevelopmental conditions, although causality could not be established (Duong et al., 2022). These data were not derived from PICU cohorts, and their transferability to short, clinically indicated courses in critically ill children is uncertain. They nevertheless justify treating unnecessary days of therapy as a harm rather than as a neutral precaution.</w:t>
      </w:r>
    </w:p>
    <w:p w14:paraId="2974E5A6" w14:textId="77777777" w:rsidR="00883E51" w:rsidRDefault="00000000">
      <w:pPr>
        <w:spacing w:after="160" w:line="360" w:lineRule="auto"/>
        <w:jc w:val="both"/>
      </w:pPr>
      <w:r>
        <w:t>Table 2 draws these observations together by linking each driver of inappropriate use to the stewardship mechanism most likely to address it. The table shows that the drivers are heterogeneous and that no single intervention can be expected to address all of them, which anticipates the variable effectiveness discussed in later sections.</w:t>
      </w:r>
    </w:p>
    <w:p w14:paraId="049AE0E2" w14:textId="77777777" w:rsidR="00883E51" w:rsidRDefault="00000000">
      <w:pPr>
        <w:keepNext/>
        <w:spacing w:before="200" w:after="120"/>
      </w:pPr>
      <w:r>
        <w:rPr>
          <w:b/>
          <w:bCs/>
          <w:sz w:val="22"/>
          <w:szCs w:val="22"/>
        </w:rPr>
        <w:t>Table 2.</w:t>
      </w:r>
      <w:r>
        <w:rPr>
          <w:sz w:val="22"/>
          <w:szCs w:val="22"/>
        </w:rPr>
        <w:t xml:space="preserve"> Drivers of inappropriate antimicrobial use in paediatric intensive care and their stewardship implications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82"/>
        <w:gridCol w:w="2777"/>
        <w:gridCol w:w="2082"/>
        <w:gridCol w:w="2085"/>
      </w:tblGrid>
      <w:tr w:rsidR="00883E51" w14:paraId="5EE5E3F2" w14:textId="77777777">
        <w:trPr>
          <w:cantSplit/>
          <w:tblHeader/>
        </w:trPr>
        <w:tc>
          <w:tcPr>
            <w:tcW w:w="208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44B1EDD5" w14:textId="77777777" w:rsidR="00883E51" w:rsidRDefault="00000000">
            <w:r>
              <w:rPr>
                <w:b/>
                <w:bCs/>
                <w:sz w:val="18"/>
                <w:szCs w:val="18"/>
              </w:rPr>
              <w:t>Driver</w:t>
            </w:r>
          </w:p>
        </w:tc>
        <w:tc>
          <w:tcPr>
            <w:tcW w:w="2777"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8FDD2E7" w14:textId="77777777" w:rsidR="00883E51" w:rsidRDefault="00000000">
            <w:r>
              <w:rPr>
                <w:b/>
                <w:bCs/>
                <w:sz w:val="18"/>
                <w:szCs w:val="18"/>
              </w:rPr>
              <w:t>Illustrative evidence</w:t>
            </w:r>
          </w:p>
        </w:tc>
        <w:tc>
          <w:tcPr>
            <w:tcW w:w="208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C90CF8B" w14:textId="77777777" w:rsidR="00883E51" w:rsidRDefault="00000000">
            <w:r>
              <w:rPr>
                <w:b/>
                <w:bCs/>
                <w:sz w:val="18"/>
                <w:szCs w:val="18"/>
              </w:rPr>
              <w:t>Stewardship implication</w:t>
            </w:r>
          </w:p>
        </w:tc>
        <w:tc>
          <w:tcPr>
            <w:tcW w:w="208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A76E96E" w14:textId="77777777" w:rsidR="00883E51" w:rsidRDefault="00000000">
            <w:r>
              <w:rPr>
                <w:b/>
                <w:bCs/>
                <w:sz w:val="18"/>
                <w:szCs w:val="18"/>
              </w:rPr>
              <w:t>Supporting references</w:t>
            </w:r>
          </w:p>
        </w:tc>
      </w:tr>
      <w:tr w:rsidR="00883E51" w14:paraId="5EF3FA53"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66A397" w14:textId="77777777" w:rsidR="00883E51" w:rsidRDefault="00000000">
            <w:r>
              <w:rPr>
                <w:sz w:val="18"/>
                <w:szCs w:val="18"/>
              </w:rPr>
              <w:t>Diagnostic uncertainty between infection and non-infectious inflammation</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9EA82D" w14:textId="77777777" w:rsidR="00883E51" w:rsidRDefault="00000000">
            <w:r>
              <w:rPr>
                <w:sz w:val="18"/>
                <w:szCs w:val="18"/>
              </w:rPr>
              <w:t>Low confirmation of infection after cardiac surgery; one-third of PICU orders judged inappropriate, most often empirical therapy without sepsis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1A6BBC3" w14:textId="77777777" w:rsidR="00883E51" w:rsidRDefault="00000000">
            <w:r>
              <w:rPr>
                <w:sz w:val="18"/>
                <w:szCs w:val="18"/>
              </w:rPr>
              <w:t>Structured reassessment at 48 to 72 h; diagnostic stewardship; biomarker use within explicit algorithms</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7DF385" w14:textId="77777777" w:rsidR="00883E51" w:rsidRDefault="00000000">
            <w:r w:rsidRPr="00EC5346">
              <w:rPr>
                <w:sz w:val="18"/>
                <w:szCs w:val="18"/>
                <w:lang w:val="nl-BE"/>
              </w:rPr>
              <w:t xml:space="preserve">Bobillo-Perez et al. (2019); Chiotos et al. </w:t>
            </w:r>
            <w:r>
              <w:rPr>
                <w:sz w:val="18"/>
                <w:szCs w:val="18"/>
              </w:rPr>
              <w:t>(2023)</w:t>
            </w:r>
          </w:p>
        </w:tc>
      </w:tr>
      <w:tr w:rsidR="00883E51" w14:paraId="5692B50B"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0D72728" w14:textId="77777777" w:rsidR="00883E51" w:rsidRDefault="00000000">
            <w:r>
              <w:rPr>
                <w:sz w:val="18"/>
                <w:szCs w:val="18"/>
              </w:rPr>
              <w:t>Guideline emphasis on very early empirical therapy</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05FDAC" w14:textId="77777777" w:rsidR="00883E51" w:rsidRDefault="00000000">
            <w:r>
              <w:rPr>
                <w:sz w:val="18"/>
                <w:szCs w:val="18"/>
              </w:rPr>
              <w:t>Mortality associations with delayed therapy and with bundle completion</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5E1AF04" w14:textId="77777777" w:rsidR="00883E51" w:rsidRDefault="00000000">
            <w:r>
              <w:rPr>
                <w:sz w:val="18"/>
                <w:szCs w:val="18"/>
              </w:rPr>
              <w:t>Protect early treatment while targeting continuation, spectrum and duration</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E03E5C6" w14:textId="77777777" w:rsidR="00883E51" w:rsidRDefault="00000000">
            <w:r w:rsidRPr="00EC5346">
              <w:rPr>
                <w:sz w:val="18"/>
                <w:szCs w:val="18"/>
                <w:lang w:val="nl-BE"/>
              </w:rPr>
              <w:t xml:space="preserve">Evans et al. (2018); Weiss et al. </w:t>
            </w:r>
            <w:r>
              <w:rPr>
                <w:sz w:val="18"/>
                <w:szCs w:val="18"/>
              </w:rPr>
              <w:t>(2014); Weiss et al. (2020)</w:t>
            </w:r>
          </w:p>
        </w:tc>
      </w:tr>
      <w:tr w:rsidR="00883E51" w14:paraId="7F20B267"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385836" w14:textId="77777777" w:rsidR="00883E51" w:rsidRDefault="00000000">
            <w:r>
              <w:rPr>
                <w:sz w:val="18"/>
                <w:szCs w:val="18"/>
              </w:rPr>
              <w:t>Asymmetric clinician heuristics</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9CFB10" w14:textId="77777777" w:rsidR="00883E51" w:rsidRDefault="00000000">
            <w:r>
              <w:rPr>
                <w:sz w:val="18"/>
                <w:szCs w:val="18"/>
              </w:rPr>
              <w:t>Illness severity and raised markers prolong therapy; no factor consistently shortens it</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5880C9" w14:textId="77777777" w:rsidR="00883E51" w:rsidRDefault="00000000">
            <w:r>
              <w:rPr>
                <w:sz w:val="18"/>
                <w:szCs w:val="18"/>
              </w:rPr>
              <w:t>Education, audit with feedback, default stop dates and time-outs</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0516F1E" w14:textId="77777777" w:rsidR="00883E51" w:rsidRDefault="00000000">
            <w:r w:rsidRPr="00EC5346">
              <w:rPr>
                <w:sz w:val="18"/>
                <w:szCs w:val="18"/>
                <w:lang w:val="nl-BE"/>
              </w:rPr>
              <w:t xml:space="preserve">Adams et al. (2019); Kazzaz et al. </w:t>
            </w:r>
            <w:r>
              <w:rPr>
                <w:sz w:val="18"/>
                <w:szCs w:val="18"/>
              </w:rPr>
              <w:t>(2021)</w:t>
            </w:r>
          </w:p>
        </w:tc>
      </w:tr>
      <w:tr w:rsidR="00883E51" w14:paraId="730F1198"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6917D3" w14:textId="77777777" w:rsidR="00883E51" w:rsidRDefault="00000000">
            <w:r>
              <w:rPr>
                <w:sz w:val="18"/>
                <w:szCs w:val="18"/>
              </w:rPr>
              <w:t>Host heterogeneity and immunocompromise</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C3BD9C" w14:textId="77777777" w:rsidR="00883E51" w:rsidRDefault="00000000">
            <w:r>
              <w:rPr>
                <w:sz w:val="18"/>
                <w:szCs w:val="18"/>
              </w:rPr>
              <w:t>Broader spectrum in immunocompromised children; stewardship reluctance in high-risk groups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4E0035" w14:textId="77777777" w:rsidR="00883E51" w:rsidRDefault="00000000">
            <w:r>
              <w:rPr>
                <w:sz w:val="18"/>
                <w:szCs w:val="18"/>
              </w:rPr>
              <w:t>Group-specific protocols; inclusion of high-risk groups in audit</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6AD8E1" w14:textId="77777777" w:rsidR="00883E51" w:rsidRDefault="00000000">
            <w:r w:rsidRPr="00EC5346">
              <w:rPr>
                <w:sz w:val="18"/>
                <w:szCs w:val="18"/>
                <w:lang w:val="nl-BE"/>
              </w:rPr>
              <w:t xml:space="preserve">Goldman et al. (2019); Zombori et al. </w:t>
            </w:r>
            <w:r>
              <w:rPr>
                <w:sz w:val="18"/>
                <w:szCs w:val="18"/>
              </w:rPr>
              <w:t>(2023)</w:t>
            </w:r>
          </w:p>
        </w:tc>
      </w:tr>
      <w:tr w:rsidR="00883E51" w14:paraId="49F2CA36"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22D69A" w14:textId="77777777" w:rsidR="00883E51" w:rsidRDefault="00000000">
            <w:r>
              <w:rPr>
                <w:sz w:val="18"/>
                <w:szCs w:val="18"/>
              </w:rPr>
              <w:t>Altered pharmacokinetics</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8F9873" w14:textId="77777777" w:rsidR="00883E51" w:rsidRDefault="00000000">
            <w:r>
              <w:rPr>
                <w:sz w:val="18"/>
                <w:szCs w:val="18"/>
              </w:rPr>
              <w:t>Frequent sub-therapeutic β-lactam and vancomycin concentrations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D87110" w14:textId="77777777" w:rsidR="00883E51" w:rsidRDefault="00000000">
            <w:r>
              <w:rPr>
                <w:sz w:val="18"/>
                <w:szCs w:val="18"/>
              </w:rPr>
              <w:t>Dose optimisation, therapeutic drug monitoring and model-informed dosing</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C761AE7" w14:textId="77777777" w:rsidR="00883E51" w:rsidRDefault="00000000">
            <w:r w:rsidRPr="00EC5346">
              <w:rPr>
                <w:sz w:val="18"/>
                <w:szCs w:val="18"/>
                <w:lang w:val="nl-BE"/>
              </w:rPr>
              <w:t xml:space="preserve">Sosnin et al. (2019); Van Der Heggen et al. </w:t>
            </w:r>
            <w:r>
              <w:rPr>
                <w:sz w:val="18"/>
                <w:szCs w:val="18"/>
              </w:rPr>
              <w:t>(2022)</w:t>
            </w:r>
          </w:p>
        </w:tc>
      </w:tr>
      <w:tr w:rsidR="00883E51" w14:paraId="4E0B464B"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2445F99" w14:textId="77777777" w:rsidR="00883E51" w:rsidRDefault="00000000">
            <w:r>
              <w:rPr>
                <w:sz w:val="18"/>
                <w:szCs w:val="18"/>
              </w:rPr>
              <w:t>Local resistance and habit</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142C3A" w14:textId="77777777" w:rsidR="00883E51" w:rsidRDefault="00000000">
            <w:r>
              <w:rPr>
                <w:sz w:val="18"/>
                <w:szCs w:val="18"/>
              </w:rPr>
              <w:t>Large between-country and between-unit differences in consumption and Watch-group use</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F17706" w14:textId="77777777" w:rsidR="00883E51" w:rsidRDefault="00000000">
            <w:r>
              <w:rPr>
                <w:sz w:val="18"/>
                <w:szCs w:val="18"/>
              </w:rPr>
              <w:t xml:space="preserve">Local guidelines informed by antibiograms; </w:t>
            </w:r>
            <w:proofErr w:type="spellStart"/>
            <w:r>
              <w:rPr>
                <w:sz w:val="18"/>
                <w:szCs w:val="18"/>
              </w:rPr>
              <w:t>AWaRe</w:t>
            </w:r>
            <w:proofErr w:type="spellEnd"/>
            <w:r>
              <w:rPr>
                <w:sz w:val="18"/>
                <w:szCs w:val="18"/>
              </w:rPr>
              <w:t>-based metrics</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E701CBD" w14:textId="77777777" w:rsidR="00883E51" w:rsidRDefault="00000000">
            <w:r w:rsidRPr="00EC5346">
              <w:rPr>
                <w:sz w:val="18"/>
                <w:szCs w:val="18"/>
                <w:lang w:val="nl-BE"/>
              </w:rPr>
              <w:t xml:space="preserve">Araujo da Silva et al. (2020); Singh et al. </w:t>
            </w:r>
            <w:r>
              <w:rPr>
                <w:sz w:val="18"/>
                <w:szCs w:val="18"/>
              </w:rPr>
              <w:t>(2024); World Health Organization (2022)</w:t>
            </w:r>
          </w:p>
        </w:tc>
      </w:tr>
      <w:tr w:rsidR="00883E51" w14:paraId="60C9613D" w14:textId="77777777">
        <w:trPr>
          <w:cantSplit/>
        </w:trPr>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94779A" w14:textId="77777777" w:rsidR="00883E51" w:rsidRDefault="00000000">
            <w:r>
              <w:rPr>
                <w:sz w:val="18"/>
                <w:szCs w:val="18"/>
              </w:rPr>
              <w:t>Limited evidence on duration</w:t>
            </w:r>
          </w:p>
        </w:tc>
        <w:tc>
          <w:tcPr>
            <w:tcW w:w="27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BD05F1" w14:textId="77777777" w:rsidR="00883E51" w:rsidRDefault="00000000">
            <w:r>
              <w:rPr>
                <w:sz w:val="18"/>
                <w:szCs w:val="18"/>
              </w:rPr>
              <w:t>Seven-day courses for culture-negative sepsis are common; few PICU-specific duration trials</w:t>
            </w:r>
          </w:p>
        </w:tc>
        <w:tc>
          <w:tcPr>
            <w:tcW w:w="208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999D4D5" w14:textId="77777777" w:rsidR="00883E51" w:rsidRDefault="00000000">
            <w:r>
              <w:rPr>
                <w:sz w:val="18"/>
                <w:szCs w:val="18"/>
              </w:rPr>
              <w:t>Duration research; conservative stop rules supported by monitoring</w:t>
            </w:r>
          </w:p>
        </w:tc>
        <w:tc>
          <w:tcPr>
            <w:tcW w:w="208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86A088" w14:textId="77777777" w:rsidR="00883E51" w:rsidRDefault="00000000">
            <w:r w:rsidRPr="00EC5346">
              <w:rPr>
                <w:sz w:val="18"/>
                <w:szCs w:val="18"/>
                <w:lang w:val="nl-BE"/>
              </w:rPr>
              <w:t xml:space="preserve">Chattopadhyay et al. (2022); Wehrenberg et al. </w:t>
            </w:r>
            <w:r>
              <w:rPr>
                <w:sz w:val="18"/>
                <w:szCs w:val="18"/>
              </w:rPr>
              <w:t>(2023)</w:t>
            </w:r>
          </w:p>
        </w:tc>
      </w:tr>
    </w:tbl>
    <w:p w14:paraId="28A4474A" w14:textId="77777777" w:rsidR="00883E51" w:rsidRDefault="00000000">
      <w:pPr>
        <w:spacing w:before="80" w:after="240"/>
      </w:pPr>
      <w:r>
        <w:rPr>
          <w:sz w:val="18"/>
          <w:szCs w:val="18"/>
        </w:rPr>
        <w:t xml:space="preserve">Note. </w:t>
      </w:r>
      <w:proofErr w:type="spellStart"/>
      <w:r>
        <w:rPr>
          <w:sz w:val="18"/>
          <w:szCs w:val="18"/>
        </w:rPr>
        <w:t>AWaRe</w:t>
      </w:r>
      <w:proofErr w:type="spellEnd"/>
      <w:r>
        <w:rPr>
          <w:sz w:val="18"/>
          <w:szCs w:val="18"/>
        </w:rPr>
        <w:t xml:space="preserve"> = Access, Watch and Reserve classification; h = hours; PICU = paediatric intensive care unit. The table is illustrative and does not represent an exhaustive list of drivers.</w:t>
      </w:r>
    </w:p>
    <w:p w14:paraId="414FAB76" w14:textId="77777777" w:rsidR="00883E51" w:rsidRDefault="00000000">
      <w:pPr>
        <w:pStyle w:val="Heading1"/>
        <w:keepNext/>
        <w:spacing w:before="360" w:after="160"/>
      </w:pPr>
      <w:r>
        <w:lastRenderedPageBreak/>
        <w:t>4. Organisational Models and Core Stewardship Interventions</w:t>
      </w:r>
    </w:p>
    <w:p w14:paraId="2871B5F2" w14:textId="77777777" w:rsidR="00883E51" w:rsidRDefault="00000000">
      <w:pPr>
        <w:spacing w:after="160" w:line="360" w:lineRule="auto"/>
        <w:jc w:val="both"/>
      </w:pPr>
      <w:r>
        <w:t>This section examines how PICU stewardship is organised and which prescription-level interventions have been evaluated. The analytical question is not only whether interventions reduce consumption, but which features of programme design appear to determine that effect.</w:t>
      </w:r>
    </w:p>
    <w:p w14:paraId="2D5DC3DB" w14:textId="77777777" w:rsidR="00883E51" w:rsidRDefault="00000000">
      <w:pPr>
        <w:pStyle w:val="Heading2"/>
        <w:keepNext/>
        <w:spacing w:before="240" w:after="120"/>
      </w:pPr>
      <w:r>
        <w:t>4.1 Programme Structure, Staffing and Reported Coverage</w:t>
      </w:r>
    </w:p>
    <w:p w14:paraId="012F7238" w14:textId="77777777" w:rsidR="00883E51" w:rsidRDefault="00000000">
      <w:pPr>
        <w:spacing w:after="160" w:line="360" w:lineRule="auto"/>
        <w:jc w:val="both"/>
      </w:pPr>
      <w:r>
        <w:t>Surveys suggest that stewardship activity is now common in PICUs in high-income and upper-middle-income settings, but that the content of what is called a programme varies considerably. In a European survey of 60 PICUs across 12 countries, 88% of units reported an ASP, yet the most frequently cited activities were pharmacokinetic monitoring and local guideline development, and the most common team composition, a paediatric infectious diseases physician, pharmacist and microbiologist, was reported by only 21% (Clos et al., 2022). A Spanish survey conducted almost a decade earlier found that only half of units had implemented stewardship activities and that fewer than 40% had electronic prescribing, while intensivists themselves regarded excessive treatment of unconfirmed infection and excessive broad-spectrum use as the main problems (</w:t>
      </w:r>
      <w:proofErr w:type="spellStart"/>
      <w:r>
        <w:t>Paño</w:t>
      </w:r>
      <w:proofErr w:type="spellEnd"/>
      <w:r>
        <w:t>-Pardo et al., 2016). In India, 67.7% of surveyed PICUs reported an ASP, but only 45.1% had formulary restrictions and 16.1% required preauthorisation for any agent (Chattopadhyay et al., 2022). A Brazilian multicentre assessment of 219 paediatric intensive care units with ASPs found that prescribing interventions were comparatively well established, whereas continuing education reached 58.9% of units and education for patients and families only 6.8%, with marked regional and public-private disparities (</w:t>
      </w:r>
      <w:proofErr w:type="spellStart"/>
      <w:r>
        <w:t>Krummenauer</w:t>
      </w:r>
      <w:proofErr w:type="spellEnd"/>
      <w:r>
        <w:t xml:space="preserve"> et al., 2025).</w:t>
      </w:r>
    </w:p>
    <w:p w14:paraId="143D70AA" w14:textId="77777777" w:rsidR="00883E51" w:rsidRDefault="00000000">
      <w:pPr>
        <w:spacing w:after="160" w:line="360" w:lineRule="auto"/>
        <w:jc w:val="both"/>
      </w:pPr>
      <w:r>
        <w:t>Self-reported surveys are vulnerable to social desirability and to differing interpretations of what constitutes a programme, and response rates are rarely representative. Their consistent message is nonetheless important: the presence of a nominal ASP says little about the intensity, frequency or content of stewardship activity at the bedside. A French study of eight units in which stewardship review occurred mainly once weekly still recorded non-compliance with recommendations in about half of antibiotic episodes, and its authors suggested that daily review might be required (</w:t>
      </w:r>
      <w:proofErr w:type="spellStart"/>
      <w:r>
        <w:t>Amadieu</w:t>
      </w:r>
      <w:proofErr w:type="spellEnd"/>
      <w:r>
        <w:t xml:space="preserve"> et al., 2024). Staffing models also diverge from guideline ideals. A United States children's hospital that lacked a dedicated infectious diseases pharmacist used service-based clinical pharmacists working with infectious diseases physicians, with day-3 audits and restriction, and reported reductions in targeted vancomycin and meropenem use together with high acceptance of recommendations, the largest </w:t>
      </w:r>
      <w:r>
        <w:lastRenderedPageBreak/>
        <w:t>vancomycin reduction occurring in critical care areas (Nguyen-Ha et al., 2016). This suggests that the functions of stewardship matter more than a fixed staffing template, a point with particular relevance to resource-constrained settings.</w:t>
      </w:r>
    </w:p>
    <w:p w14:paraId="1417E495" w14:textId="77777777" w:rsidR="00883E51" w:rsidRDefault="00000000">
      <w:pPr>
        <w:pStyle w:val="Heading2"/>
        <w:keepNext/>
        <w:spacing w:before="240" w:after="120"/>
      </w:pPr>
      <w:r>
        <w:t>4.2 Restrictive and Persuasive Strategies</w:t>
      </w:r>
    </w:p>
    <w:p w14:paraId="73A8D74B" w14:textId="77777777" w:rsidR="00883E51" w:rsidRDefault="00000000">
      <w:pPr>
        <w:spacing w:after="160" w:line="360" w:lineRule="auto"/>
        <w:jc w:val="both"/>
      </w:pPr>
      <w:r>
        <w:t>Guidelines endorse both preauthorisation and prospective audit with feedback as core strategies without specifying which should be preferred in every setting (</w:t>
      </w:r>
      <w:proofErr w:type="spellStart"/>
      <w:r>
        <w:t>Barlam</w:t>
      </w:r>
      <w:proofErr w:type="spellEnd"/>
      <w:r>
        <w:t xml:space="preserve"> et al., 2016). In critical care, restrictive strategies carry an obvious risk of delaying urgent therapy, and most PICU evaluations have therefore examined persuasive, post-prescription approaches. A Japanese PICU that introduced a stewardship programme reported, in an interrupted time-series analysis, significant reductions in the level and trend of antipseudomonal agent use without an increase in adverse outcomes (Aizawa et al., 2018). The earlier systematic review of paediatric ward and PICU programmes found that prospective audit featured in eight of nine studies, whereas preauthorisation appeared in only two (Araujo da Silva et al., 2018).</w:t>
      </w:r>
    </w:p>
    <w:p w14:paraId="2F58526B" w14:textId="77777777" w:rsidR="00883E51" w:rsidRDefault="00000000">
      <w:pPr>
        <w:spacing w:after="160" w:line="360" w:lineRule="auto"/>
        <w:jc w:val="both"/>
      </w:pPr>
      <w:r>
        <w:t>Handshake stewardship represents the most fully described persuasive model. It replaces restriction and preauthorisation with daily, in-person review of all prescribed antimicrobials by a physician and pharmacist team who round with the clinical services (Hurst et al., 2016). In the originating children's hospital, overall antimicrobial use fell by 10.9% over four years, with reductions of 25.7% for vancomycin and 22.2% for meropenem, and effects were observed across individual units (Hurst et al., 2016). Eight-year follow-up showed that hospital-wide anti-infective use fell from 891 to 655 DOT per 1,000 patient-days and that the proportion of admitted children receiving any anti-infective declined from 65% to 52%, without detrimental changes in severity-adjusted mortality, readmission or length of stay (MacBrayne et al., 2020). An Italian PICU that adopted the handshake approach reported a monthly decline of 3.0% in overall antibiotic consumption after implementation, with significant monthly reductions for meropenem, glycopeptides and piperacillin-tazobactam, but no significant change in third-generation cephalosporin or amikacin use (Liberati et al., 2025).</w:t>
      </w:r>
    </w:p>
    <w:p w14:paraId="6A5E9FF8" w14:textId="77777777" w:rsidR="00883E51" w:rsidRDefault="00000000">
      <w:pPr>
        <w:spacing w:after="160" w:line="360" w:lineRule="auto"/>
        <w:jc w:val="both"/>
      </w:pPr>
      <w:r>
        <w:t>The consistency of these findings is encouraging, but several limitations constrain confidence. The handshake evaluations were uncontrolled time-series studies from institutions with strong stewardship leadership, and both the pre-intervention and post-intervention periods of the Italian study overlapped with the coronavirus disease 2019 pandemic, during which admission patterns may have shifted. The absence of change in agents such as third-generation cephalosporins may indicate that persuasive review preferentially targets high-cost, broad-</w:t>
      </w:r>
      <w:r>
        <w:lastRenderedPageBreak/>
        <w:t>spectrum drugs that are already visible to the team. The relative value of restriction versus persuasion in the PICU has not been tested in a controlled comparison, and the transferability of labour-intensive daily rounding to units without dedicated stewardship staff is uncertain.</w:t>
      </w:r>
    </w:p>
    <w:p w14:paraId="4B2BE9C6" w14:textId="77777777" w:rsidR="00883E51" w:rsidRDefault="00000000">
      <w:pPr>
        <w:pStyle w:val="Heading2"/>
        <w:keepNext/>
        <w:spacing w:before="240" w:after="120"/>
      </w:pPr>
      <w:r>
        <w:t>4.3 Time-outs, Protocols and Behavioural Approaches</w:t>
      </w:r>
    </w:p>
    <w:p w14:paraId="6EB4345B" w14:textId="77777777" w:rsidR="00883E51" w:rsidRDefault="00000000">
      <w:pPr>
        <w:spacing w:after="160" w:line="360" w:lineRule="auto"/>
        <w:jc w:val="both"/>
      </w:pPr>
      <w:r>
        <w:t>Structured reassessment at 48 to 72 hours operationalises the principle that initiation and continuation are separate decisions. In a 30-bed United States PICU, a time-out performed during rounds after 48 to 72 hours of therapy was associated with lower DOT for vancomycin and meropenem, lower acquisition costs and documented definition of duration in 63% of reviews, although statistically significant reductions in DOT were reported only for vancomycin and meropenem and not for all three targeted agents (Adams et al., 2019). In three Canadian PICUs, implementation of a stewardship programme was associated with higher odds of discontinuing antimicrobials within 72 hours in viral bronchiolitis, but not with shorter total duration or fewer initial prescriptions, and the confidence intervals were very wide (</w:t>
      </w:r>
      <w:proofErr w:type="spellStart"/>
      <w:r>
        <w:t>Aljassim</w:t>
      </w:r>
      <w:proofErr w:type="spellEnd"/>
      <w:r>
        <w:t xml:space="preserve"> et al., 2022). Taken together, these studies indicate that structured reassessment reliably changes the discontinuation decision but that its effect on overall exposure depends on what happens before and after the review point.</w:t>
      </w:r>
    </w:p>
    <w:p w14:paraId="124988B0" w14:textId="77777777" w:rsidR="00883E51" w:rsidRDefault="00000000">
      <w:pPr>
        <w:spacing w:after="160" w:line="360" w:lineRule="auto"/>
        <w:jc w:val="both"/>
      </w:pPr>
      <w:r>
        <w:t>Local protocols appear to matter independently of review. In the French multicentre study, the use of unit antibiotic protocols was associated with lower odds of non-compliance (</w:t>
      </w:r>
      <w:proofErr w:type="spellStart"/>
      <w:r>
        <w:t>Amadieu</w:t>
      </w:r>
      <w:proofErr w:type="spellEnd"/>
      <w:r>
        <w:t xml:space="preserve"> et al., 2024), and Spanish intensivists rated protocols as the most valued stewardship intervention (</w:t>
      </w:r>
      <w:proofErr w:type="spellStart"/>
      <w:r>
        <w:t>Paño</w:t>
      </w:r>
      <w:proofErr w:type="spellEnd"/>
      <w:r>
        <w:t>-Pardo et al., 2016). In the Spanish national cohort, the period after most units had adopted stewardship was associated with more antibiotic-free days, more appropriate indications and more frequent de-escalation (</w:t>
      </w:r>
      <w:proofErr w:type="spellStart"/>
      <w:r>
        <w:t>Fresán</w:t>
      </w:r>
      <w:proofErr w:type="spellEnd"/>
      <w:r>
        <w:t>-Ruiz et al., 2022). This before-and-after comparison across 26 units is among the largest PICU datasets available, but it could not separate the effects of stewardship from temporal improvements in sepsis care.</w:t>
      </w:r>
    </w:p>
    <w:p w14:paraId="2A0D84B5" w14:textId="77777777" w:rsidR="00883E51" w:rsidRDefault="00000000">
      <w:pPr>
        <w:spacing w:after="160" w:line="360" w:lineRule="auto"/>
        <w:jc w:val="both"/>
      </w:pPr>
      <w:r>
        <w:t xml:space="preserve">Behavioural approaches that reward good practice rather than correcting poor practice have received less attention. A United Kingdom PICU used a positive-feedback programme, Learning from Excellence, to reinforce stewardship behaviours and observed 6.5% lower overall consumption and 17.6% lower meropenem consumption than in the corresponding period of the previous year, with improvements in some but not all targeted processes and no change in HAI rates (Jones et al., 2019). The single-centre design and historical comparison limit causal inference, but the study is notable for addressing the professional culture within </w:t>
      </w:r>
      <w:r>
        <w:lastRenderedPageBreak/>
        <w:t>which stewardship recommendations are received. Qualitative and implementation evidence on this dimension remains scarce in paediatric critical care.</w:t>
      </w:r>
    </w:p>
    <w:p w14:paraId="63A8D324" w14:textId="77777777" w:rsidR="00883E51" w:rsidRDefault="00000000">
      <w:pPr>
        <w:pStyle w:val="Heading2"/>
        <w:keepNext/>
        <w:spacing w:before="240" w:after="120"/>
      </w:pPr>
      <w:r>
        <w:t>4.4 Electronic Surveillance and Decision Support</w:t>
      </w:r>
    </w:p>
    <w:p w14:paraId="5EB8FF8B" w14:textId="77777777" w:rsidR="00883E51" w:rsidRDefault="00000000">
      <w:pPr>
        <w:spacing w:after="160" w:line="360" w:lineRule="auto"/>
        <w:jc w:val="both"/>
      </w:pPr>
      <w:r>
        <w:t>Electronic tools can extend the reach of small stewardship teams. A Brazilian tertiary PICU that introduced antimicrobial monitoring software reported decreased total consumption and reduced resistance proportions for several organism-drug combinations over a 12-year period (Oliveira da Silva et al., 2022). The long observation period increases the risk that unmeasured changes in infection control, case mix or laboratory practice contributed to the observed trends. Clinical decision support has been more rigorously studied in diagnostic stewardship, discussed in Section 5, and in pharmacokinetic dosing, discussed in Section 6. The limited PICU evidence on electronic prescribing interventions contrasts with the adult literature and represents a gap, particularly given that many PICUs in surveyed countries lacked electronic prescribing altogether (</w:t>
      </w:r>
      <w:proofErr w:type="spellStart"/>
      <w:r>
        <w:t>Paño</w:t>
      </w:r>
      <w:proofErr w:type="spellEnd"/>
      <w:r>
        <w:t>-Pardo et al., 2016).</w:t>
      </w:r>
    </w:p>
    <w:p w14:paraId="7A304DCF" w14:textId="77777777" w:rsidR="00883E51" w:rsidRDefault="00000000">
      <w:pPr>
        <w:spacing w:after="160" w:line="360" w:lineRule="auto"/>
        <w:jc w:val="both"/>
      </w:pPr>
      <w:r>
        <w:t>Table 3 compares the principal prescription-level strategies, their mechanisms and the strength of PICU-specific evidence. It shows that persuasive strategies have the most consistent support, but that nearly all evidence is derived from non-randomised designs and that safety has usually been assessed with outcome measures too insensitive to detect rare harms.</w:t>
      </w:r>
    </w:p>
    <w:p w14:paraId="2A2607FE" w14:textId="77777777" w:rsidR="00883E51" w:rsidRDefault="00000000">
      <w:pPr>
        <w:keepNext/>
        <w:spacing w:before="200" w:after="120"/>
      </w:pPr>
      <w:r>
        <w:rPr>
          <w:b/>
          <w:bCs/>
          <w:sz w:val="22"/>
          <w:szCs w:val="22"/>
        </w:rPr>
        <w:t>Table 3.</w:t>
      </w:r>
      <w:r>
        <w:rPr>
          <w:sz w:val="22"/>
          <w:szCs w:val="22"/>
        </w:rPr>
        <w:t xml:space="preserve"> Prescription-level stewardship strategies in paediatric intensive care: mechanisms, representative findings and evidential limitations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2"/>
        <w:gridCol w:w="1692"/>
        <w:gridCol w:w="2256"/>
        <w:gridCol w:w="1692"/>
        <w:gridCol w:w="1694"/>
      </w:tblGrid>
      <w:tr w:rsidR="00883E51" w14:paraId="28CF30BF" w14:textId="77777777">
        <w:trPr>
          <w:cantSplit/>
          <w:tblHeader/>
        </w:trPr>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00D769D" w14:textId="77777777" w:rsidR="00883E51" w:rsidRDefault="00000000">
            <w:r>
              <w:rPr>
                <w:b/>
                <w:bCs/>
                <w:sz w:val="18"/>
                <w:szCs w:val="18"/>
              </w:rPr>
              <w:t>Strategy</w:t>
            </w:r>
          </w:p>
        </w:tc>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F8C289E" w14:textId="77777777" w:rsidR="00883E51" w:rsidRDefault="00000000">
            <w:r>
              <w:rPr>
                <w:b/>
                <w:bCs/>
                <w:sz w:val="18"/>
                <w:szCs w:val="18"/>
              </w:rPr>
              <w:t>Principal mechanism</w:t>
            </w:r>
          </w:p>
        </w:tc>
        <w:tc>
          <w:tcPr>
            <w:tcW w:w="225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EFF2F74" w14:textId="77777777" w:rsidR="00883E51" w:rsidRDefault="00000000">
            <w:r>
              <w:rPr>
                <w:b/>
                <w:bCs/>
                <w:sz w:val="18"/>
                <w:szCs w:val="18"/>
              </w:rPr>
              <w:t>Representative PICU or paediatric findings</w:t>
            </w:r>
          </w:p>
        </w:tc>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4ECC714C" w14:textId="77777777" w:rsidR="00883E51" w:rsidRDefault="00000000">
            <w:r>
              <w:rPr>
                <w:b/>
                <w:bCs/>
                <w:sz w:val="18"/>
                <w:szCs w:val="18"/>
              </w:rPr>
              <w:t>Main evidential limitations</w:t>
            </w:r>
          </w:p>
        </w:tc>
        <w:tc>
          <w:tcPr>
            <w:tcW w:w="169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42349B4" w14:textId="77777777" w:rsidR="00883E51" w:rsidRDefault="00000000">
            <w:r>
              <w:rPr>
                <w:b/>
                <w:bCs/>
                <w:sz w:val="18"/>
                <w:szCs w:val="18"/>
              </w:rPr>
              <w:t>Supporting references</w:t>
            </w:r>
          </w:p>
        </w:tc>
      </w:tr>
      <w:tr w:rsidR="00883E51" w14:paraId="08F86E81"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8DC543" w14:textId="77777777" w:rsidR="00883E51" w:rsidRDefault="00000000">
            <w:r>
              <w:rPr>
                <w:sz w:val="18"/>
                <w:szCs w:val="18"/>
              </w:rPr>
              <w:t>Prospective audit with feedback</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D565D1" w14:textId="77777777" w:rsidR="00883E51" w:rsidRDefault="00000000">
            <w:r>
              <w:rPr>
                <w:sz w:val="18"/>
                <w:szCs w:val="18"/>
              </w:rPr>
              <w:t>Post-prescription review and recommendation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AFF1E5" w14:textId="77777777" w:rsidR="00883E51" w:rsidRDefault="00000000">
            <w:r>
              <w:rPr>
                <w:sz w:val="18"/>
                <w:szCs w:val="18"/>
              </w:rPr>
              <w:t>Reduced antipseudomonal use in an interrupted time series; high recommendation acceptance in a collaborative staffing model</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5DFB87A" w14:textId="77777777" w:rsidR="00883E51" w:rsidRDefault="00000000">
            <w:r>
              <w:rPr>
                <w:sz w:val="18"/>
                <w:szCs w:val="18"/>
              </w:rPr>
              <w:t>Mostly single-centre quasi-experimental designs; variable review frequency</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2B51BCD" w14:textId="77777777" w:rsidR="00883E51" w:rsidRDefault="00000000">
            <w:r w:rsidRPr="00EC5346">
              <w:rPr>
                <w:sz w:val="18"/>
                <w:szCs w:val="18"/>
                <w:lang w:val="nl-BE"/>
              </w:rPr>
              <w:t xml:space="preserve">Aizawa et al. (2018); Nguyen-Ha et al. </w:t>
            </w:r>
            <w:r>
              <w:rPr>
                <w:sz w:val="18"/>
                <w:szCs w:val="18"/>
              </w:rPr>
              <w:t>(2016)</w:t>
            </w:r>
          </w:p>
        </w:tc>
      </w:tr>
      <w:tr w:rsidR="00883E51" w14:paraId="47F9A43E"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B3F4F9" w14:textId="77777777" w:rsidR="00883E51" w:rsidRDefault="00000000">
            <w:r>
              <w:rPr>
                <w:sz w:val="18"/>
                <w:szCs w:val="18"/>
              </w:rPr>
              <w:t>Handshake stewardship</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C9D172" w14:textId="77777777" w:rsidR="00883E51" w:rsidRDefault="00000000">
            <w:r>
              <w:rPr>
                <w:sz w:val="18"/>
                <w:szCs w:val="18"/>
              </w:rPr>
              <w:t>Daily in-person review of all antimicrobials without restriction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74C5D9" w14:textId="77777777" w:rsidR="00883E51" w:rsidRDefault="00000000">
            <w:r>
              <w:rPr>
                <w:sz w:val="18"/>
                <w:szCs w:val="18"/>
              </w:rPr>
              <w:t>Sustained hospital-wide reduction over eight years; monthly decline in PICU consumption after adoption in Italy</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D701F4" w14:textId="77777777" w:rsidR="00883E51" w:rsidRDefault="00000000">
            <w:r>
              <w:rPr>
                <w:sz w:val="18"/>
                <w:szCs w:val="18"/>
              </w:rPr>
              <w:t>Uncontrolled time series; resource-intensive; pandemic-era confounding</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72CB9A" w14:textId="77777777" w:rsidR="00883E51" w:rsidRDefault="00000000">
            <w:r w:rsidRPr="00EC5346">
              <w:rPr>
                <w:sz w:val="18"/>
                <w:szCs w:val="18"/>
                <w:lang w:val="nl-BE"/>
              </w:rPr>
              <w:t xml:space="preserve">Hurst et al. (2016); Liberati et al. </w:t>
            </w:r>
            <w:r>
              <w:rPr>
                <w:sz w:val="18"/>
                <w:szCs w:val="18"/>
              </w:rPr>
              <w:t>(2025); MacBrayne et al. (2020)</w:t>
            </w:r>
          </w:p>
        </w:tc>
      </w:tr>
      <w:tr w:rsidR="00883E51" w14:paraId="30C7A645"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F1EBB6F" w14:textId="77777777" w:rsidR="00883E51" w:rsidRDefault="00000000">
            <w:r>
              <w:rPr>
                <w:sz w:val="18"/>
                <w:szCs w:val="18"/>
              </w:rPr>
              <w:t>Preauthorisation and formulary restriction</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097427" w14:textId="77777777" w:rsidR="00883E51" w:rsidRDefault="00000000">
            <w:r>
              <w:rPr>
                <w:sz w:val="18"/>
                <w:szCs w:val="18"/>
              </w:rPr>
              <w:t>Control of initiation of selected agents</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B9EC6A" w14:textId="77777777" w:rsidR="00883E51" w:rsidRDefault="00000000">
            <w:r>
              <w:rPr>
                <w:sz w:val="18"/>
                <w:szCs w:val="18"/>
              </w:rPr>
              <w:t>Used by a minority of surveyed units; limited PICU-specific evaluation</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AF55BB" w14:textId="77777777" w:rsidR="00883E51" w:rsidRDefault="00000000">
            <w:r>
              <w:rPr>
                <w:sz w:val="18"/>
                <w:szCs w:val="18"/>
              </w:rPr>
              <w:t>Risk of delaying urgent therapy; little comparative evidence</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78BBC1" w14:textId="77777777" w:rsidR="00883E51" w:rsidRDefault="00000000">
            <w:r>
              <w:rPr>
                <w:sz w:val="18"/>
                <w:szCs w:val="18"/>
              </w:rPr>
              <w:t>Araujo da Silva et al. (2018); Chattopadhyay et al. (2022)</w:t>
            </w:r>
          </w:p>
        </w:tc>
      </w:tr>
      <w:tr w:rsidR="00883E51" w14:paraId="5ACD8FE4"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425FA8" w14:textId="77777777" w:rsidR="00883E51" w:rsidRDefault="00000000">
            <w:r>
              <w:rPr>
                <w:sz w:val="18"/>
                <w:szCs w:val="18"/>
              </w:rPr>
              <w:t>Antimicrobial time-out at 48 to 72 h</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B5CB1E1" w14:textId="77777777" w:rsidR="00883E51" w:rsidRDefault="00000000">
            <w:r>
              <w:rPr>
                <w:sz w:val="18"/>
                <w:szCs w:val="18"/>
              </w:rPr>
              <w:t>Separation of continuation from initiation decisions</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E20FCB2" w14:textId="77777777" w:rsidR="00883E51" w:rsidRDefault="00000000">
            <w:r>
              <w:rPr>
                <w:sz w:val="18"/>
                <w:szCs w:val="18"/>
              </w:rPr>
              <w:t>Lower vancomycin and meropenem DOT; increased discontinuation in viral bronchiolitis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8B3186" w14:textId="77777777" w:rsidR="00883E51" w:rsidRDefault="00000000">
            <w:r>
              <w:rPr>
                <w:sz w:val="18"/>
                <w:szCs w:val="18"/>
              </w:rPr>
              <w:t>Small samples; no consistent effect on total duration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0F7BAFF" w14:textId="77777777" w:rsidR="00883E51" w:rsidRDefault="00000000">
            <w:r w:rsidRPr="00EC5346">
              <w:rPr>
                <w:sz w:val="18"/>
                <w:szCs w:val="18"/>
                <w:lang w:val="nl-BE"/>
              </w:rPr>
              <w:t xml:space="preserve">Adams et al. (2019); Aljassim et al. </w:t>
            </w:r>
            <w:r>
              <w:rPr>
                <w:sz w:val="18"/>
                <w:szCs w:val="18"/>
              </w:rPr>
              <w:t>(2022)</w:t>
            </w:r>
          </w:p>
        </w:tc>
      </w:tr>
      <w:tr w:rsidR="00883E51" w14:paraId="0332DFDC"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B161411" w14:textId="77777777" w:rsidR="00883E51" w:rsidRDefault="00000000">
            <w:r>
              <w:rPr>
                <w:sz w:val="18"/>
                <w:szCs w:val="18"/>
              </w:rPr>
              <w:lastRenderedPageBreak/>
              <w:t>Local protocols and guidelines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0C9BC7" w14:textId="77777777" w:rsidR="00883E51" w:rsidRDefault="00000000">
            <w:r>
              <w:rPr>
                <w:sz w:val="18"/>
                <w:szCs w:val="18"/>
              </w:rPr>
              <w:t>Standardisation of choice and duration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C105B3" w14:textId="77777777" w:rsidR="00883E51" w:rsidRDefault="00000000">
            <w:r>
              <w:rPr>
                <w:sz w:val="18"/>
                <w:szCs w:val="18"/>
              </w:rPr>
              <w:t>Protocol use associated with guideline compliance; more appropriate indications after programme adoption</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0466CB" w14:textId="77777777" w:rsidR="00883E51" w:rsidRDefault="00000000">
            <w:r>
              <w:rPr>
                <w:sz w:val="18"/>
                <w:szCs w:val="18"/>
              </w:rPr>
              <w:t>Observational associations; secular trends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E82727" w14:textId="77777777" w:rsidR="00883E51" w:rsidRDefault="00000000">
            <w:r w:rsidRPr="00EC5346">
              <w:rPr>
                <w:sz w:val="18"/>
                <w:szCs w:val="18"/>
                <w:lang w:val="nl-BE"/>
              </w:rPr>
              <w:t xml:space="preserve">Amadieu et al. (2024); Fresán-Ruiz et al. </w:t>
            </w:r>
            <w:r>
              <w:rPr>
                <w:sz w:val="18"/>
                <w:szCs w:val="18"/>
              </w:rPr>
              <w:t>(2022)</w:t>
            </w:r>
          </w:p>
        </w:tc>
      </w:tr>
      <w:tr w:rsidR="00883E51" w14:paraId="72FEF18F"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C2A27C" w14:textId="77777777" w:rsidR="00883E51" w:rsidRDefault="00000000">
            <w:r>
              <w:rPr>
                <w:sz w:val="18"/>
                <w:szCs w:val="18"/>
              </w:rPr>
              <w:t>Positive feedback and cultural interventions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E0454B" w14:textId="77777777" w:rsidR="00883E51" w:rsidRDefault="00000000">
            <w:r>
              <w:rPr>
                <w:sz w:val="18"/>
                <w:szCs w:val="18"/>
              </w:rPr>
              <w:t>Reinforcement of desired behaviour</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CF1B58" w14:textId="77777777" w:rsidR="00883E51" w:rsidRDefault="00000000">
            <w:r>
              <w:rPr>
                <w:sz w:val="18"/>
                <w:szCs w:val="18"/>
              </w:rPr>
              <w:t>Lower overall and meropenem consumption against the prior year</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58FBA7" w14:textId="77777777" w:rsidR="00883E51" w:rsidRDefault="00000000">
            <w:r>
              <w:rPr>
                <w:sz w:val="18"/>
                <w:szCs w:val="18"/>
              </w:rPr>
              <w:t>Single centre; historical comparison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BAF2BC" w14:textId="77777777" w:rsidR="00883E51" w:rsidRDefault="00000000">
            <w:r>
              <w:rPr>
                <w:sz w:val="18"/>
                <w:szCs w:val="18"/>
              </w:rPr>
              <w:t>Jones et al. (2019)</w:t>
            </w:r>
          </w:p>
        </w:tc>
      </w:tr>
      <w:tr w:rsidR="00883E51" w14:paraId="592F05F7"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85DDEE" w14:textId="77777777" w:rsidR="00883E51" w:rsidRDefault="00000000">
            <w:r>
              <w:rPr>
                <w:sz w:val="18"/>
                <w:szCs w:val="18"/>
              </w:rPr>
              <w:t>Electronic monitoring software</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9FCB5A" w14:textId="77777777" w:rsidR="00883E51" w:rsidRDefault="00000000">
            <w:r>
              <w:rPr>
                <w:sz w:val="18"/>
                <w:szCs w:val="18"/>
              </w:rPr>
              <w:t>Surveillance and alerting at scale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491803" w14:textId="77777777" w:rsidR="00883E51" w:rsidRDefault="00000000">
            <w:r>
              <w:rPr>
                <w:sz w:val="18"/>
                <w:szCs w:val="18"/>
              </w:rPr>
              <w:t>Lower consumption and resistance proportions over 12 years</w:t>
            </w:r>
          </w:p>
        </w:tc>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2AD62C" w14:textId="77777777" w:rsidR="00883E51" w:rsidRDefault="00000000">
            <w:r>
              <w:rPr>
                <w:sz w:val="18"/>
                <w:szCs w:val="18"/>
              </w:rPr>
              <w:t>Long uncontrolled period; multiple co-interventions likely</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96740D6" w14:textId="77777777" w:rsidR="00883E51" w:rsidRDefault="00000000">
            <w:r>
              <w:rPr>
                <w:sz w:val="18"/>
                <w:szCs w:val="18"/>
              </w:rPr>
              <w:t>Oliveira da Silva et al. (2022)</w:t>
            </w:r>
          </w:p>
        </w:tc>
      </w:tr>
    </w:tbl>
    <w:p w14:paraId="7C04C5B8" w14:textId="77777777" w:rsidR="00883E51" w:rsidRDefault="00000000">
      <w:pPr>
        <w:spacing w:before="80" w:after="240"/>
      </w:pPr>
      <w:r>
        <w:rPr>
          <w:sz w:val="18"/>
          <w:szCs w:val="18"/>
        </w:rPr>
        <w:t>Note. DOT = days of therapy; h = hours; PICU = paediatric intensive care unit. Findings are summarised qualitatively because outcome definitions and denominators differ across studies.</w:t>
      </w:r>
    </w:p>
    <w:p w14:paraId="5E2220BF" w14:textId="77777777" w:rsidR="00883E51" w:rsidRDefault="00000000">
      <w:pPr>
        <w:pStyle w:val="Heading1"/>
        <w:keepNext/>
        <w:spacing w:before="360" w:after="160"/>
      </w:pPr>
      <w:r>
        <w:t>5. Diagnostic Stewardship and Biomarker-Guided Decision-Making</w:t>
      </w:r>
    </w:p>
    <w:p w14:paraId="5E4F37CC" w14:textId="77777777" w:rsidR="00883E51" w:rsidRDefault="00000000">
      <w:pPr>
        <w:spacing w:after="160" w:line="360" w:lineRule="auto"/>
        <w:jc w:val="both"/>
      </w:pPr>
      <w:r>
        <w:t>Because diagnostic uncertainty is the principal driver of unnecessary exposure, interventions that change how infection is investigated may prevent antimicrobial use more effectively than interventions that review prescriptions after the fact. Diagnostic stewardship refers to the modification of test ordering, specimen collection, processing and reporting so that results are more likely to support correct treatment decisions (Sick-Samuels &amp; Woods-Hill, 2022). This section examines culture stewardship, biomarkers and rapid molecular diagnostics in turn.</w:t>
      </w:r>
    </w:p>
    <w:p w14:paraId="201C62FB" w14:textId="77777777" w:rsidR="00883E51" w:rsidRDefault="00000000">
      <w:pPr>
        <w:pStyle w:val="Heading2"/>
        <w:keepNext/>
        <w:spacing w:before="240" w:after="120"/>
      </w:pPr>
      <w:r>
        <w:t>5.1 Blood Culture Stewardship</w:t>
      </w:r>
    </w:p>
    <w:p w14:paraId="7C0DF0CD" w14:textId="77777777" w:rsidR="00883E51" w:rsidRDefault="00000000">
      <w:pPr>
        <w:spacing w:after="160" w:line="360" w:lineRule="auto"/>
        <w:jc w:val="both"/>
      </w:pPr>
      <w:r>
        <w:t>Blood cultures are obtained frequently in PICUs, but bloodstream infection is uncommon among cultured patients, and false-positive results caused by contamination can trigger unnecessary treatment. A single-centre clinical decision-support programme at a United States PICU reduced blood culture use, and a subsequent analysis evaluated antibiotic use as a balancing measure to confirm that fewer cultures did not lead clinicians to continue empirical therapy in the absence of results (Sick-Samuels et al., 2019). A modified Delphi process involving 29 multidisciplinary experts then produced 19 consensus recommendations describing when blood cultures can be safely avoided in PICU patients (Woods-Hill et al., 2021).</w:t>
      </w:r>
    </w:p>
    <w:p w14:paraId="3DDBDC76" w14:textId="77777777" w:rsidR="00883E51" w:rsidRDefault="00000000">
      <w:pPr>
        <w:spacing w:after="160" w:line="360" w:lineRule="auto"/>
        <w:jc w:val="both"/>
      </w:pPr>
      <w:r>
        <w:t xml:space="preserve">These recommendations were disseminated through the Bright STAR (Testing Stewardship for Antibiotic Reduction) collaborative, which provides the strongest multicentre evidence for any stewardship intervention in paediatric critical care. Across 14 PICUs in the United States, blood culture rates fell from 149.4 to 100.5 per 1,000 patient-days per month, a 33% relative reduction, and broad-spectrum antibiotic use fell by 13%, with an 8% relative reduction in new broad-spectrum initiations (Woods-Hill et al., 2022). Central line-associated bloodstream </w:t>
      </w:r>
      <w:r>
        <w:lastRenderedPageBreak/>
        <w:t>infection (CLABSI) rates declined by 36%, while mortality, length of stay, readmission and sepsis rates were similar before and after implementation (Woods-Hill et al., 2022). A follow-up report examined whether the reductions were maintained after the active phase of the collaborative (Woods-Hill et al., 2023), and an implementation analysis identified ten tasks critical to programme delivery and found that the strategies used in top-performing sites differed from those in lower-performing sites (Woods-Hill et al., 2024).</w:t>
      </w:r>
    </w:p>
    <w:p w14:paraId="36A57B9A" w14:textId="77777777" w:rsidR="00883E51" w:rsidRDefault="00000000">
      <w:pPr>
        <w:spacing w:after="160" w:line="360" w:lineRule="auto"/>
        <w:jc w:val="both"/>
      </w:pPr>
      <w:r>
        <w:t>The collaborative design, prespecified outcomes, use of an administrative comparator dataset and reporting of safety measures are important strengths. The absence of concurrent control units means that secular declines in culture use cannot be fully excluded, and the reduction in CLABSI may partly reflect reduced detection of low-grade bacteraemia rather than fewer true infections, an interpretive problem that affects any intervention that reduces testing. The safety analysis was also powered for common outcomes, so rare harms from missed bacteraemia cannot be excluded. Nevertheless, the consistency across diverse units and the explicit implementation analysis make blood culture stewardship the best-evidenced diagnostic stewardship intervention in this setting.</w:t>
      </w:r>
    </w:p>
    <w:p w14:paraId="05838988" w14:textId="77777777" w:rsidR="00883E51" w:rsidRDefault="00000000">
      <w:pPr>
        <w:pStyle w:val="Heading2"/>
        <w:keepNext/>
        <w:spacing w:before="240" w:after="120"/>
      </w:pPr>
      <w:r>
        <w:t>5.2 Endotracheal Aspirate Cultures and Ventilator-Associated Infection</w:t>
      </w:r>
    </w:p>
    <w:p w14:paraId="223FDDEE" w14:textId="77777777" w:rsidR="00883E51" w:rsidRDefault="00000000">
      <w:pPr>
        <w:spacing w:after="160" w:line="360" w:lineRule="auto"/>
        <w:jc w:val="both"/>
      </w:pPr>
      <w:r>
        <w:t>Endotracheal aspirate cultures pose a more difficult diagnostic problem because the airways of intubated children are rapidly colonised, and bacterial growth does not distinguish colonisation from infection (Sick-Samuels et al., 2021). Across 31 United States children's hospitals, the median rate of aspirate culture use was 46 per 1,000 ventilator-days, and hospitals that cultured more frequently also used more antibiotics per ventilated day, a correlation that is consistent with, but does not prove, culture-driven overtreatment (Prinzi et al., 2021). A single-centre decision-support algorithm reduced monthly aspirate culture rates by 41% without changes in mortality, readmission or length of stay (Sick-Samuels et al., 2021). In a second tertiary PICU, a consensus guideline developed through iterative improvement cycles halved culture rates and reduced treatment of VAI from 1.0 to 0.7 antibiotic courses per 100 ventilator-days, with no increase in mortality, length of stay, readmission or ventilator-associated pneumonia (</w:t>
      </w:r>
      <w:proofErr w:type="spellStart"/>
      <w:r>
        <w:t>Chiotos</w:t>
      </w:r>
      <w:proofErr w:type="spellEnd"/>
      <w:r>
        <w:t xml:space="preserve"> et al., 2024). The Bright STAR respiratory collaborative subsequently produced 30 consensus statements and 15 sub-statements covering testing indications, reasons to defer testing, specimen collection and interpretation of results (Sick-Samuels et al., 2025).</w:t>
      </w:r>
    </w:p>
    <w:p w14:paraId="0731BDCB" w14:textId="77777777" w:rsidR="00883E51" w:rsidRDefault="00000000">
      <w:pPr>
        <w:spacing w:after="160" w:line="360" w:lineRule="auto"/>
        <w:jc w:val="both"/>
      </w:pPr>
      <w:r>
        <w:t xml:space="preserve">A comprehensive algorithm for PICU patients with new fever or instability, addressing blood, respiratory and urine cultures together, was associated with reductions of 17%, 26% and 36% </w:t>
      </w:r>
      <w:r>
        <w:lastRenderedPageBreak/>
        <w:t>in the respective culture types and stable safety outcomes (Sick-Samuels et al., 2023). A subsequent record review found that algorithm-discordant testing declined from 39% to 30% and that simultaneous blood, respiratory and urine culturing, often termed pan-culturing, fell by about half, although urine cultures obtained without urinalysis did not decline (Linz et al., 2024). These results suggest that syndromic, multi-specimen algorithms can alter entrenched habits, but that individual components respond differently and require separate monitoring.</w:t>
      </w:r>
    </w:p>
    <w:p w14:paraId="1A4ACF6B" w14:textId="77777777" w:rsidR="00883E51" w:rsidRDefault="00000000">
      <w:pPr>
        <w:spacing w:after="160" w:line="360" w:lineRule="auto"/>
        <w:jc w:val="both"/>
      </w:pPr>
      <w:r>
        <w:t>The management decision after testing is equally important. In a 22-PICU study of ventilated children younger than 3 years with suspected VAI, an expert panel developed a score to guide whether antibiotics should be stopped or continued at 48 to 72 hours, recommending discontinuation for low scores, continuation for high scores and no recommendation for intermediate scores (Shein et al., 2019). The guideline was designed to be tested prospectively, and the intermediate zone in which no recommendation was possible illustrates the persisting uncertainty about VAI diagnosis in young children.</w:t>
      </w:r>
    </w:p>
    <w:p w14:paraId="4303F7F7" w14:textId="77777777" w:rsidR="00883E51" w:rsidRDefault="00000000">
      <w:pPr>
        <w:pStyle w:val="Heading2"/>
        <w:keepNext/>
        <w:spacing w:before="240" w:after="120"/>
      </w:pPr>
      <w:r>
        <w:t>5.3 Procalcitonin and Composite Biomarkers</w:t>
      </w:r>
    </w:p>
    <w:p w14:paraId="0A4C8C23" w14:textId="77777777" w:rsidR="00883E51" w:rsidRDefault="00000000">
      <w:pPr>
        <w:spacing w:after="160" w:line="360" w:lineRule="auto"/>
        <w:jc w:val="both"/>
      </w:pPr>
      <w:r>
        <w:t>Biomarkers offer a theoretically attractive route to reducing unnecessary therapy, but PICU evidence is inconsistent. In a prospective blinded study, procalcitonin was higher in confirmed bacterial infection than in low-suspicion cases, yet areas under the receiver operating characteristic curve ranged only from 0.63 to 0.71 and serial measurements did not predict infection with enough certainty to guide initiation or withholding of therapy (Mandell et al., 2016). Simply introducing the assay into a large academic PICU, without an algorithm, did not reduce antibiotic initiation or continuation beyond 72 hours (Ross et al., 2018).</w:t>
      </w:r>
    </w:p>
    <w:p w14:paraId="35A8C02E" w14:textId="77777777" w:rsidR="00883E51" w:rsidRDefault="00000000">
      <w:pPr>
        <w:spacing w:after="160" w:line="360" w:lineRule="auto"/>
        <w:jc w:val="both"/>
      </w:pPr>
      <w:r>
        <w:t>Algorithm-based approaches have produced mixed results. In the Optimizing Antibiotic Strategies in Sepsis (OASIS) cohort, combinations of low C-reactive protein (CRP) with low serum amyloid A or low procalcitonin had high negative predictive values for bacterial infection, and children without bacterial infection received a mean of 3.8 excess days of therapy (Downes et al., 2017). When an algorithm based on those findings was implemented, excess therapy fell among uninfected children whose biomarkers were below the thresholds, but overall exposure among all uninfected children did not change (Downes et al., 2020). A pragmatic single-centre trial that assigned PICU patients monthly to a procalcitonin algorithm with stewardship support or to usual care found no significant difference in days of therapy, despite 70% adherence to algorithm-based recommendations; the trial was acknowledged to be underpowered, and both arms received routine audit and feedback (Katz et al., 2021).</w:t>
      </w:r>
    </w:p>
    <w:p w14:paraId="25E177A9" w14:textId="77777777" w:rsidR="00883E51" w:rsidRDefault="00000000">
      <w:pPr>
        <w:spacing w:after="160" w:line="360" w:lineRule="auto"/>
        <w:jc w:val="both"/>
      </w:pPr>
      <w:r>
        <w:lastRenderedPageBreak/>
        <w:t>Positive findings come mainly from narrower populations and before-and-after designs. After cardiopulmonary bypass, a protocol based on proportional declines in procalcitonin from its peak was associated with more frequent de-escalation, 1.1 fewer days of antibiotic treatment and more antibiotic-free days in the PICU, without adverse outcomes (</w:t>
      </w:r>
      <w:proofErr w:type="spellStart"/>
      <w:r>
        <w:t>Bobillo</w:t>
      </w:r>
      <w:proofErr w:type="spellEnd"/>
      <w:r>
        <w:t>-Perez et al., 2019). An Indian study of children with sepsis and lower respiratory tract infection reported shorter antibiotic duration and hospital stay with a procalcitonin-guided protocol compared with a historical control group (Kanungo et al., 2025). The most important recent evidence is the Biomarker-guided duration of Antibiotic Treatment in Children hospitalised with confirmed or suspected bacterial infection (BATCH) trial, which randomised 1,949 hospitalised children, including those in PICUs, at 15 hospitals in the United Kingdom. The procalcitonin-guided algorithm was non-inferior for safety but did not shorten intravenous antibiotic duration, which had medians of 96.0 and 99.7 hours in the two groups, and it was not cost-effective (Waldron et al., 2025). Adherence to the algorithm was only 57.2%, and the leading recruiting sites already had robust stewardship programmes (Waldron et al., 2025).</w:t>
      </w:r>
    </w:p>
    <w:p w14:paraId="55B844CB" w14:textId="77777777" w:rsidR="00883E51" w:rsidRDefault="00000000">
      <w:pPr>
        <w:spacing w:after="160" w:line="360" w:lineRule="auto"/>
        <w:jc w:val="both"/>
      </w:pPr>
      <w:r>
        <w:t>These discrepancies are interpretable. Biomarkers appear most useful when three conditions are met: the population has a high prevalence of non-infectious inflammation, as after cardiac surgery; baseline durations are long enough to leave room for improvement; and clinicians trust and follow the algorithm. Where stewardship is already effective, or where adherence is low, biomarkers add little. Expert guidance now emphasises that procalcitonin must be interpreted in relation to clinical context, timing and conditions such as surgery, extracorporeal support and kidney replacement therapy that alter its kinetics (</w:t>
      </w:r>
      <w:proofErr w:type="spellStart"/>
      <w:r>
        <w:t>Tissières</w:t>
      </w:r>
      <w:proofErr w:type="spellEnd"/>
      <w:r>
        <w:t xml:space="preserve"> et al., 2025). The evidence supports procalcitonin as an adjunct to structured reassessment in selected populations, not as a stand-alone stewardship tool.</w:t>
      </w:r>
    </w:p>
    <w:p w14:paraId="1933F4A4" w14:textId="77777777" w:rsidR="00883E51" w:rsidRDefault="00000000">
      <w:pPr>
        <w:pStyle w:val="Heading2"/>
        <w:keepNext/>
        <w:spacing w:before="240" w:after="120"/>
      </w:pPr>
      <w:r>
        <w:t>5.4 Rapid Molecular Diagnostics, Metagenomics and Predictive Models</w:t>
      </w:r>
    </w:p>
    <w:p w14:paraId="793D09B2" w14:textId="77777777" w:rsidR="00883E51" w:rsidRDefault="00000000">
      <w:pPr>
        <w:spacing w:after="160" w:line="360" w:lineRule="auto"/>
        <w:jc w:val="both"/>
      </w:pPr>
      <w:r>
        <w:t>Molecular platforms may shorten the interval during which empirical therapy is given without microbiological guidance. In a United Kingdom PICU cohort of 100 ventilated children, a 52-pathogen TaqMan Array Card applied to non-</w:t>
      </w:r>
      <w:proofErr w:type="spellStart"/>
      <w:r>
        <w:t>bronchoscopic</w:t>
      </w:r>
      <w:proofErr w:type="spellEnd"/>
      <w:r>
        <w:t xml:space="preserve"> lavage samples had a sensitivity of 89.5% and specificity of 97.9% relative to culture and returned results in a median of 25.8 hours, compared with 110.4 hours for positive cultures (Clark et al., 2023). A French PICU study of a multiplex polymerase chain reaction panel on blind bronchial samples reported sensitivity of 92%, specificity of 95% and results within a median of 3.9 hours, compared with 60.5 hours for conventional susceptibility testing (</w:t>
      </w:r>
      <w:proofErr w:type="spellStart"/>
      <w:r>
        <w:t>Geslain</w:t>
      </w:r>
      <w:proofErr w:type="spellEnd"/>
      <w:r>
        <w:t xml:space="preserve"> et al., 2024). Both studies established diagnostic performance and speed; neither was designed to demonstrate that faster </w:t>
      </w:r>
      <w:r>
        <w:lastRenderedPageBreak/>
        <w:t>results improve prescribing or outcomes. Evidence from a predominantly adult population is cautionary in this respect: in a randomised trial of rapid susceptibility testing for Gram-negative bacteraemia conducted at seven centres in Greece, India, Israel and Spain, with stewardship review in both arms, rapid testing did not improve a ranked composite of 30-day outcomes, although it shortened the time to escalation or de-escalation by 14 hours (Banerjee et al., 2026).</w:t>
      </w:r>
    </w:p>
    <w:p w14:paraId="35A9F4DD" w14:textId="77777777" w:rsidR="00883E51" w:rsidRDefault="00000000">
      <w:pPr>
        <w:spacing w:after="160" w:line="360" w:lineRule="auto"/>
        <w:jc w:val="both"/>
      </w:pPr>
      <w:r>
        <w:t>Metagenomic sequencing illustrates both the promise and the interpretive difficulty of highly sensitive diagnostics. In a multicentre United States study of ventilated children, combining culture, viral polymerase chain reaction and metagenomic sequencing identified a presumptive microbiological cause in 92% of children with lower respiratory tract infection, but potentially pathogenic organisms were also carried incidentally by 68% of children without such infection (</w:t>
      </w:r>
      <w:proofErr w:type="spellStart"/>
      <w:r>
        <w:t>Tsitsiklis</w:t>
      </w:r>
      <w:proofErr w:type="spellEnd"/>
      <w:r>
        <w:t xml:space="preserve"> et al., 2022). Integrating host gene-expression signatures with microbial data achieved a median area under the curve of 0.986 for diagnosing lower respiratory tract infection (Mick et al., 2023). Such approaches may eventually allow clinicians to distinguish infection from colonisation, but they remain research tools, and their cost, turnaround time and effect on prescribing have not been evaluated in routine PICU care.</w:t>
      </w:r>
    </w:p>
    <w:p w14:paraId="54239E39" w14:textId="77777777" w:rsidR="00883E51" w:rsidRDefault="00000000">
      <w:pPr>
        <w:spacing w:after="160" w:line="360" w:lineRule="auto"/>
        <w:jc w:val="both"/>
      </w:pPr>
      <w:r>
        <w:t>Machine-learning models represent a further frontier. A model developed at one PICU identified children at low risk of serious bacterial infection at admission and estimated that some antibiotic-days could have been avoided, with better discrimination among children already exposed to antibiotics than among those who were not (Martin et al., 2022). A gradient-boosting model subsequently identified more than a quarter of blood cultures that would prove negative, with a negative predictive value of 0.993 in temporal validation (Martin et al., 2025). A Brazilian model reported near-perfect accuracy for predicting bloodstream infection, but it was derived from only 76 patients, which raises a high risk of overfitting (</w:t>
      </w:r>
      <w:proofErr w:type="spellStart"/>
      <w:r>
        <w:t>Liporaci</w:t>
      </w:r>
      <w:proofErr w:type="spellEnd"/>
      <w:r>
        <w:t xml:space="preserve"> et al., 2024). None of these models has been evaluated prospectively for its effect on antimicrobial use, and their generalisability across institutions is unknown.</w:t>
      </w:r>
    </w:p>
    <w:p w14:paraId="7579C5AC" w14:textId="77777777" w:rsidR="00883E51" w:rsidRDefault="00000000">
      <w:pPr>
        <w:spacing w:after="160" w:line="360" w:lineRule="auto"/>
        <w:jc w:val="both"/>
      </w:pPr>
      <w:r>
        <w:t>Table 4 summarises the diagnostic and biomarker evidence, placing conflicting findings alongside their likely explanations. The table indicates that the best-supported diagnostic interventions are those that reduce inappropriate testing, whereas technologies that increase diagnostic information have not yet shown that they change prescribing.</w:t>
      </w:r>
    </w:p>
    <w:p w14:paraId="5BA156F0" w14:textId="77777777" w:rsidR="00883E51" w:rsidRDefault="00000000">
      <w:pPr>
        <w:keepNext/>
        <w:spacing w:before="200" w:after="120"/>
      </w:pPr>
      <w:r>
        <w:rPr>
          <w:b/>
          <w:bCs/>
          <w:sz w:val="22"/>
          <w:szCs w:val="22"/>
        </w:rPr>
        <w:lastRenderedPageBreak/>
        <w:t>Table 4.</w:t>
      </w:r>
      <w:r>
        <w:rPr>
          <w:sz w:val="22"/>
          <w:szCs w:val="22"/>
        </w:rPr>
        <w:t xml:space="preserve"> Diagnostic stewardship and biomarker evidence in paediatric intensive care: convergent findings, conflicts and probable explanations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4"/>
        <w:gridCol w:w="2578"/>
        <w:gridCol w:w="2578"/>
        <w:gridCol w:w="1936"/>
      </w:tblGrid>
      <w:tr w:rsidR="00883E51" w14:paraId="2A647D1F" w14:textId="77777777">
        <w:trPr>
          <w:cantSplit/>
          <w:tblHeader/>
        </w:trPr>
        <w:tc>
          <w:tcPr>
            <w:tcW w:w="193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7910DFA" w14:textId="77777777" w:rsidR="00883E51" w:rsidRDefault="00000000">
            <w:r>
              <w:rPr>
                <w:b/>
                <w:bCs/>
                <w:sz w:val="18"/>
                <w:szCs w:val="18"/>
              </w:rPr>
              <w:t>Approach</w:t>
            </w:r>
          </w:p>
        </w:tc>
        <w:tc>
          <w:tcPr>
            <w:tcW w:w="257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2D21306" w14:textId="77777777" w:rsidR="00883E51" w:rsidRDefault="00000000">
            <w:r>
              <w:rPr>
                <w:b/>
                <w:bCs/>
                <w:sz w:val="18"/>
                <w:szCs w:val="18"/>
              </w:rPr>
              <w:t>Principal findings</w:t>
            </w:r>
          </w:p>
        </w:tc>
        <w:tc>
          <w:tcPr>
            <w:tcW w:w="257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030B9E8" w14:textId="77777777" w:rsidR="00883E51" w:rsidRDefault="00000000">
            <w:r>
              <w:rPr>
                <w:b/>
                <w:bCs/>
                <w:sz w:val="18"/>
                <w:szCs w:val="18"/>
              </w:rPr>
              <w:t>Conflicts or uncertainties and probable explanations</w:t>
            </w:r>
          </w:p>
        </w:tc>
        <w:tc>
          <w:tcPr>
            <w:tcW w:w="193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8589BF9" w14:textId="77777777" w:rsidR="00883E51" w:rsidRDefault="00000000">
            <w:r>
              <w:rPr>
                <w:b/>
                <w:bCs/>
                <w:sz w:val="18"/>
                <w:szCs w:val="18"/>
              </w:rPr>
              <w:t>Supporting references</w:t>
            </w:r>
          </w:p>
        </w:tc>
      </w:tr>
      <w:tr w:rsidR="00883E51" w14:paraId="081CEB72"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20D212" w14:textId="77777777" w:rsidR="00883E51" w:rsidRDefault="00000000">
            <w:r>
              <w:rPr>
                <w:sz w:val="18"/>
                <w:szCs w:val="18"/>
              </w:rPr>
              <w:t>Blood culture stewardship</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27E524" w14:textId="77777777" w:rsidR="00883E51" w:rsidRDefault="00000000">
            <w:r>
              <w:rPr>
                <w:sz w:val="18"/>
                <w:szCs w:val="18"/>
              </w:rPr>
              <w:t>Multicentre reductions in culture rates and broad-spectrum use with stable safety outcomes; sustainability and implementation tasks described</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8E5F70" w14:textId="77777777" w:rsidR="00883E51" w:rsidRDefault="00000000">
            <w:r>
              <w:rPr>
                <w:sz w:val="18"/>
                <w:szCs w:val="18"/>
              </w:rPr>
              <w:t>No concurrent controls; reduced detection may contribute to lower CLABSI rates; rare harms not excluded</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EFF87E" w14:textId="77777777" w:rsidR="00883E51" w:rsidRDefault="00000000">
            <w:r>
              <w:rPr>
                <w:sz w:val="18"/>
                <w:szCs w:val="18"/>
              </w:rPr>
              <w:t>Woods-Hill et al. (2021); Woods-Hill et al. (2022); Woods-Hill et al. (2024)</w:t>
            </w:r>
          </w:p>
        </w:tc>
      </w:tr>
      <w:tr w:rsidR="00883E51" w14:paraId="2C360558"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8811695" w14:textId="77777777" w:rsidR="00883E51" w:rsidRDefault="00000000">
            <w:r>
              <w:rPr>
                <w:sz w:val="18"/>
                <w:szCs w:val="18"/>
              </w:rPr>
              <w:t>Endotracheal aspirate culture stewardship</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B4C255F" w14:textId="77777777" w:rsidR="00883E51" w:rsidRDefault="00000000">
            <w:r>
              <w:rPr>
                <w:sz w:val="18"/>
                <w:szCs w:val="18"/>
              </w:rPr>
              <w:t>Lower culture rates and fewer VAI treatment courses; consensus statements for testing and interpretation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42A625" w14:textId="77777777" w:rsidR="00883E51" w:rsidRDefault="00000000">
            <w:r>
              <w:rPr>
                <w:sz w:val="18"/>
                <w:szCs w:val="18"/>
              </w:rPr>
              <w:t>Correlation between culture and antibiotic rates is ecological; intermediate-risk VAI remains unresolved</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EECC45E" w14:textId="77777777" w:rsidR="00883E51" w:rsidRDefault="00000000">
            <w:r w:rsidRPr="00EC5346">
              <w:rPr>
                <w:sz w:val="18"/>
                <w:szCs w:val="18"/>
                <w:lang w:val="nl-BE"/>
              </w:rPr>
              <w:t xml:space="preserve">Chiotos et al. (2024); Prinzi et al. (2021); Shein et al. (2019); Sick-Samuels et al. </w:t>
            </w:r>
            <w:r>
              <w:rPr>
                <w:sz w:val="18"/>
                <w:szCs w:val="18"/>
              </w:rPr>
              <w:t>(2025)</w:t>
            </w:r>
          </w:p>
        </w:tc>
      </w:tr>
      <w:tr w:rsidR="00883E51" w14:paraId="157E2D7F"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77C77A" w14:textId="77777777" w:rsidR="00883E51" w:rsidRDefault="00000000">
            <w:r>
              <w:rPr>
                <w:sz w:val="18"/>
                <w:szCs w:val="18"/>
              </w:rPr>
              <w:t>Syndromic fever algorithms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2C6A3D" w14:textId="77777777" w:rsidR="00883E51" w:rsidRDefault="00000000">
            <w:r>
              <w:rPr>
                <w:sz w:val="18"/>
                <w:szCs w:val="18"/>
              </w:rPr>
              <w:t>Fewer blood, respiratory and urine cultures; fewer pan-cultures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F4749C" w14:textId="77777777" w:rsidR="00883E51" w:rsidRDefault="00000000">
            <w:r>
              <w:rPr>
                <w:sz w:val="18"/>
                <w:szCs w:val="18"/>
              </w:rPr>
              <w:t>Components respond unequally; single-centre evidence</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02A6555" w14:textId="77777777" w:rsidR="00883E51" w:rsidRDefault="00000000">
            <w:r w:rsidRPr="00EC5346">
              <w:rPr>
                <w:sz w:val="18"/>
                <w:szCs w:val="18"/>
                <w:lang w:val="nl-BE"/>
              </w:rPr>
              <w:t xml:space="preserve">Linz et al. (2024); Sick-Samuels et al. </w:t>
            </w:r>
            <w:r>
              <w:rPr>
                <w:sz w:val="18"/>
                <w:szCs w:val="18"/>
              </w:rPr>
              <w:t>(2023)</w:t>
            </w:r>
          </w:p>
        </w:tc>
      </w:tr>
      <w:tr w:rsidR="00883E51" w14:paraId="7B300117"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A41CC8" w14:textId="77777777" w:rsidR="00883E51" w:rsidRDefault="00000000">
            <w:r>
              <w:rPr>
                <w:sz w:val="18"/>
                <w:szCs w:val="18"/>
              </w:rPr>
              <w:t>Procalcitonin without algorithm</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6F0EE9C" w14:textId="77777777" w:rsidR="00883E51" w:rsidRDefault="00000000">
            <w:r>
              <w:rPr>
                <w:sz w:val="18"/>
                <w:szCs w:val="18"/>
              </w:rPr>
              <w:t>No change in initiation or continuation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FEBB3A" w14:textId="77777777" w:rsidR="00883E51" w:rsidRDefault="00000000">
            <w:r>
              <w:rPr>
                <w:sz w:val="18"/>
                <w:szCs w:val="18"/>
              </w:rPr>
              <w:t>Poor discrimination in heterogeneous PICU populations</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6170C4" w14:textId="77777777" w:rsidR="00883E51" w:rsidRDefault="00000000">
            <w:r w:rsidRPr="00EC5346">
              <w:rPr>
                <w:sz w:val="18"/>
                <w:szCs w:val="18"/>
                <w:lang w:val="nl-BE"/>
              </w:rPr>
              <w:t xml:space="preserve">Mandell et al. (2016); Ross et al. </w:t>
            </w:r>
            <w:r>
              <w:rPr>
                <w:sz w:val="18"/>
                <w:szCs w:val="18"/>
              </w:rPr>
              <w:t>(2018)</w:t>
            </w:r>
          </w:p>
        </w:tc>
      </w:tr>
      <w:tr w:rsidR="00883E51" w14:paraId="02216741"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A6D327" w14:textId="77777777" w:rsidR="00883E51" w:rsidRDefault="00000000">
            <w:r>
              <w:rPr>
                <w:sz w:val="18"/>
                <w:szCs w:val="18"/>
              </w:rPr>
              <w:t>Procalcitonin or composite biomarker algorithms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9FF6C7D" w14:textId="77777777" w:rsidR="00883E51" w:rsidRDefault="00000000">
            <w:r>
              <w:rPr>
                <w:sz w:val="18"/>
                <w:szCs w:val="18"/>
              </w:rPr>
              <w:t>Shorter courses after cardiac surgery and in some before-and-after studies; reduced excess therapy when both markers low</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F1D1D9" w14:textId="77777777" w:rsidR="00883E51" w:rsidRDefault="00000000">
            <w:r>
              <w:rPr>
                <w:sz w:val="18"/>
                <w:szCs w:val="18"/>
              </w:rPr>
              <w:t>Null results in a PICU trial and in the BATCH trial; low adherence and strong baseline stewardship reduce effect</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0C54E3" w14:textId="77777777" w:rsidR="00883E51" w:rsidRDefault="00000000">
            <w:r w:rsidRPr="00EC5346">
              <w:rPr>
                <w:sz w:val="18"/>
                <w:szCs w:val="18"/>
                <w:lang w:val="nl-BE"/>
              </w:rPr>
              <w:t xml:space="preserve">Bobillo-Perez et al. (2019); Downes et al. (2020); Katz et al. </w:t>
            </w:r>
            <w:r>
              <w:rPr>
                <w:sz w:val="18"/>
                <w:szCs w:val="18"/>
              </w:rPr>
              <w:t>(2021); Waldron et al. (2025)</w:t>
            </w:r>
          </w:p>
        </w:tc>
      </w:tr>
      <w:tr w:rsidR="00883E51" w14:paraId="624A5B6B"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82D379" w14:textId="77777777" w:rsidR="00883E51" w:rsidRDefault="00000000">
            <w:r>
              <w:rPr>
                <w:sz w:val="18"/>
                <w:szCs w:val="18"/>
              </w:rPr>
              <w:t>Rapid molecular panels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F79EE6" w14:textId="77777777" w:rsidR="00883E51" w:rsidRDefault="00000000">
            <w:r>
              <w:rPr>
                <w:sz w:val="18"/>
                <w:szCs w:val="18"/>
              </w:rPr>
              <w:t>High sensitivity and specificity; results hours to days earlier than culture</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D97DB81" w14:textId="77777777" w:rsidR="00883E51" w:rsidRDefault="00000000">
            <w:r>
              <w:rPr>
                <w:sz w:val="18"/>
                <w:szCs w:val="18"/>
              </w:rPr>
              <w:t>Prescribing and outcome effects not shown in children; trial in a predominantly adult population did not improve overall outcomes</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CCF11A" w14:textId="77777777" w:rsidR="00883E51" w:rsidRDefault="00000000">
            <w:r w:rsidRPr="00EC5346">
              <w:rPr>
                <w:sz w:val="18"/>
                <w:szCs w:val="18"/>
                <w:lang w:val="nl-BE"/>
              </w:rPr>
              <w:t xml:space="preserve">Banerjee et al. (2026); Clark et al. </w:t>
            </w:r>
            <w:r>
              <w:rPr>
                <w:sz w:val="18"/>
                <w:szCs w:val="18"/>
              </w:rPr>
              <w:t xml:space="preserve">(2023); </w:t>
            </w:r>
            <w:proofErr w:type="spellStart"/>
            <w:r>
              <w:rPr>
                <w:sz w:val="18"/>
                <w:szCs w:val="18"/>
              </w:rPr>
              <w:t>Geslain</w:t>
            </w:r>
            <w:proofErr w:type="spellEnd"/>
            <w:r>
              <w:rPr>
                <w:sz w:val="18"/>
                <w:szCs w:val="18"/>
              </w:rPr>
              <w:t xml:space="preserve"> et al. (2024)</w:t>
            </w:r>
          </w:p>
        </w:tc>
      </w:tr>
      <w:tr w:rsidR="00883E51" w14:paraId="6F78FBAF"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A20411" w14:textId="77777777" w:rsidR="00883E51" w:rsidRDefault="00000000">
            <w:r>
              <w:rPr>
                <w:sz w:val="18"/>
                <w:szCs w:val="18"/>
              </w:rPr>
              <w:t>Metagenomics and host signatures</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82E51B" w14:textId="77777777" w:rsidR="00883E51" w:rsidRDefault="00000000">
            <w:r>
              <w:rPr>
                <w:sz w:val="18"/>
                <w:szCs w:val="18"/>
              </w:rPr>
              <w:t>High diagnostic yield and discrimination for lower respiratory tract infection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9C09FC" w14:textId="77777777" w:rsidR="00883E51" w:rsidRDefault="00000000">
            <w:r>
              <w:rPr>
                <w:sz w:val="18"/>
                <w:szCs w:val="18"/>
              </w:rPr>
              <w:t>Frequent incidental carriage; cost and turnaround not evaluated in practice</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37E5D6" w14:textId="77777777" w:rsidR="00883E51" w:rsidRDefault="00000000">
            <w:r w:rsidRPr="00EC5346">
              <w:rPr>
                <w:sz w:val="18"/>
                <w:szCs w:val="18"/>
                <w:lang w:val="nl-BE"/>
              </w:rPr>
              <w:t xml:space="preserve">Mick et al. (2023); Tsitsiklis et al. </w:t>
            </w:r>
            <w:r>
              <w:rPr>
                <w:sz w:val="18"/>
                <w:szCs w:val="18"/>
              </w:rPr>
              <w:t>(2022)</w:t>
            </w:r>
          </w:p>
        </w:tc>
      </w:tr>
      <w:tr w:rsidR="00883E51" w14:paraId="1FAE6B39" w14:textId="77777777">
        <w:trPr>
          <w:cantSplit/>
        </w:trPr>
        <w:tc>
          <w:tcPr>
            <w:tcW w:w="19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5C6A94" w14:textId="77777777" w:rsidR="00883E51" w:rsidRDefault="00000000">
            <w:r>
              <w:rPr>
                <w:sz w:val="18"/>
                <w:szCs w:val="18"/>
              </w:rPr>
              <w:t>Machine-learning prediction</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7168EF" w14:textId="77777777" w:rsidR="00883E51" w:rsidRDefault="00000000">
            <w:r>
              <w:rPr>
                <w:sz w:val="18"/>
                <w:szCs w:val="18"/>
              </w:rPr>
              <w:t>Identification of low-risk children and avoidable cultures in retrospective data</w:t>
            </w:r>
          </w:p>
        </w:tc>
        <w:tc>
          <w:tcPr>
            <w:tcW w:w="25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D3895F" w14:textId="77777777" w:rsidR="00883E51" w:rsidRDefault="00000000">
            <w:r>
              <w:rPr>
                <w:sz w:val="18"/>
                <w:szCs w:val="18"/>
              </w:rPr>
              <w:t>Single-centre development; small samples; no prospective impact evaluation</w:t>
            </w:r>
          </w:p>
        </w:tc>
        <w:tc>
          <w:tcPr>
            <w:tcW w:w="193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49AE3E" w14:textId="77777777" w:rsidR="00883E51" w:rsidRDefault="00000000">
            <w:r w:rsidRPr="00EC5346">
              <w:rPr>
                <w:sz w:val="18"/>
                <w:szCs w:val="18"/>
                <w:lang w:val="nl-BE"/>
              </w:rPr>
              <w:t xml:space="preserve">Liporaci et al. (2024); Martin et al. </w:t>
            </w:r>
            <w:r>
              <w:rPr>
                <w:sz w:val="18"/>
                <w:szCs w:val="18"/>
              </w:rPr>
              <w:t>(2022); Martin et al. (2025)</w:t>
            </w:r>
          </w:p>
        </w:tc>
      </w:tr>
    </w:tbl>
    <w:p w14:paraId="0154365D" w14:textId="77777777" w:rsidR="00883E51" w:rsidRDefault="00000000">
      <w:pPr>
        <w:spacing w:before="80" w:after="240"/>
      </w:pPr>
      <w:r>
        <w:rPr>
          <w:sz w:val="18"/>
          <w:szCs w:val="18"/>
        </w:rPr>
        <w:t>Note. BATCH = Biomarker-guided duration of Antibiotic Treatment in Children hospitalised with confirmed or suspected bacterial infection trial; CLABSI = central line-associated bloodstream infection; PICU = paediatric intensive care unit; VAI = ventilator-associated infection.</w:t>
      </w:r>
    </w:p>
    <w:p w14:paraId="16B63A4C" w14:textId="77777777" w:rsidR="00883E51" w:rsidRDefault="00000000">
      <w:pPr>
        <w:pStyle w:val="Heading1"/>
        <w:keepNext/>
        <w:spacing w:before="360" w:after="160"/>
      </w:pPr>
      <w:r>
        <w:t>6. Optimising Exposure: Dosing, Duration, De-escalation and Antifungal Stewardship</w:t>
      </w:r>
    </w:p>
    <w:p w14:paraId="67E7250A" w14:textId="77777777" w:rsidR="00883E51" w:rsidRDefault="00000000">
      <w:pPr>
        <w:spacing w:after="160" w:line="360" w:lineRule="auto"/>
        <w:jc w:val="both"/>
      </w:pPr>
      <w:r>
        <w:t>Stewardship is often equated with using fewer antimicrobials, but in critically ill children the problem of under-exposure is at least as well documented as that of over-exposure. This section examines the pharmacological and temporal dimensions of stewardship, including antifungal therapy.</w:t>
      </w:r>
    </w:p>
    <w:p w14:paraId="2984D527" w14:textId="77777777" w:rsidR="00883E51" w:rsidRDefault="00000000">
      <w:pPr>
        <w:pStyle w:val="Heading2"/>
        <w:keepNext/>
        <w:spacing w:before="240" w:after="120"/>
      </w:pPr>
      <w:r>
        <w:t>6.1 Target Attainment and Therapeutic Drug Monitoring</w:t>
      </w:r>
    </w:p>
    <w:p w14:paraId="67F1F329" w14:textId="77777777" w:rsidR="00883E51" w:rsidRDefault="00000000">
      <w:pPr>
        <w:spacing w:after="160" w:line="360" w:lineRule="auto"/>
        <w:jc w:val="both"/>
      </w:pPr>
      <w:r>
        <w:t xml:space="preserve">Critical illness alters volume of distribution and clearance in ways that standard paediatric dosing does not anticipate. In a Philadelphia cohort of children with sepsis or extracorporeal therapy, 95% of patients had sub-therapeutic β-lactam concentrations under contemporary </w:t>
      </w:r>
      <w:r>
        <w:lastRenderedPageBreak/>
        <w:t>dosing recommendations before therapeutic drug monitoring (TDM) was applied, and all infected patients subsequently achieved a microbiological response with active TDM-guided management (Cies et al., 2018). In a Belgian post hoc analysis, sub-therapeutic trough concentrations were found in 65% of children treated with amoxicillin-clavulanic acid, 90% of those treated with piperacillin-tazobactam and 71% of those treated with meropenem, and higher estimated glomerular filtration rate and absence of vasopressor treatment independently predicted target non-attainment (Van Der Heggen et al., 2022). A Dutch prospective study reported that only 27.6% of PICU patients achieved unbound concentrations above the epidemiological cut-off for the whole dosing interval, with estimated glomerular filtration rate of at least 90 mL/min/1.73 m² identified as a risk factor (</w:t>
      </w:r>
      <w:proofErr w:type="spellStart"/>
      <w:r>
        <w:t>Schouwenburg</w:t>
      </w:r>
      <w:proofErr w:type="spellEnd"/>
      <w:r>
        <w:t xml:space="preserve"> et al., 2026). Vancomycin shows a similar pattern: in an Australian paediatric and neonatal intensive care cohort, only 30% of courses reached the target trough concentration at the first steady-state sample, and doses were adjusted in only 56% of courses with out-of-range concentrations (</w:t>
      </w:r>
      <w:proofErr w:type="spellStart"/>
      <w:r>
        <w:t>Sosnin</w:t>
      </w:r>
      <w:proofErr w:type="spellEnd"/>
      <w:r>
        <w:t xml:space="preserve"> et al., 2019).</w:t>
      </w:r>
    </w:p>
    <w:p w14:paraId="480A5C5D" w14:textId="77777777" w:rsidR="00883E51" w:rsidRDefault="00000000">
      <w:pPr>
        <w:spacing w:after="160" w:line="360" w:lineRule="auto"/>
        <w:jc w:val="both"/>
      </w:pPr>
      <w:r>
        <w:t>These studies consistently show that under-exposure is common, but none has demonstrated that correcting it improves clinical outcomes. The Belgian and Dutch analyses found no association between target non-attainment and clinical failure or intensive care length of stay respectively (</w:t>
      </w:r>
      <w:proofErr w:type="spellStart"/>
      <w:r>
        <w:t>Schouwenburg</w:t>
      </w:r>
      <w:proofErr w:type="spellEnd"/>
      <w:r>
        <w:t xml:space="preserve"> et al., 2026; Van Der Heggen et al., 2022). This absence of association should not be over-interpreted, because the studies were not powered for clinical outcomes, pharmacodynamic targets for children are extrapolated from adult and animal data, and breakpoint-based targets overestimate the exposure needed for many susceptible organisms. A French observational study illustrates the operational barriers: TDM was used in 27.8% of treated children, the median assay turnaround time was 3 days, 46.2% of initial concentrations were below target and only 46% of the off-target measurements available before the end of treatment prompted dose adjustment; the use of epidemiological cut-off values instead of measured minimum inhibitory concentrations also underestimated target attainment in 20% of cases (de </w:t>
      </w:r>
      <w:proofErr w:type="spellStart"/>
      <w:r>
        <w:t>Cacqueray</w:t>
      </w:r>
      <w:proofErr w:type="spellEnd"/>
      <w:r>
        <w:t xml:space="preserve"> et al., 2022). A review of β-lactam precision dosing in critically ill children identified two central gaps: uncertainty about which subpopulations benefit most and uncertainty about whether precision dosing changes outcomes (Tang Girdwood et al., 2022).</w:t>
      </w:r>
    </w:p>
    <w:p w14:paraId="508627E9" w14:textId="77777777" w:rsidR="00883E51" w:rsidRDefault="00000000">
      <w:pPr>
        <w:spacing w:after="160" w:line="360" w:lineRule="auto"/>
        <w:jc w:val="both"/>
      </w:pPr>
      <w:r>
        <w:t xml:space="preserve">From a stewardship perspective, dose optimisation may appear to conflict with the aim of reducing exposure. The conflict is more apparent than real. On mechanistic grounds, inadequate concentrations could prolong infection, prompt escalation to broader agents and </w:t>
      </w:r>
      <w:r>
        <w:lastRenderedPageBreak/>
        <w:t>favour the selection of resistance, whereas adequate early exposure could support earlier de-escalation, although neither pathway has yet been demonstrated in critically ill children. Pharmacokinetic monitoring was the most commonly reported stewardship activity in European PICUs (Clos et al., 2022), which suggests that clinicians already regard dosing as part of stewardship, although the survey could not describe how systematically monitoring was applied.</w:t>
      </w:r>
    </w:p>
    <w:p w14:paraId="45B60477" w14:textId="77777777" w:rsidR="00883E51" w:rsidRDefault="00000000">
      <w:pPr>
        <w:pStyle w:val="Heading2"/>
        <w:keepNext/>
        <w:spacing w:before="240" w:after="120"/>
      </w:pPr>
      <w:r>
        <w:t>6.2 Prolonged and Continuous Infusion</w:t>
      </w:r>
    </w:p>
    <w:p w14:paraId="72D61581" w14:textId="77777777" w:rsidR="00883E51" w:rsidRDefault="00000000">
      <w:pPr>
        <w:spacing w:after="160" w:line="360" w:lineRule="auto"/>
        <w:jc w:val="both"/>
      </w:pPr>
      <w:r>
        <w:t>Extended or continuous β-lactam infusion increases the time during which concentrations exceed the minimum inhibitory concentration. A systematic review and meta-analysis of 13 paediatric studies found no mortality reduction in randomised trials, which included 1,464 patients, but a lower relative risk of death in observational studies, and no difference in hospital length of stay (Briand et al., 2024). The divergence between randomised and observational estimates is a familiar signal of confounding in non-randomised comparisons, and the review noted substantial heterogeneity in indications and severity (Briand et al., 2024). Prolonged infusion is therefore a plausible pharmacological strategy for selected critically ill children, particularly those with augmented renal clearance, but current evidence does not justify it as a routine stewardship intervention.</w:t>
      </w:r>
    </w:p>
    <w:p w14:paraId="1A03F29F" w14:textId="77777777" w:rsidR="00883E51" w:rsidRDefault="00000000">
      <w:pPr>
        <w:pStyle w:val="Heading2"/>
        <w:keepNext/>
        <w:spacing w:before="240" w:after="120"/>
      </w:pPr>
      <w:r>
        <w:t>6.3 Duration of Therapy and De-escalation</w:t>
      </w:r>
    </w:p>
    <w:p w14:paraId="247F81E0" w14:textId="77777777" w:rsidR="00883E51" w:rsidRDefault="00000000">
      <w:pPr>
        <w:spacing w:after="160" w:line="360" w:lineRule="auto"/>
        <w:jc w:val="both"/>
      </w:pPr>
      <w:r>
        <w:t>Shorter courses are central to modern stewardship, yet randomised evidence on duration in critically ill children is almost absent. Much of the paediatric duration evidence comes from less severely ill populations. The SCOUT-CAP trial showed that, among young children with non-severe community-acquired pneumonia who improved early, a 5-day strategy was superior to a 10-day strategy on a ranked composite outcome and was associated with fewer antibiotic resistance genes in oropharyngeal flora (Williams et al., 2022). Such findings cannot be transferred directly to children receiving mechanical ventilation, but they weaken the assumption that longer courses are inherently safer.</w:t>
      </w:r>
    </w:p>
    <w:p w14:paraId="4AA6261F" w14:textId="77777777" w:rsidR="00883E51" w:rsidRDefault="00000000">
      <w:pPr>
        <w:spacing w:after="160" w:line="360" w:lineRule="auto"/>
        <w:jc w:val="both"/>
      </w:pPr>
      <w:r>
        <w:t>Within the PICU, de-escalation and short courses have been evaluated mainly in observational studies. In an Indian PICU, antibiotics were de-escalated at 48 to 72 hours in 74.2% of eligible sepsis episodes, including culture-negative episodes, without significant differences in HAI, mortality or length of stay compared with continued therapy (Battula et al., 2021). The main reason for not de-escalating eligible children was clinician hesitancy in culture-negative cases (Battula et al., 2021). A retrospective United States cohort of PICU patients with culture-</w:t>
      </w:r>
      <w:r>
        <w:lastRenderedPageBreak/>
        <w:t>negative sepsis found that courses of 7 days or fewer were not associated with worse outcomes; overall mortality was lower in the short-course group, whereas 30-day mortality did not differ (Wehrenberg et al., 2023). Because clinicians choose shorter courses for patients who are improving, confounding by indication almost certainly contributes to the apparent benefit. An Indian single-centre cohort also found that patients whose empirical therapy was escalated had longer PICU stays and higher mortality than those who were de-escalated, which is consistent with escalation being a marker of clinical deterioration rather than a cause of harm (Singh et al., 2024).</w:t>
      </w:r>
    </w:p>
    <w:p w14:paraId="6311527E" w14:textId="77777777" w:rsidR="00883E51" w:rsidRDefault="00000000">
      <w:pPr>
        <w:spacing w:after="160" w:line="360" w:lineRule="auto"/>
        <w:jc w:val="both"/>
      </w:pPr>
      <w:r>
        <w:t>The practical implication is that de-escalation appears safe in selected, clinically improving children, including some with negative cultures, but that the optimal duration for culture-negative sepsis, VAI and many device-associated infections remains undefined. Survey evidence showing routine seven-day courses for culture-negative sepsis in India (Chattopadhyay et al., 2022) and prolonged courses despite viral detection in Saudi Arabia (Kazzaz et al., 2021) indicates that the absence of trial evidence is itself a driver of variation.</w:t>
      </w:r>
    </w:p>
    <w:p w14:paraId="2A96A6CF" w14:textId="77777777" w:rsidR="00883E51" w:rsidRDefault="00000000">
      <w:pPr>
        <w:pStyle w:val="Heading2"/>
        <w:keepNext/>
        <w:spacing w:before="240" w:after="120"/>
      </w:pPr>
      <w:r>
        <w:t>6.4 Antifungal Stewardship</w:t>
      </w:r>
    </w:p>
    <w:p w14:paraId="708A106A" w14:textId="77777777" w:rsidR="00883E51" w:rsidRDefault="00000000">
      <w:pPr>
        <w:spacing w:after="160" w:line="360" w:lineRule="auto"/>
        <w:jc w:val="both"/>
      </w:pPr>
      <w:r>
        <w:t xml:space="preserve">Antifungal prescribing is less frequent than antibacterial prescribing but involves costly agents, significant toxicity and diagnostic uncertainty. A multinational weekly point prevalence survey across European PICUs recorded 101 antifungal courses, of which 38% were prophylactic and 62% therapeutic; among treatment courses, 57% were empirical and 30% targeted, fluconazole was the most frequently used agent and </w:t>
      </w:r>
      <w:r>
        <w:rPr>
          <w:i/>
          <w:iCs/>
        </w:rPr>
        <w:t>Candida albicans</w:t>
      </w:r>
      <w:r>
        <w:t xml:space="preserve"> and </w:t>
      </w:r>
      <w:r>
        <w:rPr>
          <w:i/>
          <w:iCs/>
        </w:rPr>
        <w:t xml:space="preserve">Candida </w:t>
      </w:r>
      <w:proofErr w:type="spellStart"/>
      <w:r>
        <w:rPr>
          <w:i/>
          <w:iCs/>
        </w:rPr>
        <w:t>parapsilosis</w:t>
      </w:r>
      <w:proofErr w:type="spellEnd"/>
      <w:r>
        <w:t xml:space="preserve"> were the leading pathogens in targeted therapy (</w:t>
      </w:r>
      <w:proofErr w:type="spellStart"/>
      <w:r>
        <w:t>Chorafa</w:t>
      </w:r>
      <w:proofErr w:type="spellEnd"/>
      <w:r>
        <w:t xml:space="preserve"> et al., 2025). A Spanish tertiary children's hospital with an established antifungal stewardship programme judged 89% of evaluated prescriptions optimal, with non-optimal prescriptions concentrated among critically ill children receiving ventricular assist devices and among agents without paediatric approval (Mendoza-Palomar et al., 2021). A recent review identified only nine antifungal stewardship interventions that included PICU patients, of which only three targeted antifungals specifically, and proposed a shift from empirical to pre-emptive treatment, systematic TDM, better use of fungal biomarkers and restriction of prophylaxis to high-risk groups (</w:t>
      </w:r>
      <w:proofErr w:type="spellStart"/>
      <w:r>
        <w:t>Chorafa</w:t>
      </w:r>
      <w:proofErr w:type="spellEnd"/>
      <w:r>
        <w:t xml:space="preserve"> et al., 2026). The antifungal evidence base is therefore at an earlier stage than the antibacterial one, and its recommendations currently rest more on expert reasoning than on evaluated interventions.</w:t>
      </w:r>
    </w:p>
    <w:p w14:paraId="7BA49BB4" w14:textId="77777777" w:rsidR="00883E51" w:rsidRDefault="00000000">
      <w:pPr>
        <w:pStyle w:val="Heading1"/>
        <w:keepNext/>
        <w:spacing w:before="360" w:after="160"/>
      </w:pPr>
      <w:r>
        <w:lastRenderedPageBreak/>
        <w:t>7. Clinical, Microbiological and Economic Outcomes</w:t>
      </w:r>
    </w:p>
    <w:p w14:paraId="74F6497D" w14:textId="77777777" w:rsidR="00883E51" w:rsidRDefault="00000000">
      <w:pPr>
        <w:spacing w:after="160" w:line="360" w:lineRule="auto"/>
        <w:jc w:val="both"/>
      </w:pPr>
      <w:r>
        <w:t>The value of stewardship is ultimately judged by its effects on patients and on antimicrobial resistance. This section appraises what the evidence shows for each outcome domain and considers whether the metrics used are adequate.</w:t>
      </w:r>
    </w:p>
    <w:p w14:paraId="276E3F6A" w14:textId="77777777" w:rsidR="00883E51" w:rsidRDefault="00000000">
      <w:pPr>
        <w:pStyle w:val="Heading2"/>
        <w:keepNext/>
        <w:spacing w:before="240" w:after="120"/>
      </w:pPr>
      <w:r>
        <w:t>7.1 Antimicrobial Consumption and the Problem of Metrics</w:t>
      </w:r>
    </w:p>
    <w:p w14:paraId="4B839ADA" w14:textId="77777777" w:rsidR="00883E51" w:rsidRDefault="00000000">
      <w:pPr>
        <w:spacing w:after="160" w:line="360" w:lineRule="auto"/>
        <w:jc w:val="both"/>
      </w:pPr>
      <w:r>
        <w:t>Reduced consumption is the most consistently reported effect. A global meta-analysis of 52 studies associated stewardship programmes with a 10% reduction in antibiotic prescriptions and a 28% reduction in consumption overall, including a 21% reduction in paediatric hospitals and a 28% reduction in Watch-group antibiotics (Zay Ya et al., 2023). The paediatric scoping review reported that most included studies found significant reductions in inappropriate prescribing (Donà et al., 2020), and all nine ward and PICU studies in an earlier review reported reductions in total or broad-spectrum use (Araujo da Silva et al., 2018). The uniformity of positive findings, however, is partly a product of publication practices and of designs that cannot readily detect null effects.</w:t>
      </w:r>
    </w:p>
    <w:p w14:paraId="12D872C4" w14:textId="77777777" w:rsidR="00883E51" w:rsidRDefault="00000000">
      <w:pPr>
        <w:spacing w:after="160" w:line="360" w:lineRule="auto"/>
        <w:jc w:val="both"/>
      </w:pPr>
      <w:r>
        <w:t xml:space="preserve">Consumption metrics themselves are imperfect in the PICU. Days of therapy per 1,000 patient-days is the standard measure, but it varies more than twofold among children's hospitals, and indirect standardisation for case mix reduces the apparent variation to 1.4-fold (Wattier et al., 2021). Unadjusted comparisons can therefore mislabel units that care for sicker or more complex children. The antibiotic spectrum index, which weights agents by their activity against clinically important pathogens, was developed to capture selection patterns that volume metrics miss (Gerber et al., 2017). When applied in four United Kingdom PICUs, it varied less than DOT and identified groups such as immunocompromised children in whom broad-spectrum use was concentrated, but it was higher among patients who received stewardship input, probably because more complex patients were discussed (Zombori et al., 2023). This observation illustrates a general problem: patients selected for stewardship review differ systematically from those who are not, so patient-level comparisons of stewardship exposure are confounded. The </w:t>
      </w:r>
      <w:proofErr w:type="spellStart"/>
      <w:r>
        <w:t>AWaRe</w:t>
      </w:r>
      <w:proofErr w:type="spellEnd"/>
      <w:r>
        <w:t xml:space="preserve"> classification offers a globally applicable alternative for describing agent selection (World Health Organization, 2022), and it has been used to benchmark PICU consumption in India (Singh et al., 2024).</w:t>
      </w:r>
    </w:p>
    <w:p w14:paraId="14B78D51" w14:textId="77777777" w:rsidR="00883E51" w:rsidRDefault="00000000">
      <w:pPr>
        <w:pStyle w:val="Heading2"/>
        <w:keepNext/>
        <w:spacing w:before="240" w:after="120"/>
      </w:pPr>
      <w:r>
        <w:t>7.2 Patient Safety and Clinical Outcomes</w:t>
      </w:r>
    </w:p>
    <w:p w14:paraId="60B5142C" w14:textId="77777777" w:rsidR="00883E51" w:rsidRDefault="00000000">
      <w:pPr>
        <w:spacing w:after="160" w:line="360" w:lineRule="auto"/>
        <w:jc w:val="both"/>
      </w:pPr>
      <w:r>
        <w:t xml:space="preserve">The most important safety question is whether reducing or shortening therapy causes harm. Across the PICU studies reviewed here, no signal of increased mortality, readmission or length </w:t>
      </w:r>
      <w:r>
        <w:lastRenderedPageBreak/>
        <w:t>of stay has been reported after stewardship or diagnostic stewardship interventions (</w:t>
      </w:r>
      <w:proofErr w:type="spellStart"/>
      <w:r>
        <w:t>Chiotos</w:t>
      </w:r>
      <w:proofErr w:type="spellEnd"/>
      <w:r>
        <w:t xml:space="preserve"> et al., 2024; Goldman et al., 2019; MacBrayne et al., 2020; Sick-Samuels et al., 2021; Woods-Hill et al., 2022). The BATCH trial confirmed non-inferiority for a composite safety outcome when procalcitonin guidance was added to usual care (Waldron et al., 2025), and the LMIC systematic review found no increase in mortality or length of stay where these were reported (Abo et al., 2022). Some studies report apparent clinical benefits, such as shorter length of stay after an agreed stewardship recommendation (Goldman et al., 2019) or fewer CLABSIs after culture stewardship (Woods-Hill et al., 2022), but these are secondary outcomes susceptible to selection and detection effects.</w:t>
      </w:r>
    </w:p>
    <w:p w14:paraId="1DD3BB38" w14:textId="77777777" w:rsidR="00883E51" w:rsidRDefault="00000000">
      <w:pPr>
        <w:spacing w:after="160" w:line="360" w:lineRule="auto"/>
        <w:jc w:val="both"/>
      </w:pPr>
      <w:r>
        <w:t>The strength of the safety conclusion should be stated carefully. Absence of an increase in mortality in before-and-after studies is not proof of safety, because such studies are rarely powered for mortality, and deaths attributable to missed or undertreated infection are rare events. The available evidence supports a moderate level of confidence that well-designed stewardship does not cause common, clinically important harm, but it cannot exclude rare adverse consequences in specific subgroups.</w:t>
      </w:r>
    </w:p>
    <w:p w14:paraId="5EC22803" w14:textId="77777777" w:rsidR="00883E51" w:rsidRDefault="00000000">
      <w:pPr>
        <w:pStyle w:val="Heading2"/>
        <w:keepNext/>
        <w:spacing w:before="240" w:after="120"/>
      </w:pPr>
      <w:r>
        <w:t>7.3 Antimicrobial Resistance and Healthcare-Associated Infection</w:t>
      </w:r>
    </w:p>
    <w:p w14:paraId="5985DEAB" w14:textId="77777777" w:rsidR="00883E51" w:rsidRDefault="00000000">
      <w:pPr>
        <w:spacing w:after="160" w:line="360" w:lineRule="auto"/>
        <w:jc w:val="both"/>
      </w:pPr>
      <w:r>
        <w:t xml:space="preserve">Effects on resistance and HAI are the outcomes that stewardship most seeks to influence and the outcomes least rigorously demonstrated. The earlier paediatric review found only one PICU study reporting reduced HAI and one showing no effect on resistance (Araujo da Silva et al., 2018). The scoping review identified seven studies reporting improved susceptibility, including reductions in extended-spectrum β-lactamase-producing </w:t>
      </w:r>
      <w:r>
        <w:rPr>
          <w:i/>
          <w:iCs/>
        </w:rPr>
        <w:t>E. coli</w:t>
      </w:r>
      <w:r>
        <w:t xml:space="preserve"> and </w:t>
      </w:r>
      <w:r>
        <w:rPr>
          <w:i/>
          <w:iCs/>
        </w:rPr>
        <w:t>K. pneumoniae</w:t>
      </w:r>
      <w:r>
        <w:t xml:space="preserve"> and in carbapenem-resistant </w:t>
      </w:r>
      <w:r>
        <w:rPr>
          <w:i/>
          <w:iCs/>
        </w:rPr>
        <w:t>P. aeruginosa</w:t>
      </w:r>
      <w:r>
        <w:t>, but these were not specific to PICUs (Donà et al., 2020). In the Brazilian PICU study, reduced consumption coincided with lower resistance proportions for several organism groups (Oliveira da Silva et al., 2022). Resistance is influenced by infection prevention practice, patient transfer, community ecology and hospital-wide prescribing, so unit-level before-and-after comparisons cannot attribute changes to PICU stewardship alone. Colonisation with multidrug-resistant organisms, measured through systematic surveillance, would be a more sensitive and proximal outcome than clinical isolate resistance, and LMIC studies that measured it have reported reductions (Abo et al., 2022).</w:t>
      </w:r>
    </w:p>
    <w:p w14:paraId="7FBC2F51" w14:textId="77777777" w:rsidR="00883E51" w:rsidRDefault="00000000">
      <w:pPr>
        <w:pStyle w:val="Heading2"/>
        <w:keepNext/>
        <w:spacing w:before="240" w:after="120"/>
      </w:pPr>
      <w:r>
        <w:t>7.4 Economic Outcomes</w:t>
      </w:r>
    </w:p>
    <w:p w14:paraId="71703786" w14:textId="77777777" w:rsidR="00883E51" w:rsidRDefault="00000000">
      <w:pPr>
        <w:spacing w:after="160" w:line="360" w:lineRule="auto"/>
        <w:jc w:val="both"/>
      </w:pPr>
      <w:r>
        <w:t xml:space="preserve">Cost savings from reduced drug acquisition are commonly reported (Adams et al., 2019; Smith et al., 2015), but few studies account for staff time, laboratory costs or downstream clinical </w:t>
      </w:r>
      <w:r>
        <w:lastRenderedPageBreak/>
        <w:t>consequences. The paediatric scoping review found that only 16 of 113 studies addressed costs (Donà et al., 2020). The BATCH trial provides the most rigorous economic evidence and found that the procalcitonin-guided algorithm was more expensive without significantly reducing intravenous antibiotic duration (Waldron et al., 2025). Diagnostic stewardship of endotracheal cultures was estimated to save about USD 26,000 per year in direct costs at one centre (Sick-Samuels et al., 2021), but this estimate did not include implementation costs. A critical review of paediatric stewardship concluded that conflicting results on resistance and cost-effectiveness reflect heterogeneous study designs (Tersigni et al., 2019). The economic case for PICU stewardship therefore rests more on inference from drug savings and resistance burden than on formal economic evaluation.</w:t>
      </w:r>
    </w:p>
    <w:p w14:paraId="790F0EAE" w14:textId="77777777" w:rsidR="00883E51" w:rsidRDefault="00000000">
      <w:pPr>
        <w:pStyle w:val="Heading2"/>
        <w:keepNext/>
        <w:spacing w:before="240" w:after="120"/>
      </w:pPr>
      <w:r>
        <w:t>7.5 Methodological Appraisal of the Outcome Evidence</w:t>
      </w:r>
    </w:p>
    <w:p w14:paraId="51B324EB" w14:textId="77777777" w:rsidR="00883E51" w:rsidRDefault="00000000">
      <w:pPr>
        <w:spacing w:after="160" w:line="360" w:lineRule="auto"/>
        <w:jc w:val="both"/>
      </w:pPr>
      <w:r>
        <w:t>The PICU stewardship literature shares several methodological weaknesses. Most studies are single-centre before-and-after comparisons, which are vulnerable to secular trends, regression to the mean and co-interventions. Interrupted time-series analyses improve on simple comparisons but still lack concurrent controls (Aizawa et al., 2018; Liberati et al., 2025). The only PICU-specific randomised trial of a biomarker algorithm was underpowered and used monthly allocation rather than individual randomisation (Katz et al., 2021). Outcome definitions vary, balancing measures are inconsistently reported, and follow-up rarely extends beyond one or two years, although the handshake programme provides a notable exception with eight years of data (MacBrayne et al., 2020). The geographical concentration of evidence in North America and Western Europe limits transferability, and the coronavirus disease 2019 pandemic disrupted case mix during several recent evaluation periods (Liberati et al., 2025; Zombori et al., 2023).</w:t>
      </w:r>
    </w:p>
    <w:p w14:paraId="609C2103" w14:textId="77777777" w:rsidR="00883E51" w:rsidRDefault="00000000">
      <w:pPr>
        <w:spacing w:after="160" w:line="360" w:lineRule="auto"/>
        <w:jc w:val="both"/>
      </w:pPr>
      <w:r>
        <w:t>Table 5 summarises the confidence that can currently be placed in each outcome domain, together with the principal methodological limitations. It shows that confidence is highest for process and consumption outcomes, moderate for short-term safety and low for resistance, infection and economic outcomes.</w:t>
      </w:r>
    </w:p>
    <w:p w14:paraId="60AB6188" w14:textId="77777777" w:rsidR="00883E51" w:rsidRDefault="00000000">
      <w:pPr>
        <w:keepNext/>
        <w:spacing w:before="200" w:after="120"/>
      </w:pPr>
      <w:r>
        <w:rPr>
          <w:b/>
          <w:bCs/>
          <w:sz w:val="22"/>
          <w:szCs w:val="22"/>
        </w:rPr>
        <w:lastRenderedPageBreak/>
        <w:t>Table 5.</w:t>
      </w:r>
      <w:r>
        <w:rPr>
          <w:sz w:val="22"/>
          <w:szCs w:val="22"/>
        </w:rPr>
        <w:t xml:space="preserve"> Strength of evidence for stewardship outcomes in paediatric intensive care and principal methodological limitations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2"/>
        <w:gridCol w:w="2256"/>
        <w:gridCol w:w="1128"/>
        <w:gridCol w:w="2256"/>
        <w:gridCol w:w="1694"/>
      </w:tblGrid>
      <w:tr w:rsidR="00883E51" w14:paraId="4BCD1124" w14:textId="77777777">
        <w:trPr>
          <w:cantSplit/>
          <w:tblHeader/>
        </w:trPr>
        <w:tc>
          <w:tcPr>
            <w:tcW w:w="169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9C97866" w14:textId="77777777" w:rsidR="00883E51" w:rsidRDefault="00000000">
            <w:r>
              <w:rPr>
                <w:b/>
                <w:bCs/>
                <w:sz w:val="18"/>
                <w:szCs w:val="18"/>
              </w:rPr>
              <w:t>Outcome domain</w:t>
            </w:r>
          </w:p>
        </w:tc>
        <w:tc>
          <w:tcPr>
            <w:tcW w:w="225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11C9A4D" w14:textId="77777777" w:rsidR="00883E51" w:rsidRDefault="00000000">
            <w:r>
              <w:rPr>
                <w:b/>
                <w:bCs/>
                <w:sz w:val="18"/>
                <w:szCs w:val="18"/>
              </w:rPr>
              <w:t>Summary of evidence</w:t>
            </w:r>
          </w:p>
        </w:tc>
        <w:tc>
          <w:tcPr>
            <w:tcW w:w="112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1584D1F" w14:textId="77777777" w:rsidR="00883E51" w:rsidRDefault="00000000">
            <w:r>
              <w:rPr>
                <w:b/>
                <w:bCs/>
                <w:sz w:val="18"/>
                <w:szCs w:val="18"/>
              </w:rPr>
              <w:t>Confidence</w:t>
            </w:r>
          </w:p>
        </w:tc>
        <w:tc>
          <w:tcPr>
            <w:tcW w:w="225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3936D3D" w14:textId="77777777" w:rsidR="00883E51" w:rsidRDefault="00000000">
            <w:r>
              <w:rPr>
                <w:b/>
                <w:bCs/>
                <w:sz w:val="18"/>
                <w:szCs w:val="18"/>
              </w:rPr>
              <w:t>Principal limitations</w:t>
            </w:r>
          </w:p>
        </w:tc>
        <w:tc>
          <w:tcPr>
            <w:tcW w:w="169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9D281DE" w14:textId="77777777" w:rsidR="00883E51" w:rsidRDefault="00000000">
            <w:r>
              <w:rPr>
                <w:b/>
                <w:bCs/>
                <w:sz w:val="18"/>
                <w:szCs w:val="18"/>
              </w:rPr>
              <w:t>Supporting references</w:t>
            </w:r>
          </w:p>
        </w:tc>
      </w:tr>
      <w:tr w:rsidR="00883E51" w14:paraId="558B1417"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1776B6" w14:textId="77777777" w:rsidR="00883E51" w:rsidRDefault="00000000">
            <w:r>
              <w:rPr>
                <w:sz w:val="18"/>
                <w:szCs w:val="18"/>
              </w:rPr>
              <w:t>Antimicrobial consumption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31D56C" w14:textId="77777777" w:rsidR="00883E51" w:rsidRDefault="00000000">
            <w:r>
              <w:rPr>
                <w:sz w:val="18"/>
                <w:szCs w:val="18"/>
              </w:rPr>
              <w:t>Consistent reductions in total and broad-spectrum use across persuasive, protocol-based and diagnostic interventions</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2D557A4" w14:textId="77777777" w:rsidR="00883E51" w:rsidRDefault="00000000">
            <w:r>
              <w:rPr>
                <w:sz w:val="18"/>
                <w:szCs w:val="18"/>
              </w:rPr>
              <w:t>Moderate to high</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D900C63" w14:textId="77777777" w:rsidR="00883E51" w:rsidRDefault="00000000">
            <w:r>
              <w:rPr>
                <w:sz w:val="18"/>
                <w:szCs w:val="18"/>
              </w:rPr>
              <w:t>Publication bias; unadjusted metrics; secular trends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A381BAF" w14:textId="77777777" w:rsidR="00883E51" w:rsidRDefault="00000000">
            <w:r w:rsidRPr="00EC5346">
              <w:rPr>
                <w:sz w:val="18"/>
                <w:szCs w:val="18"/>
                <w:lang w:val="nl-BE"/>
              </w:rPr>
              <w:t xml:space="preserve">Donà et al. (2020); Hurst et al. (2016); Woods-Hill et al. (2022); Zay Ya et al. </w:t>
            </w:r>
            <w:r>
              <w:rPr>
                <w:sz w:val="18"/>
                <w:szCs w:val="18"/>
              </w:rPr>
              <w:t>(2023)</w:t>
            </w:r>
          </w:p>
        </w:tc>
      </w:tr>
      <w:tr w:rsidR="00883E51" w14:paraId="4AF570E4"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38E9896" w14:textId="77777777" w:rsidR="00883E51" w:rsidRDefault="00000000">
            <w:r>
              <w:rPr>
                <w:sz w:val="18"/>
                <w:szCs w:val="18"/>
              </w:rPr>
              <w:t>Appropriateness and guideline compliance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080915B" w14:textId="77777777" w:rsidR="00883E51" w:rsidRDefault="00000000">
            <w:r>
              <w:rPr>
                <w:sz w:val="18"/>
                <w:szCs w:val="18"/>
              </w:rPr>
              <w:t>Improved indications and de-escalation after programme adoption; persistent non-compliance where review is infrequent</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5501E2" w14:textId="77777777" w:rsidR="00883E51" w:rsidRDefault="00000000">
            <w:r>
              <w:rPr>
                <w:sz w:val="18"/>
                <w:szCs w:val="18"/>
              </w:rPr>
              <w:t>Moderate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363349" w14:textId="77777777" w:rsidR="00883E51" w:rsidRDefault="00000000">
            <w:r>
              <w:rPr>
                <w:sz w:val="18"/>
                <w:szCs w:val="18"/>
              </w:rPr>
              <w:t>Variable appropriateness rubrics; many indications lack standards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5A5ED8" w14:textId="77777777" w:rsidR="00883E51" w:rsidRDefault="00000000">
            <w:r w:rsidRPr="00EC5346">
              <w:rPr>
                <w:sz w:val="18"/>
                <w:szCs w:val="18"/>
                <w:lang w:val="nl-BE"/>
              </w:rPr>
              <w:t xml:space="preserve">Amadieu et al. (2024); Chiotos et al. </w:t>
            </w:r>
            <w:r>
              <w:rPr>
                <w:sz w:val="18"/>
                <w:szCs w:val="18"/>
              </w:rPr>
              <w:t xml:space="preserve">(2023); </w:t>
            </w:r>
            <w:proofErr w:type="spellStart"/>
            <w:r>
              <w:rPr>
                <w:sz w:val="18"/>
                <w:szCs w:val="18"/>
              </w:rPr>
              <w:t>Fresán</w:t>
            </w:r>
            <w:proofErr w:type="spellEnd"/>
            <w:r>
              <w:rPr>
                <w:sz w:val="18"/>
                <w:szCs w:val="18"/>
              </w:rPr>
              <w:t>-Ruiz et al. (2022)</w:t>
            </w:r>
          </w:p>
        </w:tc>
      </w:tr>
      <w:tr w:rsidR="00883E51" w14:paraId="098E9445"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4F8AE4C" w14:textId="77777777" w:rsidR="00883E51" w:rsidRDefault="00000000">
            <w:r>
              <w:rPr>
                <w:sz w:val="18"/>
                <w:szCs w:val="18"/>
              </w:rPr>
              <w:t>Mortality, readmission and length of stay</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34380CA" w14:textId="77777777" w:rsidR="00883E51" w:rsidRDefault="00000000">
            <w:r>
              <w:rPr>
                <w:sz w:val="18"/>
                <w:szCs w:val="18"/>
              </w:rPr>
              <w:t>No increase detected after stewardship or diagnostic stewardship; non-inferior safety in a large trial</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B07D6E" w14:textId="77777777" w:rsidR="00883E51" w:rsidRDefault="00000000">
            <w:r>
              <w:rPr>
                <w:sz w:val="18"/>
                <w:szCs w:val="18"/>
              </w:rPr>
              <w:t>Moderate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0C8B9B4" w14:textId="77777777" w:rsidR="00883E51" w:rsidRDefault="00000000">
            <w:r>
              <w:rPr>
                <w:sz w:val="18"/>
                <w:szCs w:val="18"/>
              </w:rPr>
              <w:t>Low power for rare harms; confounding by indication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8918F0" w14:textId="77777777" w:rsidR="00883E51" w:rsidRDefault="00000000">
            <w:r w:rsidRPr="00EC5346">
              <w:rPr>
                <w:sz w:val="18"/>
                <w:szCs w:val="18"/>
                <w:lang w:val="nl-BE"/>
              </w:rPr>
              <w:t xml:space="preserve">Goldman et al. (2019); MacBrayne et al. </w:t>
            </w:r>
            <w:r>
              <w:rPr>
                <w:sz w:val="18"/>
                <w:szCs w:val="18"/>
              </w:rPr>
              <w:t>(2020); Waldron et al. (2025)</w:t>
            </w:r>
          </w:p>
        </w:tc>
      </w:tr>
      <w:tr w:rsidR="00883E51" w14:paraId="4CDFB119"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DACFD1" w14:textId="77777777" w:rsidR="00883E51" w:rsidRDefault="00000000">
            <w:r>
              <w:rPr>
                <w:sz w:val="18"/>
                <w:szCs w:val="18"/>
              </w:rPr>
              <w:t>Healthcare-associated infection</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E6359F9" w14:textId="77777777" w:rsidR="00883E51" w:rsidRDefault="00000000">
            <w:r>
              <w:rPr>
                <w:sz w:val="18"/>
                <w:szCs w:val="18"/>
              </w:rPr>
              <w:t>Lower CLABSI rates in one collaborative; sparse PICU data otherwise</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7F5F28" w14:textId="77777777" w:rsidR="00883E51" w:rsidRDefault="00000000">
            <w:r>
              <w:rPr>
                <w:sz w:val="18"/>
                <w:szCs w:val="18"/>
              </w:rPr>
              <w:t>Low</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5722FC2" w14:textId="77777777" w:rsidR="00883E51" w:rsidRDefault="00000000">
            <w:r>
              <w:rPr>
                <w:sz w:val="18"/>
                <w:szCs w:val="18"/>
              </w:rPr>
              <w:t>Detection bias; concurrent infection-prevention work</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9F2874" w14:textId="77777777" w:rsidR="00883E51" w:rsidRDefault="00000000">
            <w:r>
              <w:rPr>
                <w:sz w:val="18"/>
                <w:szCs w:val="18"/>
              </w:rPr>
              <w:t>Araujo da Silva et al. (2018); Woods-Hill et al. (2022)</w:t>
            </w:r>
          </w:p>
        </w:tc>
      </w:tr>
      <w:tr w:rsidR="00883E51" w14:paraId="29E2F4D6"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C99E672" w14:textId="77777777" w:rsidR="00883E51" w:rsidRDefault="00000000">
            <w:r>
              <w:rPr>
                <w:sz w:val="18"/>
                <w:szCs w:val="18"/>
              </w:rPr>
              <w:t>Antimicrobial resistance</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2A7F7F" w14:textId="77777777" w:rsidR="00883E51" w:rsidRDefault="00000000">
            <w:r>
              <w:rPr>
                <w:sz w:val="18"/>
                <w:szCs w:val="18"/>
              </w:rPr>
              <w:t>Reduced resistance proportions in some paediatric and one PICU study; reduced colonisation in LMIC studies</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6A3468" w14:textId="77777777" w:rsidR="00883E51" w:rsidRDefault="00000000">
            <w:r>
              <w:rPr>
                <w:sz w:val="18"/>
                <w:szCs w:val="18"/>
              </w:rPr>
              <w:t>Low</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694AA0" w14:textId="77777777" w:rsidR="00883E51" w:rsidRDefault="00000000">
            <w:r>
              <w:rPr>
                <w:sz w:val="18"/>
                <w:szCs w:val="18"/>
              </w:rPr>
              <w:t>Multifactorial causation; short follow-up; unit-level attribution</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60DBF5" w14:textId="77777777" w:rsidR="00883E51" w:rsidRDefault="00000000">
            <w:r w:rsidRPr="00EC5346">
              <w:rPr>
                <w:sz w:val="18"/>
                <w:szCs w:val="18"/>
                <w:lang w:val="nl-BE"/>
              </w:rPr>
              <w:t xml:space="preserve">Abo et al. (2022); Donà et al. </w:t>
            </w:r>
            <w:r>
              <w:rPr>
                <w:sz w:val="18"/>
                <w:szCs w:val="18"/>
              </w:rPr>
              <w:t>(2020); Oliveira da Silva et al. (2022)</w:t>
            </w:r>
          </w:p>
        </w:tc>
      </w:tr>
      <w:tr w:rsidR="00883E51" w14:paraId="3E02C831"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2D77D61" w14:textId="77777777" w:rsidR="00883E51" w:rsidRDefault="00000000">
            <w:r>
              <w:rPr>
                <w:sz w:val="18"/>
                <w:szCs w:val="18"/>
              </w:rPr>
              <w:t>Costs and cost-effectiveness</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F1983B" w14:textId="77777777" w:rsidR="00883E51" w:rsidRDefault="00000000">
            <w:r>
              <w:rPr>
                <w:sz w:val="18"/>
                <w:szCs w:val="18"/>
              </w:rPr>
              <w:t>Drug acquisition savings commonly reported; biomarker algorithm not cost-effective in a trial</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269C670" w14:textId="77777777" w:rsidR="00883E51" w:rsidRDefault="00000000">
            <w:r>
              <w:rPr>
                <w:sz w:val="18"/>
                <w:szCs w:val="18"/>
              </w:rPr>
              <w:t>Low</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EE673D" w14:textId="77777777" w:rsidR="00883E51" w:rsidRDefault="00000000">
            <w:r>
              <w:rPr>
                <w:sz w:val="18"/>
                <w:szCs w:val="18"/>
              </w:rPr>
              <w:t>Incomplete costing; few formal evaluations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FB83FA" w14:textId="77777777" w:rsidR="00883E51" w:rsidRDefault="00000000">
            <w:r w:rsidRPr="00EC5346">
              <w:rPr>
                <w:sz w:val="18"/>
                <w:szCs w:val="18"/>
                <w:lang w:val="nl-BE"/>
              </w:rPr>
              <w:t xml:space="preserve">Sick-Samuels et al. (2021); Tersigni et al. </w:t>
            </w:r>
            <w:r>
              <w:rPr>
                <w:sz w:val="18"/>
                <w:szCs w:val="18"/>
              </w:rPr>
              <w:t>(2019); Waldron et al. (2025)</w:t>
            </w:r>
          </w:p>
        </w:tc>
      </w:tr>
      <w:tr w:rsidR="00883E51" w14:paraId="2F16B6E1" w14:textId="77777777">
        <w:trPr>
          <w:cantSplit/>
        </w:trPr>
        <w:tc>
          <w:tcPr>
            <w:tcW w:w="169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BC6C663" w14:textId="77777777" w:rsidR="00883E51" w:rsidRDefault="00000000">
            <w:r>
              <w:rPr>
                <w:sz w:val="18"/>
                <w:szCs w:val="18"/>
              </w:rPr>
              <w:t>Pharmacokinetic target attainment</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B57B7C" w14:textId="77777777" w:rsidR="00883E51" w:rsidRDefault="00000000">
            <w:r>
              <w:rPr>
                <w:sz w:val="18"/>
                <w:szCs w:val="18"/>
              </w:rPr>
              <w:t>Frequent under-exposure to β-lactams and vancomycin; clinical benefit of correction unproven</w:t>
            </w:r>
          </w:p>
        </w:tc>
        <w:tc>
          <w:tcPr>
            <w:tcW w:w="11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44F34BD" w14:textId="77777777" w:rsidR="00883E51" w:rsidRDefault="00000000">
            <w:r>
              <w:rPr>
                <w:sz w:val="18"/>
                <w:szCs w:val="18"/>
              </w:rPr>
              <w:t>Moderate for under-exposure; low for benefit</w:t>
            </w:r>
          </w:p>
        </w:tc>
        <w:tc>
          <w:tcPr>
            <w:tcW w:w="225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DA717B2" w14:textId="77777777" w:rsidR="00883E51" w:rsidRDefault="00000000">
            <w:r>
              <w:rPr>
                <w:sz w:val="18"/>
                <w:szCs w:val="18"/>
              </w:rPr>
              <w:t>Small cohorts; extrapolated targets; not powered for outcomes</w:t>
            </w:r>
          </w:p>
        </w:tc>
        <w:tc>
          <w:tcPr>
            <w:tcW w:w="169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44C3C1" w14:textId="77777777" w:rsidR="00883E51" w:rsidRDefault="00000000">
            <w:r w:rsidRPr="00EC5346">
              <w:rPr>
                <w:sz w:val="18"/>
                <w:szCs w:val="18"/>
                <w:lang w:val="nl-BE"/>
              </w:rPr>
              <w:t xml:space="preserve">Schouwenburg et al. (2026); Sosnin et al. (2019); Van Der Heggen et al. </w:t>
            </w:r>
            <w:r>
              <w:rPr>
                <w:sz w:val="18"/>
                <w:szCs w:val="18"/>
              </w:rPr>
              <w:t>(2022)</w:t>
            </w:r>
          </w:p>
        </w:tc>
      </w:tr>
    </w:tbl>
    <w:p w14:paraId="1572A1A5" w14:textId="77777777" w:rsidR="00883E51" w:rsidRDefault="00000000">
      <w:pPr>
        <w:spacing w:before="80" w:after="240"/>
      </w:pPr>
      <w:r>
        <w:rPr>
          <w:sz w:val="18"/>
          <w:szCs w:val="18"/>
        </w:rPr>
        <w:t>Note. CLABSI = central line-associated bloodstream infection; LMIC = low- and middle-income country; PICU = paediatric intensive care unit. Confidence ratings are qualitative judgements derived from the present synthesis and do not represent formal grading.</w:t>
      </w:r>
    </w:p>
    <w:p w14:paraId="69AFEA7D" w14:textId="77777777" w:rsidR="00883E51" w:rsidRDefault="00000000">
      <w:pPr>
        <w:pStyle w:val="Heading1"/>
        <w:keepNext/>
        <w:spacing w:before="360" w:after="160"/>
      </w:pPr>
      <w:r>
        <w:t>8. Implementation Across Resource Settings</w:t>
      </w:r>
    </w:p>
    <w:p w14:paraId="1CC3BC6B" w14:textId="77777777" w:rsidR="00883E51" w:rsidRDefault="00000000">
      <w:pPr>
        <w:spacing w:after="160" w:line="360" w:lineRule="auto"/>
        <w:jc w:val="both"/>
      </w:pPr>
      <w:r>
        <w:t>The effectiveness of stewardship depends on the conditions under which it is delivered. This section considers implementation barriers and facilitators, with particular attention to LMICs, where the burden of resistant infection is greatest and the evidence is thinnest.</w:t>
      </w:r>
    </w:p>
    <w:p w14:paraId="1C2003C7" w14:textId="77777777" w:rsidR="00883E51" w:rsidRDefault="00000000">
      <w:pPr>
        <w:pStyle w:val="Heading2"/>
        <w:keepNext/>
        <w:spacing w:before="240" w:after="120"/>
      </w:pPr>
      <w:r>
        <w:t>8.1 Barriers and Facilitators in High-Resource Units</w:t>
      </w:r>
    </w:p>
    <w:p w14:paraId="133DB7E5" w14:textId="77777777" w:rsidR="00883E51" w:rsidRDefault="00000000">
      <w:pPr>
        <w:spacing w:after="160" w:line="360" w:lineRule="auto"/>
        <w:jc w:val="both"/>
      </w:pPr>
      <w:r>
        <w:t xml:space="preserve">Even in well-resourced PICUs, many barriers to stewardship are behavioural and organisational rather than technical. A review of stewardship in paediatric and neonatal intensive care identified non-specific disease presentations, limited evidence on definitive treatment durations, a shortage of paediatric-trained infectious diseases physicians and </w:t>
      </w:r>
      <w:r>
        <w:lastRenderedPageBreak/>
        <w:t>difficulties in obtaining, collecting and interpreting laboratory tests as the principal challenges, and noted that many stewardship implementation studies had excluded intensive care units altogether (Branstetter et al., 2021). Survey data add a behavioural dimension, showing that intensivists tend to prolong therapy in response to severity and inflammatory markers even where guidelines do not support this (Kazzaz et al., 2021), and that the perceived priorities of clinicians, such as a preference for protocols, should shape intervention design (</w:t>
      </w:r>
      <w:proofErr w:type="spellStart"/>
      <w:r>
        <w:t>Paño</w:t>
      </w:r>
      <w:proofErr w:type="spellEnd"/>
      <w:r>
        <w:t>-Pardo et al., 2016). The implementation analysis of the Bright STAR collaborative is informative because it examined how sites delivered a programme rather than only whether it worked. Ten tasks were identified as critical, sites used varied strategies to accomplish them, and the strategies used in the most successful units differed from those in less successful units, some of them aligning with specific drivers of culture overuse (Woods-Hill et al., 2024). This finding suggests that fidelity to the functions of an intervention matters more than uniform adherence to a fixed protocol.</w:t>
      </w:r>
    </w:p>
    <w:p w14:paraId="41C4946C" w14:textId="77777777" w:rsidR="00883E51" w:rsidRDefault="00000000">
      <w:pPr>
        <w:spacing w:after="160" w:line="360" w:lineRule="auto"/>
        <w:jc w:val="both"/>
      </w:pPr>
      <w:r>
        <w:t>The BATCH trial offers a complementary lesson from a negative result. Procalcitonin results were available at 81.8% of clinical reviews, were considered in decision-making 66.6% of the time and led to algorithm-concordant decisions only 57.2% of the time, which the investigators attributed partly to unfamiliarity with interpreting the test (Waldron et al., 2025). The trial authors recommended that future evaluations incorporate an implementation framework and repeated education to improve fidelity (Waldron et al., 2025). The broader point is that stewardship tools do not act directly on prescribing; they act through clinicians whose trust, workload and perceptions of risk mediate the effect.</w:t>
      </w:r>
    </w:p>
    <w:p w14:paraId="2D7ED0F9" w14:textId="77777777" w:rsidR="00883E51" w:rsidRDefault="00000000">
      <w:pPr>
        <w:pStyle w:val="Heading2"/>
        <w:keepNext/>
        <w:spacing w:before="240" w:after="120"/>
      </w:pPr>
      <w:r>
        <w:t>8.2 Evidence and Constraints in Low- and Middle-Income Countries</w:t>
      </w:r>
    </w:p>
    <w:p w14:paraId="75239CD9" w14:textId="77777777" w:rsidR="00883E51" w:rsidRDefault="00000000">
      <w:pPr>
        <w:spacing w:after="160" w:line="360" w:lineRule="auto"/>
        <w:jc w:val="both"/>
      </w:pPr>
      <w:r>
        <w:t xml:space="preserve">The evidence from LMICs is growing but remains dominated by general paediatric and neonatal studies. A systematic review of 34 controlled or time-series studies in children from 17 LMICs found that all intervention types improved prescribing and that bundled interventions with education and clinical decision tools appeared more effective than guidelines alone (Abo et al., 2022). A more recent systematic review and meta-analysis of 78 reports from 25 low-income and lower-middle-income countries found that most stewardship programmes and point-of-care tests improved prescribing and guideline adherence, that combined approaches were more often successful than single ones, and that adverse clinical outcomes did not increase (Gres et al., 2025). Neither review isolated PICU populations, and both emphasised </w:t>
      </w:r>
      <w:proofErr w:type="gramStart"/>
      <w:r>
        <w:t>heterogeneity</w:t>
      </w:r>
      <w:proofErr w:type="gramEnd"/>
      <w:r>
        <w:t>.</w:t>
      </w:r>
    </w:p>
    <w:p w14:paraId="72451A1B" w14:textId="77777777" w:rsidR="00883E51" w:rsidRDefault="00000000">
      <w:pPr>
        <w:spacing w:after="160" w:line="360" w:lineRule="auto"/>
        <w:jc w:val="both"/>
      </w:pPr>
      <w:r>
        <w:lastRenderedPageBreak/>
        <w:t>Neonatal experience provides useful evidence of feasibility. A global point prevalence survey of neonatal intensive care units found that the presence of a unit-specific stewardship programme was associated with lower antibiotic use (</w:t>
      </w:r>
      <w:proofErr w:type="spellStart"/>
      <w:r>
        <w:t>Prusakov</w:t>
      </w:r>
      <w:proofErr w:type="spellEnd"/>
      <w:r>
        <w:t xml:space="preserve"> et al., 2021). A neonatal programme in Lebanon, a lower-middle-income setting, reported sustained reductions over five years despite economic and political crises, using standard algorithms, audit with feedback and automated hard stops (Maalouf et al., 2023). In South Africa, pharmacist-led recommendations in neonatal units had a 77% acceptance rate and were associated with a 24% reduction in mean length of therapy (</w:t>
      </w:r>
      <w:proofErr w:type="spellStart"/>
      <w:r>
        <w:t>Dramowski</w:t>
      </w:r>
      <w:proofErr w:type="spellEnd"/>
      <w:r>
        <w:t xml:space="preserve"> et al., 2024). A meta-analysis of neonatal programmes reported moderate-certainty evidence of reduced antimicrobial initiation and duration without increased sepsis-related mortality (Mascarenhas et al., 2024). Whether these results transfer to PICUs, where patients are older, more heterogeneous and more often exposed to devices and surgery, has not been tested.</w:t>
      </w:r>
    </w:p>
    <w:p w14:paraId="60075F97" w14:textId="77777777" w:rsidR="00883E51" w:rsidRDefault="00000000">
      <w:pPr>
        <w:spacing w:after="160" w:line="360" w:lineRule="auto"/>
        <w:jc w:val="both"/>
      </w:pPr>
      <w:r>
        <w:t>PICU-specific LMIC evidence is largely descriptive. Indian data show high use of Watch and Reserve agents, low rates of targeted therapy and widespread seven-day empirical courses (Chattopadhyay et al., 2022; Singh et al., 2024). The Brazilian survey showed that educational and family-engagement components lag behind prescribing interventions, particularly in smaller public hospitals (</w:t>
      </w:r>
      <w:proofErr w:type="spellStart"/>
      <w:r>
        <w:t>Krummenauer</w:t>
      </w:r>
      <w:proofErr w:type="spellEnd"/>
      <w:r>
        <w:t xml:space="preserve"> et al., 2025). A prospective cohort in five Indian district hospitals, although conducted in special newborn care units rather than PICUs, found that 75% to 88% of common Gram-negative isolates were multidrug resistant and called for blood culture capacity and stewardship programmes at district level (Jain et al., 2025). Laboratory capacity is therefore a precondition for diagnostic stewardship, and interventions that depend on culture results, biomarkers or TDM may be infeasible where these services are unavailable or delayed. The WHO practical toolkit addresses this by emphasising core structures, prioritised interventions and stepwise implementation adapted to local capacity (World Health Organization, 2019).</w:t>
      </w:r>
    </w:p>
    <w:p w14:paraId="15EAFF59" w14:textId="77777777" w:rsidR="00883E51" w:rsidRDefault="00000000">
      <w:pPr>
        <w:spacing w:after="160" w:line="360" w:lineRule="auto"/>
        <w:jc w:val="both"/>
      </w:pPr>
      <w:r>
        <w:t>The consequence is a double inequity. The settings with the greatest resistance burden have the least access to the diagnostic and pharmacological tools that underpin sophisticated stewardship, and they are also the least represented in the evidence base on which stewardship recommendations are built. PICU-specific implementation research in LMICs is therefore not a marginal addition to the field but a central requirement for its global relevance.</w:t>
      </w:r>
    </w:p>
    <w:p w14:paraId="7352A47D" w14:textId="77777777" w:rsidR="00883E51" w:rsidRDefault="00000000">
      <w:pPr>
        <w:pStyle w:val="Heading1"/>
        <w:keepNext/>
        <w:spacing w:before="360" w:after="160"/>
      </w:pPr>
      <w:r>
        <w:lastRenderedPageBreak/>
        <w:t>9. Integrated Critical Synthesis</w:t>
      </w:r>
    </w:p>
    <w:p w14:paraId="447D413A" w14:textId="77777777" w:rsidR="00883E51" w:rsidRDefault="00000000">
      <w:pPr>
        <w:spacing w:after="160" w:line="360" w:lineRule="auto"/>
        <w:jc w:val="both"/>
      </w:pPr>
      <w:r>
        <w:t>The evidence reviewed above can be organised around a sequence of decision points through which a critically ill child passes: the decision to investigate for infection, the decision to start empirical therapy, the choice of agent and dose, the reassessment at 48 to 72 hours, and the decision about duration. Stewardship interventions act at different points in this sequence, and their effectiveness depends on whether they target the point at which unnecessary exposure is generated in a particular unit.</w:t>
      </w:r>
    </w:p>
    <w:p w14:paraId="143C249E" w14:textId="77777777" w:rsidR="00883E51" w:rsidRDefault="00000000">
      <w:pPr>
        <w:spacing w:after="160" w:line="360" w:lineRule="auto"/>
        <w:jc w:val="both"/>
      </w:pPr>
      <w:r>
        <w:t>At the investigation stage, diagnostic stewardship of blood and respiratory cultures has the strongest and most consistent evidence, including multicentre data with safety monitoring (</w:t>
      </w:r>
      <w:proofErr w:type="spellStart"/>
      <w:r>
        <w:t>Chiotos</w:t>
      </w:r>
      <w:proofErr w:type="spellEnd"/>
      <w:r>
        <w:t xml:space="preserve"> et al., 2024; Woods-Hill et al., 2022). This is an established relationship at the level of culture use and broad-spectrum initiation, although its effects on infection-related outcomes remain uncertain. At the initiation stage, the imperative for early treatment of sepsis is supported by observational evidence and guideline recommendations (Evans et al., 2018; Weiss et al., 2014; Weiss et al., 2020), and stewardship interventions that restrict initiation have not been evaluated adequately in PICUs. At the agent and dose stage, pharmacokinetic studies establish that under-exposure is common (</w:t>
      </w:r>
      <w:proofErr w:type="spellStart"/>
      <w:r>
        <w:t>Schouwenburg</w:t>
      </w:r>
      <w:proofErr w:type="spellEnd"/>
      <w:r>
        <w:t xml:space="preserve"> et al., 2026; Van Der Heggen et al., 2022), but the hypothesised pathway from dose optimisation to better clinical and resistance outcomes is not yet demonstrated. At the reassessment stage, time-outs and prospective audit reliably increase discontinuation and de-escalation (Adams et al., 2019; </w:t>
      </w:r>
      <w:proofErr w:type="spellStart"/>
      <w:r>
        <w:t>Aljassim</w:t>
      </w:r>
      <w:proofErr w:type="spellEnd"/>
      <w:r>
        <w:t xml:space="preserve"> et al., 2022; </w:t>
      </w:r>
      <w:proofErr w:type="spellStart"/>
      <w:r>
        <w:t>Fresán</w:t>
      </w:r>
      <w:proofErr w:type="spellEnd"/>
      <w:r>
        <w:t>-Ruiz et al., 2022), and biomarkers may help only when they are embedded in trusted, adhered-to algorithms in suitable populations (</w:t>
      </w:r>
      <w:proofErr w:type="spellStart"/>
      <w:r>
        <w:t>Bobillo</w:t>
      </w:r>
      <w:proofErr w:type="spellEnd"/>
      <w:r>
        <w:t>-Perez et al., 2019; Waldron et al., 2025). At the duration stage, the absence of PICU-specific trials leaves clinicians to rely on observational data and extrapolation from less severely ill children (Wehrenberg et al., 2023; Williams et al., 2022).</w:t>
      </w:r>
    </w:p>
    <w:p w14:paraId="62556D01" w14:textId="77777777" w:rsidR="00883E51" w:rsidRDefault="00000000">
      <w:pPr>
        <w:spacing w:after="160" w:line="360" w:lineRule="auto"/>
        <w:jc w:val="both"/>
      </w:pPr>
      <w:r>
        <w:t xml:space="preserve">Three cross-cutting modifiers explain much of the heterogeneity between studies. The first is baseline stewardship intensity: interventions added to units that already have effective review show smaller incremental effects, as the procalcitonin trials suggest (Katz et al., 2021; Waldron et al., 2025). The second is implementation fidelity, which depends on clinician trust, education and the fit between intervention and workflow (Woods-Hill et al., 2024). The third is case mix, which determines both the proportion of non-infectious inflammation and the pharmacological variability of the population, and which distorts unadjusted consumption comparisons (Wattier et al., 2021). A framework derived from this synthesis would therefore treat PICU stewardship not as a single intervention but as a set of decision-point-specific practices whose effect is </w:t>
      </w:r>
      <w:r>
        <w:lastRenderedPageBreak/>
        <w:t>conditioned by these modifiers. The relationships between diagnostic stewardship and reduced culture and antibiotic use, and between persuasive review and reduced consumption, can be regarded as established. The relationships between dose optimisation and outcomes, between rapid diagnostics and prescribing, and between unit-level stewardship and resistance remain hypothesised.</w:t>
      </w:r>
    </w:p>
    <w:p w14:paraId="0243B4A1" w14:textId="77777777" w:rsidR="00883E51" w:rsidRDefault="00000000">
      <w:pPr>
        <w:pStyle w:val="Heading1"/>
        <w:keepNext/>
        <w:spacing w:before="360" w:after="160"/>
      </w:pPr>
      <w:r>
        <w:t>10. Future Directions</w:t>
      </w:r>
    </w:p>
    <w:p w14:paraId="7A75423A" w14:textId="77777777" w:rsidR="00883E51" w:rsidRDefault="00000000">
      <w:pPr>
        <w:spacing w:after="160" w:line="360" w:lineRule="auto"/>
        <w:jc w:val="both"/>
      </w:pPr>
      <w:r>
        <w:t>The first priority is randomised evidence on treatment duration and discontinuation in the conditions that generate most PICU exposure, especially culture-negative sepsis, suspected VAI and bacteraemia associated with central venous catheters. Current evidence is inadequate because it consists of retrospective cohorts in which shorter courses are selected for improving patients (Wehrenberg et al., 2023) and of an expert-derived VAI score that awaits prospective testing (Shein et al., 2019). Pragmatic, multicentre non-inferiority trials with response-adaptive stopping rules, embedded in existing research networks, would be the most appropriate design. Outcomes should include ranked composite measures that incorporate clinical response, adverse events and antibiotic days, as used in SCOUT-CAP (Williams et al., 2022), together with colonisation by resistant organisms. Such trials would directly address the evidential gap that sustains habitual seven-day courses and would provide the basis for duration standards in guidelines.</w:t>
      </w:r>
    </w:p>
    <w:p w14:paraId="7F7A9EAF" w14:textId="77777777" w:rsidR="00883E51" w:rsidRDefault="00000000">
      <w:pPr>
        <w:spacing w:after="160" w:line="360" w:lineRule="auto"/>
        <w:jc w:val="both"/>
      </w:pPr>
      <w:r>
        <w:t>The second priority is controlled evaluation of persuasive stewardship models. Handshake and audit-based programmes have consistent uncontrolled evidence (Aizawa et al., 2018; Liberati et al., 2025; MacBrayne et al., 2020), but cluster-randomised or stepped-wedge designs are needed to estimate their incremental effect, to compare daily with less frequent review, and to test whether remote or pharmacist-led models can achieve comparable results in units without infectious diseases physicians. These studies should run for at least two years to capture sustainability and should report consumption with case-mix adjustment (Wattier et al., 2021) alongside spectrum-based metrics (Gerber et al., 2017).</w:t>
      </w:r>
    </w:p>
    <w:p w14:paraId="1E269AD5" w14:textId="77777777" w:rsidR="00883E51" w:rsidRDefault="00000000">
      <w:pPr>
        <w:spacing w:after="160" w:line="360" w:lineRule="auto"/>
        <w:jc w:val="both"/>
      </w:pPr>
      <w:r>
        <w:t xml:space="preserve">The third priority concerns diagnostic technology. Rapid molecular panels and host-response signatures have demonstrated diagnostic accuracy in critically ill children (Clark et al., 2023; </w:t>
      </w:r>
      <w:proofErr w:type="spellStart"/>
      <w:r>
        <w:t>Geslain</w:t>
      </w:r>
      <w:proofErr w:type="spellEnd"/>
      <w:r>
        <w:t xml:space="preserve"> et al., 2024; Mick et al., 2023), but randomised impact studies are required to show whether faster or more discriminating results change antimicrobial decisions and patient outcomes. Trial designs should pair the diagnostic with a stewardship response pathway, because the adult experience indicates that faster information without a corresponding decision </w:t>
      </w:r>
      <w:r>
        <w:lastRenderedPageBreak/>
        <w:t>process may not improve outcomes (Banerjee et al., 2026). Economic evaluation should be integral, as the BATCH trial demonstrated for biomarkers (Waldron et al., 2025).</w:t>
      </w:r>
    </w:p>
    <w:p w14:paraId="4A0EAF93" w14:textId="77777777" w:rsidR="00883E51" w:rsidRDefault="00000000">
      <w:pPr>
        <w:spacing w:after="160" w:line="360" w:lineRule="auto"/>
        <w:jc w:val="both"/>
      </w:pPr>
      <w:r>
        <w:t xml:space="preserve">The fourth priority is to determine which critically ill children benefit from precision dosing. Prospective studies should stratify by renal function, extracorporeal support and infection severity, use pharmacodynamic targets validated against clinical outcomes, and test model-informed dosing against standard dosing with outcomes that include clinical cure, toxicity and emergence of resistance (Tang Girdwood et al., 2022). Rapid assay turnaround is a precondition, and implementation studies should address the operational barriers already documented (de </w:t>
      </w:r>
      <w:proofErr w:type="spellStart"/>
      <w:r>
        <w:t>Cacqueray</w:t>
      </w:r>
      <w:proofErr w:type="spellEnd"/>
      <w:r>
        <w:t xml:space="preserve"> et al., 2022).</w:t>
      </w:r>
    </w:p>
    <w:p w14:paraId="30727E35" w14:textId="77777777" w:rsidR="00883E51" w:rsidRDefault="00000000">
      <w:pPr>
        <w:spacing w:after="160" w:line="360" w:lineRule="auto"/>
        <w:jc w:val="both"/>
      </w:pPr>
      <w:r>
        <w:t>The fifth priority is prospective evaluation of machine-learning and decision-support tools. Existing models are retrospective and mostly single-centre (</w:t>
      </w:r>
      <w:proofErr w:type="spellStart"/>
      <w:r>
        <w:t>Liporaci</w:t>
      </w:r>
      <w:proofErr w:type="spellEnd"/>
      <w:r>
        <w:t xml:space="preserve"> et al., 2024; Martin et al., 2022; Martin et al., 2025). Multicentre external validation, assessment of calibration across populations, and prospective impact studies that measure culture and antimicrobial use, clinician acceptance and safety are required before deployment. Attention to algorithmic bias is essential because training data from high-resource units may not represent children in other settings.</w:t>
      </w:r>
    </w:p>
    <w:p w14:paraId="33608EFF" w14:textId="77777777" w:rsidR="00883E51" w:rsidRDefault="00000000">
      <w:pPr>
        <w:spacing w:after="160" w:line="360" w:lineRule="auto"/>
        <w:jc w:val="both"/>
      </w:pPr>
      <w:r>
        <w:t xml:space="preserve">The sixth priority, which is also the most urgent in terms of global burden, is PICU-specific implementation research in LMICs. Studies should test adapted bundles that do not depend on unavailable diagnostics, measure Watch and Reserve use against </w:t>
      </w:r>
      <w:proofErr w:type="spellStart"/>
      <w:r>
        <w:t>AWaRe</w:t>
      </w:r>
      <w:proofErr w:type="spellEnd"/>
      <w:r>
        <w:t xml:space="preserve"> targets (World Health Organization, 2022), and evaluate the role of nurses, pharmacists and families, whose engagement is currently limited (</w:t>
      </w:r>
      <w:proofErr w:type="spellStart"/>
      <w:r>
        <w:t>Krummenauer</w:t>
      </w:r>
      <w:proofErr w:type="spellEnd"/>
      <w:r>
        <w:t xml:space="preserve"> et al., 2025). Hybrid effectiveness-implementation designs would allow simultaneous assessment of clinical effects and of the organisational conditions that sustain them.</w:t>
      </w:r>
    </w:p>
    <w:p w14:paraId="1A5A9B04" w14:textId="77777777" w:rsidR="00883E51" w:rsidRDefault="00000000">
      <w:pPr>
        <w:spacing w:after="160" w:line="360" w:lineRule="auto"/>
        <w:jc w:val="both"/>
      </w:pPr>
      <w:r>
        <w:t>Over the longer term, the field requires standardised core outcome sets for paediatric critical care stewardship, linked surveillance of antimicrobial use and resistance across PICU networks, and follow-up studies that examine the long-term health consequences of antimicrobial exposure during critical illness, a question that current evidence from general paediatric populations cannot answer (Duong et al., 2022). Antifungal stewardship requires its own programme of intervention studies, since the present recommendations derive largely from expert reasoning (</w:t>
      </w:r>
      <w:proofErr w:type="spellStart"/>
      <w:r>
        <w:t>Chorafa</w:t>
      </w:r>
      <w:proofErr w:type="spellEnd"/>
      <w:r>
        <w:t xml:space="preserve"> et al., 2026). Progress on these priorities would move the field from demonstrating that stewardship reduces consumption towards establishing how, for whom and at what cost it improves patient and population outcomes.</w:t>
      </w:r>
    </w:p>
    <w:p w14:paraId="20F99BC8" w14:textId="77777777" w:rsidR="00883E51" w:rsidRDefault="00000000">
      <w:pPr>
        <w:pStyle w:val="Heading1"/>
        <w:keepNext/>
        <w:spacing w:before="360" w:after="160"/>
      </w:pPr>
      <w:r>
        <w:lastRenderedPageBreak/>
        <w:t>11. Conclusions</w:t>
      </w:r>
    </w:p>
    <w:p w14:paraId="22DA0B65" w14:textId="77777777" w:rsidR="00883E51" w:rsidRDefault="00000000">
      <w:pPr>
        <w:spacing w:after="160" w:line="360" w:lineRule="auto"/>
        <w:jc w:val="both"/>
      </w:pPr>
      <w:r>
        <w:t>Antimicrobial stewardship in paediatric intensive care addresses a well-documented problem. Most critically ill children receive antimicrobials, a substantial share of that use is inappropriate, and under-exposure caused by altered pharmacokinetics coexists with over-exposure caused by diagnostic uncertainty and habitual prolonged courses. The evidence supports several conclusions with reasonable confidence. Persuasive, rounding-based interventions, structured reassessment at 48 to 72 hours and local protocols are consistently associated with reduced and more appropriate antimicrobial use. Diagnostic stewardship of blood and endotracheal cultures is supported by the most robust multicentre evidence and reduces testing and broad-spectrum exposure without detectable harm. Stewardship, as currently practised, has not been associated with increases in mortality, readmission or length of stay.</w:t>
      </w:r>
    </w:p>
    <w:p w14:paraId="21F3DCF6" w14:textId="77777777" w:rsidR="00883E51" w:rsidRDefault="00000000">
      <w:pPr>
        <w:spacing w:after="160" w:line="360" w:lineRule="auto"/>
        <w:jc w:val="both"/>
      </w:pPr>
      <w:r>
        <w:t>Other conclusions are more tentative. Biomarker-guided algorithms appear useful only in selected populations and when clinicians adhere to them, and a large pragmatic trial found no reduction in treatment duration when an algorithm was added to established stewardship. Therapeutic drug monitoring and prolonged infusion address a real pharmacological problem, but their clinical benefit in children has not been shown. Rapid molecular diagnostics, metagenomics and machine-learning models have demonstrated technical performance rather than effects on prescribing or outcomes. The effects of PICU stewardship on antimicrobial resistance, healthcare-associated infection and cost remain weakly supported because the designs used to study them cannot separate stewardship from other influences.</w:t>
      </w:r>
    </w:p>
    <w:p w14:paraId="237096D8" w14:textId="77777777" w:rsidR="00883E51" w:rsidRDefault="00000000">
      <w:pPr>
        <w:spacing w:after="160" w:line="360" w:lineRule="auto"/>
        <w:jc w:val="both"/>
      </w:pPr>
      <w:r>
        <w:t>Taken together, the synthesis indicates that stewardship in paediatric intensive care is best understood as a set of practices targeted at specific decision points, whose effectiveness depends on baseline practice, implementation fidelity and case mix. Its broader significance lies in showing that safer and more precise antimicrobial use is achievable in the highest-risk paediatric setting, while also revealing that the evidence needed to optimise duration, dosing and diagnostic strategy, and to extend effective stewardship to resource-limited settings, is still largely absent.</w:t>
      </w:r>
    </w:p>
    <w:p w14:paraId="3157AF44" w14:textId="77777777" w:rsidR="00883E51" w:rsidRDefault="00000000">
      <w:pPr>
        <w:pStyle w:val="Heading1"/>
        <w:keepNext/>
        <w:spacing w:before="360" w:after="160"/>
      </w:pPr>
      <w:r>
        <w:t>12. Limitations</w:t>
      </w:r>
    </w:p>
    <w:p w14:paraId="0BEB9288" w14:textId="77777777" w:rsidR="00883E51" w:rsidRDefault="00000000">
      <w:pPr>
        <w:spacing w:after="160" w:line="360" w:lineRule="auto"/>
        <w:jc w:val="both"/>
      </w:pPr>
      <w:r>
        <w:t xml:space="preserve">The principal limitation of this review is inherent to its narrative design. Although the search was structured across several information sources and the appraisal followed explicit criteria, study selection and interpretation involved judgement, and selection or interpretive bias cannot </w:t>
      </w:r>
      <w:r>
        <w:lastRenderedPageBreak/>
        <w:t>be excluded. The review did not attempt to identify every eligible study, and the absence of a study from the synthesis does not imply that it was judged irrelevant or of low quality.</w:t>
      </w:r>
    </w:p>
    <w:p w14:paraId="6761222D" w14:textId="77777777" w:rsidR="00883E51" w:rsidRDefault="00000000">
      <w:pPr>
        <w:spacing w:after="160" w:line="360" w:lineRule="auto"/>
        <w:jc w:val="both"/>
      </w:pPr>
      <w:r>
        <w:t>Access to subscription-only bibliographic databases was not available, and some relevant studies indexed only in such sources may have been missed. The restriction to English-language publications may have excluded locally important evidence, particularly from Latin America, East Asia and Francophone Africa. Some studies were appraised through their complete published abstracts and indexing records rather than full text, which limited the detail available on methods and secondary outcomes.</w:t>
      </w:r>
    </w:p>
    <w:p w14:paraId="14691016" w14:textId="77777777" w:rsidR="00883E51" w:rsidRDefault="00000000">
      <w:pPr>
        <w:spacing w:after="160" w:line="360" w:lineRule="auto"/>
        <w:jc w:val="both"/>
      </w:pPr>
      <w:r>
        <w:t>The underlying evidence is heterogeneous in design, population, intervention content and outcome definition, which precluded quantitative synthesis and required qualitative judgements about the comparability of findings. Most studies were observational or quasi-experimental, many were conducted in single centres in high-income countries, and several evaluation periods coincided with the coronavirus disease 2019 pandemic. Publication bias is likely, because unsuccessful stewardship initiatives are less often reported. Long-term outcomes, particularly for resistance and for health after discharge, were rarely available. Evidence from neonatal, adult and general paediatric settings was used selectively to inform mechanisms, and its applicability to critically ill children is uncertain. The field is also developing rapidly, and studies published after the search end date could modify some of the conclusions.</w:t>
      </w:r>
    </w:p>
    <w:p w14:paraId="1D9AD983" w14:textId="77777777" w:rsidR="00EB68BD" w:rsidRDefault="00EB68BD">
      <w:pPr>
        <w:spacing w:after="160" w:line="360" w:lineRule="auto"/>
        <w:jc w:val="both"/>
      </w:pPr>
    </w:p>
    <w:p w14:paraId="58972EEF" w14:textId="77777777" w:rsidR="00EB68BD" w:rsidRPr="00EB68BD" w:rsidRDefault="00EB68BD" w:rsidP="00EB68BD">
      <w:pPr>
        <w:rPr>
          <w:rFonts w:ascii="Arial" w:eastAsia="Calibri" w:hAnsi="Arial" w:cs="Arial"/>
          <w:b/>
          <w:sz w:val="20"/>
          <w:szCs w:val="20"/>
          <w:lang w:val="en-US" w:eastAsia="en-US" w:bidi="ar-SA"/>
        </w:rPr>
      </w:pPr>
      <w:r w:rsidRPr="00EB68BD">
        <w:rPr>
          <w:rFonts w:ascii="Arial" w:eastAsia="Calibri" w:hAnsi="Arial" w:cs="Arial"/>
          <w:b/>
          <w:sz w:val="20"/>
          <w:szCs w:val="20"/>
          <w:lang w:val="en-US" w:eastAsia="en-US" w:bidi="ar-SA"/>
        </w:rPr>
        <w:t>Declaration of AI Use</w:t>
      </w:r>
    </w:p>
    <w:p w14:paraId="3AF07771" w14:textId="77777777" w:rsidR="00EB68BD" w:rsidRPr="00EB68BD" w:rsidRDefault="00EB68BD" w:rsidP="00EB68BD">
      <w:pPr>
        <w:rPr>
          <w:rFonts w:ascii="Arial" w:eastAsia="Calibri" w:hAnsi="Arial" w:cs="Arial"/>
          <w:sz w:val="20"/>
          <w:szCs w:val="20"/>
          <w:lang w:val="en-US" w:eastAsia="en-US" w:bidi="ar-SA"/>
        </w:rPr>
      </w:pPr>
    </w:p>
    <w:p w14:paraId="3623041E" w14:textId="77777777" w:rsidR="00EB68BD" w:rsidRPr="00EB68BD" w:rsidRDefault="00EB68BD" w:rsidP="00EB68BD">
      <w:pPr>
        <w:rPr>
          <w:rFonts w:ascii="Arial" w:eastAsia="Calibri" w:hAnsi="Arial" w:cs="Arial"/>
          <w:sz w:val="20"/>
          <w:szCs w:val="20"/>
          <w:lang w:val="en-US" w:eastAsia="en-US" w:bidi="ar-SA"/>
        </w:rPr>
      </w:pPr>
      <w:r w:rsidRPr="00EB68BD">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861B31C" w14:textId="77777777" w:rsidR="00EB68BD" w:rsidRPr="00EB68BD" w:rsidRDefault="00EB68BD" w:rsidP="00EB68BD">
      <w:pPr>
        <w:jc w:val="both"/>
        <w:rPr>
          <w:rFonts w:eastAsia="Calibri"/>
          <w:sz w:val="22"/>
          <w:szCs w:val="22"/>
          <w:lang w:val="en-US" w:eastAsia="en-US" w:bidi="ar-SA"/>
        </w:rPr>
      </w:pPr>
    </w:p>
    <w:p w14:paraId="57212C8F" w14:textId="77777777" w:rsidR="00EB68BD" w:rsidRPr="00EB68BD" w:rsidRDefault="00EB68BD" w:rsidP="00EB68BD">
      <w:pPr>
        <w:jc w:val="both"/>
        <w:rPr>
          <w:rFonts w:eastAsia="Calibri"/>
          <w:sz w:val="22"/>
          <w:szCs w:val="22"/>
          <w:lang w:val="en-US" w:eastAsia="en-US" w:bidi="ar-SA"/>
        </w:rPr>
      </w:pPr>
    </w:p>
    <w:p w14:paraId="2EB75FAA" w14:textId="77777777" w:rsidR="00EB68BD" w:rsidRPr="00EB68BD" w:rsidRDefault="00EB68BD" w:rsidP="00EB68BD">
      <w:pPr>
        <w:spacing w:after="200" w:line="276" w:lineRule="auto"/>
        <w:rPr>
          <w:rFonts w:ascii="Cambria" w:hAnsi="Cambria" w:cs="Arial"/>
          <w:b/>
          <w:bCs/>
          <w:sz w:val="22"/>
          <w:szCs w:val="22"/>
          <w:lang w:bidi="ar-SA"/>
        </w:rPr>
      </w:pPr>
      <w:r w:rsidRPr="00EB68BD">
        <w:rPr>
          <w:rFonts w:ascii="Cambria" w:hAnsi="Cambria" w:cs="Arial"/>
          <w:b/>
          <w:bCs/>
          <w:sz w:val="22"/>
          <w:szCs w:val="22"/>
          <w:lang w:bidi="ar-SA"/>
        </w:rPr>
        <w:t>COMPETING INTERESTS DISCLAIMER:</w:t>
      </w:r>
    </w:p>
    <w:p w14:paraId="4BDDBDF2" w14:textId="77777777" w:rsidR="00EB68BD" w:rsidRPr="00EB68BD" w:rsidRDefault="00EB68BD" w:rsidP="00EB68BD">
      <w:pPr>
        <w:spacing w:after="200" w:line="276" w:lineRule="auto"/>
        <w:rPr>
          <w:rFonts w:ascii="Cambria" w:hAnsi="Cambria"/>
          <w:sz w:val="22"/>
          <w:szCs w:val="22"/>
          <w:lang w:bidi="ar-SA"/>
        </w:rPr>
      </w:pPr>
      <w:r w:rsidRPr="00EB68BD">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p w14:paraId="14CCC7CE" w14:textId="77777777" w:rsidR="00EB68BD" w:rsidRDefault="00EB68BD">
      <w:pPr>
        <w:spacing w:after="160" w:line="360" w:lineRule="auto"/>
        <w:jc w:val="both"/>
      </w:pPr>
    </w:p>
    <w:p w14:paraId="0F19E9FA" w14:textId="77777777" w:rsidR="00883E51" w:rsidRDefault="00000000">
      <w:pPr>
        <w:pStyle w:val="Heading1"/>
        <w:spacing w:before="360" w:after="160"/>
      </w:pPr>
      <w:r>
        <w:t>References</w:t>
      </w:r>
    </w:p>
    <w:p w14:paraId="262A90D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lastRenderedPageBreak/>
        <w:t xml:space="preserve">Abo, Y.-N., Freyne, B., </w:t>
      </w:r>
      <w:proofErr w:type="spellStart"/>
      <w:r w:rsidRPr="00EC5346">
        <w:rPr>
          <w:lang w:val="en-US" w:eastAsia="en-US" w:bidi="ar-SA"/>
        </w:rPr>
        <w:t>Kululanga</w:t>
      </w:r>
      <w:proofErr w:type="spellEnd"/>
      <w:r w:rsidRPr="00EC5346">
        <w:rPr>
          <w:lang w:val="en-US" w:eastAsia="en-US" w:bidi="ar-SA"/>
        </w:rPr>
        <w:t xml:space="preserve">, D., &amp; Bryant, P. A. (2022). The impact of antimicrobial stewardship in children in low- and middle-income countries: A systematic review. </w:t>
      </w:r>
      <w:r w:rsidRPr="00EC5346">
        <w:rPr>
          <w:i/>
          <w:iCs/>
          <w:lang w:val="en-US" w:eastAsia="en-US" w:bidi="ar-SA"/>
        </w:rPr>
        <w:t>Pediatric Infectious Disease Journal, 41</w:t>
      </w:r>
      <w:r w:rsidRPr="00EC5346">
        <w:rPr>
          <w:lang w:val="en-US" w:eastAsia="en-US" w:bidi="ar-SA"/>
        </w:rPr>
        <w:t>(3S), S10–S17. https://doi.org/10.1097/INF.0000000000003317</w:t>
      </w:r>
    </w:p>
    <w:p w14:paraId="4A04650C"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Adams, S. M., Ngo, L., Morphew, T., &amp; Babbitt, C. J. (2019). Does an antimicrobial time-out impact the duration of therapy of antimicrobials in the PICU? </w:t>
      </w:r>
      <w:r w:rsidRPr="00EC5346">
        <w:rPr>
          <w:i/>
          <w:iCs/>
          <w:lang w:val="en-US" w:eastAsia="en-US" w:bidi="ar-SA"/>
        </w:rPr>
        <w:t>Pediatric Critical Care Medicine, 20</w:t>
      </w:r>
      <w:r w:rsidRPr="00EC5346">
        <w:rPr>
          <w:lang w:val="en-US" w:eastAsia="en-US" w:bidi="ar-SA"/>
        </w:rPr>
        <w:t>(6), 560–567. https://doi.org/10.1097/PCC.0000000000001925</w:t>
      </w:r>
    </w:p>
    <w:p w14:paraId="25A5536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Aizawa, Y., </w:t>
      </w:r>
      <w:proofErr w:type="spellStart"/>
      <w:r w:rsidRPr="00EC5346">
        <w:rPr>
          <w:lang w:val="en-US" w:eastAsia="en-US" w:bidi="ar-SA"/>
        </w:rPr>
        <w:t>Suwa</w:t>
      </w:r>
      <w:proofErr w:type="spellEnd"/>
      <w:r w:rsidRPr="00EC5346">
        <w:rPr>
          <w:lang w:val="en-US" w:eastAsia="en-US" w:bidi="ar-SA"/>
        </w:rPr>
        <w:t xml:space="preserve">, J., Higuchi, H., Fukuoka, K., Furuichi, M., Kaneko, T., Morikawa, Y., Okazaki, K., Shimizu, N., &amp; Horikoshi, Y. (2018). Antimicrobial stewardship program in a pediatric intensive care unit. </w:t>
      </w:r>
      <w:r w:rsidRPr="00EC5346">
        <w:rPr>
          <w:i/>
          <w:iCs/>
          <w:lang w:val="en-US" w:eastAsia="en-US" w:bidi="ar-SA"/>
        </w:rPr>
        <w:t>Journal of the Pediatric Infectious Diseases Society, 7</w:t>
      </w:r>
      <w:r w:rsidRPr="00EC5346">
        <w:rPr>
          <w:lang w:val="en-US" w:eastAsia="en-US" w:bidi="ar-SA"/>
        </w:rPr>
        <w:t xml:space="preserve">(3), e156–e159. </w:t>
      </w:r>
      <w:hyperlink r:id="rId7" w:tgtFrame="_new" w:history="1">
        <w:r w:rsidRPr="00EC5346">
          <w:rPr>
            <w:color w:val="0000FF"/>
            <w:u w:val="single"/>
            <w:lang w:val="en-US" w:eastAsia="en-US" w:bidi="ar-SA"/>
          </w:rPr>
          <w:t>https://doi.org/10.1093/jpids/piy031</w:t>
        </w:r>
      </w:hyperlink>
    </w:p>
    <w:p w14:paraId="527C77CB"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Aljassim</w:t>
      </w:r>
      <w:proofErr w:type="spellEnd"/>
      <w:r w:rsidRPr="00EC5346">
        <w:rPr>
          <w:lang w:val="en-US" w:eastAsia="en-US" w:bidi="ar-SA"/>
        </w:rPr>
        <w:t xml:space="preserve">, N. A., Noël, K. C., Maratta, C., Tam, I., Almadani, A., </w:t>
      </w:r>
      <w:proofErr w:type="spellStart"/>
      <w:r w:rsidRPr="00EC5346">
        <w:rPr>
          <w:lang w:val="en-US" w:eastAsia="en-US" w:bidi="ar-SA"/>
        </w:rPr>
        <w:t>Papenburg</w:t>
      </w:r>
      <w:proofErr w:type="spellEnd"/>
      <w:r w:rsidRPr="00EC5346">
        <w:rPr>
          <w:lang w:val="en-US" w:eastAsia="en-US" w:bidi="ar-SA"/>
        </w:rPr>
        <w:t xml:space="preserve">, J., Quach, C., Thampi, N., McNally, J. D., </w:t>
      </w:r>
      <w:proofErr w:type="spellStart"/>
      <w:r w:rsidRPr="00EC5346">
        <w:rPr>
          <w:lang w:val="en-US" w:eastAsia="en-US" w:bidi="ar-SA"/>
        </w:rPr>
        <w:t>Dendukuri</w:t>
      </w:r>
      <w:proofErr w:type="spellEnd"/>
      <w:r w:rsidRPr="00EC5346">
        <w:rPr>
          <w:lang w:val="en-US" w:eastAsia="en-US" w:bidi="ar-SA"/>
        </w:rPr>
        <w:t xml:space="preserve">, N., Lefebvre, M.-A., Zavalkoff, S., O'Donnell, S., Jouvet, P., &amp; Fontela, P. S. (2022). Antimicrobial stewardship in bronchiolitis: A retrospective cohort study of three PICUs in Canada. </w:t>
      </w:r>
      <w:r w:rsidRPr="00EC5346">
        <w:rPr>
          <w:i/>
          <w:iCs/>
          <w:lang w:val="en-US" w:eastAsia="en-US" w:bidi="ar-SA"/>
        </w:rPr>
        <w:t>Pediatric Critical Care Medicine, 23</w:t>
      </w:r>
      <w:r w:rsidRPr="00EC5346">
        <w:rPr>
          <w:lang w:val="en-US" w:eastAsia="en-US" w:bidi="ar-SA"/>
        </w:rPr>
        <w:t>(3), 160–170. https://doi.org/10.1097/PCC.0000000000002834</w:t>
      </w:r>
    </w:p>
    <w:p w14:paraId="0C0C927F"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Amadieu</w:t>
      </w:r>
      <w:proofErr w:type="spellEnd"/>
      <w:r w:rsidRPr="00EC5346">
        <w:rPr>
          <w:lang w:val="en-US" w:eastAsia="en-US" w:bidi="ar-SA"/>
        </w:rPr>
        <w:t xml:space="preserve">, R., </w:t>
      </w:r>
      <w:proofErr w:type="spellStart"/>
      <w:r w:rsidRPr="00EC5346">
        <w:rPr>
          <w:lang w:val="en-US" w:eastAsia="en-US" w:bidi="ar-SA"/>
        </w:rPr>
        <w:t>Brehin</w:t>
      </w:r>
      <w:proofErr w:type="spellEnd"/>
      <w:r w:rsidRPr="00EC5346">
        <w:rPr>
          <w:lang w:val="en-US" w:eastAsia="en-US" w:bidi="ar-SA"/>
        </w:rPr>
        <w:t xml:space="preserve">, C., Chahine, A., </w:t>
      </w:r>
      <w:proofErr w:type="spellStart"/>
      <w:r w:rsidRPr="00EC5346">
        <w:rPr>
          <w:lang w:val="en-US" w:eastAsia="en-US" w:bidi="ar-SA"/>
        </w:rPr>
        <w:t>Grouteau</w:t>
      </w:r>
      <w:proofErr w:type="spellEnd"/>
      <w:r w:rsidRPr="00EC5346">
        <w:rPr>
          <w:lang w:val="en-US" w:eastAsia="en-US" w:bidi="ar-SA"/>
        </w:rPr>
        <w:t xml:space="preserve">, E., Dubois, D., Munzer, C., </w:t>
      </w:r>
      <w:proofErr w:type="spellStart"/>
      <w:r w:rsidRPr="00EC5346">
        <w:rPr>
          <w:lang w:val="en-US" w:eastAsia="en-US" w:bidi="ar-SA"/>
        </w:rPr>
        <w:t>Flumian</w:t>
      </w:r>
      <w:proofErr w:type="spellEnd"/>
      <w:r w:rsidRPr="00EC5346">
        <w:rPr>
          <w:lang w:val="en-US" w:eastAsia="en-US" w:bidi="ar-SA"/>
        </w:rPr>
        <w:t xml:space="preserve">, C., Brissaud, O., Ros, B., Jean, G., </w:t>
      </w:r>
      <w:proofErr w:type="spellStart"/>
      <w:r w:rsidRPr="00EC5346">
        <w:rPr>
          <w:lang w:val="en-US" w:eastAsia="en-US" w:bidi="ar-SA"/>
        </w:rPr>
        <w:t>Brotelande</w:t>
      </w:r>
      <w:proofErr w:type="spellEnd"/>
      <w:r w:rsidRPr="00EC5346">
        <w:rPr>
          <w:lang w:val="en-US" w:eastAsia="en-US" w:bidi="ar-SA"/>
        </w:rPr>
        <w:t xml:space="preserve">, C., Travert, B., Savy, N., Boeuf, B., </w:t>
      </w:r>
      <w:proofErr w:type="spellStart"/>
      <w:r w:rsidRPr="00EC5346">
        <w:rPr>
          <w:lang w:val="en-US" w:eastAsia="en-US" w:bidi="ar-SA"/>
        </w:rPr>
        <w:t>Ghostine</w:t>
      </w:r>
      <w:proofErr w:type="spellEnd"/>
      <w:r w:rsidRPr="00EC5346">
        <w:rPr>
          <w:lang w:val="en-US" w:eastAsia="en-US" w:bidi="ar-SA"/>
        </w:rPr>
        <w:t xml:space="preserve">, G., Popov, I., </w:t>
      </w:r>
      <w:proofErr w:type="spellStart"/>
      <w:r w:rsidRPr="00EC5346">
        <w:rPr>
          <w:lang w:val="en-US" w:eastAsia="en-US" w:bidi="ar-SA"/>
        </w:rPr>
        <w:t>Duport</w:t>
      </w:r>
      <w:proofErr w:type="spellEnd"/>
      <w:r w:rsidRPr="00EC5346">
        <w:rPr>
          <w:lang w:val="en-US" w:eastAsia="en-US" w:bidi="ar-SA"/>
        </w:rPr>
        <w:t xml:space="preserve">, P., Wolff, R., Maurice, L., . . . Breinig, S. (2024). Compliance with antibiotic therapy guidelines in French </w:t>
      </w:r>
      <w:proofErr w:type="spellStart"/>
      <w:r w:rsidRPr="00EC5346">
        <w:rPr>
          <w:lang w:val="en-US" w:eastAsia="en-US" w:bidi="ar-SA"/>
        </w:rPr>
        <w:t>paediatric</w:t>
      </w:r>
      <w:proofErr w:type="spellEnd"/>
      <w:r w:rsidRPr="00EC5346">
        <w:rPr>
          <w:lang w:val="en-US" w:eastAsia="en-US" w:bidi="ar-SA"/>
        </w:rPr>
        <w:t xml:space="preserve"> intensive care units: A </w:t>
      </w:r>
      <w:proofErr w:type="spellStart"/>
      <w:r w:rsidRPr="00EC5346">
        <w:rPr>
          <w:lang w:val="en-US" w:eastAsia="en-US" w:bidi="ar-SA"/>
        </w:rPr>
        <w:t>multicentre</w:t>
      </w:r>
      <w:proofErr w:type="spellEnd"/>
      <w:r w:rsidRPr="00EC5346">
        <w:rPr>
          <w:lang w:val="en-US" w:eastAsia="en-US" w:bidi="ar-SA"/>
        </w:rPr>
        <w:t xml:space="preserve"> observational study. </w:t>
      </w:r>
      <w:r w:rsidRPr="00EC5346">
        <w:rPr>
          <w:i/>
          <w:iCs/>
          <w:lang w:val="en-US" w:eastAsia="en-US" w:bidi="ar-SA"/>
        </w:rPr>
        <w:t>BMC Infectious Diseases, 24</w:t>
      </w:r>
      <w:r w:rsidRPr="00EC5346">
        <w:rPr>
          <w:lang w:val="en-US" w:eastAsia="en-US" w:bidi="ar-SA"/>
        </w:rPr>
        <w:t>(1), Article 582. https://doi.org/10.1186/s12879-024-09472-0</w:t>
      </w:r>
    </w:p>
    <w:p w14:paraId="595CCD4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Araujo da Silva, A. R., Albernaz de Almeida Dias, D. C., Marques, A. F., </w:t>
      </w:r>
      <w:proofErr w:type="spellStart"/>
      <w:r w:rsidRPr="00EC5346">
        <w:rPr>
          <w:lang w:val="en-US" w:eastAsia="en-US" w:bidi="ar-SA"/>
        </w:rPr>
        <w:t>Biscaia</w:t>
      </w:r>
      <w:proofErr w:type="spellEnd"/>
      <w:r w:rsidRPr="00EC5346">
        <w:rPr>
          <w:lang w:val="en-US" w:eastAsia="en-US" w:bidi="ar-SA"/>
        </w:rPr>
        <w:t xml:space="preserve"> di Biase, C., Murni, I. K., Dramowski, A., Sharland, M., Huebner, J., &amp; Zingg, W. (2018). Role of antimicrobial stewardship </w:t>
      </w:r>
      <w:proofErr w:type="spellStart"/>
      <w:r w:rsidRPr="00EC5346">
        <w:rPr>
          <w:lang w:val="en-US" w:eastAsia="en-US" w:bidi="ar-SA"/>
        </w:rPr>
        <w:t>programmes</w:t>
      </w:r>
      <w:proofErr w:type="spellEnd"/>
      <w:r w:rsidRPr="00EC5346">
        <w:rPr>
          <w:lang w:val="en-US" w:eastAsia="en-US" w:bidi="ar-SA"/>
        </w:rPr>
        <w:t xml:space="preserve"> in children: A systematic review. </w:t>
      </w:r>
      <w:r w:rsidRPr="00EC5346">
        <w:rPr>
          <w:i/>
          <w:iCs/>
          <w:lang w:val="en-US" w:eastAsia="en-US" w:bidi="ar-SA"/>
        </w:rPr>
        <w:t>Journal of Hospital Infection, 99</w:t>
      </w:r>
      <w:r w:rsidRPr="00EC5346">
        <w:rPr>
          <w:lang w:val="en-US" w:eastAsia="en-US" w:bidi="ar-SA"/>
        </w:rPr>
        <w:t>(2), 117–123. https://doi.org/10.1016/j.jhin.2017.08.003</w:t>
      </w:r>
    </w:p>
    <w:p w14:paraId="583B1C84"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Araujo da Silva, A. R., Jaszkowski, E., Schober, T., von Both, U., Meyer-</w:t>
      </w:r>
      <w:proofErr w:type="spellStart"/>
      <w:r w:rsidRPr="00EC5346">
        <w:rPr>
          <w:lang w:val="en-US" w:eastAsia="en-US" w:bidi="ar-SA"/>
        </w:rPr>
        <w:t>Buehn</w:t>
      </w:r>
      <w:proofErr w:type="spellEnd"/>
      <w:r w:rsidRPr="00EC5346">
        <w:rPr>
          <w:lang w:val="en-US" w:eastAsia="en-US" w:bidi="ar-SA"/>
        </w:rPr>
        <w:t xml:space="preserve">, M., Marques, A. F., Farkas, B., de Abreu, B. S., di Biase, C. B., Takahashi, J. M., de Castro, L. D., Leal, I. A., Teixeira, C. H., Nussbaum, C. F., Hoffmann, F., &amp; Hübner, J. (2020). Patterns of antimicrobial consumption in neonatal and pediatric intensive care units in Germany and Brazil. </w:t>
      </w:r>
      <w:r w:rsidRPr="00EC5346">
        <w:rPr>
          <w:i/>
          <w:iCs/>
          <w:lang w:val="en-US" w:eastAsia="en-US" w:bidi="ar-SA"/>
        </w:rPr>
        <w:t>European Journal of Clinical Microbiology &amp; Infectious Diseases, 39</w:t>
      </w:r>
      <w:r w:rsidRPr="00EC5346">
        <w:rPr>
          <w:lang w:val="en-US" w:eastAsia="en-US" w:bidi="ar-SA"/>
        </w:rPr>
        <w:t>(2), 249–255. https://doi.org/10.1007/s10096-019-03714-9</w:t>
      </w:r>
    </w:p>
    <w:p w14:paraId="6EC1CEFD"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Baethge</w:t>
      </w:r>
      <w:proofErr w:type="spellEnd"/>
      <w:r w:rsidRPr="00EC5346">
        <w:rPr>
          <w:lang w:val="en-US" w:eastAsia="en-US" w:bidi="ar-SA"/>
        </w:rPr>
        <w:t xml:space="preserve">, C., Goldbeck-Wood, S., &amp; Mertens, S. (2019). SANRA—A scale for the quality assessment of narrative review articles. </w:t>
      </w:r>
      <w:r w:rsidRPr="00EC5346">
        <w:rPr>
          <w:i/>
          <w:iCs/>
          <w:lang w:val="en-US" w:eastAsia="en-US" w:bidi="ar-SA"/>
        </w:rPr>
        <w:t>Research Integrity and Peer Review, 4</w:t>
      </w:r>
      <w:r w:rsidRPr="00EC5346">
        <w:rPr>
          <w:lang w:val="en-US" w:eastAsia="en-US" w:bidi="ar-SA"/>
        </w:rPr>
        <w:t xml:space="preserve">(1), Article 5. </w:t>
      </w:r>
      <w:hyperlink r:id="rId8" w:tgtFrame="_new" w:history="1">
        <w:r w:rsidRPr="00EC5346">
          <w:rPr>
            <w:color w:val="0000FF"/>
            <w:u w:val="single"/>
            <w:lang w:val="en-US" w:eastAsia="en-US" w:bidi="ar-SA"/>
          </w:rPr>
          <w:t>https://doi.org/10.1186/s41073-019-0064-8</w:t>
        </w:r>
      </w:hyperlink>
    </w:p>
    <w:p w14:paraId="1C2EB45A"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Banerjee, R., </w:t>
      </w:r>
      <w:proofErr w:type="spellStart"/>
      <w:r w:rsidRPr="00EC5346">
        <w:rPr>
          <w:lang w:val="en-US" w:eastAsia="en-US" w:bidi="ar-SA"/>
        </w:rPr>
        <w:t>Komarow</w:t>
      </w:r>
      <w:proofErr w:type="spellEnd"/>
      <w:r w:rsidRPr="00EC5346">
        <w:rPr>
          <w:lang w:val="en-US" w:eastAsia="en-US" w:bidi="ar-SA"/>
        </w:rPr>
        <w:t xml:space="preserve">, L., Li, Y., Mau, D., Dodd, A., Geres, H., Greenwood-Quaintance, K., Adler, A., Baliga, S., </w:t>
      </w:r>
      <w:proofErr w:type="spellStart"/>
      <w:r w:rsidRPr="00EC5346">
        <w:rPr>
          <w:lang w:val="en-US" w:eastAsia="en-US" w:bidi="ar-SA"/>
        </w:rPr>
        <w:t>Chowers</w:t>
      </w:r>
      <w:proofErr w:type="spellEnd"/>
      <w:r w:rsidRPr="00EC5346">
        <w:rPr>
          <w:lang w:val="en-US" w:eastAsia="en-US" w:bidi="ar-SA"/>
        </w:rPr>
        <w:t xml:space="preserve">, M., </w:t>
      </w:r>
      <w:proofErr w:type="spellStart"/>
      <w:r w:rsidRPr="00EC5346">
        <w:rPr>
          <w:lang w:val="en-US" w:eastAsia="en-US" w:bidi="ar-SA"/>
        </w:rPr>
        <w:t>Chrysos</w:t>
      </w:r>
      <w:proofErr w:type="spellEnd"/>
      <w:r w:rsidRPr="00EC5346">
        <w:rPr>
          <w:lang w:val="en-US" w:eastAsia="en-US" w:bidi="ar-SA"/>
        </w:rPr>
        <w:t xml:space="preserve">, G., Zarkotou, O., Paul, M., Pournaras, S., Regueiro, D. S., Evans, S., Chambers, H., Fowler, V. G., Patel, R., &amp; Antibacterial Resistance Leadership Group. (2026). Fast antimicrobial susceptibility testing for Gram-negative bacteremia: The FAST randomized clinical trial. </w:t>
      </w:r>
      <w:r w:rsidRPr="00EC5346">
        <w:rPr>
          <w:i/>
          <w:iCs/>
          <w:lang w:val="en-US" w:eastAsia="en-US" w:bidi="ar-SA"/>
        </w:rPr>
        <w:t>JAMA, 335</w:t>
      </w:r>
      <w:r w:rsidRPr="00EC5346">
        <w:rPr>
          <w:lang w:val="en-US" w:eastAsia="en-US" w:bidi="ar-SA"/>
        </w:rPr>
        <w:t>(20), 1762–1773. https://doi.org/10.1001/jama.2026.5487</w:t>
      </w:r>
    </w:p>
    <w:p w14:paraId="46C99EA9"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lastRenderedPageBreak/>
        <w:t>Barlam</w:t>
      </w:r>
      <w:proofErr w:type="spellEnd"/>
      <w:r w:rsidRPr="00EC5346">
        <w:rPr>
          <w:lang w:val="en-US" w:eastAsia="en-US" w:bidi="ar-SA"/>
        </w:rPr>
        <w:t>, T. F., Cosgrove, S. E., Abbo, L. M., MacDougall, C., Schuetz, A. N., Septimus, E. J., Srinivasan, A., Dellit, T. H., Falck-</w:t>
      </w:r>
      <w:proofErr w:type="spellStart"/>
      <w:r w:rsidRPr="00EC5346">
        <w:rPr>
          <w:lang w:val="en-US" w:eastAsia="en-US" w:bidi="ar-SA"/>
        </w:rPr>
        <w:t>Ytter</w:t>
      </w:r>
      <w:proofErr w:type="spellEnd"/>
      <w:r w:rsidRPr="00EC5346">
        <w:rPr>
          <w:lang w:val="en-US" w:eastAsia="en-US" w:bidi="ar-SA"/>
        </w:rPr>
        <w:t xml:space="preserve">, Y. T., Fishman, N. O., Hamilton, C. W., Jenkins, T. C., Lipsett, P. A., Malani, P. N., May, L. S., Moran, G. J., Neuhauser, M. M., Newland, J. G., Ohl, C. A., . . . Trivedi, K. K. (2016). Implementing an antibiotic stewardship program: Guidelines by the Infectious Diseases Society of America and the Society for Healthcare Epidemiology of America. </w:t>
      </w:r>
      <w:r w:rsidRPr="00EC5346">
        <w:rPr>
          <w:i/>
          <w:iCs/>
          <w:lang w:val="en-US" w:eastAsia="en-US" w:bidi="ar-SA"/>
        </w:rPr>
        <w:t>Clinical Infectious Diseases, 62</w:t>
      </w:r>
      <w:r w:rsidRPr="00EC5346">
        <w:rPr>
          <w:lang w:val="en-US" w:eastAsia="en-US" w:bidi="ar-SA"/>
        </w:rPr>
        <w:t xml:space="preserve">(10), e51–e77. </w:t>
      </w:r>
      <w:hyperlink r:id="rId9" w:tgtFrame="_new" w:history="1">
        <w:r w:rsidRPr="00EC5346">
          <w:rPr>
            <w:color w:val="0000FF"/>
            <w:u w:val="single"/>
            <w:lang w:val="en-US" w:eastAsia="en-US" w:bidi="ar-SA"/>
          </w:rPr>
          <w:t>https://doi.org/10.1093/cid/ciw118</w:t>
        </w:r>
      </w:hyperlink>
    </w:p>
    <w:p w14:paraId="3FD89B8D"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Battula, V., Krupanandan, R. K., Nambi, P. S., &amp; Ramachandran, B. (2021). Safety and feasibility of antibiotic de-escalation in critically ill children with sepsis—A prospective analytical study from a pediatric ICU. </w:t>
      </w:r>
      <w:r w:rsidRPr="00EC5346">
        <w:rPr>
          <w:i/>
          <w:iCs/>
          <w:lang w:val="en-US" w:eastAsia="en-US" w:bidi="ar-SA"/>
        </w:rPr>
        <w:t>Frontiers in Pediatrics, 9</w:t>
      </w:r>
      <w:r w:rsidRPr="00EC5346">
        <w:rPr>
          <w:lang w:val="en-US" w:eastAsia="en-US" w:bidi="ar-SA"/>
        </w:rPr>
        <w:t>, Article 640857. https://doi.org/10.3389/fped.2021.640857</w:t>
      </w:r>
    </w:p>
    <w:p w14:paraId="73D4481C"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Bobillo-Perez, S., Sole-Ribalta, A., Balaguer, M., Esteban, E., Girona-Alarcon, M., Hernandez-Platero, L., Segura, S., Felipe, A., Cambra, F. J., </w:t>
      </w:r>
      <w:proofErr w:type="spellStart"/>
      <w:r w:rsidRPr="00EC5346">
        <w:rPr>
          <w:lang w:val="en-US" w:eastAsia="en-US" w:bidi="ar-SA"/>
        </w:rPr>
        <w:t>Launes</w:t>
      </w:r>
      <w:proofErr w:type="spellEnd"/>
      <w:r w:rsidRPr="00EC5346">
        <w:rPr>
          <w:lang w:val="en-US" w:eastAsia="en-US" w:bidi="ar-SA"/>
        </w:rPr>
        <w:t xml:space="preserve">, C., &amp; Jordan, I. (2019). Procalcitonin to stop antibiotics after cardiovascular surgery in a pediatric intensive care unit—The PROSACAB study. </w:t>
      </w:r>
      <w:r w:rsidRPr="00EC5346">
        <w:rPr>
          <w:i/>
          <w:iCs/>
          <w:lang w:val="en-US" w:eastAsia="en-US" w:bidi="ar-SA"/>
        </w:rPr>
        <w:t>PLOS ONE, 14</w:t>
      </w:r>
      <w:r w:rsidRPr="00EC5346">
        <w:rPr>
          <w:lang w:val="en-US" w:eastAsia="en-US" w:bidi="ar-SA"/>
        </w:rPr>
        <w:t>(9), Article e0220686. https://doi.org/10.1371/journal.pone.0220686</w:t>
      </w:r>
    </w:p>
    <w:p w14:paraId="31DF5CD9"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Branstetter, J. W., Barker, L., Yarbrough, A., Ross, S., &amp; Stultz, J. S. (2021). Challenges of antibiotic stewardship in the pediatric and neonatal intensive care units. </w:t>
      </w:r>
      <w:r w:rsidRPr="00EC5346">
        <w:rPr>
          <w:i/>
          <w:iCs/>
          <w:lang w:val="en-US" w:eastAsia="en-US" w:bidi="ar-SA"/>
        </w:rPr>
        <w:t>The Journal of Pediatric Pharmacology and Therapeutics, 26</w:t>
      </w:r>
      <w:r w:rsidRPr="00EC5346">
        <w:rPr>
          <w:lang w:val="en-US" w:eastAsia="en-US" w:bidi="ar-SA"/>
        </w:rPr>
        <w:t>(7), 659–668. https://doi.org/10.5863/1551-6776-26.7.659</w:t>
      </w:r>
    </w:p>
    <w:p w14:paraId="60F9C24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Briand, A., Bernier, L., </w:t>
      </w:r>
      <w:proofErr w:type="spellStart"/>
      <w:r w:rsidRPr="00EC5346">
        <w:rPr>
          <w:lang w:val="en-US" w:eastAsia="en-US" w:bidi="ar-SA"/>
        </w:rPr>
        <w:t>Pincivy</w:t>
      </w:r>
      <w:proofErr w:type="spellEnd"/>
      <w:r w:rsidRPr="00EC5346">
        <w:rPr>
          <w:lang w:val="en-US" w:eastAsia="en-US" w:bidi="ar-SA"/>
        </w:rPr>
        <w:t xml:space="preserve">, A., Roumeliotis, N., </w:t>
      </w:r>
      <w:proofErr w:type="spellStart"/>
      <w:r w:rsidRPr="00EC5346">
        <w:rPr>
          <w:lang w:val="en-US" w:eastAsia="en-US" w:bidi="ar-SA"/>
        </w:rPr>
        <w:t>Autmizguine</w:t>
      </w:r>
      <w:proofErr w:type="spellEnd"/>
      <w:r w:rsidRPr="00EC5346">
        <w:rPr>
          <w:lang w:val="en-US" w:eastAsia="en-US" w:bidi="ar-SA"/>
        </w:rPr>
        <w:t xml:space="preserve">, J., </w:t>
      </w:r>
      <w:proofErr w:type="spellStart"/>
      <w:r w:rsidRPr="00EC5346">
        <w:rPr>
          <w:lang w:val="en-US" w:eastAsia="en-US" w:bidi="ar-SA"/>
        </w:rPr>
        <w:t>Marsot</w:t>
      </w:r>
      <w:proofErr w:type="spellEnd"/>
      <w:r w:rsidRPr="00EC5346">
        <w:rPr>
          <w:lang w:val="en-US" w:eastAsia="en-US" w:bidi="ar-SA"/>
        </w:rPr>
        <w:t xml:space="preserve">, A., </w:t>
      </w:r>
      <w:proofErr w:type="spellStart"/>
      <w:r w:rsidRPr="00EC5346">
        <w:rPr>
          <w:lang w:val="en-US" w:eastAsia="en-US" w:bidi="ar-SA"/>
        </w:rPr>
        <w:t>Métras</w:t>
      </w:r>
      <w:proofErr w:type="spellEnd"/>
      <w:r w:rsidRPr="00EC5346">
        <w:rPr>
          <w:lang w:val="en-US" w:eastAsia="en-US" w:bidi="ar-SA"/>
        </w:rPr>
        <w:t xml:space="preserve">, M.-É., &amp; Thibault, C. (2024). Prolonged beta-lactam infusions in children: A systematic review and meta-analysis. </w:t>
      </w:r>
      <w:r w:rsidRPr="00EC5346">
        <w:rPr>
          <w:i/>
          <w:iCs/>
          <w:lang w:val="en-US" w:eastAsia="en-US" w:bidi="ar-SA"/>
        </w:rPr>
        <w:t>The Journal of Pediatrics, 275</w:t>
      </w:r>
      <w:r w:rsidRPr="00EC5346">
        <w:rPr>
          <w:lang w:val="en-US" w:eastAsia="en-US" w:bidi="ar-SA"/>
        </w:rPr>
        <w:t>, Article 114220. https://doi.org/10.1016/j.jpeds.2024.114220</w:t>
      </w:r>
    </w:p>
    <w:p w14:paraId="689F08A3"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Centers for Disease Control and Prevention. (2019). </w:t>
      </w:r>
      <w:r w:rsidRPr="00EC5346">
        <w:rPr>
          <w:i/>
          <w:iCs/>
          <w:lang w:val="en-US" w:eastAsia="en-US" w:bidi="ar-SA"/>
        </w:rPr>
        <w:t>Core elements of hospital antibiotic stewardship programs</w:t>
      </w:r>
      <w:r w:rsidRPr="00EC5346">
        <w:rPr>
          <w:lang w:val="en-US" w:eastAsia="en-US" w:bidi="ar-SA"/>
        </w:rPr>
        <w:t xml:space="preserve">. U.S. Department of Health and Human Services. </w:t>
      </w:r>
      <w:hyperlink r:id="rId10" w:tgtFrame="_new" w:history="1">
        <w:r w:rsidRPr="00EC5346">
          <w:rPr>
            <w:color w:val="0000FF"/>
            <w:u w:val="single"/>
            <w:lang w:val="en-US" w:eastAsia="en-US" w:bidi="ar-SA"/>
          </w:rPr>
          <w:t>https://www.cdc.gov/antibiotic-use/hcp/core-elements/hospital.html</w:t>
        </w:r>
      </w:hyperlink>
    </w:p>
    <w:p w14:paraId="381B562B"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Chattopadhyay, A., Mukherjee, A., Kabra, S. K., &amp; Lodha, R. (2022). Antibiotic stewardship practices and prescribing patterns across Indian PICUs. </w:t>
      </w:r>
      <w:r w:rsidRPr="00EC5346">
        <w:rPr>
          <w:i/>
          <w:iCs/>
          <w:lang w:val="en-US" w:eastAsia="en-US" w:bidi="ar-SA"/>
        </w:rPr>
        <w:t>Indian Journal of Pediatrics, 89</w:t>
      </w:r>
      <w:r w:rsidRPr="00EC5346">
        <w:rPr>
          <w:lang w:val="en-US" w:eastAsia="en-US" w:bidi="ar-SA"/>
        </w:rPr>
        <w:t>(9), 872–878. https://doi.org/10.1007/s12098-021-03929-9</w:t>
      </w:r>
    </w:p>
    <w:p w14:paraId="0BC57A41"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Chiotos</w:t>
      </w:r>
      <w:proofErr w:type="spellEnd"/>
      <w:r w:rsidRPr="00EC5346">
        <w:rPr>
          <w:lang w:val="en-US" w:eastAsia="en-US" w:bidi="ar-SA"/>
        </w:rPr>
        <w:t xml:space="preserve">, K., Blumenthal, J., </w:t>
      </w:r>
      <w:proofErr w:type="spellStart"/>
      <w:r w:rsidRPr="00EC5346">
        <w:rPr>
          <w:lang w:val="en-US" w:eastAsia="en-US" w:bidi="ar-SA"/>
        </w:rPr>
        <w:t>Boguniewicz</w:t>
      </w:r>
      <w:proofErr w:type="spellEnd"/>
      <w:r w:rsidRPr="00EC5346">
        <w:rPr>
          <w:lang w:val="en-US" w:eastAsia="en-US" w:bidi="ar-SA"/>
        </w:rPr>
        <w:t xml:space="preserve">, J., Palazzi, D. L., </w:t>
      </w:r>
      <w:proofErr w:type="spellStart"/>
      <w:r w:rsidRPr="00EC5346">
        <w:rPr>
          <w:lang w:val="en-US" w:eastAsia="en-US" w:bidi="ar-SA"/>
        </w:rPr>
        <w:t>Stalets</w:t>
      </w:r>
      <w:proofErr w:type="spellEnd"/>
      <w:r w:rsidRPr="00EC5346">
        <w:rPr>
          <w:lang w:val="en-US" w:eastAsia="en-US" w:bidi="ar-SA"/>
        </w:rPr>
        <w:t xml:space="preserve">, E. L., Rubens, J. H., Tamma, P. D., Cabler, S. S., Newland, J., Crandall, H., Berkman, E., Kavanagh, R. P., Stinson, H. R., &amp; Gerber, J. S. (2023). Antibiotic indications and appropriateness in the pediatric intensive care unit: A 10-center point prevalence study. </w:t>
      </w:r>
      <w:r w:rsidRPr="00EC5346">
        <w:rPr>
          <w:i/>
          <w:iCs/>
          <w:lang w:val="en-US" w:eastAsia="en-US" w:bidi="ar-SA"/>
        </w:rPr>
        <w:t>Clinical Infectious Diseases, 76</w:t>
      </w:r>
      <w:r w:rsidRPr="00EC5346">
        <w:rPr>
          <w:lang w:val="en-US" w:eastAsia="en-US" w:bidi="ar-SA"/>
        </w:rPr>
        <w:t>(3), e1021–e1030. https://doi.org/10.1093/cid/ciac698</w:t>
      </w:r>
    </w:p>
    <w:p w14:paraId="31EFBFCB"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Chiotos</w:t>
      </w:r>
      <w:proofErr w:type="spellEnd"/>
      <w:r w:rsidRPr="00EC5346">
        <w:rPr>
          <w:lang w:val="en-US" w:eastAsia="en-US" w:bidi="ar-SA"/>
        </w:rPr>
        <w:t xml:space="preserve">, K., Lee, G., Sydney, G., Woods-Hill, C., Wolfe, H., Stinson, H. R., Piccione, J., Blumenthal, J., Keim, G., Li, Y., Traynor, D., </w:t>
      </w:r>
      <w:proofErr w:type="spellStart"/>
      <w:r w:rsidRPr="00EC5346">
        <w:rPr>
          <w:lang w:val="en-US" w:eastAsia="en-US" w:bidi="ar-SA"/>
        </w:rPr>
        <w:t>Dudhia</w:t>
      </w:r>
      <w:proofErr w:type="spellEnd"/>
      <w:r w:rsidRPr="00EC5346">
        <w:rPr>
          <w:lang w:val="en-US" w:eastAsia="en-US" w:bidi="ar-SA"/>
        </w:rPr>
        <w:t xml:space="preserve">, A., Doll, A., Harris, R., &amp; Gerber, J. S. (2024). Impact of a tracheal aspirate culture diagnostic test stewardship intervention in a tertiary care PICU. </w:t>
      </w:r>
      <w:r w:rsidRPr="00EC5346">
        <w:rPr>
          <w:i/>
          <w:iCs/>
          <w:lang w:val="en-US" w:eastAsia="en-US" w:bidi="ar-SA"/>
        </w:rPr>
        <w:t>Infection Control &amp; Hospital Epidemiology, 45</w:t>
      </w:r>
      <w:r w:rsidRPr="00EC5346">
        <w:rPr>
          <w:lang w:val="en-US" w:eastAsia="en-US" w:bidi="ar-SA"/>
        </w:rPr>
        <w:t>(8), 943–951. https://doi.org/10.1017/ice.2024.105</w:t>
      </w:r>
    </w:p>
    <w:p w14:paraId="559DA0B7"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lastRenderedPageBreak/>
        <w:t>Chorafa</w:t>
      </w:r>
      <w:proofErr w:type="spellEnd"/>
      <w:r w:rsidRPr="00EC5346">
        <w:rPr>
          <w:lang w:val="en-US" w:eastAsia="en-US" w:bidi="ar-SA"/>
        </w:rPr>
        <w:t xml:space="preserve">, E., Komatsiouli, V., Iosifidis, E., Kourti, M., </w:t>
      </w:r>
      <w:proofErr w:type="spellStart"/>
      <w:r w:rsidRPr="00EC5346">
        <w:rPr>
          <w:lang w:val="en-US" w:eastAsia="en-US" w:bidi="ar-SA"/>
        </w:rPr>
        <w:t>Sdougka</w:t>
      </w:r>
      <w:proofErr w:type="spellEnd"/>
      <w:r w:rsidRPr="00EC5346">
        <w:rPr>
          <w:lang w:val="en-US" w:eastAsia="en-US" w:bidi="ar-SA"/>
        </w:rPr>
        <w:t xml:space="preserve">, M., &amp; </w:t>
      </w:r>
      <w:proofErr w:type="spellStart"/>
      <w:r w:rsidRPr="00EC5346">
        <w:rPr>
          <w:lang w:val="en-US" w:eastAsia="en-US" w:bidi="ar-SA"/>
        </w:rPr>
        <w:t>Roilides</w:t>
      </w:r>
      <w:proofErr w:type="spellEnd"/>
      <w:r w:rsidRPr="00EC5346">
        <w:rPr>
          <w:lang w:val="en-US" w:eastAsia="en-US" w:bidi="ar-SA"/>
        </w:rPr>
        <w:t xml:space="preserve">, E. (2023). Antimicrobial stewardship programs in PICU settings: A systematic review. </w:t>
      </w:r>
      <w:r w:rsidRPr="00EC5346">
        <w:rPr>
          <w:i/>
          <w:iCs/>
          <w:lang w:val="en-US" w:eastAsia="en-US" w:bidi="ar-SA"/>
        </w:rPr>
        <w:t>Pediatric Critical Care Medicine, 24</w:t>
      </w:r>
      <w:r w:rsidRPr="00EC5346">
        <w:rPr>
          <w:lang w:val="en-US" w:eastAsia="en-US" w:bidi="ar-SA"/>
        </w:rPr>
        <w:t>(1), e20–e27. https://doi.org/10.1097/PCC.0000000000003069</w:t>
      </w:r>
    </w:p>
    <w:p w14:paraId="1B2B81BF"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Chorafa</w:t>
      </w:r>
      <w:proofErr w:type="spellEnd"/>
      <w:r w:rsidRPr="00EC5346">
        <w:rPr>
          <w:lang w:val="en-US" w:eastAsia="en-US" w:bidi="ar-SA"/>
        </w:rPr>
        <w:t xml:space="preserve">, E., Iosifidis, E., Alkhaaldi, A. A., Arias, A., Cetin, B. S., De Luca, M., </w:t>
      </w:r>
      <w:proofErr w:type="spellStart"/>
      <w:r w:rsidRPr="00EC5346">
        <w:rPr>
          <w:lang w:val="en-US" w:eastAsia="en-US" w:bidi="ar-SA"/>
        </w:rPr>
        <w:t>Emonts</w:t>
      </w:r>
      <w:proofErr w:type="spellEnd"/>
      <w:r w:rsidRPr="00EC5346">
        <w:rPr>
          <w:lang w:val="en-US" w:eastAsia="en-US" w:bidi="ar-SA"/>
        </w:rPr>
        <w:t xml:space="preserve">, M., Ferreras-Antolin, L., </w:t>
      </w:r>
      <w:proofErr w:type="spellStart"/>
      <w:r w:rsidRPr="00EC5346">
        <w:rPr>
          <w:lang w:val="en-US" w:eastAsia="en-US" w:bidi="ar-SA"/>
        </w:rPr>
        <w:t>Ghimenton</w:t>
      </w:r>
      <w:proofErr w:type="spellEnd"/>
      <w:r w:rsidRPr="00EC5346">
        <w:rPr>
          <w:lang w:val="en-US" w:eastAsia="en-US" w:bidi="ar-SA"/>
        </w:rPr>
        <w:t xml:space="preserve">-Walters, E., </w:t>
      </w:r>
      <w:proofErr w:type="spellStart"/>
      <w:r w:rsidRPr="00EC5346">
        <w:rPr>
          <w:lang w:val="en-US" w:eastAsia="en-US" w:bidi="ar-SA"/>
        </w:rPr>
        <w:t>Grasa</w:t>
      </w:r>
      <w:proofErr w:type="spellEnd"/>
      <w:r w:rsidRPr="00EC5346">
        <w:rPr>
          <w:lang w:val="en-US" w:eastAsia="en-US" w:bidi="ar-SA"/>
        </w:rPr>
        <w:t xml:space="preserve">, C. D., Groll, A. H., Herrera-Castillo, L., </w:t>
      </w:r>
      <w:proofErr w:type="spellStart"/>
      <w:r w:rsidRPr="00EC5346">
        <w:rPr>
          <w:lang w:val="en-US" w:eastAsia="en-US" w:bidi="ar-SA"/>
        </w:rPr>
        <w:t>Lehrnbecher</w:t>
      </w:r>
      <w:proofErr w:type="spellEnd"/>
      <w:r w:rsidRPr="00EC5346">
        <w:rPr>
          <w:lang w:val="en-US" w:eastAsia="en-US" w:bidi="ar-SA"/>
        </w:rPr>
        <w:t xml:space="preserve">, T., Manzanares, A., </w:t>
      </w:r>
      <w:proofErr w:type="spellStart"/>
      <w:r w:rsidRPr="00EC5346">
        <w:rPr>
          <w:lang w:val="en-US" w:eastAsia="en-US" w:bidi="ar-SA"/>
        </w:rPr>
        <w:t>Masjosthusmann</w:t>
      </w:r>
      <w:proofErr w:type="spellEnd"/>
      <w:r w:rsidRPr="00EC5346">
        <w:rPr>
          <w:lang w:val="en-US" w:eastAsia="en-US" w:bidi="ar-SA"/>
        </w:rPr>
        <w:t xml:space="preserve">, K., </w:t>
      </w:r>
      <w:proofErr w:type="spellStart"/>
      <w:r w:rsidRPr="00EC5346">
        <w:rPr>
          <w:lang w:val="en-US" w:eastAsia="en-US" w:bidi="ar-SA"/>
        </w:rPr>
        <w:t>Melendo</w:t>
      </w:r>
      <w:proofErr w:type="spellEnd"/>
      <w:r w:rsidRPr="00EC5346">
        <w:rPr>
          <w:lang w:val="en-US" w:eastAsia="en-US" w:bidi="ar-SA"/>
        </w:rPr>
        <w:t xml:space="preserve">, S., Mendoza-Palomar, N., Paulus, S., Rincón-López, E., . . . </w:t>
      </w:r>
      <w:proofErr w:type="spellStart"/>
      <w:r w:rsidRPr="00EC5346">
        <w:rPr>
          <w:lang w:val="en-US" w:eastAsia="en-US" w:bidi="ar-SA"/>
        </w:rPr>
        <w:t>Roilides</w:t>
      </w:r>
      <w:proofErr w:type="spellEnd"/>
      <w:r w:rsidRPr="00EC5346">
        <w:rPr>
          <w:lang w:val="en-US" w:eastAsia="en-US" w:bidi="ar-SA"/>
        </w:rPr>
        <w:t xml:space="preserve">, E. (2025). Antifungal prescribing in European pediatric intensive care units: Results of a multinational 3-month weekly point-prevalence survey. </w:t>
      </w:r>
      <w:r w:rsidRPr="00EC5346">
        <w:rPr>
          <w:i/>
          <w:iCs/>
          <w:lang w:val="en-US" w:eastAsia="en-US" w:bidi="ar-SA"/>
        </w:rPr>
        <w:t>Journal of the Pediatric Infectious Diseases Society, 14</w:t>
      </w:r>
      <w:r w:rsidRPr="00EC5346">
        <w:rPr>
          <w:lang w:val="en-US" w:eastAsia="en-US" w:bidi="ar-SA"/>
        </w:rPr>
        <w:t>(10), Article piaf081. https://doi.org/10.1093/jpids/piaf081</w:t>
      </w:r>
    </w:p>
    <w:p w14:paraId="6F1D3A20"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Chorafa</w:t>
      </w:r>
      <w:proofErr w:type="spellEnd"/>
      <w:r w:rsidRPr="00EC5346">
        <w:rPr>
          <w:lang w:val="en-US" w:eastAsia="en-US" w:bidi="ar-SA"/>
        </w:rPr>
        <w:t xml:space="preserve">, E., Iosifidis, E., Tzika, C., Papathanasiou, A.-I., &amp; </w:t>
      </w:r>
      <w:proofErr w:type="spellStart"/>
      <w:r w:rsidRPr="00EC5346">
        <w:rPr>
          <w:lang w:val="en-US" w:eastAsia="en-US" w:bidi="ar-SA"/>
        </w:rPr>
        <w:t>Roilides</w:t>
      </w:r>
      <w:proofErr w:type="spellEnd"/>
      <w:r w:rsidRPr="00EC5346">
        <w:rPr>
          <w:lang w:val="en-US" w:eastAsia="en-US" w:bidi="ar-SA"/>
        </w:rPr>
        <w:t xml:space="preserve">, E. (2026). Antifungal stewardship in the pediatric intensive care unit: Time is of the essence. </w:t>
      </w:r>
      <w:r w:rsidRPr="00EC5346">
        <w:rPr>
          <w:i/>
          <w:iCs/>
          <w:lang w:val="en-US" w:eastAsia="en-US" w:bidi="ar-SA"/>
        </w:rPr>
        <w:t>Infection and Drug Resistance, 19</w:t>
      </w:r>
      <w:r w:rsidRPr="00EC5346">
        <w:rPr>
          <w:lang w:val="en-US" w:eastAsia="en-US" w:bidi="ar-SA"/>
        </w:rPr>
        <w:t>, 541588. https://doi.org/10.2147/IDR.S541588</w:t>
      </w:r>
    </w:p>
    <w:p w14:paraId="4F4BD13D"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Cies, J. J., Moore, W. S., Enache, A., &amp; Chopra, A. (2018). β-Lactam therapeutic drug management in the PICU. </w:t>
      </w:r>
      <w:r w:rsidRPr="00EC5346">
        <w:rPr>
          <w:i/>
          <w:iCs/>
          <w:lang w:val="en-US" w:eastAsia="en-US" w:bidi="ar-SA"/>
        </w:rPr>
        <w:t>Critical Care Medicine, 46</w:t>
      </w:r>
      <w:r w:rsidRPr="00EC5346">
        <w:rPr>
          <w:lang w:val="en-US" w:eastAsia="en-US" w:bidi="ar-SA"/>
        </w:rPr>
        <w:t>(2), 272–279. https://doi.org/10.1097/CCM.0000000000002817</w:t>
      </w:r>
    </w:p>
    <w:p w14:paraId="2AA6F57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Clark, J. A., Conway Morris, A., Curran, M. D., White, D., Daubney, E., Kean, I. R. L., </w:t>
      </w:r>
      <w:proofErr w:type="spellStart"/>
      <w:r w:rsidRPr="00EC5346">
        <w:rPr>
          <w:lang w:val="en-US" w:eastAsia="en-US" w:bidi="ar-SA"/>
        </w:rPr>
        <w:t>Navapurkar</w:t>
      </w:r>
      <w:proofErr w:type="spellEnd"/>
      <w:r w:rsidRPr="00EC5346">
        <w:rPr>
          <w:lang w:val="en-US" w:eastAsia="en-US" w:bidi="ar-SA"/>
        </w:rPr>
        <w:t xml:space="preserve">, V., Bartholdson Scott, J., Maes, M., Bousfield, R., Török, M. E., </w:t>
      </w:r>
      <w:proofErr w:type="spellStart"/>
      <w:r w:rsidRPr="00EC5346">
        <w:rPr>
          <w:lang w:val="en-US" w:eastAsia="en-US" w:bidi="ar-SA"/>
        </w:rPr>
        <w:t>Inwald</w:t>
      </w:r>
      <w:proofErr w:type="spellEnd"/>
      <w:r w:rsidRPr="00EC5346">
        <w:rPr>
          <w:lang w:val="en-US" w:eastAsia="en-US" w:bidi="ar-SA"/>
        </w:rPr>
        <w:t xml:space="preserve">, D., Zhang, Z., Agrawal, S., Kanaris, C., Khokhar, F., Gouliouris, T., Baker, S., &amp; Pathan, N. (2023). The rapid detection of respiratory pathogens in critically ill children. </w:t>
      </w:r>
      <w:r w:rsidRPr="00EC5346">
        <w:rPr>
          <w:i/>
          <w:iCs/>
          <w:lang w:val="en-US" w:eastAsia="en-US" w:bidi="ar-SA"/>
        </w:rPr>
        <w:t>Critical Care, 27</w:t>
      </w:r>
      <w:r w:rsidRPr="00EC5346">
        <w:rPr>
          <w:lang w:val="en-US" w:eastAsia="en-US" w:bidi="ar-SA"/>
        </w:rPr>
        <w:t>(1), Article 11. https://doi.org/10.1186/s13054-023-04303-1</w:t>
      </w:r>
    </w:p>
    <w:p w14:paraId="62249E9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Clos, M., </w:t>
      </w:r>
      <w:proofErr w:type="spellStart"/>
      <w:r w:rsidRPr="00EC5346">
        <w:rPr>
          <w:lang w:val="en-US" w:eastAsia="en-US" w:bidi="ar-SA"/>
        </w:rPr>
        <w:t>Schlapbach</w:t>
      </w:r>
      <w:proofErr w:type="spellEnd"/>
      <w:r w:rsidRPr="00EC5346">
        <w:rPr>
          <w:lang w:val="en-US" w:eastAsia="en-US" w:bidi="ar-SA"/>
        </w:rPr>
        <w:t xml:space="preserve">, L. J., Arata-Bardet, J., </w:t>
      </w:r>
      <w:proofErr w:type="spellStart"/>
      <w:r w:rsidRPr="00EC5346">
        <w:rPr>
          <w:lang w:val="en-US" w:eastAsia="en-US" w:bidi="ar-SA"/>
        </w:rPr>
        <w:t>Javouhey</w:t>
      </w:r>
      <w:proofErr w:type="spellEnd"/>
      <w:r w:rsidRPr="00EC5346">
        <w:rPr>
          <w:lang w:val="en-US" w:eastAsia="en-US" w:bidi="ar-SA"/>
        </w:rPr>
        <w:t xml:space="preserve">, E., </w:t>
      </w:r>
      <w:proofErr w:type="spellStart"/>
      <w:r w:rsidRPr="00EC5346">
        <w:rPr>
          <w:lang w:val="en-US" w:eastAsia="en-US" w:bidi="ar-SA"/>
        </w:rPr>
        <w:t>Mortamet</w:t>
      </w:r>
      <w:proofErr w:type="spellEnd"/>
      <w:r w:rsidRPr="00EC5346">
        <w:rPr>
          <w:lang w:val="en-US" w:eastAsia="en-US" w:bidi="ar-SA"/>
        </w:rPr>
        <w:t xml:space="preserve">, G., &amp; European Society of Neonatal and Pediatric Intensive Care (ESPNIC) Section on Infection, Inflammation, and Sepsis. (2022). Antimicrobial stewardship programs in European pediatric intensive care units: An international survey of practices. </w:t>
      </w:r>
      <w:r w:rsidRPr="00EC5346">
        <w:rPr>
          <w:i/>
          <w:iCs/>
          <w:lang w:val="en-US" w:eastAsia="en-US" w:bidi="ar-SA"/>
        </w:rPr>
        <w:t>European Journal of Pediatrics, 181</w:t>
      </w:r>
      <w:r w:rsidRPr="00EC5346">
        <w:rPr>
          <w:lang w:val="en-US" w:eastAsia="en-US" w:bidi="ar-SA"/>
        </w:rPr>
        <w:t>(7), 2873–2877. https://doi.org/10.1007/s00431-022-04481-0</w:t>
      </w:r>
    </w:p>
    <w:p w14:paraId="31E3F89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Curran, J., Lo, J., Leung, V., Brown, K., Schwartz, K. L., Daneman, N., Garber, G., Wu, J. H. C., &amp; Langford, B. J. (2022). Estimating daily antibiotic harms: An umbrella review with individual study meta-analysis. </w:t>
      </w:r>
      <w:r w:rsidRPr="00EC5346">
        <w:rPr>
          <w:i/>
          <w:iCs/>
          <w:lang w:val="en-US" w:eastAsia="en-US" w:bidi="ar-SA"/>
        </w:rPr>
        <w:t>Clinical Microbiology and Infection, 28</w:t>
      </w:r>
      <w:r w:rsidRPr="00EC5346">
        <w:rPr>
          <w:lang w:val="en-US" w:eastAsia="en-US" w:bidi="ar-SA"/>
        </w:rPr>
        <w:t>(4), 479–490. https://doi.org/10.1016/j.cmi.2021.10.022</w:t>
      </w:r>
    </w:p>
    <w:p w14:paraId="11C3AEF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de </w:t>
      </w:r>
      <w:proofErr w:type="spellStart"/>
      <w:r w:rsidRPr="00EC5346">
        <w:rPr>
          <w:lang w:val="en-US" w:eastAsia="en-US" w:bidi="ar-SA"/>
        </w:rPr>
        <w:t>Cacqueray</w:t>
      </w:r>
      <w:proofErr w:type="spellEnd"/>
      <w:r w:rsidRPr="00EC5346">
        <w:rPr>
          <w:lang w:val="en-US" w:eastAsia="en-US" w:bidi="ar-SA"/>
        </w:rPr>
        <w:t xml:space="preserve">, N., </w:t>
      </w:r>
      <w:proofErr w:type="spellStart"/>
      <w:r w:rsidRPr="00EC5346">
        <w:rPr>
          <w:lang w:val="en-US" w:eastAsia="en-US" w:bidi="ar-SA"/>
        </w:rPr>
        <w:t>Boujaafar</w:t>
      </w:r>
      <w:proofErr w:type="spellEnd"/>
      <w:r w:rsidRPr="00EC5346">
        <w:rPr>
          <w:lang w:val="en-US" w:eastAsia="en-US" w:bidi="ar-SA"/>
        </w:rPr>
        <w:t xml:space="preserve">, S., Bille, E., Moulin, F., Gana, I., </w:t>
      </w:r>
      <w:proofErr w:type="spellStart"/>
      <w:r w:rsidRPr="00EC5346">
        <w:rPr>
          <w:lang w:val="en-US" w:eastAsia="en-US" w:bidi="ar-SA"/>
        </w:rPr>
        <w:t>Benaboud</w:t>
      </w:r>
      <w:proofErr w:type="spellEnd"/>
      <w:r w:rsidRPr="00EC5346">
        <w:rPr>
          <w:lang w:val="en-US" w:eastAsia="en-US" w:bidi="ar-SA"/>
        </w:rPr>
        <w:t xml:space="preserve">, S., Hirt, D., Béranger, A., </w:t>
      </w:r>
      <w:proofErr w:type="spellStart"/>
      <w:r w:rsidRPr="00EC5346">
        <w:rPr>
          <w:lang w:val="en-US" w:eastAsia="en-US" w:bidi="ar-SA"/>
        </w:rPr>
        <w:t>Toubiana</w:t>
      </w:r>
      <w:proofErr w:type="spellEnd"/>
      <w:r w:rsidRPr="00EC5346">
        <w:rPr>
          <w:lang w:val="en-US" w:eastAsia="en-US" w:bidi="ar-SA"/>
        </w:rPr>
        <w:t xml:space="preserve">, J., </w:t>
      </w:r>
      <w:proofErr w:type="spellStart"/>
      <w:r w:rsidRPr="00EC5346">
        <w:rPr>
          <w:lang w:val="en-US" w:eastAsia="en-US" w:bidi="ar-SA"/>
        </w:rPr>
        <w:t>Renolleau</w:t>
      </w:r>
      <w:proofErr w:type="spellEnd"/>
      <w:r w:rsidRPr="00EC5346">
        <w:rPr>
          <w:lang w:val="en-US" w:eastAsia="en-US" w:bidi="ar-SA"/>
        </w:rPr>
        <w:t xml:space="preserve">, S., </w:t>
      </w:r>
      <w:proofErr w:type="spellStart"/>
      <w:r w:rsidRPr="00EC5346">
        <w:rPr>
          <w:lang w:val="en-US" w:eastAsia="en-US" w:bidi="ar-SA"/>
        </w:rPr>
        <w:t>Tréluyer</w:t>
      </w:r>
      <w:proofErr w:type="spellEnd"/>
      <w:r w:rsidRPr="00EC5346">
        <w:rPr>
          <w:lang w:val="en-US" w:eastAsia="en-US" w:bidi="ar-SA"/>
        </w:rPr>
        <w:t xml:space="preserve">, J.-M., &amp; </w:t>
      </w:r>
      <w:proofErr w:type="spellStart"/>
      <w:r w:rsidRPr="00EC5346">
        <w:rPr>
          <w:lang w:val="en-US" w:eastAsia="en-US" w:bidi="ar-SA"/>
        </w:rPr>
        <w:t>Oualha</w:t>
      </w:r>
      <w:proofErr w:type="spellEnd"/>
      <w:r w:rsidRPr="00EC5346">
        <w:rPr>
          <w:lang w:val="en-US" w:eastAsia="en-US" w:bidi="ar-SA"/>
        </w:rPr>
        <w:t xml:space="preserve">, M. (2022). Therapeutic drug monitoring of antibiotics in critically ill children: An observational study in a pediatric intensive care unit. </w:t>
      </w:r>
      <w:r w:rsidRPr="00EC5346">
        <w:rPr>
          <w:i/>
          <w:iCs/>
          <w:lang w:val="en-US" w:eastAsia="en-US" w:bidi="ar-SA"/>
        </w:rPr>
        <w:t>Therapeutic Drug Monitoring, 44</w:t>
      </w:r>
      <w:r w:rsidRPr="00EC5346">
        <w:rPr>
          <w:lang w:val="en-US" w:eastAsia="en-US" w:bidi="ar-SA"/>
        </w:rPr>
        <w:t>(2), 319–327. https://doi.org/10.1097/FTD.0000000000000918</w:t>
      </w:r>
    </w:p>
    <w:p w14:paraId="1B1CF15C"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Dellit, T. H., Owens, R. C., McGowan, J. E., Gerding, D. N., Weinstein, R. A., Burke, J. P., Huskins, W. C., Paterson, D. L., Fishman, N. O., Carpenter, C. F., Brennan, P. J., Billeter, M., Hooton, T. M., Infectious Diseases Society of America, &amp; Society for Healthcare Epidemiology of America. (2007). Infectious Diseases Society of America and the Society for Healthcare Epidemiology of America guidelines for developing an </w:t>
      </w:r>
      <w:r w:rsidRPr="00EC5346">
        <w:rPr>
          <w:lang w:val="en-US" w:eastAsia="en-US" w:bidi="ar-SA"/>
        </w:rPr>
        <w:lastRenderedPageBreak/>
        <w:t xml:space="preserve">institutional program to enhance antimicrobial stewardship. </w:t>
      </w:r>
      <w:r w:rsidRPr="00EC5346">
        <w:rPr>
          <w:i/>
          <w:iCs/>
          <w:lang w:val="en-US" w:eastAsia="en-US" w:bidi="ar-SA"/>
        </w:rPr>
        <w:t>Clinical Infectious Diseases, 44</w:t>
      </w:r>
      <w:r w:rsidRPr="00EC5346">
        <w:rPr>
          <w:lang w:val="en-US" w:eastAsia="en-US" w:bidi="ar-SA"/>
        </w:rPr>
        <w:t xml:space="preserve">(2), 159–177. </w:t>
      </w:r>
      <w:hyperlink r:id="rId11" w:tgtFrame="_new" w:history="1">
        <w:r w:rsidRPr="00EC5346">
          <w:rPr>
            <w:color w:val="0000FF"/>
            <w:u w:val="single"/>
            <w:lang w:val="en-US" w:eastAsia="en-US" w:bidi="ar-SA"/>
          </w:rPr>
          <w:t>https://doi.org/10.1086/510393</w:t>
        </w:r>
      </w:hyperlink>
    </w:p>
    <w:p w14:paraId="40641AE8"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Donà, D., Barbieri, E., </w:t>
      </w:r>
      <w:proofErr w:type="spellStart"/>
      <w:r w:rsidRPr="00EC5346">
        <w:rPr>
          <w:lang w:val="en-US" w:eastAsia="en-US" w:bidi="ar-SA"/>
        </w:rPr>
        <w:t>Daverio</w:t>
      </w:r>
      <w:proofErr w:type="spellEnd"/>
      <w:r w:rsidRPr="00EC5346">
        <w:rPr>
          <w:lang w:val="en-US" w:eastAsia="en-US" w:bidi="ar-SA"/>
        </w:rPr>
        <w:t xml:space="preserve">, M., Lundin, R., Giaquinto, C., </w:t>
      </w:r>
      <w:proofErr w:type="spellStart"/>
      <w:r w:rsidRPr="00EC5346">
        <w:rPr>
          <w:lang w:val="en-US" w:eastAsia="en-US" w:bidi="ar-SA"/>
        </w:rPr>
        <w:t>Zaoutis</w:t>
      </w:r>
      <w:proofErr w:type="spellEnd"/>
      <w:r w:rsidRPr="00EC5346">
        <w:rPr>
          <w:lang w:val="en-US" w:eastAsia="en-US" w:bidi="ar-SA"/>
        </w:rPr>
        <w:t xml:space="preserve">, T., &amp; Sharland, M. (2020). Implementation and impact of pediatric antimicrobial stewardship programs: A systematic scoping review. </w:t>
      </w:r>
      <w:r w:rsidRPr="00EC5346">
        <w:rPr>
          <w:i/>
          <w:iCs/>
          <w:lang w:val="en-US" w:eastAsia="en-US" w:bidi="ar-SA"/>
        </w:rPr>
        <w:t>Antimicrobial Resistance &amp; Infection Control, 9</w:t>
      </w:r>
      <w:r w:rsidRPr="00EC5346">
        <w:rPr>
          <w:lang w:val="en-US" w:eastAsia="en-US" w:bidi="ar-SA"/>
        </w:rPr>
        <w:t>(1), Article 3. https://doi.org/10.1186/s13756-019-0659-3</w:t>
      </w:r>
    </w:p>
    <w:p w14:paraId="5B6910D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Downes, K. J., Fitzgerald, J. C., Schriver, E., Boge, C. L. K., Russo, M. E., Weiss, S. L., </w:t>
      </w:r>
      <w:proofErr w:type="spellStart"/>
      <w:r w:rsidRPr="00EC5346">
        <w:rPr>
          <w:lang w:val="en-US" w:eastAsia="en-US" w:bidi="ar-SA"/>
        </w:rPr>
        <w:t>Balamuth</w:t>
      </w:r>
      <w:proofErr w:type="spellEnd"/>
      <w:r w:rsidRPr="00EC5346">
        <w:rPr>
          <w:lang w:val="en-US" w:eastAsia="en-US" w:bidi="ar-SA"/>
        </w:rPr>
        <w:t xml:space="preserve">, F., Kubis, S. E., Tolomeo, P., Bilker, W. B., Han, J. H., Lautenbach, E., Coffin, S. E., &amp; Gerber, J. S. (2020). Implementation of a pragmatic biomarker-driven algorithm to guide antibiotic use in the pediatric intensive care unit: The Optimizing Antibiotic Strategies in Sepsis (OASIS) II study. </w:t>
      </w:r>
      <w:r w:rsidRPr="00EC5346">
        <w:rPr>
          <w:i/>
          <w:iCs/>
          <w:lang w:val="en-US" w:eastAsia="en-US" w:bidi="ar-SA"/>
        </w:rPr>
        <w:t>Journal of the Pediatric Infectious Diseases Society, 9</w:t>
      </w:r>
      <w:r w:rsidRPr="00EC5346">
        <w:rPr>
          <w:lang w:val="en-US" w:eastAsia="en-US" w:bidi="ar-SA"/>
        </w:rPr>
        <w:t>(1), 36–43. https://doi.org/10.1093/jpids/piy113</w:t>
      </w:r>
    </w:p>
    <w:p w14:paraId="68B905A3"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Downes, K. J., Weiss, S. L., Gerber, J. S., Klieger, S. B., Fitzgerald, J. C., </w:t>
      </w:r>
      <w:proofErr w:type="spellStart"/>
      <w:r w:rsidRPr="00EC5346">
        <w:rPr>
          <w:lang w:val="en-US" w:eastAsia="en-US" w:bidi="ar-SA"/>
        </w:rPr>
        <w:t>Balamuth</w:t>
      </w:r>
      <w:proofErr w:type="spellEnd"/>
      <w:r w:rsidRPr="00EC5346">
        <w:rPr>
          <w:lang w:val="en-US" w:eastAsia="en-US" w:bidi="ar-SA"/>
        </w:rPr>
        <w:t xml:space="preserve">, F., Kubis, S. E., Tolomeo, P., Bilker, W. B., Han, X., Nachamkin, I., Garrigan, C., Han, J. H., Lautenbach, E., Coffin, S. E., &amp; Centers for Disease Control and Prevention Epicenters Program. (2017). A pragmatic biomarker-driven algorithm to guide antibiotic use in the pediatric intensive care unit: The Optimizing Antibiotic Strategies in Sepsis (OASIS) study. </w:t>
      </w:r>
      <w:r w:rsidRPr="00EC5346">
        <w:rPr>
          <w:i/>
          <w:iCs/>
          <w:lang w:val="en-US" w:eastAsia="en-US" w:bidi="ar-SA"/>
        </w:rPr>
        <w:t>Journal of the Pediatric Infectious Diseases Society, 6</w:t>
      </w:r>
      <w:r w:rsidRPr="00EC5346">
        <w:rPr>
          <w:lang w:val="en-US" w:eastAsia="en-US" w:bidi="ar-SA"/>
        </w:rPr>
        <w:t>(2), 134–141. https://doi.org/10.1093/jpids/piw023</w:t>
      </w:r>
    </w:p>
    <w:p w14:paraId="1D1A3B1F"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Dramowski, A., Prusakov, P., Goff, D. A., Brink, A., Govender, N. P., Annor, A. S., Balfour, L., Bekker, A., Cassim, A., </w:t>
      </w:r>
      <w:proofErr w:type="spellStart"/>
      <w:r w:rsidRPr="00EC5346">
        <w:rPr>
          <w:lang w:val="en-US" w:eastAsia="en-US" w:bidi="ar-SA"/>
        </w:rPr>
        <w:t>Gijzelaar</w:t>
      </w:r>
      <w:proofErr w:type="spellEnd"/>
      <w:r w:rsidRPr="00EC5346">
        <w:rPr>
          <w:lang w:val="en-US" w:eastAsia="en-US" w:bidi="ar-SA"/>
        </w:rPr>
        <w:t xml:space="preserve">, M., Holgate, S. L., Kolman, S., Messina, A., </w:t>
      </w:r>
      <w:proofErr w:type="spellStart"/>
      <w:r w:rsidRPr="00EC5346">
        <w:rPr>
          <w:lang w:val="en-US" w:eastAsia="en-US" w:bidi="ar-SA"/>
        </w:rPr>
        <w:t>Tootla</w:t>
      </w:r>
      <w:proofErr w:type="spellEnd"/>
      <w:r w:rsidRPr="00EC5346">
        <w:rPr>
          <w:lang w:val="en-US" w:eastAsia="en-US" w:bidi="ar-SA"/>
        </w:rPr>
        <w:t xml:space="preserve">, H., Schellack, N., van Jaarsveld, A., Reddy, K., Pillay, S., Conradie, L., . . . </w:t>
      </w:r>
      <w:proofErr w:type="spellStart"/>
      <w:r w:rsidRPr="00EC5346">
        <w:rPr>
          <w:lang w:val="en-US" w:eastAsia="en-US" w:bidi="ar-SA"/>
        </w:rPr>
        <w:t>NeoAMS</w:t>
      </w:r>
      <w:proofErr w:type="spellEnd"/>
      <w:r w:rsidRPr="00EC5346">
        <w:rPr>
          <w:lang w:val="en-US" w:eastAsia="en-US" w:bidi="ar-SA"/>
        </w:rPr>
        <w:t xml:space="preserve"> Study Team. (2024). Prospective antimicrobial stewardship interventions by multidisciplinary teams to reduce neonatal antibiotic use in South Africa: The Neonatal Antimicrobial Stewardship (</w:t>
      </w:r>
      <w:proofErr w:type="spellStart"/>
      <w:r w:rsidRPr="00EC5346">
        <w:rPr>
          <w:lang w:val="en-US" w:eastAsia="en-US" w:bidi="ar-SA"/>
        </w:rPr>
        <w:t>NeoAMS</w:t>
      </w:r>
      <w:proofErr w:type="spellEnd"/>
      <w:r w:rsidRPr="00EC5346">
        <w:rPr>
          <w:lang w:val="en-US" w:eastAsia="en-US" w:bidi="ar-SA"/>
        </w:rPr>
        <w:t xml:space="preserve">) study. </w:t>
      </w:r>
      <w:r w:rsidRPr="00EC5346">
        <w:rPr>
          <w:i/>
          <w:iCs/>
          <w:lang w:val="en-US" w:eastAsia="en-US" w:bidi="ar-SA"/>
        </w:rPr>
        <w:t>International Journal of Infectious Diseases, 146</w:t>
      </w:r>
      <w:r w:rsidRPr="00EC5346">
        <w:rPr>
          <w:lang w:val="en-US" w:eastAsia="en-US" w:bidi="ar-SA"/>
        </w:rPr>
        <w:t>, Article 107158. https://doi.org/10.1016/j.ijid.2024.107158</w:t>
      </w:r>
    </w:p>
    <w:p w14:paraId="125AE63D"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nl-BE" w:eastAsia="en-US" w:bidi="ar-SA"/>
        </w:rPr>
        <w:t xml:space="preserve">Duong, Q. A., Pittet, L. F., Curtis, N., &amp; Zimmermann, P. (2022). </w:t>
      </w:r>
      <w:r w:rsidRPr="00EC5346">
        <w:rPr>
          <w:lang w:val="en-US" w:eastAsia="en-US" w:bidi="ar-SA"/>
        </w:rPr>
        <w:t xml:space="preserve">Antibiotic exposure and adverse long-term health outcomes in children: A systematic review and meta-analysis. </w:t>
      </w:r>
      <w:r w:rsidRPr="00EC5346">
        <w:rPr>
          <w:i/>
          <w:iCs/>
          <w:lang w:val="en-US" w:eastAsia="en-US" w:bidi="ar-SA"/>
        </w:rPr>
        <w:t>Journal of Infection, 85</w:t>
      </w:r>
      <w:r w:rsidRPr="00EC5346">
        <w:rPr>
          <w:lang w:val="en-US" w:eastAsia="en-US" w:bidi="ar-SA"/>
        </w:rPr>
        <w:t xml:space="preserve">(3), 213–300. </w:t>
      </w:r>
      <w:hyperlink r:id="rId12" w:tgtFrame="_new" w:history="1">
        <w:r w:rsidRPr="00EC5346">
          <w:rPr>
            <w:color w:val="0000FF"/>
            <w:u w:val="single"/>
            <w:lang w:val="en-US" w:eastAsia="en-US" w:bidi="ar-SA"/>
          </w:rPr>
          <w:t>https://doi.org/10.1016/j.jinf.2022.01.005</w:t>
        </w:r>
      </w:hyperlink>
    </w:p>
    <w:p w14:paraId="443F5AB2"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Evans, I. V. R., Phillips, G. S., Alpern, E. R., Angus, D. C., Friedrich, M. E., Kissoon, N., </w:t>
      </w:r>
      <w:proofErr w:type="spellStart"/>
      <w:r w:rsidRPr="00EC5346">
        <w:rPr>
          <w:lang w:val="en-US" w:eastAsia="en-US" w:bidi="ar-SA"/>
        </w:rPr>
        <w:t>Lemeshow</w:t>
      </w:r>
      <w:proofErr w:type="spellEnd"/>
      <w:r w:rsidRPr="00EC5346">
        <w:rPr>
          <w:lang w:val="en-US" w:eastAsia="en-US" w:bidi="ar-SA"/>
        </w:rPr>
        <w:t xml:space="preserve">, S., Levy, M. M., Parker, M. M., Terry, K. M., Watson, R. S., Weiss, S. L., Zimmerman, J., &amp; Seymour, C. W. (2018). Association between the New York sepsis care mandate and in-hospital mortality for pediatric sepsis. </w:t>
      </w:r>
      <w:r w:rsidRPr="00EC5346">
        <w:rPr>
          <w:i/>
          <w:iCs/>
          <w:lang w:val="en-US" w:eastAsia="en-US" w:bidi="ar-SA"/>
        </w:rPr>
        <w:t>JAMA, 320</w:t>
      </w:r>
      <w:r w:rsidRPr="00EC5346">
        <w:rPr>
          <w:lang w:val="en-US" w:eastAsia="en-US" w:bidi="ar-SA"/>
        </w:rPr>
        <w:t>(4), 358–367. https://doi.org/10.1001/jama.2018.9071</w:t>
      </w:r>
    </w:p>
    <w:p w14:paraId="4D8742C5"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Fresán</w:t>
      </w:r>
      <w:proofErr w:type="spellEnd"/>
      <w:r w:rsidRPr="00EC5346">
        <w:rPr>
          <w:lang w:val="en-US" w:eastAsia="en-US" w:bidi="ar-SA"/>
        </w:rPr>
        <w:t>-Ruiz, E., Izurieta-Pacheco, A. C., Girona-Alarcón, M., de Carlos-Vicente, J. C., Bustinza-</w:t>
      </w:r>
      <w:proofErr w:type="spellStart"/>
      <w:r w:rsidRPr="00EC5346">
        <w:rPr>
          <w:lang w:val="en-US" w:eastAsia="en-US" w:bidi="ar-SA"/>
        </w:rPr>
        <w:t>Arriortua</w:t>
      </w:r>
      <w:proofErr w:type="spellEnd"/>
      <w:r w:rsidRPr="00EC5346">
        <w:rPr>
          <w:lang w:val="en-US" w:eastAsia="en-US" w:bidi="ar-SA"/>
        </w:rPr>
        <w:t xml:space="preserve">, A., </w:t>
      </w:r>
      <w:proofErr w:type="spellStart"/>
      <w:r w:rsidRPr="00EC5346">
        <w:rPr>
          <w:lang w:val="en-US" w:eastAsia="en-US" w:bidi="ar-SA"/>
        </w:rPr>
        <w:t>Slocker</w:t>
      </w:r>
      <w:proofErr w:type="spellEnd"/>
      <w:r w:rsidRPr="00EC5346">
        <w:rPr>
          <w:lang w:val="en-US" w:eastAsia="en-US" w:bidi="ar-SA"/>
        </w:rPr>
        <w:t xml:space="preserve">-Barrio, M., Belda-Hofheinz, S., Nieto-Moro, M., Uriona-Tuma, S. M., </w:t>
      </w:r>
      <w:proofErr w:type="spellStart"/>
      <w:r w:rsidRPr="00EC5346">
        <w:rPr>
          <w:lang w:val="en-US" w:eastAsia="en-US" w:bidi="ar-SA"/>
        </w:rPr>
        <w:t>Pinós</w:t>
      </w:r>
      <w:proofErr w:type="spellEnd"/>
      <w:r w:rsidRPr="00EC5346">
        <w:rPr>
          <w:lang w:val="en-US" w:eastAsia="en-US" w:bidi="ar-SA"/>
        </w:rPr>
        <w:t xml:space="preserve">-Tella, L., </w:t>
      </w:r>
      <w:proofErr w:type="spellStart"/>
      <w:r w:rsidRPr="00EC5346">
        <w:rPr>
          <w:lang w:val="en-US" w:eastAsia="en-US" w:bidi="ar-SA"/>
        </w:rPr>
        <w:t>Morteruel-Arizcuren</w:t>
      </w:r>
      <w:proofErr w:type="spellEnd"/>
      <w:r w:rsidRPr="00EC5346">
        <w:rPr>
          <w:lang w:val="en-US" w:eastAsia="en-US" w:bidi="ar-SA"/>
        </w:rPr>
        <w:t xml:space="preserve">, E., </w:t>
      </w:r>
      <w:proofErr w:type="spellStart"/>
      <w:r w:rsidRPr="00EC5346">
        <w:rPr>
          <w:lang w:val="en-US" w:eastAsia="en-US" w:bidi="ar-SA"/>
        </w:rPr>
        <w:t>Schuffelmann</w:t>
      </w:r>
      <w:proofErr w:type="spellEnd"/>
      <w:r w:rsidRPr="00EC5346">
        <w:rPr>
          <w:lang w:val="en-US" w:eastAsia="en-US" w:bidi="ar-SA"/>
        </w:rPr>
        <w:t xml:space="preserve">, C., Peña-López, Y., </w:t>
      </w:r>
      <w:proofErr w:type="spellStart"/>
      <w:r w:rsidRPr="00EC5346">
        <w:rPr>
          <w:lang w:val="en-US" w:eastAsia="en-US" w:bidi="ar-SA"/>
        </w:rPr>
        <w:t>Bobillo</w:t>
      </w:r>
      <w:proofErr w:type="spellEnd"/>
      <w:r w:rsidRPr="00EC5346">
        <w:rPr>
          <w:lang w:val="en-US" w:eastAsia="en-US" w:bidi="ar-SA"/>
        </w:rPr>
        <w:t>-Pérez, S., Jordan, I., &amp; Pediatric-</w:t>
      </w:r>
      <w:proofErr w:type="spellStart"/>
      <w:r w:rsidRPr="00EC5346">
        <w:rPr>
          <w:lang w:val="en-US" w:eastAsia="en-US" w:bidi="ar-SA"/>
        </w:rPr>
        <w:t>Envin</w:t>
      </w:r>
      <w:proofErr w:type="spellEnd"/>
      <w:r w:rsidRPr="00EC5346">
        <w:rPr>
          <w:lang w:val="en-US" w:eastAsia="en-US" w:bidi="ar-SA"/>
        </w:rPr>
        <w:t>-</w:t>
      </w:r>
      <w:proofErr w:type="spellStart"/>
      <w:r w:rsidRPr="00EC5346">
        <w:rPr>
          <w:lang w:val="en-US" w:eastAsia="en-US" w:bidi="ar-SA"/>
        </w:rPr>
        <w:t>Helics</w:t>
      </w:r>
      <w:proofErr w:type="spellEnd"/>
      <w:r w:rsidRPr="00EC5346">
        <w:rPr>
          <w:lang w:val="en-US" w:eastAsia="en-US" w:bidi="ar-SA"/>
        </w:rPr>
        <w:t xml:space="preserve"> Study Group. (2022). Antimicrobial stewardship improvement in pediatric intensive care units in Spain—What have we learned? </w:t>
      </w:r>
      <w:r w:rsidRPr="00EC5346">
        <w:rPr>
          <w:i/>
          <w:iCs/>
          <w:lang w:val="en-US" w:eastAsia="en-US" w:bidi="ar-SA"/>
        </w:rPr>
        <w:t>Children, 9</w:t>
      </w:r>
      <w:r w:rsidRPr="00EC5346">
        <w:rPr>
          <w:lang w:val="en-US" w:eastAsia="en-US" w:bidi="ar-SA"/>
        </w:rPr>
        <w:t>(6), Article 902. https://doi.org/10.3390/children9060902</w:t>
      </w:r>
    </w:p>
    <w:p w14:paraId="59194CD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lastRenderedPageBreak/>
        <w:t xml:space="preserve">GBD 2021 Antimicrobial Resistance Collaborators. (2024). Global burden of bacterial antimicrobial resistance 1990–2021: A systematic analysis with forecasts to 2050. </w:t>
      </w:r>
      <w:r w:rsidRPr="00EC5346">
        <w:rPr>
          <w:i/>
          <w:iCs/>
          <w:lang w:val="en-US" w:eastAsia="en-US" w:bidi="ar-SA"/>
        </w:rPr>
        <w:t>The Lancet, 404</w:t>
      </w:r>
      <w:r w:rsidRPr="00EC5346">
        <w:rPr>
          <w:lang w:val="en-US" w:eastAsia="en-US" w:bidi="ar-SA"/>
        </w:rPr>
        <w:t>(10459), 1199–1226. https://doi.org/10.1016/S0140-6736(24)01867-1</w:t>
      </w:r>
    </w:p>
    <w:p w14:paraId="3AA4D22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Gerber, J. S., Hersh, A. L., Kronman, M. P., Newland, J. G., Ross, R. K., &amp; </w:t>
      </w:r>
      <w:proofErr w:type="spellStart"/>
      <w:r w:rsidRPr="00EC5346">
        <w:rPr>
          <w:lang w:val="en-US" w:eastAsia="en-US" w:bidi="ar-SA"/>
        </w:rPr>
        <w:t>Metjian</w:t>
      </w:r>
      <w:proofErr w:type="spellEnd"/>
      <w:r w:rsidRPr="00EC5346">
        <w:rPr>
          <w:lang w:val="en-US" w:eastAsia="en-US" w:bidi="ar-SA"/>
        </w:rPr>
        <w:t xml:space="preserve">, T. A. (2017). Development and application of an antibiotic spectrum index for benchmarking antibiotic selection patterns across hospitals. </w:t>
      </w:r>
      <w:r w:rsidRPr="00EC5346">
        <w:rPr>
          <w:i/>
          <w:iCs/>
          <w:lang w:val="en-US" w:eastAsia="en-US" w:bidi="ar-SA"/>
        </w:rPr>
        <w:t>Infection Control &amp; Hospital Epidemiology, 38</w:t>
      </w:r>
      <w:r w:rsidRPr="00EC5346">
        <w:rPr>
          <w:lang w:val="en-US" w:eastAsia="en-US" w:bidi="ar-SA"/>
        </w:rPr>
        <w:t>(8), 993–997. https://doi.org/10.1017/ice.2017.94</w:t>
      </w:r>
    </w:p>
    <w:p w14:paraId="602009E6"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Geslain</w:t>
      </w:r>
      <w:proofErr w:type="spellEnd"/>
      <w:r w:rsidRPr="00EC5346">
        <w:rPr>
          <w:lang w:val="en-US" w:eastAsia="en-US" w:bidi="ar-SA"/>
        </w:rPr>
        <w:t xml:space="preserve">, G., </w:t>
      </w:r>
      <w:proofErr w:type="spellStart"/>
      <w:r w:rsidRPr="00EC5346">
        <w:rPr>
          <w:lang w:val="en-US" w:eastAsia="en-US" w:bidi="ar-SA"/>
        </w:rPr>
        <w:t>Cointe</w:t>
      </w:r>
      <w:proofErr w:type="spellEnd"/>
      <w:r w:rsidRPr="00EC5346">
        <w:rPr>
          <w:lang w:val="en-US" w:eastAsia="en-US" w:bidi="ar-SA"/>
        </w:rPr>
        <w:t xml:space="preserve">, A., Naudin, J., Dauger, S., Poey, N., Pages, J., Le Roux, E., &amp; Bonacorsi, S. (2024). Diagnostic accuracy of blind bronchial sample testing by </w:t>
      </w:r>
      <w:proofErr w:type="spellStart"/>
      <w:r w:rsidRPr="00EC5346">
        <w:rPr>
          <w:lang w:val="en-US" w:eastAsia="en-US" w:bidi="ar-SA"/>
        </w:rPr>
        <w:t>BioFire</w:t>
      </w:r>
      <w:proofErr w:type="spellEnd"/>
      <w:r w:rsidRPr="00EC5346">
        <w:rPr>
          <w:lang w:val="en-US" w:eastAsia="en-US" w:bidi="ar-SA"/>
        </w:rPr>
        <w:t xml:space="preserve"> Pneumonia plus Panel in pediatric intensive care unit patients and its impact in early adaptation of antimicrobial therapy: A prospective observational study. </w:t>
      </w:r>
      <w:r w:rsidRPr="00EC5346">
        <w:rPr>
          <w:i/>
          <w:iCs/>
          <w:lang w:val="en-US" w:eastAsia="en-US" w:bidi="ar-SA"/>
        </w:rPr>
        <w:t>Pediatric Infectious Disease Journal, 43</w:t>
      </w:r>
      <w:r w:rsidRPr="00EC5346">
        <w:rPr>
          <w:lang w:val="en-US" w:eastAsia="en-US" w:bidi="ar-SA"/>
        </w:rPr>
        <w:t>(8), 725–730. https://doi.org/10.1097/INF.0000000000004349</w:t>
      </w:r>
    </w:p>
    <w:p w14:paraId="4828989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Goldman, J. L., Newland, J. G., Price, M., Yu, D., &amp; Lee, B. R. (2019). Clinical impact of an antimicrobial stewardship program on high-risk pediatric patients. </w:t>
      </w:r>
      <w:r w:rsidRPr="00EC5346">
        <w:rPr>
          <w:i/>
          <w:iCs/>
          <w:lang w:val="en-US" w:eastAsia="en-US" w:bidi="ar-SA"/>
        </w:rPr>
        <w:t>Infection Control &amp; Hospital Epidemiology, 40</w:t>
      </w:r>
      <w:r w:rsidRPr="00EC5346">
        <w:rPr>
          <w:lang w:val="en-US" w:eastAsia="en-US" w:bidi="ar-SA"/>
        </w:rPr>
        <w:t>(9), 968–973. https://doi.org/10.1017/ice.2019.198</w:t>
      </w:r>
    </w:p>
    <w:p w14:paraId="5871CE9D"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Gres, E., </w:t>
      </w:r>
      <w:proofErr w:type="spellStart"/>
      <w:r w:rsidRPr="00EC5346">
        <w:rPr>
          <w:lang w:val="en-US" w:eastAsia="en-US" w:bidi="ar-SA"/>
        </w:rPr>
        <w:t>Brigadoi</w:t>
      </w:r>
      <w:proofErr w:type="spellEnd"/>
      <w:r w:rsidRPr="00EC5346">
        <w:rPr>
          <w:lang w:val="en-US" w:eastAsia="en-US" w:bidi="ar-SA"/>
        </w:rPr>
        <w:t xml:space="preserve">, G., Zamperetti, E., </w:t>
      </w:r>
      <w:proofErr w:type="spellStart"/>
      <w:r w:rsidRPr="00EC5346">
        <w:rPr>
          <w:lang w:val="en-US" w:eastAsia="en-US" w:bidi="ar-SA"/>
        </w:rPr>
        <w:t>Dramowski</w:t>
      </w:r>
      <w:proofErr w:type="spellEnd"/>
      <w:r w:rsidRPr="00EC5346">
        <w:rPr>
          <w:lang w:val="en-US" w:eastAsia="en-US" w:bidi="ar-SA"/>
        </w:rPr>
        <w:t xml:space="preserve">, A., Dahourou, D., </w:t>
      </w:r>
      <w:proofErr w:type="spellStart"/>
      <w:r w:rsidRPr="00EC5346">
        <w:rPr>
          <w:lang w:val="en-US" w:eastAsia="en-US" w:bidi="ar-SA"/>
        </w:rPr>
        <w:t>Mavoko</w:t>
      </w:r>
      <w:proofErr w:type="spellEnd"/>
      <w:r w:rsidRPr="00EC5346">
        <w:rPr>
          <w:lang w:val="en-US" w:eastAsia="en-US" w:bidi="ar-SA"/>
        </w:rPr>
        <w:t xml:space="preserve">, H. M., </w:t>
      </w:r>
      <w:proofErr w:type="spellStart"/>
      <w:r w:rsidRPr="00EC5346">
        <w:rPr>
          <w:lang w:val="en-US" w:eastAsia="en-US" w:bidi="ar-SA"/>
        </w:rPr>
        <w:t>Matuvanga</w:t>
      </w:r>
      <w:proofErr w:type="spellEnd"/>
      <w:r w:rsidRPr="00EC5346">
        <w:rPr>
          <w:lang w:val="en-US" w:eastAsia="en-US" w:bidi="ar-SA"/>
        </w:rPr>
        <w:t xml:space="preserve">, T. Z., Hamers, R. L., Leroy, V., Donà, D., &amp; Barbieri, E. (2025). Antibiotic stewardship and point-of-care testing for children in 25 low-income and lower-middle-income countries: A systematic review and meta-analysis. </w:t>
      </w:r>
      <w:proofErr w:type="spellStart"/>
      <w:r w:rsidRPr="00EC5346">
        <w:rPr>
          <w:i/>
          <w:iCs/>
          <w:lang w:val="en-US" w:eastAsia="en-US" w:bidi="ar-SA"/>
        </w:rPr>
        <w:t>eClinicalMedicine</w:t>
      </w:r>
      <w:proofErr w:type="spellEnd"/>
      <w:r w:rsidRPr="00EC5346">
        <w:rPr>
          <w:i/>
          <w:iCs/>
          <w:lang w:val="en-US" w:eastAsia="en-US" w:bidi="ar-SA"/>
        </w:rPr>
        <w:t>, 90</w:t>
      </w:r>
      <w:r w:rsidRPr="00EC5346">
        <w:rPr>
          <w:lang w:val="en-US" w:eastAsia="en-US" w:bidi="ar-SA"/>
        </w:rPr>
        <w:t>, Article 103667. https://doi.org/10.1016/j.eclinm.2025.103667</w:t>
      </w:r>
    </w:p>
    <w:p w14:paraId="21103202"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Hillyer, M. M., Jaggi, P., Chanani, N. K., Fernandez, A. J., Zaki, H., &amp; Fundora, M. P. (2024). Antimicrobial stewardship and improved antibiotic utilization in the pediatric cardiac intensive care unit. </w:t>
      </w:r>
      <w:r w:rsidRPr="00EC5346">
        <w:rPr>
          <w:i/>
          <w:iCs/>
          <w:lang w:val="en-US" w:eastAsia="en-US" w:bidi="ar-SA"/>
        </w:rPr>
        <w:t>Pediatric Quality &amp; Safety, 9</w:t>
      </w:r>
      <w:r w:rsidRPr="00EC5346">
        <w:rPr>
          <w:lang w:val="en-US" w:eastAsia="en-US" w:bidi="ar-SA"/>
        </w:rPr>
        <w:t>(1), Article e710. https://doi.org/10.1097/PQ9.0000000000000710</w:t>
      </w:r>
    </w:p>
    <w:p w14:paraId="055B2975"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Hurst, A. L., Child, J., Pearce, K., Palmer, C., Todd, J. K., &amp; Parker, S. K. (2016). Handshake stewardship: A highly effective rounding-based antimicrobial optimization service. </w:t>
      </w:r>
      <w:r w:rsidRPr="00EC5346">
        <w:rPr>
          <w:i/>
          <w:iCs/>
          <w:lang w:val="en-US" w:eastAsia="en-US" w:bidi="ar-SA"/>
        </w:rPr>
        <w:t>Pediatric Infectious Disease Journal, 35</w:t>
      </w:r>
      <w:r w:rsidRPr="00EC5346">
        <w:rPr>
          <w:lang w:val="en-US" w:eastAsia="en-US" w:bidi="ar-SA"/>
        </w:rPr>
        <w:t>(10), 1104–1110. https://doi.org/10.1097/INF.0000000000001245</w:t>
      </w:r>
    </w:p>
    <w:p w14:paraId="15521FDC"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Jain, K., Kumar, V., </w:t>
      </w:r>
      <w:proofErr w:type="spellStart"/>
      <w:r w:rsidRPr="00EC5346">
        <w:rPr>
          <w:lang w:val="en-US" w:eastAsia="en-US" w:bidi="ar-SA"/>
        </w:rPr>
        <w:t>Plakkal</w:t>
      </w:r>
      <w:proofErr w:type="spellEnd"/>
      <w:r w:rsidRPr="00EC5346">
        <w:rPr>
          <w:lang w:val="en-US" w:eastAsia="en-US" w:bidi="ar-SA"/>
        </w:rPr>
        <w:t xml:space="preserve">, N., Chawla, D., Jindal, A., Bora, R., Gupta, N., Sastry, A., Singla, N., Bhargava, A., Nath, R., Nag, V., Mohapatra, S., Wadhwa, N., Agarwal, R., Sankar, M. J., &amp; DH Study Collaborators. (2025). Multidrug-resistant sepsis in special newborn care units in five district hospitals in India: A prospective cohort study. </w:t>
      </w:r>
      <w:r w:rsidRPr="00EC5346">
        <w:rPr>
          <w:i/>
          <w:iCs/>
          <w:lang w:val="en-US" w:eastAsia="en-US" w:bidi="ar-SA"/>
        </w:rPr>
        <w:t>The Lancet Global Health, 13</w:t>
      </w:r>
      <w:r w:rsidRPr="00EC5346">
        <w:rPr>
          <w:lang w:val="en-US" w:eastAsia="en-US" w:bidi="ar-SA"/>
        </w:rPr>
        <w:t>(5), e870–e878. https://doi.org/10.1016/S2214-109X(24)00564-3</w:t>
      </w:r>
    </w:p>
    <w:p w14:paraId="0A9CF0CD"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Jones, A. S., Isaac, R. E., Price, K. L., &amp; Plunkett, A. C. (2019). Impact of positive feedback on antimicrobial stewardship in a pediatric intensive care unit: A quality improvement project. </w:t>
      </w:r>
      <w:r w:rsidRPr="00EC5346">
        <w:rPr>
          <w:i/>
          <w:iCs/>
          <w:lang w:val="en-US" w:eastAsia="en-US" w:bidi="ar-SA"/>
        </w:rPr>
        <w:t>Pediatric Quality &amp; Safety, 4</w:t>
      </w:r>
      <w:r w:rsidRPr="00EC5346">
        <w:rPr>
          <w:lang w:val="en-US" w:eastAsia="en-US" w:bidi="ar-SA"/>
        </w:rPr>
        <w:t>(5), Article e206. https://doi.org/10.1097/PQ9.0000000000000206</w:t>
      </w:r>
    </w:p>
    <w:p w14:paraId="41CE8C9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Kanungo, A., Rao, S., </w:t>
      </w:r>
      <w:proofErr w:type="spellStart"/>
      <w:r w:rsidRPr="00EC5346">
        <w:rPr>
          <w:lang w:val="en-US" w:eastAsia="en-US" w:bidi="ar-SA"/>
        </w:rPr>
        <w:t>Bellipady</w:t>
      </w:r>
      <w:proofErr w:type="spellEnd"/>
      <w:r w:rsidRPr="00EC5346">
        <w:rPr>
          <w:lang w:val="en-US" w:eastAsia="en-US" w:bidi="ar-SA"/>
        </w:rPr>
        <w:t xml:space="preserve">, S. S., &amp; Shetty, S. (2025). Procalcitonin guided antibiotic stewardship in pediatric sepsis and lower respiratory tract infections. </w:t>
      </w:r>
      <w:r w:rsidRPr="00EC5346">
        <w:rPr>
          <w:i/>
          <w:iCs/>
          <w:lang w:val="en-US" w:eastAsia="en-US" w:bidi="ar-SA"/>
        </w:rPr>
        <w:t>Indian Journal of Pediatrics, 92</w:t>
      </w:r>
      <w:r w:rsidRPr="00EC5346">
        <w:rPr>
          <w:lang w:val="en-US" w:eastAsia="en-US" w:bidi="ar-SA"/>
        </w:rPr>
        <w:t>(4), 363–368. https://doi.org/10.1007/s12098-023-04960-8</w:t>
      </w:r>
    </w:p>
    <w:p w14:paraId="2BF44576"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lastRenderedPageBreak/>
        <w:t xml:space="preserve">Katz, S. E., Crook, J., Gillon, J., Stanford, J. E., Wang, L., Colby, J. M., &amp; Banerjee, R. (2021). Use of a procalcitonin-guided antibiotic treatment algorithm in the pediatric intensive care unit. </w:t>
      </w:r>
      <w:r w:rsidRPr="00EC5346">
        <w:rPr>
          <w:i/>
          <w:iCs/>
          <w:lang w:val="en-US" w:eastAsia="en-US" w:bidi="ar-SA"/>
        </w:rPr>
        <w:t>Pediatric Infectious Disease Journal, 40</w:t>
      </w:r>
      <w:r w:rsidRPr="00EC5346">
        <w:rPr>
          <w:lang w:val="en-US" w:eastAsia="en-US" w:bidi="ar-SA"/>
        </w:rPr>
        <w:t>(4), 333–337. https://doi.org/10.1097/INF.0000000000002986</w:t>
      </w:r>
    </w:p>
    <w:p w14:paraId="55199A14"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Kazzaz, Y. M., Alharbi, M., Noël, K. C., Quach, C., Willson, D. F., Gilfoyle, E., McNally, J. D., O'Donnell, S., </w:t>
      </w:r>
      <w:proofErr w:type="spellStart"/>
      <w:r w:rsidRPr="00EC5346">
        <w:rPr>
          <w:lang w:val="en-US" w:eastAsia="en-US" w:bidi="ar-SA"/>
        </w:rPr>
        <w:t>Papenburg</w:t>
      </w:r>
      <w:proofErr w:type="spellEnd"/>
      <w:r w:rsidRPr="00EC5346">
        <w:rPr>
          <w:lang w:val="en-US" w:eastAsia="en-US" w:bidi="ar-SA"/>
        </w:rPr>
        <w:t xml:space="preserve">, J., Lacroix, J., &amp; Fontela, P. S. (2021). Evaluation of antibiotic treatment decisions in pediatric intensive care units in Saudi Arabia: A national survey. </w:t>
      </w:r>
      <w:r w:rsidRPr="00EC5346">
        <w:rPr>
          <w:i/>
          <w:iCs/>
          <w:lang w:val="en-US" w:eastAsia="en-US" w:bidi="ar-SA"/>
        </w:rPr>
        <w:t>Journal of Infection and Public Health, 14</w:t>
      </w:r>
      <w:r w:rsidRPr="00EC5346">
        <w:rPr>
          <w:lang w:val="en-US" w:eastAsia="en-US" w:bidi="ar-SA"/>
        </w:rPr>
        <w:t>(9), 1254–1262. https://doi.org/10.1016/j.jiph.2021.08.021</w:t>
      </w:r>
    </w:p>
    <w:p w14:paraId="5238E5C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Kazzaz, Y. M., </w:t>
      </w:r>
      <w:proofErr w:type="spellStart"/>
      <w:r w:rsidRPr="00EC5346">
        <w:rPr>
          <w:lang w:val="en-US" w:eastAsia="en-US" w:bidi="ar-SA"/>
        </w:rPr>
        <w:t>AlTurki</w:t>
      </w:r>
      <w:proofErr w:type="spellEnd"/>
      <w:r w:rsidRPr="00EC5346">
        <w:rPr>
          <w:lang w:val="en-US" w:eastAsia="en-US" w:bidi="ar-SA"/>
        </w:rPr>
        <w:t xml:space="preserve">, H., Aleisa, L., Alahmadi, B., </w:t>
      </w:r>
      <w:proofErr w:type="spellStart"/>
      <w:r w:rsidRPr="00EC5346">
        <w:rPr>
          <w:lang w:val="en-US" w:eastAsia="en-US" w:bidi="ar-SA"/>
        </w:rPr>
        <w:t>Alfattoh</w:t>
      </w:r>
      <w:proofErr w:type="spellEnd"/>
      <w:r w:rsidRPr="00EC5346">
        <w:rPr>
          <w:lang w:val="en-US" w:eastAsia="en-US" w:bidi="ar-SA"/>
        </w:rPr>
        <w:t xml:space="preserve">, N., &amp; </w:t>
      </w:r>
      <w:proofErr w:type="spellStart"/>
      <w:r w:rsidRPr="00EC5346">
        <w:rPr>
          <w:lang w:val="en-US" w:eastAsia="en-US" w:bidi="ar-SA"/>
        </w:rPr>
        <w:t>Alattas</w:t>
      </w:r>
      <w:proofErr w:type="spellEnd"/>
      <w:r w:rsidRPr="00EC5346">
        <w:rPr>
          <w:lang w:val="en-US" w:eastAsia="en-US" w:bidi="ar-SA"/>
        </w:rPr>
        <w:t xml:space="preserve">, N. (2020). Evaluating antimicrobial appropriateness in a tertiary care pediatric ICU in Saudi Arabia: A retrospective cohort study. </w:t>
      </w:r>
      <w:r w:rsidRPr="00EC5346">
        <w:rPr>
          <w:i/>
          <w:iCs/>
          <w:lang w:val="en-US" w:eastAsia="en-US" w:bidi="ar-SA"/>
        </w:rPr>
        <w:t>Antimicrobial Resistance &amp; Infection Control, 9</w:t>
      </w:r>
      <w:r w:rsidRPr="00EC5346">
        <w:rPr>
          <w:lang w:val="en-US" w:eastAsia="en-US" w:bidi="ar-SA"/>
        </w:rPr>
        <w:t>(1), Article 173. https://doi.org/10.1186/s13756-020-00842-2</w:t>
      </w:r>
    </w:p>
    <w:p w14:paraId="6BD3EE70"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Krummenauer, E. C., de Assis, M. P., Gonçalves, M. R. S., Costa, M. M. de M., Menezes, R. M., Motta, F. A., Renner, J. D. P., &amp; Carneiro, M. (2025). Antimicrobial stewardship program: Actions and education in Brazilian pediatric intensive care units. </w:t>
      </w:r>
      <w:r w:rsidRPr="00EC5346">
        <w:rPr>
          <w:i/>
          <w:iCs/>
          <w:lang w:val="en-US" w:eastAsia="en-US" w:bidi="ar-SA"/>
        </w:rPr>
        <w:t>Revista Latino-Americana de Enfermagem, 33</w:t>
      </w:r>
      <w:r w:rsidRPr="00EC5346">
        <w:rPr>
          <w:lang w:val="en-US" w:eastAsia="en-US" w:bidi="ar-SA"/>
        </w:rPr>
        <w:t xml:space="preserve">, Article e4656. </w:t>
      </w:r>
      <w:hyperlink r:id="rId13" w:tgtFrame="_new" w:history="1">
        <w:r w:rsidRPr="00EC5346">
          <w:rPr>
            <w:color w:val="0000FF"/>
            <w:u w:val="single"/>
            <w:lang w:val="en-US" w:eastAsia="en-US" w:bidi="ar-SA"/>
          </w:rPr>
          <w:t>https://doi.org/10.1590/1518-8345.7582.4656</w:t>
        </w:r>
      </w:hyperlink>
    </w:p>
    <w:p w14:paraId="3C6F3526"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Lake, J. G., Weiner, L. M., </w:t>
      </w:r>
      <w:proofErr w:type="spellStart"/>
      <w:r w:rsidRPr="00EC5346">
        <w:rPr>
          <w:lang w:val="en-US" w:eastAsia="en-US" w:bidi="ar-SA"/>
        </w:rPr>
        <w:t>Milstone</w:t>
      </w:r>
      <w:proofErr w:type="spellEnd"/>
      <w:r w:rsidRPr="00EC5346">
        <w:rPr>
          <w:lang w:val="en-US" w:eastAsia="en-US" w:bidi="ar-SA"/>
        </w:rPr>
        <w:t xml:space="preserve">, A. M., Saiman, L., Magill, S. S., &amp; See, I. (2018). Pathogen distribution and antimicrobial resistance among pediatric healthcare-associated infections reported to the National Healthcare Safety Network, 2011–2014. </w:t>
      </w:r>
      <w:r w:rsidRPr="00EC5346">
        <w:rPr>
          <w:i/>
          <w:iCs/>
          <w:lang w:val="en-US" w:eastAsia="en-US" w:bidi="ar-SA"/>
        </w:rPr>
        <w:t>Infection Control &amp; Hospital Epidemiology, 39</w:t>
      </w:r>
      <w:r w:rsidRPr="00EC5346">
        <w:rPr>
          <w:lang w:val="en-US" w:eastAsia="en-US" w:bidi="ar-SA"/>
        </w:rPr>
        <w:t>(1), 1–11. https://doi.org/10.1017/ice.2017.236</w:t>
      </w:r>
    </w:p>
    <w:p w14:paraId="1156D364"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Liberati, C., Brigadoi, G., Gres, E., Barbieri, E., </w:t>
      </w:r>
      <w:proofErr w:type="spellStart"/>
      <w:r w:rsidRPr="00EC5346">
        <w:rPr>
          <w:lang w:val="en-US" w:eastAsia="en-US" w:bidi="ar-SA"/>
        </w:rPr>
        <w:t>Cavagnero</w:t>
      </w:r>
      <w:proofErr w:type="spellEnd"/>
      <w:r w:rsidRPr="00EC5346">
        <w:rPr>
          <w:lang w:val="en-US" w:eastAsia="en-US" w:bidi="ar-SA"/>
        </w:rPr>
        <w:t xml:space="preserve">, F., </w:t>
      </w:r>
      <w:proofErr w:type="spellStart"/>
      <w:r w:rsidRPr="00EC5346">
        <w:rPr>
          <w:lang w:val="en-US" w:eastAsia="en-US" w:bidi="ar-SA"/>
        </w:rPr>
        <w:t>Maestri</w:t>
      </w:r>
      <w:proofErr w:type="spellEnd"/>
      <w:r w:rsidRPr="00EC5346">
        <w:rPr>
          <w:lang w:val="en-US" w:eastAsia="en-US" w:bidi="ar-SA"/>
        </w:rPr>
        <w:t xml:space="preserve">, L., </w:t>
      </w:r>
      <w:proofErr w:type="spellStart"/>
      <w:r w:rsidRPr="00EC5346">
        <w:rPr>
          <w:lang w:val="en-US" w:eastAsia="en-US" w:bidi="ar-SA"/>
        </w:rPr>
        <w:t>Trivellato</w:t>
      </w:r>
      <w:proofErr w:type="spellEnd"/>
      <w:r w:rsidRPr="00EC5346">
        <w:rPr>
          <w:lang w:val="en-US" w:eastAsia="en-US" w:bidi="ar-SA"/>
        </w:rPr>
        <w:t xml:space="preserve">, S., </w:t>
      </w:r>
      <w:proofErr w:type="spellStart"/>
      <w:r w:rsidRPr="00EC5346">
        <w:rPr>
          <w:lang w:val="en-US" w:eastAsia="en-US" w:bidi="ar-SA"/>
        </w:rPr>
        <w:t>Zenere</w:t>
      </w:r>
      <w:proofErr w:type="spellEnd"/>
      <w:r w:rsidRPr="00EC5346">
        <w:rPr>
          <w:lang w:val="en-US" w:eastAsia="en-US" w:bidi="ar-SA"/>
        </w:rPr>
        <w:t xml:space="preserve">, A., De Pieri, M., Di Chiara, C., Mengato, D., Venturini, F., De Canale, E., Del Vecchio, C., Tessari, A., </w:t>
      </w:r>
      <w:proofErr w:type="spellStart"/>
      <w:r w:rsidRPr="00EC5346">
        <w:rPr>
          <w:lang w:val="en-US" w:eastAsia="en-US" w:bidi="ar-SA"/>
        </w:rPr>
        <w:t>Tosoni</w:t>
      </w:r>
      <w:proofErr w:type="spellEnd"/>
      <w:r w:rsidRPr="00EC5346">
        <w:rPr>
          <w:lang w:val="en-US" w:eastAsia="en-US" w:bidi="ar-SA"/>
        </w:rPr>
        <w:t xml:space="preserve">, A., </w:t>
      </w:r>
      <w:proofErr w:type="spellStart"/>
      <w:r w:rsidRPr="00EC5346">
        <w:rPr>
          <w:lang w:val="en-US" w:eastAsia="en-US" w:bidi="ar-SA"/>
        </w:rPr>
        <w:t>Zaggia</w:t>
      </w:r>
      <w:proofErr w:type="spellEnd"/>
      <w:r w:rsidRPr="00EC5346">
        <w:rPr>
          <w:lang w:val="en-US" w:eastAsia="en-US" w:bidi="ar-SA"/>
        </w:rPr>
        <w:t xml:space="preserve">, C., Contessa, C., Giaquinto, C., . . . Donà, D. (2025). Revisiting antimicrobial stewardship in the </w:t>
      </w:r>
      <w:proofErr w:type="spellStart"/>
      <w:r w:rsidRPr="00EC5346">
        <w:rPr>
          <w:lang w:val="en-US" w:eastAsia="en-US" w:bidi="ar-SA"/>
        </w:rPr>
        <w:t>paediatric</w:t>
      </w:r>
      <w:proofErr w:type="spellEnd"/>
      <w:r w:rsidRPr="00EC5346">
        <w:rPr>
          <w:lang w:val="en-US" w:eastAsia="en-US" w:bidi="ar-SA"/>
        </w:rPr>
        <w:t xml:space="preserve"> intensive care unit: Insights from an unconventional approach. </w:t>
      </w:r>
      <w:r w:rsidRPr="00EC5346">
        <w:rPr>
          <w:i/>
          <w:iCs/>
          <w:lang w:val="en-US" w:eastAsia="en-US" w:bidi="ar-SA"/>
        </w:rPr>
        <w:t>Journal of Hospital Infection, 160</w:t>
      </w:r>
      <w:r w:rsidRPr="00EC5346">
        <w:rPr>
          <w:lang w:val="en-US" w:eastAsia="en-US" w:bidi="ar-SA"/>
        </w:rPr>
        <w:t>, 53–59. https://doi.org/10.1016/j.jhin.2025.02.010</w:t>
      </w:r>
    </w:p>
    <w:p w14:paraId="4AF85BF9"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Linz, M. S., Booth, L. D., </w:t>
      </w:r>
      <w:proofErr w:type="spellStart"/>
      <w:r w:rsidRPr="00EC5346">
        <w:rPr>
          <w:lang w:val="en-US" w:eastAsia="en-US" w:bidi="ar-SA"/>
        </w:rPr>
        <w:t>Milstone</w:t>
      </w:r>
      <w:proofErr w:type="spellEnd"/>
      <w:r w:rsidRPr="00EC5346">
        <w:rPr>
          <w:lang w:val="en-US" w:eastAsia="en-US" w:bidi="ar-SA"/>
        </w:rPr>
        <w:t xml:space="preserve">, A. M., Stockwell, D. C., &amp; Sick-Samuels, A. C. (2024). Evaluation of a comprehensive algorithm for PICU patients with new fever or instability: Association of clinical decision support with testing practices. </w:t>
      </w:r>
      <w:r w:rsidRPr="00EC5346">
        <w:rPr>
          <w:i/>
          <w:iCs/>
          <w:lang w:val="en-US" w:eastAsia="en-US" w:bidi="ar-SA"/>
        </w:rPr>
        <w:t>Pediatric Critical Care Medicine, 25</w:t>
      </w:r>
      <w:r w:rsidRPr="00EC5346">
        <w:rPr>
          <w:lang w:val="en-US" w:eastAsia="en-US" w:bidi="ar-SA"/>
        </w:rPr>
        <w:t>(11), 998–1004. https://doi.org/10.1097/PCC.0000000000003582</w:t>
      </w:r>
    </w:p>
    <w:p w14:paraId="34ED4596"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Liporaci, F., Carlotti, D., &amp; Carlotti, A. (2024). A machine learning model for the early diagnosis of bloodstream infection in patients admitted to the pediatric intensive care unit. </w:t>
      </w:r>
      <w:r w:rsidRPr="00EC5346">
        <w:rPr>
          <w:i/>
          <w:iCs/>
          <w:lang w:val="en-US" w:eastAsia="en-US" w:bidi="ar-SA"/>
        </w:rPr>
        <w:t>PLOS ONE, 19</w:t>
      </w:r>
      <w:r w:rsidRPr="00EC5346">
        <w:rPr>
          <w:lang w:val="en-US" w:eastAsia="en-US" w:bidi="ar-SA"/>
        </w:rPr>
        <w:t>(5), Article e0299884. https://doi.org/10.1371/journal.pone.0299884</w:t>
      </w:r>
    </w:p>
    <w:p w14:paraId="0D935513"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Maalouf, F. I., Saad, T., </w:t>
      </w:r>
      <w:proofErr w:type="spellStart"/>
      <w:r w:rsidRPr="00EC5346">
        <w:rPr>
          <w:lang w:val="en-US" w:eastAsia="en-US" w:bidi="ar-SA"/>
        </w:rPr>
        <w:t>Zakhour</w:t>
      </w:r>
      <w:proofErr w:type="spellEnd"/>
      <w:r w:rsidRPr="00EC5346">
        <w:rPr>
          <w:lang w:val="en-US" w:eastAsia="en-US" w:bidi="ar-SA"/>
        </w:rPr>
        <w:t xml:space="preserve">, R., &amp; Yunis, K. (2023). Successful establishment and five-year sustainability of a neonatal-specific antimicrobial stewardship program in a low middle-income country. </w:t>
      </w:r>
      <w:r w:rsidRPr="00EC5346">
        <w:rPr>
          <w:i/>
          <w:iCs/>
          <w:lang w:val="en-US" w:eastAsia="en-US" w:bidi="ar-SA"/>
        </w:rPr>
        <w:t>Frontiers in Pharmacology, 13</w:t>
      </w:r>
      <w:r w:rsidRPr="00EC5346">
        <w:rPr>
          <w:lang w:val="en-US" w:eastAsia="en-US" w:bidi="ar-SA"/>
        </w:rPr>
        <w:t>, Article 1076392. https://doi.org/10.3389/fphar.2022.1076392</w:t>
      </w:r>
    </w:p>
    <w:p w14:paraId="68337B9D"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MacBrayne, C. E., Williams, M. C., </w:t>
      </w:r>
      <w:proofErr w:type="spellStart"/>
      <w:r w:rsidRPr="00EC5346">
        <w:rPr>
          <w:lang w:val="en-US" w:eastAsia="en-US" w:bidi="ar-SA"/>
        </w:rPr>
        <w:t>Levek</w:t>
      </w:r>
      <w:proofErr w:type="spellEnd"/>
      <w:r w:rsidRPr="00EC5346">
        <w:rPr>
          <w:lang w:val="en-US" w:eastAsia="en-US" w:bidi="ar-SA"/>
        </w:rPr>
        <w:t xml:space="preserve">, C., Child, J., Pearce, K., Birkholz, M., Todd, J. K., Hurst, A. L., &amp; Parker, S. K. (2020). Sustainability of handshake stewardship: Extending </w:t>
      </w:r>
      <w:r w:rsidRPr="00EC5346">
        <w:rPr>
          <w:lang w:val="en-US" w:eastAsia="en-US" w:bidi="ar-SA"/>
        </w:rPr>
        <w:lastRenderedPageBreak/>
        <w:t xml:space="preserve">a hand is effective years later. </w:t>
      </w:r>
      <w:r w:rsidRPr="00EC5346">
        <w:rPr>
          <w:i/>
          <w:iCs/>
          <w:lang w:val="en-US" w:eastAsia="en-US" w:bidi="ar-SA"/>
        </w:rPr>
        <w:t>Clinical Infectious Diseases, 70</w:t>
      </w:r>
      <w:r w:rsidRPr="00EC5346">
        <w:rPr>
          <w:lang w:val="en-US" w:eastAsia="en-US" w:bidi="ar-SA"/>
        </w:rPr>
        <w:t>(11), 2325–2332. https://doi.org/10.1093/cid/ciz650</w:t>
      </w:r>
    </w:p>
    <w:p w14:paraId="1A1A1B5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Mandell, I. M., </w:t>
      </w:r>
      <w:proofErr w:type="spellStart"/>
      <w:r w:rsidRPr="00EC5346">
        <w:rPr>
          <w:lang w:val="en-US" w:eastAsia="en-US" w:bidi="ar-SA"/>
        </w:rPr>
        <w:t>Aghamohammadi</w:t>
      </w:r>
      <w:proofErr w:type="spellEnd"/>
      <w:r w:rsidRPr="00EC5346">
        <w:rPr>
          <w:lang w:val="en-US" w:eastAsia="en-US" w:bidi="ar-SA"/>
        </w:rPr>
        <w:t xml:space="preserve">, S., </w:t>
      </w:r>
      <w:proofErr w:type="spellStart"/>
      <w:r w:rsidRPr="00EC5346">
        <w:rPr>
          <w:lang w:val="en-US" w:eastAsia="en-US" w:bidi="ar-SA"/>
        </w:rPr>
        <w:t>Deakers</w:t>
      </w:r>
      <w:proofErr w:type="spellEnd"/>
      <w:r w:rsidRPr="00EC5346">
        <w:rPr>
          <w:lang w:val="en-US" w:eastAsia="en-US" w:bidi="ar-SA"/>
        </w:rPr>
        <w:t xml:space="preserve">, T., &amp; Khemani, R. G. (2016). Procalcitonin to detect suspected bacterial infections in the PICU. </w:t>
      </w:r>
      <w:r w:rsidRPr="00EC5346">
        <w:rPr>
          <w:i/>
          <w:iCs/>
          <w:lang w:val="en-US" w:eastAsia="en-US" w:bidi="ar-SA"/>
        </w:rPr>
        <w:t>Pediatric Critical Care Medicine, 17</w:t>
      </w:r>
      <w:r w:rsidRPr="00EC5346">
        <w:rPr>
          <w:lang w:val="en-US" w:eastAsia="en-US" w:bidi="ar-SA"/>
        </w:rPr>
        <w:t>(1), e4–e12. https://doi.org/10.1097/PCC.0000000000000571</w:t>
      </w:r>
    </w:p>
    <w:p w14:paraId="7697A242"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Martin, B., DeWitt, P. E., Payan, M., Greer, C. H., Russell, S., Gray, C., Deakyne Davies, S. J., Woods-Hill, C. Z., Scott, H. F., Parker, S., Albers, D., &amp; Bennett, T. D. (2025). Diagnostic stewardship of blood cultures in the pediatric ICU using machine learning. </w:t>
      </w:r>
      <w:r w:rsidRPr="00EC5346">
        <w:rPr>
          <w:i/>
          <w:iCs/>
          <w:lang w:val="en-US" w:eastAsia="en-US" w:bidi="ar-SA"/>
        </w:rPr>
        <w:t>Hospital Pediatrics, 15</w:t>
      </w:r>
      <w:r w:rsidRPr="00EC5346">
        <w:rPr>
          <w:lang w:val="en-US" w:eastAsia="en-US" w:bidi="ar-SA"/>
        </w:rPr>
        <w:t>(6), e240–e244. https://doi.org/10.1542/hpeds.2024-008235</w:t>
      </w:r>
    </w:p>
    <w:p w14:paraId="3238AD05"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Martin, B., DeWitt, P. E., Scott, H. F., Parker, S., &amp; Bennett, T. D. (2022). Machine learning approach to predicting absence of serious bacterial infection at PICU admission. </w:t>
      </w:r>
      <w:r w:rsidRPr="00EC5346">
        <w:rPr>
          <w:i/>
          <w:iCs/>
          <w:lang w:val="en-US" w:eastAsia="en-US" w:bidi="ar-SA"/>
        </w:rPr>
        <w:t>Hospital Pediatrics, 12</w:t>
      </w:r>
      <w:r w:rsidRPr="00EC5346">
        <w:rPr>
          <w:lang w:val="en-US" w:eastAsia="en-US" w:bidi="ar-SA"/>
        </w:rPr>
        <w:t>(6), 590–603. https://doi.org/10.1542/hpeds.2021-005998</w:t>
      </w:r>
    </w:p>
    <w:p w14:paraId="43527A26"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Mascarenhas, D., Ho, M. S. P., Ting, J., &amp; Shah, P. S. (2024). Antimicrobial stewardship programs in neonates: A meta-analysis. </w:t>
      </w:r>
      <w:r w:rsidRPr="00EC5346">
        <w:rPr>
          <w:i/>
          <w:iCs/>
          <w:lang w:val="en-US" w:eastAsia="en-US" w:bidi="ar-SA"/>
        </w:rPr>
        <w:t>Pediatrics, 153</w:t>
      </w:r>
      <w:r w:rsidRPr="00EC5346">
        <w:rPr>
          <w:lang w:val="en-US" w:eastAsia="en-US" w:bidi="ar-SA"/>
        </w:rPr>
        <w:t>(6), Article e2023065091. https://doi.org/10.1542/peds.2023-065091</w:t>
      </w:r>
    </w:p>
    <w:p w14:paraId="4E24DBC5"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Mendoza-Palomar, N., Garcia-</w:t>
      </w:r>
      <w:proofErr w:type="spellStart"/>
      <w:r w:rsidRPr="00EC5346">
        <w:rPr>
          <w:lang w:val="en-US" w:eastAsia="en-US" w:bidi="ar-SA"/>
        </w:rPr>
        <w:t>Palop</w:t>
      </w:r>
      <w:proofErr w:type="spellEnd"/>
      <w:r w:rsidRPr="00EC5346">
        <w:rPr>
          <w:lang w:val="en-US" w:eastAsia="en-US" w:bidi="ar-SA"/>
        </w:rPr>
        <w:t xml:space="preserve">, B., </w:t>
      </w:r>
      <w:proofErr w:type="spellStart"/>
      <w:r w:rsidRPr="00EC5346">
        <w:rPr>
          <w:lang w:val="en-US" w:eastAsia="en-US" w:bidi="ar-SA"/>
        </w:rPr>
        <w:t>Melendo</w:t>
      </w:r>
      <w:proofErr w:type="spellEnd"/>
      <w:r w:rsidRPr="00EC5346">
        <w:rPr>
          <w:lang w:val="en-US" w:eastAsia="en-US" w:bidi="ar-SA"/>
        </w:rPr>
        <w:t>, S., Martín, M. T., Renedo-Miró, B., Soler-</w:t>
      </w:r>
      <w:proofErr w:type="spellStart"/>
      <w:r w:rsidRPr="00EC5346">
        <w:rPr>
          <w:lang w:val="en-US" w:eastAsia="en-US" w:bidi="ar-SA"/>
        </w:rPr>
        <w:t>Palacin</w:t>
      </w:r>
      <w:proofErr w:type="spellEnd"/>
      <w:r w:rsidRPr="00EC5346">
        <w:rPr>
          <w:lang w:val="en-US" w:eastAsia="en-US" w:bidi="ar-SA"/>
        </w:rPr>
        <w:t xml:space="preserve">, P., &amp; Fernández-Polo, A. (2021). Antifungal stewardship in a tertiary care </w:t>
      </w:r>
      <w:proofErr w:type="spellStart"/>
      <w:r w:rsidRPr="00EC5346">
        <w:rPr>
          <w:lang w:val="en-US" w:eastAsia="en-US" w:bidi="ar-SA"/>
        </w:rPr>
        <w:t>paediatric</w:t>
      </w:r>
      <w:proofErr w:type="spellEnd"/>
      <w:r w:rsidRPr="00EC5346">
        <w:rPr>
          <w:lang w:val="en-US" w:eastAsia="en-US" w:bidi="ar-SA"/>
        </w:rPr>
        <w:t xml:space="preserve"> hospital: The PROAFUNGI study. </w:t>
      </w:r>
      <w:r w:rsidRPr="00EC5346">
        <w:rPr>
          <w:i/>
          <w:iCs/>
          <w:lang w:val="en-US" w:eastAsia="en-US" w:bidi="ar-SA"/>
        </w:rPr>
        <w:t>BMC Infectious Diseases, 21</w:t>
      </w:r>
      <w:r w:rsidRPr="00EC5346">
        <w:rPr>
          <w:lang w:val="en-US" w:eastAsia="en-US" w:bidi="ar-SA"/>
        </w:rPr>
        <w:t>(1), Article 100. https://doi.org/10.1186/s12879-021-05774-9</w:t>
      </w:r>
    </w:p>
    <w:p w14:paraId="770FF7D8"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Mick, E., </w:t>
      </w:r>
      <w:proofErr w:type="spellStart"/>
      <w:r w:rsidRPr="00EC5346">
        <w:rPr>
          <w:lang w:val="en-US" w:eastAsia="en-US" w:bidi="ar-SA"/>
        </w:rPr>
        <w:t>Tsitsiklis</w:t>
      </w:r>
      <w:proofErr w:type="spellEnd"/>
      <w:r w:rsidRPr="00EC5346">
        <w:rPr>
          <w:lang w:val="en-US" w:eastAsia="en-US" w:bidi="ar-SA"/>
        </w:rPr>
        <w:t xml:space="preserve">, A., Kamm, J., Kalantar, K. L., Caldera, S., Lyden, A., Tan, M., Detweiler, A. M., Neff, N., Osborne, C. M., Williamson, K. M., </w:t>
      </w:r>
      <w:proofErr w:type="spellStart"/>
      <w:r w:rsidRPr="00EC5346">
        <w:rPr>
          <w:lang w:val="en-US" w:eastAsia="en-US" w:bidi="ar-SA"/>
        </w:rPr>
        <w:t>Soesanto</w:t>
      </w:r>
      <w:proofErr w:type="spellEnd"/>
      <w:r w:rsidRPr="00EC5346">
        <w:rPr>
          <w:lang w:val="en-US" w:eastAsia="en-US" w:bidi="ar-SA"/>
        </w:rPr>
        <w:t xml:space="preserve">, V., Leroue, M., Maddux, A. B., Simões, E. A., Carpenter, T. C., Wagner, B. D., DeRisi, J. L., </w:t>
      </w:r>
      <w:proofErr w:type="spellStart"/>
      <w:r w:rsidRPr="00EC5346">
        <w:rPr>
          <w:lang w:val="en-US" w:eastAsia="en-US" w:bidi="ar-SA"/>
        </w:rPr>
        <w:t>Ambroggio</w:t>
      </w:r>
      <w:proofErr w:type="spellEnd"/>
      <w:r w:rsidRPr="00EC5346">
        <w:rPr>
          <w:lang w:val="en-US" w:eastAsia="en-US" w:bidi="ar-SA"/>
        </w:rPr>
        <w:t xml:space="preserve">, L., . . . Langelier, C. R. (2023). Integrated host/microbe metagenomics enables accurate lower respiratory tract infection diagnosis in critically ill children. </w:t>
      </w:r>
      <w:r w:rsidRPr="00EC5346">
        <w:rPr>
          <w:i/>
          <w:iCs/>
          <w:lang w:val="en-US" w:eastAsia="en-US" w:bidi="ar-SA"/>
        </w:rPr>
        <w:t>Journal of Clinical Investigation, 133</w:t>
      </w:r>
      <w:r w:rsidRPr="00EC5346">
        <w:rPr>
          <w:lang w:val="en-US" w:eastAsia="en-US" w:bidi="ar-SA"/>
        </w:rPr>
        <w:t>(7), Article e165904. https://doi.org/10.1172/JCI165904</w:t>
      </w:r>
    </w:p>
    <w:p w14:paraId="3AA40D29"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Nguyen-Ha, P.-T., </w:t>
      </w:r>
      <w:proofErr w:type="spellStart"/>
      <w:r w:rsidRPr="00EC5346">
        <w:rPr>
          <w:lang w:val="en-US" w:eastAsia="en-US" w:bidi="ar-SA"/>
        </w:rPr>
        <w:t>Howrie</w:t>
      </w:r>
      <w:proofErr w:type="spellEnd"/>
      <w:r w:rsidRPr="00EC5346">
        <w:rPr>
          <w:lang w:val="en-US" w:eastAsia="en-US" w:bidi="ar-SA"/>
        </w:rPr>
        <w:t xml:space="preserve">, D., Crowley, K., </w:t>
      </w:r>
      <w:proofErr w:type="spellStart"/>
      <w:r w:rsidRPr="00EC5346">
        <w:rPr>
          <w:lang w:val="en-US" w:eastAsia="en-US" w:bidi="ar-SA"/>
        </w:rPr>
        <w:t>Vetterly</w:t>
      </w:r>
      <w:proofErr w:type="spellEnd"/>
      <w:r w:rsidRPr="00EC5346">
        <w:rPr>
          <w:lang w:val="en-US" w:eastAsia="en-US" w:bidi="ar-SA"/>
        </w:rPr>
        <w:t xml:space="preserve">, C. G., McGhee, W., Berry, D., Ferguson, E., Polischuk, E., Brooks, M. M., Goff, J., Stillwell, T., Darville, T., Thompson, A. E., Levin, J. E., Michaels, M. G., &amp; Green, M. (2016). A quality assessment of a collaborative model of a pediatric antimicrobial stewardship program. </w:t>
      </w:r>
      <w:r w:rsidRPr="00EC5346">
        <w:rPr>
          <w:i/>
          <w:iCs/>
          <w:lang w:val="en-US" w:eastAsia="en-US" w:bidi="ar-SA"/>
        </w:rPr>
        <w:t>Pediatrics, 137</w:t>
      </w:r>
      <w:r w:rsidRPr="00EC5346">
        <w:rPr>
          <w:lang w:val="en-US" w:eastAsia="en-US" w:bidi="ar-SA"/>
        </w:rPr>
        <w:t>(5), Article e20150316. https://doi.org/10.1542/peds.2015-0316</w:t>
      </w:r>
    </w:p>
    <w:p w14:paraId="4299A2C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Oliveira da Silva, B. B., de Menezes, F. G., Silva, M., &amp; </w:t>
      </w:r>
      <w:proofErr w:type="spellStart"/>
      <w:r w:rsidRPr="00EC5346">
        <w:rPr>
          <w:lang w:val="en-US" w:eastAsia="en-US" w:bidi="ar-SA"/>
        </w:rPr>
        <w:t>Troster</w:t>
      </w:r>
      <w:proofErr w:type="spellEnd"/>
      <w:r w:rsidRPr="00EC5346">
        <w:rPr>
          <w:lang w:val="en-US" w:eastAsia="en-US" w:bidi="ar-SA"/>
        </w:rPr>
        <w:t xml:space="preserve">, E. J. (2022). The impact of monitoring software on antimicrobial management in a pediatric intensive care unit. </w:t>
      </w:r>
      <w:r w:rsidRPr="00EC5346">
        <w:rPr>
          <w:i/>
          <w:iCs/>
          <w:lang w:val="en-US" w:eastAsia="en-US" w:bidi="ar-SA"/>
        </w:rPr>
        <w:t>American Journal of Infection Control, 50</w:t>
      </w:r>
      <w:r w:rsidRPr="00EC5346">
        <w:rPr>
          <w:lang w:val="en-US" w:eastAsia="en-US" w:bidi="ar-SA"/>
        </w:rPr>
        <w:t>(1), 92–98. https://doi.org/10.1016/j.ajic.2021.08.016</w:t>
      </w:r>
    </w:p>
    <w:p w14:paraId="1B059D2F"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Paño</w:t>
      </w:r>
      <w:proofErr w:type="spellEnd"/>
      <w:r w:rsidRPr="00EC5346">
        <w:rPr>
          <w:lang w:val="en-US" w:eastAsia="en-US" w:bidi="ar-SA"/>
        </w:rPr>
        <w:t xml:space="preserve">-Pardo, J. R., </w:t>
      </w:r>
      <w:proofErr w:type="spellStart"/>
      <w:r w:rsidRPr="00EC5346">
        <w:rPr>
          <w:lang w:val="en-US" w:eastAsia="en-US" w:bidi="ar-SA"/>
        </w:rPr>
        <w:t>Schüffelmann</w:t>
      </w:r>
      <w:proofErr w:type="spellEnd"/>
      <w:r w:rsidRPr="00EC5346">
        <w:rPr>
          <w:lang w:val="en-US" w:eastAsia="en-US" w:bidi="ar-SA"/>
        </w:rPr>
        <w:t xml:space="preserve">-Gutiérrez, C., </w:t>
      </w:r>
      <w:proofErr w:type="spellStart"/>
      <w:r w:rsidRPr="00EC5346">
        <w:rPr>
          <w:lang w:val="en-US" w:eastAsia="en-US" w:bidi="ar-SA"/>
        </w:rPr>
        <w:t>Escosa</w:t>
      </w:r>
      <w:proofErr w:type="spellEnd"/>
      <w:r w:rsidRPr="00EC5346">
        <w:rPr>
          <w:lang w:val="en-US" w:eastAsia="en-US" w:bidi="ar-SA"/>
        </w:rPr>
        <w:t xml:space="preserve">-García, L., </w:t>
      </w:r>
      <w:proofErr w:type="spellStart"/>
      <w:r w:rsidRPr="00EC5346">
        <w:rPr>
          <w:lang w:val="en-US" w:eastAsia="en-US" w:bidi="ar-SA"/>
        </w:rPr>
        <w:t>Laplaza</w:t>
      </w:r>
      <w:proofErr w:type="spellEnd"/>
      <w:r w:rsidRPr="00EC5346">
        <w:rPr>
          <w:lang w:val="en-US" w:eastAsia="en-US" w:bidi="ar-SA"/>
        </w:rPr>
        <w:t xml:space="preserve">-González, M., Moreno-Ramos, F., Gómez-Gil, R., López, J. D., Jordán, I., Téllez, C., &amp; de la Oliva, P. (2016). Opportunities to improve antimicrobial use in </w:t>
      </w:r>
      <w:proofErr w:type="spellStart"/>
      <w:r w:rsidRPr="00EC5346">
        <w:rPr>
          <w:lang w:val="en-US" w:eastAsia="en-US" w:bidi="ar-SA"/>
        </w:rPr>
        <w:t>paediatric</w:t>
      </w:r>
      <w:proofErr w:type="spellEnd"/>
      <w:r w:rsidRPr="00EC5346">
        <w:rPr>
          <w:lang w:val="en-US" w:eastAsia="en-US" w:bidi="ar-SA"/>
        </w:rPr>
        <w:t xml:space="preserve"> intensive care units: A nationwide survey in Spain. </w:t>
      </w:r>
      <w:r w:rsidRPr="00EC5346">
        <w:rPr>
          <w:i/>
          <w:iCs/>
          <w:lang w:val="en-US" w:eastAsia="en-US" w:bidi="ar-SA"/>
        </w:rPr>
        <w:t>Clinical Microbiology and Infection, 22</w:t>
      </w:r>
      <w:r w:rsidRPr="00EC5346">
        <w:rPr>
          <w:lang w:val="en-US" w:eastAsia="en-US" w:bidi="ar-SA"/>
        </w:rPr>
        <w:t>(2), 171–177. https://doi.org/10.1016/j.cmi.2015.10.015</w:t>
      </w:r>
    </w:p>
    <w:p w14:paraId="416BCA19"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lastRenderedPageBreak/>
        <w:t xml:space="preserve">Prinzi, A., Parker, S. K., Thurm, C., Birkholz, M., &amp; Sick-Samuels, A. (2021). Association of endotracheal aspirate culture variability and antibiotic use in mechanically ventilated pediatric patients. </w:t>
      </w:r>
      <w:r w:rsidRPr="00EC5346">
        <w:rPr>
          <w:i/>
          <w:iCs/>
          <w:lang w:val="en-US" w:eastAsia="en-US" w:bidi="ar-SA"/>
        </w:rPr>
        <w:t>JAMA Network Open, 4</w:t>
      </w:r>
      <w:r w:rsidRPr="00EC5346">
        <w:rPr>
          <w:lang w:val="en-US" w:eastAsia="en-US" w:bidi="ar-SA"/>
        </w:rPr>
        <w:t>(12), Article e2140378. https://doi.org/10.1001/jamanetworkopen.2021.40378</w:t>
      </w:r>
    </w:p>
    <w:p w14:paraId="5F34F97F"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Prusakov, P., Goff, D. A., Wozniak, P. S., Cassim, A., </w:t>
      </w:r>
      <w:proofErr w:type="spellStart"/>
      <w:r w:rsidRPr="00EC5346">
        <w:rPr>
          <w:lang w:val="en-US" w:eastAsia="en-US" w:bidi="ar-SA"/>
        </w:rPr>
        <w:t>Scipion</w:t>
      </w:r>
      <w:proofErr w:type="spellEnd"/>
      <w:r w:rsidRPr="00EC5346">
        <w:rPr>
          <w:lang w:val="en-US" w:eastAsia="en-US" w:bidi="ar-SA"/>
        </w:rPr>
        <w:t xml:space="preserve">, C. E. A., </w:t>
      </w:r>
      <w:proofErr w:type="spellStart"/>
      <w:r w:rsidRPr="00EC5346">
        <w:rPr>
          <w:lang w:val="en-US" w:eastAsia="en-US" w:bidi="ar-SA"/>
        </w:rPr>
        <w:t>Urzúa</w:t>
      </w:r>
      <w:proofErr w:type="spellEnd"/>
      <w:r w:rsidRPr="00EC5346">
        <w:rPr>
          <w:lang w:val="en-US" w:eastAsia="en-US" w:bidi="ar-SA"/>
        </w:rPr>
        <w:t xml:space="preserve">, S., Ronchi, A., Zeng, L., Ladipo-Ajayi, O., Aviles-Otero, N., </w:t>
      </w:r>
      <w:proofErr w:type="spellStart"/>
      <w:r w:rsidRPr="00EC5346">
        <w:rPr>
          <w:lang w:val="en-US" w:eastAsia="en-US" w:bidi="ar-SA"/>
        </w:rPr>
        <w:t>Udeigwe</w:t>
      </w:r>
      <w:proofErr w:type="spellEnd"/>
      <w:r w:rsidRPr="00EC5346">
        <w:rPr>
          <w:lang w:val="en-US" w:eastAsia="en-US" w:bidi="ar-SA"/>
        </w:rPr>
        <w:t xml:space="preserve">-Okeke, C. R., Melamed, R., Silveira, R. C., </w:t>
      </w:r>
      <w:proofErr w:type="spellStart"/>
      <w:r w:rsidRPr="00EC5346">
        <w:rPr>
          <w:lang w:val="en-US" w:eastAsia="en-US" w:bidi="ar-SA"/>
        </w:rPr>
        <w:t>Auriti</w:t>
      </w:r>
      <w:proofErr w:type="spellEnd"/>
      <w:r w:rsidRPr="00EC5346">
        <w:rPr>
          <w:lang w:val="en-US" w:eastAsia="en-US" w:bidi="ar-SA"/>
        </w:rPr>
        <w:t>, C., Beltrán-Arroyave, C., Zamora-Flores, E., Sanchez-</w:t>
      </w:r>
      <w:proofErr w:type="spellStart"/>
      <w:r w:rsidRPr="00EC5346">
        <w:rPr>
          <w:lang w:val="en-US" w:eastAsia="en-US" w:bidi="ar-SA"/>
        </w:rPr>
        <w:t>Codez</w:t>
      </w:r>
      <w:proofErr w:type="spellEnd"/>
      <w:r w:rsidRPr="00EC5346">
        <w:rPr>
          <w:lang w:val="en-US" w:eastAsia="en-US" w:bidi="ar-SA"/>
        </w:rPr>
        <w:t xml:space="preserve">, M., Donkor, E. S., </w:t>
      </w:r>
      <w:proofErr w:type="spellStart"/>
      <w:r w:rsidRPr="00EC5346">
        <w:rPr>
          <w:lang w:val="en-US" w:eastAsia="en-US" w:bidi="ar-SA"/>
        </w:rPr>
        <w:t>Kekomäki</w:t>
      </w:r>
      <w:proofErr w:type="spellEnd"/>
      <w:r w:rsidRPr="00EC5346">
        <w:rPr>
          <w:lang w:val="en-US" w:eastAsia="en-US" w:bidi="ar-SA"/>
        </w:rPr>
        <w:t xml:space="preserve">, S., . . . Global NEO-ASP Study Group. (2021). A global point prevalence survey of antimicrobial use in neonatal intensive care units: The no-more-antibiotics and resistance (NO-MAS-R) study. </w:t>
      </w:r>
      <w:proofErr w:type="spellStart"/>
      <w:r w:rsidRPr="00EC5346">
        <w:rPr>
          <w:i/>
          <w:iCs/>
          <w:lang w:val="en-US" w:eastAsia="en-US" w:bidi="ar-SA"/>
        </w:rPr>
        <w:t>eClinicalMedicine</w:t>
      </w:r>
      <w:proofErr w:type="spellEnd"/>
      <w:r w:rsidRPr="00EC5346">
        <w:rPr>
          <w:i/>
          <w:iCs/>
          <w:lang w:val="en-US" w:eastAsia="en-US" w:bidi="ar-SA"/>
        </w:rPr>
        <w:t>, 32</w:t>
      </w:r>
      <w:r w:rsidRPr="00EC5346">
        <w:rPr>
          <w:lang w:val="en-US" w:eastAsia="en-US" w:bidi="ar-SA"/>
        </w:rPr>
        <w:t xml:space="preserve">, Article 100727. </w:t>
      </w:r>
      <w:hyperlink r:id="rId14" w:tgtFrame="_new" w:history="1">
        <w:r w:rsidRPr="00EC5346">
          <w:rPr>
            <w:color w:val="0000FF"/>
            <w:u w:val="single"/>
            <w:lang w:val="en-US" w:eastAsia="en-US" w:bidi="ar-SA"/>
          </w:rPr>
          <w:t>https://doi.org/10.1016/j.eclinm.2021.100727</w:t>
        </w:r>
      </w:hyperlink>
    </w:p>
    <w:p w14:paraId="0E5463D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Roche, E., Jones, A., &amp; Plunkett, A. (2024). What factors in the workplace enable success in antimicrobial stewardship in </w:t>
      </w:r>
      <w:proofErr w:type="spellStart"/>
      <w:r w:rsidRPr="00EC5346">
        <w:rPr>
          <w:lang w:val="en-US" w:eastAsia="en-US" w:bidi="ar-SA"/>
        </w:rPr>
        <w:t>paediatric</w:t>
      </w:r>
      <w:proofErr w:type="spellEnd"/>
      <w:r w:rsidRPr="00EC5346">
        <w:rPr>
          <w:lang w:val="en-US" w:eastAsia="en-US" w:bidi="ar-SA"/>
        </w:rPr>
        <w:t xml:space="preserve"> intensive care? An exploration of antimicrobial stewardship excellence through thematic analysis of appreciative inquiry interviews with healthcare staff. </w:t>
      </w:r>
      <w:r w:rsidRPr="00EC5346">
        <w:rPr>
          <w:i/>
          <w:iCs/>
          <w:lang w:val="en-US" w:eastAsia="en-US" w:bidi="ar-SA"/>
        </w:rPr>
        <w:t>BMJ Open, 14</w:t>
      </w:r>
      <w:r w:rsidRPr="00EC5346">
        <w:rPr>
          <w:lang w:val="en-US" w:eastAsia="en-US" w:bidi="ar-SA"/>
        </w:rPr>
        <w:t>(2), Article e074375. https://doi.org/10.1136/bmjopen-2023-074375</w:t>
      </w:r>
    </w:p>
    <w:p w14:paraId="5687F03F"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Ross, R. K., Keele, L., Kubis, S., Lautz, A. J., </w:t>
      </w:r>
      <w:proofErr w:type="spellStart"/>
      <w:r w:rsidRPr="00EC5346">
        <w:rPr>
          <w:lang w:val="en-US" w:eastAsia="en-US" w:bidi="ar-SA"/>
        </w:rPr>
        <w:t>Dziorny</w:t>
      </w:r>
      <w:proofErr w:type="spellEnd"/>
      <w:r w:rsidRPr="00EC5346">
        <w:rPr>
          <w:lang w:val="en-US" w:eastAsia="en-US" w:bidi="ar-SA"/>
        </w:rPr>
        <w:t xml:space="preserve">, A. C., Denson, A. R., O'Connor, K. A., </w:t>
      </w:r>
      <w:proofErr w:type="spellStart"/>
      <w:r w:rsidRPr="00EC5346">
        <w:rPr>
          <w:lang w:val="en-US" w:eastAsia="en-US" w:bidi="ar-SA"/>
        </w:rPr>
        <w:t>Chilutti</w:t>
      </w:r>
      <w:proofErr w:type="spellEnd"/>
      <w:r w:rsidRPr="00EC5346">
        <w:rPr>
          <w:lang w:val="en-US" w:eastAsia="en-US" w:bidi="ar-SA"/>
        </w:rPr>
        <w:t xml:space="preserve">, M. R., Weiss, S. L., &amp; Gerber, J. S. (2018). Effect of the procalcitonin assay on antibiotic use in critically ill children. </w:t>
      </w:r>
      <w:r w:rsidRPr="00EC5346">
        <w:rPr>
          <w:i/>
          <w:iCs/>
          <w:lang w:val="en-US" w:eastAsia="en-US" w:bidi="ar-SA"/>
        </w:rPr>
        <w:t>Journal of the Pediatric Infectious Diseases Society, 7</w:t>
      </w:r>
      <w:r w:rsidRPr="00EC5346">
        <w:rPr>
          <w:lang w:val="en-US" w:eastAsia="en-US" w:bidi="ar-SA"/>
        </w:rPr>
        <w:t xml:space="preserve">(2), e43–e46. </w:t>
      </w:r>
      <w:hyperlink r:id="rId15" w:tgtFrame="_new" w:history="1">
        <w:r w:rsidRPr="00EC5346">
          <w:rPr>
            <w:color w:val="0000FF"/>
            <w:u w:val="single"/>
            <w:lang w:val="en-US" w:eastAsia="en-US" w:bidi="ar-SA"/>
          </w:rPr>
          <w:t>https://doi.org/10.1093/jpids/piy004</w:t>
        </w:r>
      </w:hyperlink>
    </w:p>
    <w:p w14:paraId="38188E5C"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Schlapbach</w:t>
      </w:r>
      <w:proofErr w:type="spellEnd"/>
      <w:r w:rsidRPr="00EC5346">
        <w:rPr>
          <w:lang w:val="en-US" w:eastAsia="en-US" w:bidi="ar-SA"/>
        </w:rPr>
        <w:t xml:space="preserve">, L. J., Watson, R. S., </w:t>
      </w:r>
      <w:proofErr w:type="spellStart"/>
      <w:r w:rsidRPr="00EC5346">
        <w:rPr>
          <w:lang w:val="en-US" w:eastAsia="en-US" w:bidi="ar-SA"/>
        </w:rPr>
        <w:t>Sorce</w:t>
      </w:r>
      <w:proofErr w:type="spellEnd"/>
      <w:r w:rsidRPr="00EC5346">
        <w:rPr>
          <w:lang w:val="en-US" w:eastAsia="en-US" w:bidi="ar-SA"/>
        </w:rPr>
        <w:t xml:space="preserve">, L. R., Argent, A. C., Menon, K., Hall, M. W., Akech, S., Albers, D. J., Alpern, E. R., </w:t>
      </w:r>
      <w:proofErr w:type="spellStart"/>
      <w:r w:rsidRPr="00EC5346">
        <w:rPr>
          <w:lang w:val="en-US" w:eastAsia="en-US" w:bidi="ar-SA"/>
        </w:rPr>
        <w:t>Balamuth</w:t>
      </w:r>
      <w:proofErr w:type="spellEnd"/>
      <w:r w:rsidRPr="00EC5346">
        <w:rPr>
          <w:lang w:val="en-US" w:eastAsia="en-US" w:bidi="ar-SA"/>
        </w:rPr>
        <w:t xml:space="preserve">, F., </w:t>
      </w:r>
      <w:proofErr w:type="spellStart"/>
      <w:r w:rsidRPr="00EC5346">
        <w:rPr>
          <w:lang w:val="en-US" w:eastAsia="en-US" w:bidi="ar-SA"/>
        </w:rPr>
        <w:t>Bembea</w:t>
      </w:r>
      <w:proofErr w:type="spellEnd"/>
      <w:r w:rsidRPr="00EC5346">
        <w:rPr>
          <w:lang w:val="en-US" w:eastAsia="en-US" w:bidi="ar-SA"/>
        </w:rPr>
        <w:t xml:space="preserve">, M., </w:t>
      </w:r>
      <w:proofErr w:type="spellStart"/>
      <w:r w:rsidRPr="00EC5346">
        <w:rPr>
          <w:lang w:val="en-US" w:eastAsia="en-US" w:bidi="ar-SA"/>
        </w:rPr>
        <w:t>Biban</w:t>
      </w:r>
      <w:proofErr w:type="spellEnd"/>
      <w:r w:rsidRPr="00EC5346">
        <w:rPr>
          <w:lang w:val="en-US" w:eastAsia="en-US" w:bidi="ar-SA"/>
        </w:rPr>
        <w:t xml:space="preserve">, P., Carrol, E. D., </w:t>
      </w:r>
      <w:proofErr w:type="spellStart"/>
      <w:r w:rsidRPr="00EC5346">
        <w:rPr>
          <w:lang w:val="en-US" w:eastAsia="en-US" w:bidi="ar-SA"/>
        </w:rPr>
        <w:t>Chiotos</w:t>
      </w:r>
      <w:proofErr w:type="spellEnd"/>
      <w:r w:rsidRPr="00EC5346">
        <w:rPr>
          <w:lang w:val="en-US" w:eastAsia="en-US" w:bidi="ar-SA"/>
        </w:rPr>
        <w:t xml:space="preserve">, K., Chisti, M. J., DeWitt, P. E., Evans, I., </w:t>
      </w:r>
      <w:proofErr w:type="spellStart"/>
      <w:r w:rsidRPr="00EC5346">
        <w:rPr>
          <w:lang w:val="en-US" w:eastAsia="en-US" w:bidi="ar-SA"/>
        </w:rPr>
        <w:t>Flauzino</w:t>
      </w:r>
      <w:proofErr w:type="spellEnd"/>
      <w:r w:rsidRPr="00EC5346">
        <w:rPr>
          <w:lang w:val="en-US" w:eastAsia="en-US" w:bidi="ar-SA"/>
        </w:rPr>
        <w:t xml:space="preserve"> de Oliveira, C., Horvat, C. M., . . . Society of Critical Care Medicine Pediatric Sepsis Definition Task Force. (2024). International consensus criteria for pediatric sepsis and septic shock. </w:t>
      </w:r>
      <w:r w:rsidRPr="00EC5346">
        <w:rPr>
          <w:i/>
          <w:iCs/>
          <w:lang w:val="en-US" w:eastAsia="en-US" w:bidi="ar-SA"/>
        </w:rPr>
        <w:t>JAMA, 331</w:t>
      </w:r>
      <w:r w:rsidRPr="00EC5346">
        <w:rPr>
          <w:lang w:val="en-US" w:eastAsia="en-US" w:bidi="ar-SA"/>
        </w:rPr>
        <w:t xml:space="preserve">(8), 665–674. </w:t>
      </w:r>
      <w:hyperlink r:id="rId16" w:tgtFrame="_new" w:history="1">
        <w:r w:rsidRPr="00EC5346">
          <w:rPr>
            <w:color w:val="0000FF"/>
            <w:u w:val="single"/>
            <w:lang w:val="en-US" w:eastAsia="en-US" w:bidi="ar-SA"/>
          </w:rPr>
          <w:t>https://doi.org/10.1001/jama.2024.0179</w:t>
        </w:r>
      </w:hyperlink>
    </w:p>
    <w:p w14:paraId="211A215C"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Schouwenburg</w:t>
      </w:r>
      <w:proofErr w:type="spellEnd"/>
      <w:r w:rsidRPr="00EC5346">
        <w:rPr>
          <w:lang w:val="en-US" w:eastAsia="en-US" w:bidi="ar-SA"/>
        </w:rPr>
        <w:t xml:space="preserve">, S., </w:t>
      </w:r>
      <w:proofErr w:type="spellStart"/>
      <w:r w:rsidRPr="00EC5346">
        <w:rPr>
          <w:lang w:val="en-US" w:eastAsia="en-US" w:bidi="ar-SA"/>
        </w:rPr>
        <w:t>Preijers</w:t>
      </w:r>
      <w:proofErr w:type="spellEnd"/>
      <w:r w:rsidRPr="00EC5346">
        <w:rPr>
          <w:lang w:val="en-US" w:eastAsia="en-US" w:bidi="ar-SA"/>
        </w:rPr>
        <w:t xml:space="preserve">, T., </w:t>
      </w:r>
      <w:proofErr w:type="spellStart"/>
      <w:r w:rsidRPr="00EC5346">
        <w:rPr>
          <w:lang w:val="en-US" w:eastAsia="en-US" w:bidi="ar-SA"/>
        </w:rPr>
        <w:t>Wösten</w:t>
      </w:r>
      <w:proofErr w:type="spellEnd"/>
      <w:r w:rsidRPr="00EC5346">
        <w:rPr>
          <w:lang w:val="en-US" w:eastAsia="en-US" w:bidi="ar-SA"/>
        </w:rPr>
        <w:t xml:space="preserve">-Van </w:t>
      </w:r>
      <w:proofErr w:type="spellStart"/>
      <w:r w:rsidRPr="00EC5346">
        <w:rPr>
          <w:lang w:val="en-US" w:eastAsia="en-US" w:bidi="ar-SA"/>
        </w:rPr>
        <w:t>Asperen</w:t>
      </w:r>
      <w:proofErr w:type="spellEnd"/>
      <w:r w:rsidRPr="00EC5346">
        <w:rPr>
          <w:lang w:val="en-US" w:eastAsia="en-US" w:bidi="ar-SA"/>
        </w:rPr>
        <w:t xml:space="preserve">, R. M., Wildschut, E. D., Verkaik, N. J., Abdulla, A., de Hoog, M., &amp; Koch, B. C. P. (2026). β-Lactam dosing in critically ill children: Predictors for target non-attainment. </w:t>
      </w:r>
      <w:r w:rsidRPr="00EC5346">
        <w:rPr>
          <w:i/>
          <w:iCs/>
          <w:lang w:val="en-US" w:eastAsia="en-US" w:bidi="ar-SA"/>
        </w:rPr>
        <w:t>Journal of Antimicrobial Chemotherapy, 81</w:t>
      </w:r>
      <w:r w:rsidRPr="00EC5346">
        <w:rPr>
          <w:lang w:val="en-US" w:eastAsia="en-US" w:bidi="ar-SA"/>
        </w:rPr>
        <w:t>(1), Article dkaf457. https://doi.org/10.1093/jac/dkaf457</w:t>
      </w:r>
    </w:p>
    <w:p w14:paraId="027E9A45"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Shein, S. L., Karam, O., Beardsley, A., </w:t>
      </w:r>
      <w:proofErr w:type="spellStart"/>
      <w:r w:rsidRPr="00EC5346">
        <w:rPr>
          <w:lang w:val="en-US" w:eastAsia="en-US" w:bidi="ar-SA"/>
        </w:rPr>
        <w:t>Karsies</w:t>
      </w:r>
      <w:proofErr w:type="spellEnd"/>
      <w:r w:rsidRPr="00EC5346">
        <w:rPr>
          <w:lang w:val="en-US" w:eastAsia="en-US" w:bidi="ar-SA"/>
        </w:rPr>
        <w:t xml:space="preserve">, T., Prentice, E., Tarquinio, K. M., Willson, D. F., &amp; Pediatric Acute Lung Injury and Sepsis Investigator (PALISI) Network. (2019). Development of an antibiotic guideline for children with suspected ventilator-associated infections. </w:t>
      </w:r>
      <w:r w:rsidRPr="00EC5346">
        <w:rPr>
          <w:i/>
          <w:iCs/>
          <w:lang w:val="en-US" w:eastAsia="en-US" w:bidi="ar-SA"/>
        </w:rPr>
        <w:t>Pediatric Critical Care Medicine, 20</w:t>
      </w:r>
      <w:r w:rsidRPr="00EC5346">
        <w:rPr>
          <w:lang w:val="en-US" w:eastAsia="en-US" w:bidi="ar-SA"/>
        </w:rPr>
        <w:t>(8), 697–706. https://doi.org/10.1097/PCC.0000000000001942</w:t>
      </w:r>
    </w:p>
    <w:p w14:paraId="4DF1065B"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Sick-Samuels, A. C., Booth, L. D., </w:t>
      </w:r>
      <w:proofErr w:type="spellStart"/>
      <w:r w:rsidRPr="00EC5346">
        <w:rPr>
          <w:lang w:val="en-US" w:eastAsia="en-US" w:bidi="ar-SA"/>
        </w:rPr>
        <w:t>Milstone</w:t>
      </w:r>
      <w:proofErr w:type="spellEnd"/>
      <w:r w:rsidRPr="00EC5346">
        <w:rPr>
          <w:lang w:val="en-US" w:eastAsia="en-US" w:bidi="ar-SA"/>
        </w:rPr>
        <w:t xml:space="preserve">, A. M., Schumacher, C., Bergmann, J., &amp; Stockwell, D. C. (2023). A novel comprehensive algorithm for evaluation of PICU patients with new fever or instability. </w:t>
      </w:r>
      <w:r w:rsidRPr="00EC5346">
        <w:rPr>
          <w:i/>
          <w:iCs/>
          <w:lang w:val="en-US" w:eastAsia="en-US" w:bidi="ar-SA"/>
        </w:rPr>
        <w:t>Pediatric Critical Care Medicine, 24</w:t>
      </w:r>
      <w:r w:rsidRPr="00EC5346">
        <w:rPr>
          <w:lang w:val="en-US" w:eastAsia="en-US" w:bidi="ar-SA"/>
        </w:rPr>
        <w:t>(8), 670–680. https://doi.org/10.1097/PCC.0000000000003256</w:t>
      </w:r>
    </w:p>
    <w:p w14:paraId="328DC13B"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Sick-Samuels, A. C., Kelly, D. P., Woods-Hill, C. Z., Arthur, A., Kumar, U., Koontz, D. W., Marsteller, J. A., </w:t>
      </w:r>
      <w:proofErr w:type="spellStart"/>
      <w:r w:rsidRPr="00EC5346">
        <w:rPr>
          <w:lang w:val="en-US" w:eastAsia="en-US" w:bidi="ar-SA"/>
        </w:rPr>
        <w:t>Milstone</w:t>
      </w:r>
      <w:proofErr w:type="spellEnd"/>
      <w:r w:rsidRPr="00EC5346">
        <w:rPr>
          <w:lang w:val="en-US" w:eastAsia="en-US" w:bidi="ar-SA"/>
        </w:rPr>
        <w:t xml:space="preserve">, A. M., &amp; </w:t>
      </w:r>
      <w:proofErr w:type="spellStart"/>
      <w:r w:rsidRPr="00EC5346">
        <w:rPr>
          <w:lang w:val="en-US" w:eastAsia="en-US" w:bidi="ar-SA"/>
        </w:rPr>
        <w:t>BrighT</w:t>
      </w:r>
      <w:proofErr w:type="spellEnd"/>
      <w:r w:rsidRPr="00EC5346">
        <w:rPr>
          <w:lang w:val="en-US" w:eastAsia="en-US" w:bidi="ar-SA"/>
        </w:rPr>
        <w:t xml:space="preserve"> STAR (Testing </w:t>
      </w:r>
      <w:proofErr w:type="spellStart"/>
      <w:r w:rsidRPr="00EC5346">
        <w:rPr>
          <w:lang w:val="en-US" w:eastAsia="en-US" w:bidi="ar-SA"/>
        </w:rPr>
        <w:t>STewardship</w:t>
      </w:r>
      <w:proofErr w:type="spellEnd"/>
      <w:r w:rsidRPr="00EC5346">
        <w:rPr>
          <w:lang w:val="en-US" w:eastAsia="en-US" w:bidi="ar-SA"/>
        </w:rPr>
        <w:t xml:space="preserve"> for Antibiotic Reduction) Respiratory Consensus Authorship Group. (2025). Diagnostic stewardship of </w:t>
      </w:r>
      <w:r w:rsidRPr="00EC5346">
        <w:rPr>
          <w:lang w:val="en-US" w:eastAsia="en-US" w:bidi="ar-SA"/>
        </w:rPr>
        <w:lastRenderedPageBreak/>
        <w:t xml:space="preserve">endotracheal aspirate cultures in hospitalized children with artificial airways: Expert consensus statements from the </w:t>
      </w:r>
      <w:proofErr w:type="spellStart"/>
      <w:r w:rsidRPr="00EC5346">
        <w:rPr>
          <w:lang w:val="en-US" w:eastAsia="en-US" w:bidi="ar-SA"/>
        </w:rPr>
        <w:t>BrighT</w:t>
      </w:r>
      <w:proofErr w:type="spellEnd"/>
      <w:r w:rsidRPr="00EC5346">
        <w:rPr>
          <w:lang w:val="en-US" w:eastAsia="en-US" w:bidi="ar-SA"/>
        </w:rPr>
        <w:t xml:space="preserve"> STAR (Testing </w:t>
      </w:r>
      <w:proofErr w:type="spellStart"/>
      <w:r w:rsidRPr="00EC5346">
        <w:rPr>
          <w:lang w:val="en-US" w:eastAsia="en-US" w:bidi="ar-SA"/>
        </w:rPr>
        <w:t>STewardship</w:t>
      </w:r>
      <w:proofErr w:type="spellEnd"/>
      <w:r w:rsidRPr="00EC5346">
        <w:rPr>
          <w:lang w:val="en-US" w:eastAsia="en-US" w:bidi="ar-SA"/>
        </w:rPr>
        <w:t xml:space="preserve"> for Antibiotic Reduction) Respiratory Collaborative. </w:t>
      </w:r>
      <w:r w:rsidRPr="00EC5346">
        <w:rPr>
          <w:i/>
          <w:iCs/>
          <w:lang w:val="en-US" w:eastAsia="en-US" w:bidi="ar-SA"/>
        </w:rPr>
        <w:t>Pediatric Critical Care Medicine, 26</w:t>
      </w:r>
      <w:r w:rsidRPr="00EC5346">
        <w:rPr>
          <w:lang w:val="en-US" w:eastAsia="en-US" w:bidi="ar-SA"/>
        </w:rPr>
        <w:t>(4), e569–e582. https://doi.org/10.1097/PCC.0000000000003695</w:t>
      </w:r>
    </w:p>
    <w:p w14:paraId="033ABBB2"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Sick-Samuels, A. C., Linz, M., Bergmann, J., Fackler, J. C., Berenholtz, S. M., Ralston, S. L., Hoops, K., Dwyer, J., Colantuoni, E., &amp; </w:t>
      </w:r>
      <w:proofErr w:type="spellStart"/>
      <w:r w:rsidRPr="00EC5346">
        <w:rPr>
          <w:lang w:val="en-US" w:eastAsia="en-US" w:bidi="ar-SA"/>
        </w:rPr>
        <w:t>Milstone</w:t>
      </w:r>
      <w:proofErr w:type="spellEnd"/>
      <w:r w:rsidRPr="00EC5346">
        <w:rPr>
          <w:lang w:val="en-US" w:eastAsia="en-US" w:bidi="ar-SA"/>
        </w:rPr>
        <w:t xml:space="preserve">, A. M. (2021). Diagnostic stewardship of endotracheal aspirate cultures in a PICU. </w:t>
      </w:r>
      <w:r w:rsidRPr="00EC5346">
        <w:rPr>
          <w:i/>
          <w:iCs/>
          <w:lang w:val="en-US" w:eastAsia="en-US" w:bidi="ar-SA"/>
        </w:rPr>
        <w:t>Pediatrics, 147</w:t>
      </w:r>
      <w:r w:rsidRPr="00EC5346">
        <w:rPr>
          <w:lang w:val="en-US" w:eastAsia="en-US" w:bidi="ar-SA"/>
        </w:rPr>
        <w:t>(5), Article e20201634. https://doi.org/10.1542/peds.2020-1634</w:t>
      </w:r>
    </w:p>
    <w:p w14:paraId="7F3F452C"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Sick-Samuels, A. C., &amp; Woods-Hill, C. (2022). Diagnostic stewardship in the pediatric intensive care unit. </w:t>
      </w:r>
      <w:r w:rsidRPr="00EC5346">
        <w:rPr>
          <w:i/>
          <w:iCs/>
          <w:lang w:val="en-US" w:eastAsia="en-US" w:bidi="ar-SA"/>
        </w:rPr>
        <w:t>Infectious Disease Clinics of North America, 36</w:t>
      </w:r>
      <w:r w:rsidRPr="00EC5346">
        <w:rPr>
          <w:lang w:val="en-US" w:eastAsia="en-US" w:bidi="ar-SA"/>
        </w:rPr>
        <w:t>(1), 203–218. https://doi.org/10.1016/j.idc.2021.11.003</w:t>
      </w:r>
    </w:p>
    <w:p w14:paraId="394D9AF4"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Sick-Samuels, A. C., Woods-Hill, C. Z., Fackler, J. C., Tamma, P. D., Klaus, S. A., Colantuoni, E. E., &amp; </w:t>
      </w:r>
      <w:proofErr w:type="spellStart"/>
      <w:r w:rsidRPr="00EC5346">
        <w:rPr>
          <w:lang w:val="en-US" w:eastAsia="en-US" w:bidi="ar-SA"/>
        </w:rPr>
        <w:t>Milstone</w:t>
      </w:r>
      <w:proofErr w:type="spellEnd"/>
      <w:r w:rsidRPr="00EC5346">
        <w:rPr>
          <w:lang w:val="en-US" w:eastAsia="en-US" w:bidi="ar-SA"/>
        </w:rPr>
        <w:t xml:space="preserve">, A. M. (2019). Association of a blood culture utilization intervention on antibiotic use in a pediatric intensive care unit. </w:t>
      </w:r>
      <w:r w:rsidRPr="00EC5346">
        <w:rPr>
          <w:i/>
          <w:iCs/>
          <w:lang w:val="en-US" w:eastAsia="en-US" w:bidi="ar-SA"/>
        </w:rPr>
        <w:t>Infection Control &amp; Hospital Epidemiology, 40</w:t>
      </w:r>
      <w:r w:rsidRPr="00EC5346">
        <w:rPr>
          <w:lang w:val="en-US" w:eastAsia="en-US" w:bidi="ar-SA"/>
        </w:rPr>
        <w:t>(4), 482–484. https://doi.org/10.1017/ice.2019.10</w:t>
      </w:r>
    </w:p>
    <w:p w14:paraId="713E57A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Singh, M. P., Gaikwad, N. R., </w:t>
      </w:r>
      <w:proofErr w:type="spellStart"/>
      <w:r w:rsidRPr="00EC5346">
        <w:rPr>
          <w:lang w:val="en-US" w:eastAsia="en-US" w:bidi="ar-SA"/>
        </w:rPr>
        <w:t>Keche</w:t>
      </w:r>
      <w:proofErr w:type="spellEnd"/>
      <w:r w:rsidRPr="00EC5346">
        <w:rPr>
          <w:lang w:val="en-US" w:eastAsia="en-US" w:bidi="ar-SA"/>
        </w:rPr>
        <w:t xml:space="preserve">, Y. N., Jindal, A., Dhaneria, S., &amp; </w:t>
      </w:r>
      <w:proofErr w:type="spellStart"/>
      <w:r w:rsidRPr="00EC5346">
        <w:rPr>
          <w:lang w:val="en-US" w:eastAsia="en-US" w:bidi="ar-SA"/>
        </w:rPr>
        <w:t>Gurunthalingam</w:t>
      </w:r>
      <w:proofErr w:type="spellEnd"/>
      <w:r w:rsidRPr="00EC5346">
        <w:rPr>
          <w:lang w:val="en-US" w:eastAsia="en-US" w:bidi="ar-SA"/>
        </w:rPr>
        <w:t xml:space="preserve">, M. P. (2024). Antimicrobial utilization in a </w:t>
      </w:r>
      <w:proofErr w:type="spellStart"/>
      <w:r w:rsidRPr="00EC5346">
        <w:rPr>
          <w:lang w:val="en-US" w:eastAsia="en-US" w:bidi="ar-SA"/>
        </w:rPr>
        <w:t>paediatric</w:t>
      </w:r>
      <w:proofErr w:type="spellEnd"/>
      <w:r w:rsidRPr="00EC5346">
        <w:rPr>
          <w:lang w:val="en-US" w:eastAsia="en-US" w:bidi="ar-SA"/>
        </w:rPr>
        <w:t xml:space="preserve"> intensive care unit in India: A step towards strengthening antimicrobial stewardship practices. </w:t>
      </w:r>
      <w:r w:rsidRPr="00EC5346">
        <w:rPr>
          <w:i/>
          <w:iCs/>
          <w:lang w:val="en-US" w:eastAsia="en-US" w:bidi="ar-SA"/>
        </w:rPr>
        <w:t>PLOS ONE, 19</w:t>
      </w:r>
      <w:r w:rsidRPr="00EC5346">
        <w:rPr>
          <w:lang w:val="en-US" w:eastAsia="en-US" w:bidi="ar-SA"/>
        </w:rPr>
        <w:t>(9), Article e0310515. https://doi.org/10.1371/journal.pone.0310515</w:t>
      </w:r>
    </w:p>
    <w:p w14:paraId="7FB6B4A1"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Smith, M. J., Gerber, J. S., &amp; Hersh, A. L. (2015). Inpatient antimicrobial stewardship in pediatrics: A systematic review. </w:t>
      </w:r>
      <w:r w:rsidRPr="00EC5346">
        <w:rPr>
          <w:i/>
          <w:iCs/>
          <w:lang w:val="en-US" w:eastAsia="en-US" w:bidi="ar-SA"/>
        </w:rPr>
        <w:t>Journal of the Pediatric Infectious Diseases Society, 4</w:t>
      </w:r>
      <w:r w:rsidRPr="00EC5346">
        <w:rPr>
          <w:lang w:val="en-US" w:eastAsia="en-US" w:bidi="ar-SA"/>
        </w:rPr>
        <w:t>(4), e127–e135. https://doi.org/10.1093/jpids/piu141</w:t>
      </w:r>
    </w:p>
    <w:p w14:paraId="1F3C7F99"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Sosnin</w:t>
      </w:r>
      <w:proofErr w:type="spellEnd"/>
      <w:r w:rsidRPr="00EC5346">
        <w:rPr>
          <w:lang w:val="en-US" w:eastAsia="en-US" w:bidi="ar-SA"/>
        </w:rPr>
        <w:t xml:space="preserve">, N., Curtis, N., </w:t>
      </w:r>
      <w:proofErr w:type="spellStart"/>
      <w:r w:rsidRPr="00EC5346">
        <w:rPr>
          <w:lang w:val="en-US" w:eastAsia="en-US" w:bidi="ar-SA"/>
        </w:rPr>
        <w:t>Cranswick</w:t>
      </w:r>
      <w:proofErr w:type="spellEnd"/>
      <w:r w:rsidRPr="00EC5346">
        <w:rPr>
          <w:lang w:val="en-US" w:eastAsia="en-US" w:bidi="ar-SA"/>
        </w:rPr>
        <w:t xml:space="preserve">, N., </w:t>
      </w:r>
      <w:proofErr w:type="spellStart"/>
      <w:r w:rsidRPr="00EC5346">
        <w:rPr>
          <w:lang w:val="en-US" w:eastAsia="en-US" w:bidi="ar-SA"/>
        </w:rPr>
        <w:t>Chiletti</w:t>
      </w:r>
      <w:proofErr w:type="spellEnd"/>
      <w:r w:rsidRPr="00EC5346">
        <w:rPr>
          <w:lang w:val="en-US" w:eastAsia="en-US" w:bidi="ar-SA"/>
        </w:rPr>
        <w:t xml:space="preserve">, R., &amp; </w:t>
      </w:r>
      <w:proofErr w:type="spellStart"/>
      <w:r w:rsidRPr="00EC5346">
        <w:rPr>
          <w:lang w:val="en-US" w:eastAsia="en-US" w:bidi="ar-SA"/>
        </w:rPr>
        <w:t>Gwee</w:t>
      </w:r>
      <w:proofErr w:type="spellEnd"/>
      <w:r w:rsidRPr="00EC5346">
        <w:rPr>
          <w:lang w:val="en-US" w:eastAsia="en-US" w:bidi="ar-SA"/>
        </w:rPr>
        <w:t xml:space="preserve">, A. (2019). Vancomycin is commonly under-dosed in critically ill children and neonates. </w:t>
      </w:r>
      <w:r w:rsidRPr="00EC5346">
        <w:rPr>
          <w:i/>
          <w:iCs/>
          <w:lang w:val="en-US" w:eastAsia="en-US" w:bidi="ar-SA"/>
        </w:rPr>
        <w:t>British Journal of Clinical Pharmacology, 85</w:t>
      </w:r>
      <w:r w:rsidRPr="00EC5346">
        <w:rPr>
          <w:lang w:val="en-US" w:eastAsia="en-US" w:bidi="ar-SA"/>
        </w:rPr>
        <w:t>(11), 2591–2598. https://doi.org/10.1111/bcp.14084</w:t>
      </w:r>
    </w:p>
    <w:p w14:paraId="6EF7D4D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Tang Girdwood, S., Pavia, K., Paice, K., Hambrick, H. R., Kaplan, J., &amp; </w:t>
      </w:r>
      <w:proofErr w:type="spellStart"/>
      <w:r w:rsidRPr="00EC5346">
        <w:rPr>
          <w:lang w:val="en-US" w:eastAsia="en-US" w:bidi="ar-SA"/>
        </w:rPr>
        <w:t>Vinks</w:t>
      </w:r>
      <w:proofErr w:type="spellEnd"/>
      <w:r w:rsidRPr="00EC5346">
        <w:rPr>
          <w:lang w:val="en-US" w:eastAsia="en-US" w:bidi="ar-SA"/>
        </w:rPr>
        <w:t xml:space="preserve">, A. A. (2022). β-Lactam precision dosing in critically ill children: Current state and knowledge gaps. </w:t>
      </w:r>
      <w:r w:rsidRPr="00EC5346">
        <w:rPr>
          <w:i/>
          <w:iCs/>
          <w:lang w:val="en-US" w:eastAsia="en-US" w:bidi="ar-SA"/>
        </w:rPr>
        <w:t>Frontiers in Pharmacology, 13</w:t>
      </w:r>
      <w:r w:rsidRPr="00EC5346">
        <w:rPr>
          <w:lang w:val="en-US" w:eastAsia="en-US" w:bidi="ar-SA"/>
        </w:rPr>
        <w:t>, Article 1044683. https://doi.org/10.3389/fphar.2022.1044683</w:t>
      </w:r>
    </w:p>
    <w:p w14:paraId="34AD282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Tersigni, C., Venturini, E., Montagnani, C., Chiappini, E., de Martino, M., &amp; Galli, L. (2019). Antimicrobial stewardship in children: More shadows than lights? </w:t>
      </w:r>
      <w:r w:rsidRPr="00EC5346">
        <w:rPr>
          <w:i/>
          <w:iCs/>
          <w:lang w:val="en-US" w:eastAsia="en-US" w:bidi="ar-SA"/>
        </w:rPr>
        <w:t>Expert Review of Anti-infective Therapy, 17</w:t>
      </w:r>
      <w:r w:rsidRPr="00EC5346">
        <w:rPr>
          <w:lang w:val="en-US" w:eastAsia="en-US" w:bidi="ar-SA"/>
        </w:rPr>
        <w:t>(11), 871–876. https://doi.org/10.1080/14787210.2019.1686355</w:t>
      </w:r>
    </w:p>
    <w:p w14:paraId="71EA374F"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t>Tissières</w:t>
      </w:r>
      <w:proofErr w:type="spellEnd"/>
      <w:r w:rsidRPr="00EC5346">
        <w:rPr>
          <w:lang w:val="en-US" w:eastAsia="en-US" w:bidi="ar-SA"/>
        </w:rPr>
        <w:t xml:space="preserve">, P., Esteban Torné, E., Hübner, J., Randolph, A. G., Rey Galán, C., &amp; Weiss, S. L. (2025). Use of procalcitonin in therapeutic decisions in the pediatric intensive care unit. </w:t>
      </w:r>
      <w:r w:rsidRPr="00EC5346">
        <w:rPr>
          <w:i/>
          <w:iCs/>
          <w:lang w:val="en-US" w:eastAsia="en-US" w:bidi="ar-SA"/>
        </w:rPr>
        <w:t>Annals of Intensive Care, 15</w:t>
      </w:r>
      <w:r w:rsidRPr="00EC5346">
        <w:rPr>
          <w:lang w:val="en-US" w:eastAsia="en-US" w:bidi="ar-SA"/>
        </w:rPr>
        <w:t xml:space="preserve">(1), Article 55. </w:t>
      </w:r>
      <w:hyperlink r:id="rId17" w:tgtFrame="_new" w:history="1">
        <w:r w:rsidRPr="00EC5346">
          <w:rPr>
            <w:color w:val="0000FF"/>
            <w:u w:val="single"/>
            <w:lang w:val="en-US" w:eastAsia="en-US" w:bidi="ar-SA"/>
          </w:rPr>
          <w:t>https://doi.org/10.1186/s13613-025-01470-y</w:t>
        </w:r>
      </w:hyperlink>
    </w:p>
    <w:p w14:paraId="4158B50E"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Tribble, A. C., Moorthy, G. S., Vartanian, R. J., &amp; Smith, M. J. (2024). Pediatric antimicrobial stewardship programs reduce antibiotic use at combined adult-pediatric hospitals. </w:t>
      </w:r>
      <w:r w:rsidRPr="00EC5346">
        <w:rPr>
          <w:i/>
          <w:iCs/>
          <w:lang w:val="en-US" w:eastAsia="en-US" w:bidi="ar-SA"/>
        </w:rPr>
        <w:t>Clinical Infectious Diseases, 79</w:t>
      </w:r>
      <w:r w:rsidRPr="00EC5346">
        <w:rPr>
          <w:lang w:val="en-US" w:eastAsia="en-US" w:bidi="ar-SA"/>
        </w:rPr>
        <w:t>(2), 321–324. https://doi.org/10.1093/cid/ciae112</w:t>
      </w:r>
    </w:p>
    <w:p w14:paraId="0326AE89" w14:textId="77777777" w:rsidR="00EC5346" w:rsidRPr="00EC5346" w:rsidRDefault="00EC5346" w:rsidP="00EC5346">
      <w:pPr>
        <w:spacing w:before="100" w:beforeAutospacing="1" w:after="100" w:afterAutospacing="1"/>
        <w:ind w:left="540" w:hanging="540"/>
        <w:jc w:val="both"/>
        <w:rPr>
          <w:lang w:val="en-US" w:eastAsia="en-US" w:bidi="ar-SA"/>
        </w:rPr>
      </w:pPr>
      <w:proofErr w:type="spellStart"/>
      <w:r w:rsidRPr="00EC5346">
        <w:rPr>
          <w:lang w:val="en-US" w:eastAsia="en-US" w:bidi="ar-SA"/>
        </w:rPr>
        <w:lastRenderedPageBreak/>
        <w:t>Tsitsiklis</w:t>
      </w:r>
      <w:proofErr w:type="spellEnd"/>
      <w:r w:rsidRPr="00EC5346">
        <w:rPr>
          <w:lang w:val="en-US" w:eastAsia="en-US" w:bidi="ar-SA"/>
        </w:rPr>
        <w:t xml:space="preserve">, A., Osborne, C. M., Kamm, J., Williamson, K., Kalantar, K., Dudas, G., Caldera, S., Lyden, A., Tan, M., Neff, N., </w:t>
      </w:r>
      <w:proofErr w:type="spellStart"/>
      <w:r w:rsidRPr="00EC5346">
        <w:rPr>
          <w:lang w:val="en-US" w:eastAsia="en-US" w:bidi="ar-SA"/>
        </w:rPr>
        <w:t>Soesanto</w:t>
      </w:r>
      <w:proofErr w:type="spellEnd"/>
      <w:r w:rsidRPr="00EC5346">
        <w:rPr>
          <w:lang w:val="en-US" w:eastAsia="en-US" w:bidi="ar-SA"/>
        </w:rPr>
        <w:t xml:space="preserve">, V., Harris, J. K., </w:t>
      </w:r>
      <w:proofErr w:type="spellStart"/>
      <w:r w:rsidRPr="00EC5346">
        <w:rPr>
          <w:lang w:val="en-US" w:eastAsia="en-US" w:bidi="ar-SA"/>
        </w:rPr>
        <w:t>Ambroggio</w:t>
      </w:r>
      <w:proofErr w:type="spellEnd"/>
      <w:r w:rsidRPr="00EC5346">
        <w:rPr>
          <w:lang w:val="en-US" w:eastAsia="en-US" w:bidi="ar-SA"/>
        </w:rPr>
        <w:t xml:space="preserve">, L., Maddux, A. B., Carpenter, T. C., Reeder, R. W., </w:t>
      </w:r>
      <w:proofErr w:type="spellStart"/>
      <w:r w:rsidRPr="00EC5346">
        <w:rPr>
          <w:lang w:val="en-US" w:eastAsia="en-US" w:bidi="ar-SA"/>
        </w:rPr>
        <w:t>Locandro</w:t>
      </w:r>
      <w:proofErr w:type="spellEnd"/>
      <w:r w:rsidRPr="00EC5346">
        <w:rPr>
          <w:lang w:val="en-US" w:eastAsia="en-US" w:bidi="ar-SA"/>
        </w:rPr>
        <w:t xml:space="preserve">, C., Simões, E. A. F., Leroue, M. K., . . . Langelier, C. R. (2022). Lower respiratory tract infections in children requiring mechanical ventilation: A </w:t>
      </w:r>
      <w:proofErr w:type="spellStart"/>
      <w:r w:rsidRPr="00EC5346">
        <w:rPr>
          <w:lang w:val="en-US" w:eastAsia="en-US" w:bidi="ar-SA"/>
        </w:rPr>
        <w:t>multicentre</w:t>
      </w:r>
      <w:proofErr w:type="spellEnd"/>
      <w:r w:rsidRPr="00EC5346">
        <w:rPr>
          <w:lang w:val="en-US" w:eastAsia="en-US" w:bidi="ar-SA"/>
        </w:rPr>
        <w:t xml:space="preserve"> prospective surveillance study incorporating airway metagenomics. </w:t>
      </w:r>
      <w:r w:rsidRPr="00EC5346">
        <w:rPr>
          <w:i/>
          <w:iCs/>
          <w:lang w:val="en-US" w:eastAsia="en-US" w:bidi="ar-SA"/>
        </w:rPr>
        <w:t>The Lancet Microbe, 3</w:t>
      </w:r>
      <w:r w:rsidRPr="00EC5346">
        <w:rPr>
          <w:lang w:val="en-US" w:eastAsia="en-US" w:bidi="ar-SA"/>
        </w:rPr>
        <w:t>(4), e284–e293. https://doi.org/10.1016/S2666-5247(21)00304-9</w:t>
      </w:r>
    </w:p>
    <w:p w14:paraId="7E026614"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nl-BE" w:eastAsia="en-US" w:bidi="ar-SA"/>
        </w:rPr>
        <w:t xml:space="preserve">Van Der Heggen, T., Dhont, E., Willems, J., Herck, I., Delanghe, J. R., Stove, V., Verstraete, A. G., Vanhaesebrouck, S., De Paepe, P., &amp; De Cock, P. A. J. G. (2022). </w:t>
      </w:r>
      <w:r w:rsidRPr="00EC5346">
        <w:rPr>
          <w:lang w:val="en-US" w:eastAsia="en-US" w:bidi="ar-SA"/>
        </w:rPr>
        <w:t xml:space="preserve">Suboptimal beta-lactam therapy in critically ill children: Risk factors and outcome. </w:t>
      </w:r>
      <w:r w:rsidRPr="00EC5346">
        <w:rPr>
          <w:i/>
          <w:iCs/>
          <w:lang w:val="en-US" w:eastAsia="en-US" w:bidi="ar-SA"/>
        </w:rPr>
        <w:t>Pediatric Critical Care Medicine, 23</w:t>
      </w:r>
      <w:r w:rsidRPr="00EC5346">
        <w:rPr>
          <w:lang w:val="en-US" w:eastAsia="en-US" w:bidi="ar-SA"/>
        </w:rPr>
        <w:t>(7), e309–e318. https://doi.org/10.1097/PCC.0000000000002951</w:t>
      </w:r>
    </w:p>
    <w:p w14:paraId="3D1302D5"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Waldron, C.-A., Pallmann, P., Schoenbuchner, S., Harris, D., Brookes-Howell, L., Mateus, C., </w:t>
      </w:r>
      <w:proofErr w:type="spellStart"/>
      <w:r w:rsidRPr="00EC5346">
        <w:rPr>
          <w:lang w:val="en-US" w:eastAsia="en-US" w:bidi="ar-SA"/>
        </w:rPr>
        <w:t>Bernatoniene</w:t>
      </w:r>
      <w:proofErr w:type="spellEnd"/>
      <w:r w:rsidRPr="00EC5346">
        <w:rPr>
          <w:lang w:val="en-US" w:eastAsia="en-US" w:bidi="ar-SA"/>
        </w:rPr>
        <w:t xml:space="preserve">, J., Cathie, K., Faust, S. N., Henley, J., Hinds, L., Hood, K., Huang, C., Jones, S., Kotecha, S., Milosevic, S., </w:t>
      </w:r>
      <w:proofErr w:type="spellStart"/>
      <w:r w:rsidRPr="00EC5346">
        <w:rPr>
          <w:lang w:val="en-US" w:eastAsia="en-US" w:bidi="ar-SA"/>
        </w:rPr>
        <w:t>Nabwera</w:t>
      </w:r>
      <w:proofErr w:type="spellEnd"/>
      <w:r w:rsidRPr="00EC5346">
        <w:rPr>
          <w:lang w:val="en-US" w:eastAsia="en-US" w:bidi="ar-SA"/>
        </w:rPr>
        <w:t xml:space="preserve">, H., Patel, S., Paulus, S., . . . BATCH Trial Team. (2025). Effectiveness of biomarker-guided duration of antibiotic treatment in children </w:t>
      </w:r>
      <w:proofErr w:type="spellStart"/>
      <w:r w:rsidRPr="00EC5346">
        <w:rPr>
          <w:lang w:val="en-US" w:eastAsia="en-US" w:bidi="ar-SA"/>
        </w:rPr>
        <w:t>hospitalised</w:t>
      </w:r>
      <w:proofErr w:type="spellEnd"/>
      <w:r w:rsidRPr="00EC5346">
        <w:rPr>
          <w:lang w:val="en-US" w:eastAsia="en-US" w:bidi="ar-SA"/>
        </w:rPr>
        <w:t xml:space="preserve"> with confirmed or suspected bacterial infection: The BATCH RCT. </w:t>
      </w:r>
      <w:r w:rsidRPr="00EC5346">
        <w:rPr>
          <w:i/>
          <w:iCs/>
          <w:lang w:val="en-US" w:eastAsia="en-US" w:bidi="ar-SA"/>
        </w:rPr>
        <w:t>Health Technology Assessment, 29</w:t>
      </w:r>
      <w:r w:rsidRPr="00EC5346">
        <w:rPr>
          <w:lang w:val="en-US" w:eastAsia="en-US" w:bidi="ar-SA"/>
        </w:rPr>
        <w:t xml:space="preserve">(16), 1–125. </w:t>
      </w:r>
      <w:hyperlink r:id="rId18" w:tgtFrame="_new" w:history="1">
        <w:r w:rsidRPr="00EC5346">
          <w:rPr>
            <w:color w:val="0000FF"/>
            <w:u w:val="single"/>
            <w:lang w:val="en-US" w:eastAsia="en-US" w:bidi="ar-SA"/>
          </w:rPr>
          <w:t>https://doi.org/10.3310/MBVA3675</w:t>
        </w:r>
      </w:hyperlink>
    </w:p>
    <w:p w14:paraId="1D606FA3"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Wattier, R. L., Thurm, C. W., Parker, S. K., Banerjee, R., Hersh, A. L., &amp; Pediatric Health Information System Antimicrobial Stewardship Research Group. (2021). Indirect standardization as a case mix adjustment method to improve comparison of children’s hospitals’ antimicrobial use. </w:t>
      </w:r>
      <w:r w:rsidRPr="00EC5346">
        <w:rPr>
          <w:i/>
          <w:iCs/>
          <w:lang w:val="en-US" w:eastAsia="en-US" w:bidi="ar-SA"/>
        </w:rPr>
        <w:t>Clinical Infectious Diseases, 73</w:t>
      </w:r>
      <w:r w:rsidRPr="00EC5346">
        <w:rPr>
          <w:lang w:val="en-US" w:eastAsia="en-US" w:bidi="ar-SA"/>
        </w:rPr>
        <w:t>(5), 925–932. https://doi.org/10.1093/cid/ciaa1854</w:t>
      </w:r>
    </w:p>
    <w:p w14:paraId="17A773EB"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Wehrenberg, K., Mitchell, M., </w:t>
      </w:r>
      <w:proofErr w:type="spellStart"/>
      <w:r w:rsidRPr="00EC5346">
        <w:rPr>
          <w:lang w:val="en-US" w:eastAsia="en-US" w:bidi="ar-SA"/>
        </w:rPr>
        <w:t>Zembles</w:t>
      </w:r>
      <w:proofErr w:type="spellEnd"/>
      <w:r w:rsidRPr="00EC5346">
        <w:rPr>
          <w:lang w:val="en-US" w:eastAsia="en-US" w:bidi="ar-SA"/>
        </w:rPr>
        <w:t xml:space="preserve">, T., Yan, K., Zhang, L., &amp; Thompson, N. (2023). Antibiotic treatment duration for culture-negative sepsis in the pediatric intensive care unit. </w:t>
      </w:r>
      <w:r w:rsidRPr="00EC5346">
        <w:rPr>
          <w:i/>
          <w:iCs/>
          <w:lang w:val="en-US" w:eastAsia="en-US" w:bidi="ar-SA"/>
        </w:rPr>
        <w:t>Antimicrobial Stewardship &amp; Healthcare Epidemiology, 3</w:t>
      </w:r>
      <w:r w:rsidRPr="00EC5346">
        <w:rPr>
          <w:lang w:val="en-US" w:eastAsia="en-US" w:bidi="ar-SA"/>
        </w:rPr>
        <w:t>(1), Article e249. https://doi.org/10.1017/ash.2023.502</w:t>
      </w:r>
    </w:p>
    <w:p w14:paraId="0E16BE9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Weiss, S. L., Fitzgerald, J. C., </w:t>
      </w:r>
      <w:proofErr w:type="spellStart"/>
      <w:r w:rsidRPr="00EC5346">
        <w:rPr>
          <w:lang w:val="en-US" w:eastAsia="en-US" w:bidi="ar-SA"/>
        </w:rPr>
        <w:t>Balamuth</w:t>
      </w:r>
      <w:proofErr w:type="spellEnd"/>
      <w:r w:rsidRPr="00EC5346">
        <w:rPr>
          <w:lang w:val="en-US" w:eastAsia="en-US" w:bidi="ar-SA"/>
        </w:rPr>
        <w:t xml:space="preserve">, F., Alpern, E. R., Lavelle, J., </w:t>
      </w:r>
      <w:proofErr w:type="spellStart"/>
      <w:r w:rsidRPr="00EC5346">
        <w:rPr>
          <w:lang w:val="en-US" w:eastAsia="en-US" w:bidi="ar-SA"/>
        </w:rPr>
        <w:t>Chilutti</w:t>
      </w:r>
      <w:proofErr w:type="spellEnd"/>
      <w:r w:rsidRPr="00EC5346">
        <w:rPr>
          <w:lang w:val="en-US" w:eastAsia="en-US" w:bidi="ar-SA"/>
        </w:rPr>
        <w:t xml:space="preserve">, M., Grundmeier, R., Nadkarni, V. M., &amp; Thomas, N. J. (2014). Delayed antimicrobial therapy increases mortality and organ dysfunction duration in pediatric sepsis. </w:t>
      </w:r>
      <w:r w:rsidRPr="00EC5346">
        <w:rPr>
          <w:i/>
          <w:iCs/>
          <w:lang w:val="en-US" w:eastAsia="en-US" w:bidi="ar-SA"/>
        </w:rPr>
        <w:t>Critical Care Medicine, 42</w:t>
      </w:r>
      <w:r w:rsidRPr="00EC5346">
        <w:rPr>
          <w:lang w:val="en-US" w:eastAsia="en-US" w:bidi="ar-SA"/>
        </w:rPr>
        <w:t>(11), 2409–2417. https://doi.org/10.1097/CCM.0000000000000509</w:t>
      </w:r>
    </w:p>
    <w:p w14:paraId="199A4D85"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Weiss, S. L., Peters, M. J., </w:t>
      </w:r>
      <w:proofErr w:type="spellStart"/>
      <w:r w:rsidRPr="00EC5346">
        <w:rPr>
          <w:lang w:val="en-US" w:eastAsia="en-US" w:bidi="ar-SA"/>
        </w:rPr>
        <w:t>Alhazzani</w:t>
      </w:r>
      <w:proofErr w:type="spellEnd"/>
      <w:r w:rsidRPr="00EC5346">
        <w:rPr>
          <w:lang w:val="en-US" w:eastAsia="en-US" w:bidi="ar-SA"/>
        </w:rPr>
        <w:t xml:space="preserve">, W., Agus, M. S. D., Flori, H. R., </w:t>
      </w:r>
      <w:proofErr w:type="spellStart"/>
      <w:r w:rsidRPr="00EC5346">
        <w:rPr>
          <w:lang w:val="en-US" w:eastAsia="en-US" w:bidi="ar-SA"/>
        </w:rPr>
        <w:t>Inwald</w:t>
      </w:r>
      <w:proofErr w:type="spellEnd"/>
      <w:r w:rsidRPr="00EC5346">
        <w:rPr>
          <w:lang w:val="en-US" w:eastAsia="en-US" w:bidi="ar-SA"/>
        </w:rPr>
        <w:t xml:space="preserve">, D. P., Nadel, S., </w:t>
      </w:r>
      <w:proofErr w:type="spellStart"/>
      <w:r w:rsidRPr="00EC5346">
        <w:rPr>
          <w:lang w:val="en-US" w:eastAsia="en-US" w:bidi="ar-SA"/>
        </w:rPr>
        <w:t>Schlapbach</w:t>
      </w:r>
      <w:proofErr w:type="spellEnd"/>
      <w:r w:rsidRPr="00EC5346">
        <w:rPr>
          <w:lang w:val="en-US" w:eastAsia="en-US" w:bidi="ar-SA"/>
        </w:rPr>
        <w:t xml:space="preserve">, L. J., Tasker, R. C., Argent, A. C., Brierley, J., </w:t>
      </w:r>
      <w:proofErr w:type="spellStart"/>
      <w:r w:rsidRPr="00EC5346">
        <w:rPr>
          <w:lang w:val="en-US" w:eastAsia="en-US" w:bidi="ar-SA"/>
        </w:rPr>
        <w:t>Carcillo</w:t>
      </w:r>
      <w:proofErr w:type="spellEnd"/>
      <w:r w:rsidRPr="00EC5346">
        <w:rPr>
          <w:lang w:val="en-US" w:eastAsia="en-US" w:bidi="ar-SA"/>
        </w:rPr>
        <w:t xml:space="preserve">, J., Carrol, E. D., Carroll, C. L., Cheifetz, I. M., Choong, K., Cies, J. J., Cruz, A. T., De Luca, D., . . . </w:t>
      </w:r>
      <w:proofErr w:type="spellStart"/>
      <w:r w:rsidRPr="00EC5346">
        <w:rPr>
          <w:lang w:val="en-US" w:eastAsia="en-US" w:bidi="ar-SA"/>
        </w:rPr>
        <w:t>Tissieres</w:t>
      </w:r>
      <w:proofErr w:type="spellEnd"/>
      <w:r w:rsidRPr="00EC5346">
        <w:rPr>
          <w:lang w:val="en-US" w:eastAsia="en-US" w:bidi="ar-SA"/>
        </w:rPr>
        <w:t xml:space="preserve">, P. (2020). Surviving Sepsis Campaign international guidelines for the management of septic shock and sepsis-associated organ dysfunction in children. </w:t>
      </w:r>
      <w:r w:rsidRPr="00EC5346">
        <w:rPr>
          <w:i/>
          <w:iCs/>
          <w:lang w:val="en-US" w:eastAsia="en-US" w:bidi="ar-SA"/>
        </w:rPr>
        <w:t>Pediatric Critical Care Medicine, 21</w:t>
      </w:r>
      <w:r w:rsidRPr="00EC5346">
        <w:rPr>
          <w:lang w:val="en-US" w:eastAsia="en-US" w:bidi="ar-SA"/>
        </w:rPr>
        <w:t xml:space="preserve">(2), e52–e106. </w:t>
      </w:r>
      <w:hyperlink r:id="rId19" w:tgtFrame="_new" w:history="1">
        <w:r w:rsidRPr="00EC5346">
          <w:rPr>
            <w:color w:val="0000FF"/>
            <w:u w:val="single"/>
            <w:lang w:val="en-US" w:eastAsia="en-US" w:bidi="ar-SA"/>
          </w:rPr>
          <w:t>https://doi.org/10.1097/PCC.0000000000002198</w:t>
        </w:r>
      </w:hyperlink>
    </w:p>
    <w:p w14:paraId="4F9CB6AA"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Weiss, S. L., Peters, M. J., Oczkowski, S. J. W., Belley-Cote, E., Buysse, C., Choong, K. L. M., Deep, A., </w:t>
      </w:r>
      <w:proofErr w:type="spellStart"/>
      <w:r w:rsidRPr="00EC5346">
        <w:rPr>
          <w:lang w:val="en-US" w:eastAsia="en-US" w:bidi="ar-SA"/>
        </w:rPr>
        <w:t>Inwald</w:t>
      </w:r>
      <w:proofErr w:type="spellEnd"/>
      <w:r w:rsidRPr="00EC5346">
        <w:rPr>
          <w:lang w:val="en-US" w:eastAsia="en-US" w:bidi="ar-SA"/>
        </w:rPr>
        <w:t xml:space="preserve">, D. P., Flori, H. R., </w:t>
      </w:r>
      <w:proofErr w:type="spellStart"/>
      <w:r w:rsidRPr="00EC5346">
        <w:rPr>
          <w:lang w:val="en-US" w:eastAsia="en-US" w:bidi="ar-SA"/>
        </w:rPr>
        <w:t>Kneyber</w:t>
      </w:r>
      <w:proofErr w:type="spellEnd"/>
      <w:r w:rsidRPr="00EC5346">
        <w:rPr>
          <w:lang w:val="en-US" w:eastAsia="en-US" w:bidi="ar-SA"/>
        </w:rPr>
        <w:t xml:space="preserve">, M. C. J., Menon, K., Murthy, S., Nunnally, M. E., Parker, M. M., </w:t>
      </w:r>
      <w:proofErr w:type="spellStart"/>
      <w:r w:rsidRPr="00EC5346">
        <w:rPr>
          <w:lang w:val="en-US" w:eastAsia="en-US" w:bidi="ar-SA"/>
        </w:rPr>
        <w:t>Schlapbach</w:t>
      </w:r>
      <w:proofErr w:type="spellEnd"/>
      <w:r w:rsidRPr="00EC5346">
        <w:rPr>
          <w:lang w:val="en-US" w:eastAsia="en-US" w:bidi="ar-SA"/>
        </w:rPr>
        <w:t xml:space="preserve">, L. J., Oliveira, C. F., </w:t>
      </w:r>
      <w:proofErr w:type="spellStart"/>
      <w:r w:rsidRPr="00EC5346">
        <w:rPr>
          <w:lang w:val="en-US" w:eastAsia="en-US" w:bidi="ar-SA"/>
        </w:rPr>
        <w:t>Sorce</w:t>
      </w:r>
      <w:proofErr w:type="spellEnd"/>
      <w:r w:rsidRPr="00EC5346">
        <w:rPr>
          <w:lang w:val="en-US" w:eastAsia="en-US" w:bidi="ar-SA"/>
        </w:rPr>
        <w:t xml:space="preserve">, L. R., Agus, M., Argent, A. C., . . . Kissoon, N. (2026). Surviving Sepsis Campaign international guidelines for the management of sepsis and septic shock in children 2026. </w:t>
      </w:r>
      <w:r w:rsidRPr="00EC5346">
        <w:rPr>
          <w:i/>
          <w:iCs/>
          <w:lang w:val="en-US" w:eastAsia="en-US" w:bidi="ar-SA"/>
        </w:rPr>
        <w:t xml:space="preserve">Pediatric </w:t>
      </w:r>
      <w:r w:rsidRPr="00EC5346">
        <w:rPr>
          <w:i/>
          <w:iCs/>
          <w:lang w:val="en-US" w:eastAsia="en-US" w:bidi="ar-SA"/>
        </w:rPr>
        <w:lastRenderedPageBreak/>
        <w:t>Critical Care Medicine, 27</w:t>
      </w:r>
      <w:r w:rsidRPr="00EC5346">
        <w:rPr>
          <w:lang w:val="en-US" w:eastAsia="en-US" w:bidi="ar-SA"/>
        </w:rPr>
        <w:t xml:space="preserve">(4), 379–434. </w:t>
      </w:r>
      <w:hyperlink r:id="rId20" w:tgtFrame="_new" w:history="1">
        <w:r w:rsidRPr="00EC5346">
          <w:rPr>
            <w:color w:val="0000FF"/>
            <w:u w:val="single"/>
            <w:lang w:val="en-US" w:eastAsia="en-US" w:bidi="ar-SA"/>
          </w:rPr>
          <w:t>https://doi.org/10.1097/PCC.0000000000003927</w:t>
        </w:r>
      </w:hyperlink>
    </w:p>
    <w:p w14:paraId="4A187F4F"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Williams, D. J., Creech, C. B., Walter, E. B., Martin, J. M., Gerber, J. S., Newland, J. G., Howard, L., </w:t>
      </w:r>
      <w:proofErr w:type="spellStart"/>
      <w:r w:rsidRPr="00EC5346">
        <w:rPr>
          <w:lang w:val="en-US" w:eastAsia="en-US" w:bidi="ar-SA"/>
        </w:rPr>
        <w:t>Hofto</w:t>
      </w:r>
      <w:proofErr w:type="spellEnd"/>
      <w:r w:rsidRPr="00EC5346">
        <w:rPr>
          <w:lang w:val="en-US" w:eastAsia="en-US" w:bidi="ar-SA"/>
        </w:rPr>
        <w:t xml:space="preserve">, M. E., Staat, M. A., Oler, R. E., </w:t>
      </w:r>
      <w:proofErr w:type="spellStart"/>
      <w:r w:rsidRPr="00EC5346">
        <w:rPr>
          <w:lang w:val="en-US" w:eastAsia="en-US" w:bidi="ar-SA"/>
        </w:rPr>
        <w:t>Tuyishimire</w:t>
      </w:r>
      <w:proofErr w:type="spellEnd"/>
      <w:r w:rsidRPr="00EC5346">
        <w:rPr>
          <w:lang w:val="en-US" w:eastAsia="en-US" w:bidi="ar-SA"/>
        </w:rPr>
        <w:t xml:space="preserve">, B., Conrad, T. M., Lee, M. S., Ghazaryan, V., Pettigrew, M. M., Fowler, V. G., Chambers, H. F., </w:t>
      </w:r>
      <w:proofErr w:type="spellStart"/>
      <w:r w:rsidRPr="00EC5346">
        <w:rPr>
          <w:lang w:val="en-US" w:eastAsia="en-US" w:bidi="ar-SA"/>
        </w:rPr>
        <w:t>Zaoutis</w:t>
      </w:r>
      <w:proofErr w:type="spellEnd"/>
      <w:r w:rsidRPr="00EC5346">
        <w:rPr>
          <w:lang w:val="en-US" w:eastAsia="en-US" w:bidi="ar-SA"/>
        </w:rPr>
        <w:t xml:space="preserve">, T. E., Evans, S., . . . DMID 14-0079 Study Team. (2022). Short- vs standard-course outpatient antibiotic therapy for community-acquired pneumonia in children: The SCOUT-CAP randomized clinical trial. </w:t>
      </w:r>
      <w:r w:rsidRPr="00EC5346">
        <w:rPr>
          <w:i/>
          <w:iCs/>
          <w:lang w:val="en-US" w:eastAsia="en-US" w:bidi="ar-SA"/>
        </w:rPr>
        <w:t>JAMA Pediatrics, 176</w:t>
      </w:r>
      <w:r w:rsidRPr="00EC5346">
        <w:rPr>
          <w:lang w:val="en-US" w:eastAsia="en-US" w:bidi="ar-SA"/>
        </w:rPr>
        <w:t>(3), 253–261. https://doi.org/10.1001/jamapediatrics.2021.5547</w:t>
      </w:r>
    </w:p>
    <w:p w14:paraId="28D8D49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Woods-Hill, C. Z., Colantuoni, E. A., Koontz, D. W., </w:t>
      </w:r>
      <w:proofErr w:type="spellStart"/>
      <w:r w:rsidRPr="00EC5346">
        <w:rPr>
          <w:lang w:val="en-US" w:eastAsia="en-US" w:bidi="ar-SA"/>
        </w:rPr>
        <w:t>Voskertchian</w:t>
      </w:r>
      <w:proofErr w:type="spellEnd"/>
      <w:r w:rsidRPr="00EC5346">
        <w:rPr>
          <w:lang w:val="en-US" w:eastAsia="en-US" w:bidi="ar-SA"/>
        </w:rPr>
        <w:t xml:space="preserve">, A., Xie, A., Thurm, C., Miller, M. R., Fackler, J. C., </w:t>
      </w:r>
      <w:proofErr w:type="spellStart"/>
      <w:r w:rsidRPr="00EC5346">
        <w:rPr>
          <w:lang w:val="en-US" w:eastAsia="en-US" w:bidi="ar-SA"/>
        </w:rPr>
        <w:t>Milstone</w:t>
      </w:r>
      <w:proofErr w:type="spellEnd"/>
      <w:r w:rsidRPr="00EC5346">
        <w:rPr>
          <w:lang w:val="en-US" w:eastAsia="en-US" w:bidi="ar-SA"/>
        </w:rPr>
        <w:t xml:space="preserve">, A. M., &amp; Bright STAR Authorship Group. (2022). Association of diagnostic stewardship for blood cultures in critically ill children with culture rates, antibiotic use, and patient outcomes: Results of the Bright STAR Collaborative. </w:t>
      </w:r>
      <w:r w:rsidRPr="00EC5346">
        <w:rPr>
          <w:i/>
          <w:iCs/>
          <w:lang w:val="en-US" w:eastAsia="en-US" w:bidi="ar-SA"/>
        </w:rPr>
        <w:t>JAMA Pediatrics, 176</w:t>
      </w:r>
      <w:r w:rsidRPr="00EC5346">
        <w:rPr>
          <w:lang w:val="en-US" w:eastAsia="en-US" w:bidi="ar-SA"/>
        </w:rPr>
        <w:t>(7), 690–698. https://doi.org/10.1001/jamapediatrics.2022.1024</w:t>
      </w:r>
    </w:p>
    <w:p w14:paraId="216064FF"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Woods-Hill, C. Z., Koontz, D. W., Colantuoni, E. A., Xiao, S., Xie, A., Miller, M. R., </w:t>
      </w:r>
      <w:proofErr w:type="spellStart"/>
      <w:r w:rsidRPr="00EC5346">
        <w:rPr>
          <w:lang w:val="en-US" w:eastAsia="en-US" w:bidi="ar-SA"/>
        </w:rPr>
        <w:t>Milstone</w:t>
      </w:r>
      <w:proofErr w:type="spellEnd"/>
      <w:r w:rsidRPr="00EC5346">
        <w:rPr>
          <w:lang w:val="en-US" w:eastAsia="en-US" w:bidi="ar-SA"/>
        </w:rPr>
        <w:t xml:space="preserve">, A. M., &amp; Bright STAR Authorship Group. (2023). Sustainability of the Bright STAR diagnostic stewardship program to reduce blood culture rates among critically ill children. </w:t>
      </w:r>
      <w:r w:rsidRPr="00EC5346">
        <w:rPr>
          <w:i/>
          <w:iCs/>
          <w:lang w:val="en-US" w:eastAsia="en-US" w:bidi="ar-SA"/>
        </w:rPr>
        <w:t>JAMA Pediatrics, 177</w:t>
      </w:r>
      <w:r w:rsidRPr="00EC5346">
        <w:rPr>
          <w:lang w:val="en-US" w:eastAsia="en-US" w:bidi="ar-SA"/>
        </w:rPr>
        <w:t>(11), 1234–1237. https://doi.org/10.1001/jamapediatrics.2023.3229</w:t>
      </w:r>
    </w:p>
    <w:p w14:paraId="0A0F50B3"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Woods-Hill, C. Z., Koontz, D. W., </w:t>
      </w:r>
      <w:proofErr w:type="spellStart"/>
      <w:r w:rsidRPr="00EC5346">
        <w:rPr>
          <w:lang w:val="en-US" w:eastAsia="en-US" w:bidi="ar-SA"/>
        </w:rPr>
        <w:t>Voskertchian</w:t>
      </w:r>
      <w:proofErr w:type="spellEnd"/>
      <w:r w:rsidRPr="00EC5346">
        <w:rPr>
          <w:lang w:val="en-US" w:eastAsia="en-US" w:bidi="ar-SA"/>
        </w:rPr>
        <w:t xml:space="preserve">, A., Xie, A., Shea, J., Miller, M. R., Fackler, J. C., </w:t>
      </w:r>
      <w:proofErr w:type="spellStart"/>
      <w:r w:rsidRPr="00EC5346">
        <w:rPr>
          <w:lang w:val="en-US" w:eastAsia="en-US" w:bidi="ar-SA"/>
        </w:rPr>
        <w:t>Milstone</w:t>
      </w:r>
      <w:proofErr w:type="spellEnd"/>
      <w:r w:rsidRPr="00EC5346">
        <w:rPr>
          <w:lang w:val="en-US" w:eastAsia="en-US" w:bidi="ar-SA"/>
        </w:rPr>
        <w:t xml:space="preserve">, A. M., &amp; Bright Star Consensus Authorship Group. (2021). Consensus recommendations for blood culture use in critically ill children using a modified Delphi approach. </w:t>
      </w:r>
      <w:r w:rsidRPr="00EC5346">
        <w:rPr>
          <w:i/>
          <w:iCs/>
          <w:lang w:val="en-US" w:eastAsia="en-US" w:bidi="ar-SA"/>
        </w:rPr>
        <w:t>Pediatric Critical Care Medicine, 22</w:t>
      </w:r>
      <w:r w:rsidRPr="00EC5346">
        <w:rPr>
          <w:lang w:val="en-US" w:eastAsia="en-US" w:bidi="ar-SA"/>
        </w:rPr>
        <w:t>(9), 774–784. https://doi.org/10.1097/PCC.0000000000002749</w:t>
      </w:r>
    </w:p>
    <w:p w14:paraId="08979023"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Woods-Hill, C. Z., Koontz, D. W., Xie, A., Colantuoni, E. A., Sick-Samuels, A., Miller, M. R., Arthur, A., Aneja, A., Kumar, U., </w:t>
      </w:r>
      <w:proofErr w:type="spellStart"/>
      <w:r w:rsidRPr="00EC5346">
        <w:rPr>
          <w:lang w:val="en-US" w:eastAsia="en-US" w:bidi="ar-SA"/>
        </w:rPr>
        <w:t>Milstone</w:t>
      </w:r>
      <w:proofErr w:type="spellEnd"/>
      <w:r w:rsidRPr="00EC5346">
        <w:rPr>
          <w:lang w:val="en-US" w:eastAsia="en-US" w:bidi="ar-SA"/>
        </w:rPr>
        <w:t xml:space="preserve">, A. M., &amp; </w:t>
      </w:r>
      <w:proofErr w:type="spellStart"/>
      <w:r w:rsidRPr="00EC5346">
        <w:rPr>
          <w:lang w:val="en-US" w:eastAsia="en-US" w:bidi="ar-SA"/>
        </w:rPr>
        <w:t>BrighT</w:t>
      </w:r>
      <w:proofErr w:type="spellEnd"/>
      <w:r w:rsidRPr="00EC5346">
        <w:rPr>
          <w:lang w:val="en-US" w:eastAsia="en-US" w:bidi="ar-SA"/>
        </w:rPr>
        <w:t xml:space="preserve"> STAR Authorship Group. (2024). Diagnostic stewardship for blood cultures in the pediatric intensive care unit: Lessons in implementation from the </w:t>
      </w:r>
      <w:proofErr w:type="spellStart"/>
      <w:r w:rsidRPr="00EC5346">
        <w:rPr>
          <w:lang w:val="en-US" w:eastAsia="en-US" w:bidi="ar-SA"/>
        </w:rPr>
        <w:t>BrighT</w:t>
      </w:r>
      <w:proofErr w:type="spellEnd"/>
      <w:r w:rsidRPr="00EC5346">
        <w:rPr>
          <w:lang w:val="en-US" w:eastAsia="en-US" w:bidi="ar-SA"/>
        </w:rPr>
        <w:t xml:space="preserve"> STAR Collaborative. </w:t>
      </w:r>
      <w:r w:rsidRPr="00EC5346">
        <w:rPr>
          <w:i/>
          <w:iCs/>
          <w:lang w:val="en-US" w:eastAsia="en-US" w:bidi="ar-SA"/>
        </w:rPr>
        <w:t>Antimicrobial Stewardship &amp; Healthcare Epidemiology, 4</w:t>
      </w:r>
      <w:r w:rsidRPr="00EC5346">
        <w:rPr>
          <w:lang w:val="en-US" w:eastAsia="en-US" w:bidi="ar-SA"/>
        </w:rPr>
        <w:t>(1), Article e148. https://doi.org/10.1017/ash.2024.416</w:t>
      </w:r>
    </w:p>
    <w:p w14:paraId="39814F8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World Health Organization. (2019). </w:t>
      </w:r>
      <w:r w:rsidRPr="00EC5346">
        <w:rPr>
          <w:i/>
          <w:iCs/>
          <w:lang w:val="en-US" w:eastAsia="en-US" w:bidi="ar-SA"/>
        </w:rPr>
        <w:t xml:space="preserve">Antimicrobial stewardship </w:t>
      </w:r>
      <w:proofErr w:type="spellStart"/>
      <w:r w:rsidRPr="00EC5346">
        <w:rPr>
          <w:i/>
          <w:iCs/>
          <w:lang w:val="en-US" w:eastAsia="en-US" w:bidi="ar-SA"/>
        </w:rPr>
        <w:t>programmes</w:t>
      </w:r>
      <w:proofErr w:type="spellEnd"/>
      <w:r w:rsidRPr="00EC5346">
        <w:rPr>
          <w:i/>
          <w:iCs/>
          <w:lang w:val="en-US" w:eastAsia="en-US" w:bidi="ar-SA"/>
        </w:rPr>
        <w:t xml:space="preserve"> in health-care facilities in low- and middle-income countries: A WHO practical toolkit</w:t>
      </w:r>
      <w:r w:rsidRPr="00EC5346">
        <w:rPr>
          <w:lang w:val="en-US" w:eastAsia="en-US" w:bidi="ar-SA"/>
        </w:rPr>
        <w:t xml:space="preserve">. </w:t>
      </w:r>
      <w:hyperlink r:id="rId21" w:tgtFrame="_new" w:history="1">
        <w:r w:rsidRPr="00EC5346">
          <w:rPr>
            <w:color w:val="0000FF"/>
            <w:u w:val="single"/>
            <w:lang w:val="en-US" w:eastAsia="en-US" w:bidi="ar-SA"/>
          </w:rPr>
          <w:t>https://iris.who.int/handle/10665/329404</w:t>
        </w:r>
      </w:hyperlink>
    </w:p>
    <w:p w14:paraId="30D4CC74"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World Health Organization. (2022). </w:t>
      </w:r>
      <w:r w:rsidRPr="00EC5346">
        <w:rPr>
          <w:i/>
          <w:iCs/>
          <w:lang w:val="en-US" w:eastAsia="en-US" w:bidi="ar-SA"/>
        </w:rPr>
        <w:t xml:space="preserve">The WHO </w:t>
      </w:r>
      <w:proofErr w:type="spellStart"/>
      <w:r w:rsidRPr="00EC5346">
        <w:rPr>
          <w:i/>
          <w:iCs/>
          <w:lang w:val="en-US" w:eastAsia="en-US" w:bidi="ar-SA"/>
        </w:rPr>
        <w:t>AWaRe</w:t>
      </w:r>
      <w:proofErr w:type="spellEnd"/>
      <w:r w:rsidRPr="00EC5346">
        <w:rPr>
          <w:i/>
          <w:iCs/>
          <w:lang w:val="en-US" w:eastAsia="en-US" w:bidi="ar-SA"/>
        </w:rPr>
        <w:t xml:space="preserve"> (access, watch, reserve) antibiotic book</w:t>
      </w:r>
      <w:r w:rsidRPr="00EC5346">
        <w:rPr>
          <w:lang w:val="en-US" w:eastAsia="en-US" w:bidi="ar-SA"/>
        </w:rPr>
        <w:t xml:space="preserve">. </w:t>
      </w:r>
      <w:hyperlink r:id="rId22" w:tgtFrame="_new" w:history="1">
        <w:r w:rsidRPr="00EC5346">
          <w:rPr>
            <w:color w:val="0000FF"/>
            <w:u w:val="single"/>
            <w:lang w:val="en-US" w:eastAsia="en-US" w:bidi="ar-SA"/>
          </w:rPr>
          <w:t>https://iris.who.int/handle/10665/365237</w:t>
        </w:r>
      </w:hyperlink>
    </w:p>
    <w:p w14:paraId="6EB452E2"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t xml:space="preserve">Zay Ya, K., Win, P. T. N., Bielicki, J., Lambiris, M., &amp; Fink, G. (2023). Association between antimicrobial stewardship programs and antibiotic use globally: A systematic review and meta-analysis. </w:t>
      </w:r>
      <w:r w:rsidRPr="00EC5346">
        <w:rPr>
          <w:i/>
          <w:iCs/>
          <w:lang w:val="en-US" w:eastAsia="en-US" w:bidi="ar-SA"/>
        </w:rPr>
        <w:t>JAMA Network Open, 6</w:t>
      </w:r>
      <w:r w:rsidRPr="00EC5346">
        <w:rPr>
          <w:lang w:val="en-US" w:eastAsia="en-US" w:bidi="ar-SA"/>
        </w:rPr>
        <w:t xml:space="preserve">(2), Article e2253806. </w:t>
      </w:r>
      <w:hyperlink r:id="rId23" w:tgtFrame="_new" w:history="1">
        <w:r w:rsidRPr="00EC5346">
          <w:rPr>
            <w:color w:val="0000FF"/>
            <w:u w:val="single"/>
            <w:lang w:val="en-US" w:eastAsia="en-US" w:bidi="ar-SA"/>
          </w:rPr>
          <w:t>https://doi.org/10.1001/jamanetworkopen.2022.53806</w:t>
        </w:r>
      </w:hyperlink>
    </w:p>
    <w:p w14:paraId="16DC92A7" w14:textId="77777777" w:rsidR="00EC5346" w:rsidRPr="00EC5346" w:rsidRDefault="00EC5346" w:rsidP="00EC5346">
      <w:pPr>
        <w:spacing w:before="100" w:beforeAutospacing="1" w:after="100" w:afterAutospacing="1"/>
        <w:ind w:left="540" w:hanging="540"/>
        <w:jc w:val="both"/>
        <w:rPr>
          <w:lang w:val="en-US" w:eastAsia="en-US" w:bidi="ar-SA"/>
        </w:rPr>
      </w:pPr>
      <w:r w:rsidRPr="00EC5346">
        <w:rPr>
          <w:lang w:val="en-US" w:eastAsia="en-US" w:bidi="ar-SA"/>
        </w:rPr>
        <w:lastRenderedPageBreak/>
        <w:t xml:space="preserve">Zombori, L., Paulus, S., Shah, M. A., McGarrity, O., &amp; Hatcher, J. (2023). Antibiotic spectrum index as an antimicrobial stewardship tool in </w:t>
      </w:r>
      <w:proofErr w:type="spellStart"/>
      <w:r w:rsidRPr="00EC5346">
        <w:rPr>
          <w:lang w:val="en-US" w:eastAsia="en-US" w:bidi="ar-SA"/>
        </w:rPr>
        <w:t>paediatric</w:t>
      </w:r>
      <w:proofErr w:type="spellEnd"/>
      <w:r w:rsidRPr="00EC5346">
        <w:rPr>
          <w:lang w:val="en-US" w:eastAsia="en-US" w:bidi="ar-SA"/>
        </w:rPr>
        <w:t xml:space="preserve"> intensive care settings. </w:t>
      </w:r>
      <w:r w:rsidRPr="00EC5346">
        <w:rPr>
          <w:i/>
          <w:iCs/>
          <w:lang w:val="en-US" w:eastAsia="en-US" w:bidi="ar-SA"/>
        </w:rPr>
        <w:t>International Journal of Antimicrobial Agents, 61</w:t>
      </w:r>
      <w:r w:rsidRPr="00EC5346">
        <w:rPr>
          <w:lang w:val="en-US" w:eastAsia="en-US" w:bidi="ar-SA"/>
        </w:rPr>
        <w:t>(2), Article 106710. https://doi.org/10.1016/j.ijantimicag.2023.106710</w:t>
      </w:r>
    </w:p>
    <w:p w14:paraId="413923E8" w14:textId="16CF34D5" w:rsidR="00883E51" w:rsidRPr="00EC5346" w:rsidRDefault="00883E51" w:rsidP="00EC5346">
      <w:pPr>
        <w:spacing w:after="120" w:line="276" w:lineRule="auto"/>
        <w:ind w:left="720" w:hanging="720"/>
        <w:rPr>
          <w:lang w:val="en-US"/>
        </w:rPr>
      </w:pPr>
    </w:p>
    <w:sectPr w:rsidR="00883E51" w:rsidRPr="00EC5346">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66986" w14:textId="77777777" w:rsidR="00C63880" w:rsidRDefault="00C63880">
      <w:r>
        <w:separator/>
      </w:r>
    </w:p>
  </w:endnote>
  <w:endnote w:type="continuationSeparator" w:id="0">
    <w:p w14:paraId="59C50EAC" w14:textId="77777777" w:rsidR="00C63880" w:rsidRDefault="00C63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3EBE3" w14:textId="77777777" w:rsidR="00CD6BF4" w:rsidRDefault="00CD6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E11B" w14:textId="77777777" w:rsidR="00883E51" w:rsidRDefault="00000000">
    <w:pPr>
      <w:jc w:val="center"/>
    </w:pPr>
    <w:r>
      <w:rPr>
        <w:sz w:val="20"/>
        <w:szCs w:val="20"/>
      </w:rPr>
      <w:fldChar w:fldCharType="begin"/>
    </w:r>
    <w:r>
      <w:rPr>
        <w:sz w:val="20"/>
        <w:szCs w:val="20"/>
      </w:rPr>
      <w:instrText>PAGE</w:instrText>
    </w:r>
    <w:r>
      <w:rPr>
        <w:sz w:val="20"/>
        <w:szCs w:val="20"/>
      </w:rPr>
      <w:fldChar w:fldCharType="separate"/>
    </w:r>
    <w:r w:rsidR="00A93526">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833F0" w14:textId="77777777" w:rsidR="00CD6BF4" w:rsidRDefault="00CD6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828B9" w14:textId="77777777" w:rsidR="00C63880" w:rsidRDefault="00C63880">
      <w:r>
        <w:separator/>
      </w:r>
    </w:p>
  </w:footnote>
  <w:footnote w:type="continuationSeparator" w:id="0">
    <w:p w14:paraId="5CD7DD0D" w14:textId="77777777" w:rsidR="00C63880" w:rsidRDefault="00C63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8ADBC" w14:textId="77777777" w:rsidR="00CD6BF4" w:rsidRDefault="00000000">
    <w:pPr>
      <w:pStyle w:val="Header"/>
    </w:pPr>
    <w:r>
      <w:rPr>
        <w:noProof/>
      </w:rPr>
      <w:pict w14:anchorId="0F69A9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8959672"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6731" w14:textId="77777777" w:rsidR="00CD6BF4" w:rsidRDefault="00000000">
    <w:pPr>
      <w:pStyle w:val="Header"/>
    </w:pPr>
    <w:r>
      <w:rPr>
        <w:noProof/>
      </w:rPr>
      <w:pict w14:anchorId="2C11E0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8959673"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FC00" w14:textId="77777777" w:rsidR="00CD6BF4" w:rsidRDefault="00000000">
    <w:pPr>
      <w:pStyle w:val="Header"/>
    </w:pPr>
    <w:r>
      <w:rPr>
        <w:noProof/>
      </w:rPr>
      <w:pict w14:anchorId="264DE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8959671"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95E77"/>
    <w:multiLevelType w:val="hybridMultilevel"/>
    <w:tmpl w:val="DD4A1A44"/>
    <w:lvl w:ilvl="0" w:tplc="0E82F588">
      <w:start w:val="1"/>
      <w:numFmt w:val="bullet"/>
      <w:lvlText w:val="●"/>
      <w:lvlJc w:val="left"/>
      <w:pPr>
        <w:ind w:left="720" w:hanging="360"/>
      </w:pPr>
    </w:lvl>
    <w:lvl w:ilvl="1" w:tplc="FEA827FE">
      <w:start w:val="1"/>
      <w:numFmt w:val="bullet"/>
      <w:lvlText w:val="○"/>
      <w:lvlJc w:val="left"/>
      <w:pPr>
        <w:ind w:left="1440" w:hanging="360"/>
      </w:pPr>
    </w:lvl>
    <w:lvl w:ilvl="2" w:tplc="8DCE885C">
      <w:start w:val="1"/>
      <w:numFmt w:val="bullet"/>
      <w:lvlText w:val="■"/>
      <w:lvlJc w:val="left"/>
      <w:pPr>
        <w:ind w:left="2160" w:hanging="360"/>
      </w:pPr>
    </w:lvl>
    <w:lvl w:ilvl="3" w:tplc="D30CE8D4">
      <w:start w:val="1"/>
      <w:numFmt w:val="bullet"/>
      <w:lvlText w:val="●"/>
      <w:lvlJc w:val="left"/>
      <w:pPr>
        <w:ind w:left="2880" w:hanging="360"/>
      </w:pPr>
    </w:lvl>
    <w:lvl w:ilvl="4" w:tplc="94BA0802">
      <w:start w:val="1"/>
      <w:numFmt w:val="bullet"/>
      <w:lvlText w:val="○"/>
      <w:lvlJc w:val="left"/>
      <w:pPr>
        <w:ind w:left="3600" w:hanging="360"/>
      </w:pPr>
    </w:lvl>
    <w:lvl w:ilvl="5" w:tplc="83A8545A">
      <w:start w:val="1"/>
      <w:numFmt w:val="bullet"/>
      <w:lvlText w:val="■"/>
      <w:lvlJc w:val="left"/>
      <w:pPr>
        <w:ind w:left="4320" w:hanging="360"/>
      </w:pPr>
    </w:lvl>
    <w:lvl w:ilvl="6" w:tplc="83247380">
      <w:start w:val="1"/>
      <w:numFmt w:val="bullet"/>
      <w:lvlText w:val="●"/>
      <w:lvlJc w:val="left"/>
      <w:pPr>
        <w:ind w:left="5040" w:hanging="360"/>
      </w:pPr>
    </w:lvl>
    <w:lvl w:ilvl="7" w:tplc="7F626352">
      <w:start w:val="1"/>
      <w:numFmt w:val="bullet"/>
      <w:lvlText w:val="●"/>
      <w:lvlJc w:val="left"/>
      <w:pPr>
        <w:ind w:left="5760" w:hanging="360"/>
      </w:pPr>
    </w:lvl>
    <w:lvl w:ilvl="8" w:tplc="CD3C0158">
      <w:start w:val="1"/>
      <w:numFmt w:val="bullet"/>
      <w:lvlText w:val="●"/>
      <w:lvlJc w:val="left"/>
      <w:pPr>
        <w:ind w:left="6480" w:hanging="360"/>
      </w:pPr>
    </w:lvl>
  </w:abstractNum>
  <w:num w:numId="1" w16cid:durableId="20030025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E51"/>
    <w:rsid w:val="0007388D"/>
    <w:rsid w:val="00297EB7"/>
    <w:rsid w:val="003F0437"/>
    <w:rsid w:val="006A1AD2"/>
    <w:rsid w:val="00722D6D"/>
    <w:rsid w:val="00883E51"/>
    <w:rsid w:val="009F4356"/>
    <w:rsid w:val="00A93526"/>
    <w:rsid w:val="00C324C0"/>
    <w:rsid w:val="00C63880"/>
    <w:rsid w:val="00CD6BF4"/>
    <w:rsid w:val="00E13961"/>
    <w:rsid w:val="00EB68BD"/>
    <w:rsid w:val="00EC5346"/>
    <w:rsid w:val="00EE531E"/>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BAEC"/>
  <w15:docId w15:val="{3B7A5FAA-7FC7-4A01-96A2-36D9EE4D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8"/>
      <w:szCs w:val="28"/>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D6BF4"/>
    <w:pPr>
      <w:tabs>
        <w:tab w:val="center" w:pos="4680"/>
        <w:tab w:val="right" w:pos="9360"/>
      </w:tabs>
    </w:pPr>
    <w:rPr>
      <w:szCs w:val="30"/>
    </w:rPr>
  </w:style>
  <w:style w:type="character" w:customStyle="1" w:styleId="HeaderChar">
    <w:name w:val="Header Char"/>
    <w:basedOn w:val="DefaultParagraphFont"/>
    <w:link w:val="Header"/>
    <w:uiPriority w:val="99"/>
    <w:rsid w:val="00CD6BF4"/>
    <w:rPr>
      <w:szCs w:val="30"/>
    </w:rPr>
  </w:style>
  <w:style w:type="paragraph" w:styleId="Footer">
    <w:name w:val="footer"/>
    <w:basedOn w:val="Normal"/>
    <w:link w:val="FooterChar"/>
    <w:uiPriority w:val="99"/>
    <w:unhideWhenUsed/>
    <w:rsid w:val="00CD6BF4"/>
    <w:pPr>
      <w:tabs>
        <w:tab w:val="center" w:pos="4680"/>
        <w:tab w:val="right" w:pos="9360"/>
      </w:tabs>
    </w:pPr>
    <w:rPr>
      <w:szCs w:val="30"/>
    </w:rPr>
  </w:style>
  <w:style w:type="character" w:customStyle="1" w:styleId="FooterChar">
    <w:name w:val="Footer Char"/>
    <w:basedOn w:val="DefaultParagraphFont"/>
    <w:link w:val="Footer"/>
    <w:uiPriority w:val="99"/>
    <w:rsid w:val="00CD6BF4"/>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86/s41073-019-0064-8?utm_source=chatgpt.com" TargetMode="External"/><Relationship Id="rId13" Type="http://schemas.openxmlformats.org/officeDocument/2006/relationships/hyperlink" Target="https://doi.org/10.1590/1518-8345.7582.4656?utm_source=chatgpt.com" TargetMode="External"/><Relationship Id="rId18" Type="http://schemas.openxmlformats.org/officeDocument/2006/relationships/hyperlink" Target="https://doi.org/10.3310/MBVA3675"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iris.who.int/handle/10665/329404" TargetMode="External"/><Relationship Id="rId7" Type="http://schemas.openxmlformats.org/officeDocument/2006/relationships/hyperlink" Target="https://doi.org/10.1093/jpids/piy031" TargetMode="External"/><Relationship Id="rId12" Type="http://schemas.openxmlformats.org/officeDocument/2006/relationships/hyperlink" Target="https://doi.org/10.1016/j.jinf.2022.01.005" TargetMode="External"/><Relationship Id="rId17" Type="http://schemas.openxmlformats.org/officeDocument/2006/relationships/hyperlink" Target="https://doi.org/10.1186/s13613-025-01470-y"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i.org/10.1001/jama.2024.0179" TargetMode="External"/><Relationship Id="rId20" Type="http://schemas.openxmlformats.org/officeDocument/2006/relationships/hyperlink" Target="https://doi.org/10.1097/PCC.0000000000003927?utm_source=chatgpt.com"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6/510393"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093/jpids/piy004" TargetMode="External"/><Relationship Id="rId23" Type="http://schemas.openxmlformats.org/officeDocument/2006/relationships/hyperlink" Target="https://doi.org/10.1001/jamanetworkopen.2022.53806" TargetMode="External"/><Relationship Id="rId28" Type="http://schemas.openxmlformats.org/officeDocument/2006/relationships/header" Target="header3.xml"/><Relationship Id="rId10" Type="http://schemas.openxmlformats.org/officeDocument/2006/relationships/hyperlink" Target="https://www.cdc.gov/antibiotic-use/hcp/core-elements/hospital.html" TargetMode="External"/><Relationship Id="rId19" Type="http://schemas.openxmlformats.org/officeDocument/2006/relationships/hyperlink" Target="https://doi.org/10.1097/PCC.000000000000219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93/cid/ciw118" TargetMode="External"/><Relationship Id="rId14" Type="http://schemas.openxmlformats.org/officeDocument/2006/relationships/hyperlink" Target="https://doi.org/10.1016/j.eclinm.2021.100727" TargetMode="External"/><Relationship Id="rId22" Type="http://schemas.openxmlformats.org/officeDocument/2006/relationships/hyperlink" Target="https://iris.who.int/handle/10665/365237"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47</Pages>
  <Words>19967</Words>
  <Characters>113816</Characters>
  <Application>Microsoft Office Word</Application>
  <DocSecurity>0</DocSecurity>
  <Lines>948</Lines>
  <Paragraphs>267</Paragraphs>
  <ScaleCrop>false</ScaleCrop>
  <Company>HP</Company>
  <LinksUpToDate>false</LinksUpToDate>
  <CharactersWithSpaces>133516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8</cp:revision>
  <dcterms:created xsi:type="dcterms:W3CDTF">2026-09-15T17:58:00Z</dcterms:created>
  <dcterms:modified xsi:type="dcterms:W3CDTF">2026-09-25T08:44:00Z</dcterms:modified>
</cp:coreProperties>
</file>