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D6E422" w14:textId="77777777" w:rsidR="00BF219E" w:rsidRPr="00BF219E" w:rsidRDefault="00BF219E" w:rsidP="00BF219E">
      <w:pPr>
        <w:pStyle w:val="Heading1"/>
        <w:jc w:val="center"/>
        <w:rPr>
          <w:color w:val="auto"/>
          <w:sz w:val="32"/>
          <w:szCs w:val="36"/>
        </w:rPr>
      </w:pPr>
      <w:r w:rsidRPr="00BF219E">
        <w:rPr>
          <w:color w:val="auto"/>
          <w:sz w:val="32"/>
          <w:szCs w:val="36"/>
        </w:rPr>
        <w:t>Current Concepts and Advances in the Management of Diabetes in Liver Cirrhosis</w:t>
      </w:r>
    </w:p>
    <w:p w14:paraId="63FAB481" w14:textId="77777777" w:rsidR="008E1A0A" w:rsidRPr="00BF219E" w:rsidRDefault="00000000">
      <w:pPr>
        <w:pStyle w:val="Heading1"/>
        <w:rPr>
          <w:color w:val="auto"/>
        </w:rPr>
      </w:pPr>
      <w:r w:rsidRPr="00BF219E">
        <w:rPr>
          <w:color w:val="auto"/>
        </w:rPr>
        <w:t>Abstract</w:t>
      </w:r>
    </w:p>
    <w:p w14:paraId="23EBB5FF" w14:textId="77777777" w:rsidR="008E1A0A" w:rsidRPr="00BF219E" w:rsidRDefault="00000000">
      <w:pPr>
        <w:pStyle w:val="AbstractText"/>
      </w:pPr>
      <w:r w:rsidRPr="00BF219E">
        <w:t>Diabetes mellitus and liver cirrhosis interact bidirectionally, but their coexistence creates a clinical state that cannot be managed safely by applying conventional diabetes algorithms without modification. Cirrhosis alters insulin clearance, hepatic glucose production, glycogen storage, skeletal-muscle glucose disposal, nutritional status and drug handling, while diabetes and insulin resistance may contribute to portal-hypertensive complications, hepatic encephalopathy, cardiovascular and renal risk, and mortality. The purpose of this critical narrative review is to integrate current concepts in diabetes phenotyping, diagnosis, monitoring and treatment across compensated and decompensated cirrhosis, with particular attention to newer glucose-lowering therapies. Literature published principally from 2000 to 17 July 2026 was evaluated, with older seminal studies retained where necessary. The evidence indicates that hepatogenous diabetes remains a useful pathophysiological construct but lacks validated diagnostic criteria that reliably separate it from pre-existing type 2 diabetes. Glycated haemoglobin and fasting glucose may underestimate dysglycaemia in advanced cirrhosis; oral glucose tolerance testing, structured capillary monitoring and, in selected patients, continuous glucose monitoring can therefore add clinically important information. Treatment priorities shift as liver disease advances: avoidance of hypoglycaemia, preservation of nutritional and functional reserve, prevention of acute kidney injury and adaptation to cognitive impairment become increasingly important. Metformin has the strongest observational evidence for safety and possible survival benefit in stable compensated cirrhosis when contraindications are absent. Glucagon-like peptide-1 receptor agonists and sodium-glucose cotransporter-2 inhibitors are supported by encouraging observational data in compensated disease and by metabolic benefits relevant to metabolic dysfunction-associated steatotic liver disease, but evidence in decompensated cirrhosis remains limited. Insulin remains indispensable during severe decompensation and acute illness despite substantial hypoglycaemia risk. The central management principle is therefore stage-specific, multidisciplinary treatment that distinguishes metabolic benefit from liver-specific evidence and calibrates therapeutic intensity to hepatic reserve, renal function, nutrition and hypoglycaemia vulnerability.</w:t>
      </w:r>
    </w:p>
    <w:p w14:paraId="24B1B827" w14:textId="77777777" w:rsidR="008E1A0A" w:rsidRPr="00BF219E" w:rsidRDefault="00000000">
      <w:pPr>
        <w:pStyle w:val="AbstractText"/>
      </w:pPr>
      <w:r w:rsidRPr="00BF219E">
        <w:rPr>
          <w:b/>
        </w:rPr>
        <w:t xml:space="preserve">Keywords: </w:t>
      </w:r>
      <w:r w:rsidRPr="00BF219E">
        <w:t>cirrhosis; diabetes mellitus; hepatogenous diabetes; glycaemic monitoring; metformin; glucagon-like peptide-1 receptor agonists; sodium-glucose cotransporter-2 inhibitors; sarcopenia</w:t>
      </w:r>
    </w:p>
    <w:p w14:paraId="50F272B4" w14:textId="77777777" w:rsidR="008E1A0A" w:rsidRPr="00BF219E" w:rsidRDefault="00000000">
      <w:pPr>
        <w:pStyle w:val="Heading1"/>
        <w:rPr>
          <w:color w:val="auto"/>
        </w:rPr>
      </w:pPr>
      <w:r w:rsidRPr="00BF219E">
        <w:rPr>
          <w:color w:val="auto"/>
        </w:rPr>
        <w:t>1. Introduction</w:t>
      </w:r>
    </w:p>
    <w:p w14:paraId="0027489F" w14:textId="77777777" w:rsidR="008E1A0A" w:rsidRPr="00BF219E" w:rsidRDefault="00000000">
      <w:r w:rsidRPr="00BF219E">
        <w:t>Diabetes mellitus and liver cirrhosis form a clinically consequential, bidirectional association. Type 2 diabetes mellitus (T2DM) promotes metabolic dysfunction-associated steatotic liver disease (MASLD), steatohepatitis and progressive fibrosis, whereas cirrhosis itself can produce insulin resistance, impaired insulin clearance and beta-cell dysfunction sufficient to cause a distinct pattern of dysglycaemia traditionally termed hepatogenous diabetes. A meta-analysis of 58 studies reported diabetes in approximately one third of adults with cirrhosis, although prevalence varied markedly by aetiology and diagnostic method (Lee et al., 2019; Wlazlo et al., 2010). The association is likely to become more prominent as MASLD-related cirrhosis increases, while viral hepatitis remains important in many populations. Current guidelines for MASLD therefore place diabetes both as a driver of liver disease progression and as a comorbidity requiring active management (European Association for the Study of the Liver et al., 2024).</w:t>
      </w:r>
    </w:p>
    <w:p w14:paraId="7E19BE72" w14:textId="77777777" w:rsidR="008E1A0A" w:rsidRPr="00BF219E" w:rsidRDefault="00000000">
      <w:r w:rsidRPr="00BF219E">
        <w:t xml:space="preserve">The practical problem is not merely that two common diseases coexist. Cirrhosis changes the meaning of familiar diabetes measurements and alters the risk-benefit profile of glucose-lowering treatment. Fasting plasma glucose can remain deceptively low because hepatic glycogen stores and gluconeogenic capacity are impaired, while postprandial glucose may rise substantially because peripheral insulin resistance and portosystemic shunting persist. Glycated haemoglobin (HbA1c) can be falsely low in patients with anaemia, hypersplenism, bleeding, transfusion or shortened erythrocyte survival. At the same time, impaired hepatic drug metabolism, renal dysfunction, malnutrition, sarcopenia, hepatic encephalopathy </w:t>
      </w:r>
      <w:r w:rsidRPr="00BF219E">
        <w:lastRenderedPageBreak/>
        <w:t>and reduced capacity for self-management amplify the consequences of treatment-related hypoglycaemia (Boursier et al., 2021; Castera &amp; Cusi, 2023; Puri &amp; Kotwal, 2022).</w:t>
      </w:r>
      <w:r>
        <w:rPr>
          <w:highlight w:val="yellow"/>
        </w:rPr>
        <w:t xml:space="preserve"> A recent small observational study in Child-Pugh B/C cirrhosis found that intermittently scanned continuous glucose monitoring identified glycaemic abnormalities and discordance with HbA1c, further supporting direct glucose assessment when conventional markers are unreliable (Rigon et al., 2025).</w:t>
      </w:r>
    </w:p>
    <w:p w14:paraId="3CAC0E95" w14:textId="77777777" w:rsidR="008E1A0A" w:rsidRPr="00BF219E" w:rsidRDefault="00000000">
      <w:r w:rsidRPr="00BF219E">
        <w:t>These constraints explain why the historical preference for insulin in advanced liver disease is no longer a satisfactory universal rule. Insulin is effective, adjustable and indispensable during acute decompensation, yet retrospective data in compensated cirrhosis associate insulin exposure with more hypoglycaemia and adverse outcomes, although confounding by indication is substantial (Yen, Lai, et al., 2021). Conversely, medications once avoided reflexively in chronic liver disease are being reconsidered. Metformin has accumulated observational evidence suggesting safety and lower all-cause mortality in selected patients with compensated cirrhosis (Kaplan et al., 2021; Peppas et al., 2024; Zhang et al., 2014). Glucagon-like peptide-1 receptor agonists (GLP-1 RAs) and sodium-glucose cotransporter-2 (SGLT2) inhibitors are attractive because their cardiovascular, renal and weight effects may address the metabolic phenotype that now underlies a growing proportion of cirrhosis. Recent cirrhosis-specific cohorts are encouraging, but most remain observational and are weighted towards compensated disease (Chou et al., 2026; Chung et al., 2026; Simon et al., 2022; Yen et al., 2024).</w:t>
      </w:r>
      <w:r>
        <w:rPr>
          <w:highlight w:val="yellow"/>
        </w:rPr>
        <w:t xml:space="preserve"> Additional nationwide observational data have associated SGLT2 inhibitor use in compensated cirrhosis with lower risks of mortality and hepatic decompensation, although causal inference remains limited by the observational design (Yen et al., 2025).</w:t>
      </w:r>
    </w:p>
    <w:p w14:paraId="2FB83309" w14:textId="77777777" w:rsidR="008E1A0A" w:rsidRPr="00BF219E" w:rsidRDefault="00000000">
      <w:r w:rsidRPr="00BF219E">
        <w:t>A second unresolved issue is phenotyping. The term hepatogenous diabetes denotes diabetes that emerges after cirrhosis as a consequence of liver failure and portal hypertension. It is conceptually useful because affected patients may be leaner, lack a strong family history of diabetes, have prominent postprandial hyperglycaemia and show fewer classic microvascular manifestations than patients with long-standing T2DM. Yet the categories overlap, particularly in MASLD, alcohol-related liver disease and older patients with multiple metabolic risks. Contemporary studies still use heterogeneous definitions, and major diabetes classifications do not provide a validated diagnostic pathway for hepatogenous diabetes (Kumar et al., 2022; Maji et al., 2024; Orsi et al., 2017). The distinction should therefore guide clinical reasoning without creating false diagnostic certainty.</w:t>
      </w:r>
      <w:r>
        <w:rPr>
          <w:highlight w:val="yellow"/>
        </w:rPr>
        <w:t xml:space="preserve"> In a selected prospective cohort of decompensated cirrhosis, OGTT-detected hepatogenous dysglycaemia was associated with poorer overall survival despite non-diabetic fasting glucose and HbA1c values, underscoring the diagnostic limitations of fasting markers in this setting (Bhaduri et al., 2025).</w:t>
      </w:r>
    </w:p>
    <w:p w14:paraId="488AAFFE" w14:textId="77777777" w:rsidR="008E1A0A" w:rsidRPr="00BF219E" w:rsidRDefault="00000000">
      <w:r w:rsidRPr="00BF219E">
        <w:t>Recent reviews and consensus documents have improved guidance on diabetes in cirrhosis, but important gaps remain. Available recommendations rely heavily on pharmacokinetic studies, expert synthesis and observational cohorts because randomised trials with hard liver outcomes rarely enrol patients with Child-Pugh B or C disease. Evidence from non-cirrhotic MASLD cannot be assumed to apply to established portal hypertension or decompensation. Likewise, favourable associations between a drug and mortality may reflect selection of healthier patients rather than a liver-protective drug effect. The rapidly expanding evidence on incretin-based therapy and SGLT2 inhibition, together with better understanding of sarcopenia, frailty and glycaemic monitoring, warrants an updated critical synthesis that separates established practice from promising but unproven extrapolation (Boursier et al., 2021; Castera &amp; Cusi, 2023; Lisi et al., 2026).</w:t>
      </w:r>
    </w:p>
    <w:p w14:paraId="0B8E874E" w14:textId="77777777" w:rsidR="008E1A0A" w:rsidRPr="00BF219E" w:rsidRDefault="00000000">
      <w:pPr>
        <w:pStyle w:val="Heading2"/>
        <w:rPr>
          <w:color w:val="auto"/>
        </w:rPr>
      </w:pPr>
      <w:r w:rsidRPr="00BF219E">
        <w:rPr>
          <w:color w:val="auto"/>
        </w:rPr>
        <w:t>1.1 Scope, Research Gap and Objectives</w:t>
      </w:r>
    </w:p>
    <w:p w14:paraId="75E9819E" w14:textId="77777777" w:rsidR="008E1A0A" w:rsidRPr="00BF219E" w:rsidRDefault="00000000">
      <w:r w:rsidRPr="00BF219E">
        <w:t xml:space="preserve">This review focuses on adults with established liver cirrhosis and coexisting diabetes or clinically important dysglycaemia. It examines the distinction and overlap between pre-existing T2DM and hepatogenous diabetes; mechanisms that alter glucose regulation; limitations of diagnostic and monitoring tools; nutrition, sarcopenia and weight management; pharmacological treatment across compensated and decompensated disease; acute illness; and the peri-transplant and post-transplant settings. The central gap addressed is the mismatch between rapidly changing diabetes therapeutics and the limited, heterogeneous evidence specific to cirrhosis severity. The objectives are to identify which management principles are well supported, critically appraise where apparent benefits arise mainly from observational evidence, and </w:t>
      </w:r>
      <w:r w:rsidRPr="00BF219E">
        <w:lastRenderedPageBreak/>
        <w:t>propose a stage-based framework that prioritises metabolic efficacy without compromising hepatic, renal, nutritional or cognitive safety. Paediatric diabetes, isolated steatosis without cirrhosis, gestational diabetes and detailed management of diabetes complications unrelated to liver disease are outside the principal scope.</w:t>
      </w:r>
    </w:p>
    <w:p w14:paraId="1A1E72C7" w14:textId="77777777" w:rsidR="008E1A0A" w:rsidRPr="00BF219E" w:rsidRDefault="00000000">
      <w:pPr>
        <w:pStyle w:val="Heading1"/>
        <w:rPr>
          <w:color w:val="auto"/>
        </w:rPr>
      </w:pPr>
      <w:r w:rsidRPr="00BF219E">
        <w:rPr>
          <w:color w:val="auto"/>
        </w:rPr>
        <w:t>2. Methods for Literature Selection</w:t>
      </w:r>
    </w:p>
    <w:p w14:paraId="1D25F0D2" w14:textId="77777777" w:rsidR="008E1A0A" w:rsidRPr="00BF219E" w:rsidRDefault="00000000">
      <w:r w:rsidRPr="00BF219E">
        <w:t>This article was designed as a critical narrative review because the clinical question spans pathophysiology, diagnosis, prognostic epidemiology, nutrition, pharmacokinetics, comparative effectiveness and transplantation. These evidence types are not readily combined in a single quantitative synthesis, and the principal objective was interpretive integration rather than estimation of one pooled treatment effect. Narrative methodology does not remove the need for transparency or appraisal; the approach was informed by the Scale for the Assessment of Narrative Review Articles (SANRA), particularly its emphasis on justification, search description, referencing and scientific reasoning (Baethge et al., 2019).</w:t>
      </w:r>
    </w:p>
    <w:p w14:paraId="5394686D" w14:textId="77777777" w:rsidR="008E1A0A" w:rsidRPr="00BF219E" w:rsidRDefault="00000000">
      <w:r w:rsidRPr="00BF219E">
        <w:t>Literature was identified through PubMed, PubMed Central, OpenAlex, OpenAIRE, Crossref, DOAJ, Semantic Scholar and Google Scholar. Searches were supplemented by backward and forward citation checking of major reviews, guidelines and influential original studies, together with checks of authoritative professional guidance. The principal search period was 1 January 2000 to 17 July 2026. Earlier publications were retained when they were necessary to explain the origins of hepatogenous diabetes, diagnostic concepts or mechanistic observations that continue to shape current interpretation.</w:t>
      </w:r>
    </w:p>
    <w:p w14:paraId="7F770A04" w14:textId="77777777" w:rsidR="008E1A0A" w:rsidRPr="00BF219E" w:rsidRDefault="00000000">
      <w:r w:rsidRPr="00BF219E">
        <w:t>Search concepts combined terms for cirrhosis or advanced chronic liver disease with diabetes, hyperglycaemia, glucose intolerance, insulin resistance, hepatogenous diabetes, HbA1c, oral glucose tolerance testing, continuous glucose monitoring, hypoglycaemia, nutrition, sarcopenia, metformin, sulfonylureas, dipeptidyl peptidase-4 inhibitors, GLP-1 receptor agonists, SGLT2 inhibitors, thiazolidinediones, alpha-glucosidase inhibitors, insulin, decompensation, ascites, hepatic encephalopathy and liver transplantation. Representative Boolean logic was: (cirrhosis OR "liver cirrhosis" OR "advanced chronic liver disease") AND (diabetes OR hyperglycaemia OR "hepatogenous diabetes" OR "glucose intolerance") AND (diagnosis OR monitoring OR treatment OR metformin OR insulin OR GLP-1 OR SGLT2 OR decompensation). Drug-specific and outcome-specific searches were then used to refine key themes.</w:t>
      </w:r>
    </w:p>
    <w:p w14:paraId="14C8354A" w14:textId="77777777" w:rsidR="008E1A0A" w:rsidRPr="00BF219E" w:rsidRDefault="00000000">
      <w:r w:rsidRPr="00BF219E">
        <w:t>Eligible sources included peer-reviewed original studies, systematic reviews and meta-analyses, high-quality narrative reviews, pharmacokinetic studies, randomised trials where available, and major professional guidelines or consensus documents. Priority was given to cirrhosis-specific evidence, clinically relevant outcomes and studies that differentiated compensated from decompensated disease. Studies confined to non-cirrhotic steatosis were used only when they clarified the metabolic context of a therapy and were not treated as direct evidence of safety or efficacy in cirrhosis. Non-peer-reviewed claims, unverifiable citations, retracted articles and sources lacking sufficient bibliographic confirmation were excluded. English-language sources predominated because adequate verification and interpretation were required.</w:t>
      </w:r>
    </w:p>
    <w:p w14:paraId="5FB118D8" w14:textId="77777777" w:rsidR="008E1A0A" w:rsidRPr="00BF219E" w:rsidRDefault="00000000">
      <w:r w:rsidRPr="00BF219E">
        <w:t>Titles and abstracts were assessed for direct relevance, followed by full-text or extended bibliographic verification when needed. Duplicate citations identified across platforms were consolidated by DOI, PubMed identity, title and author metadata. No record-count flow diagram is presented because the review was not conducted as a formal systematic review with prospectively enumerated screening counts. Sources that could not be verified or whose relationship to a clinical claim remained uncertain were not retained.</w:t>
      </w:r>
    </w:p>
    <w:p w14:paraId="281302D1" w14:textId="77777777" w:rsidR="008E1A0A" w:rsidRPr="00BF219E" w:rsidRDefault="00000000">
      <w:r w:rsidRPr="00BF219E">
        <w:t xml:space="preserve">Critical appraisal considered study design, population selection, cirrhosis severity, diabetes definition, comparator choice, confounding control, outcome ascertainment, follow-up, sample size, pharmacological plausibility and generalisability. Particular caution was applied to administrative-database comparisons of glucose-lowering drugs because treatment allocation is non-random and is strongly influenced by liver </w:t>
      </w:r>
      <w:r w:rsidRPr="00BF219E">
        <w:lastRenderedPageBreak/>
        <w:t>function, renal function, frailty and clinician preference. Themes were developed around clinical decisions rather than around individual papers. Convergent evidence was given greater weight when supported by different designs, whereas single-centre studies, pharmacokinetic experiments and retrospective associations were used to define plausibility or uncertainty rather than causal efficacy.</w:t>
      </w:r>
    </w:p>
    <w:p w14:paraId="7C5FD86D" w14:textId="77777777" w:rsidR="008E1A0A" w:rsidRPr="00BF219E" w:rsidRDefault="00000000">
      <w:pPr>
        <w:pStyle w:val="Heading1"/>
        <w:rPr>
          <w:color w:val="auto"/>
        </w:rPr>
      </w:pPr>
      <w:r w:rsidRPr="00BF219E">
        <w:rPr>
          <w:color w:val="auto"/>
        </w:rPr>
        <w:t>3. Diabetes Phenotypes and the Metabolic Biology of Cirrhosis</w:t>
      </w:r>
    </w:p>
    <w:p w14:paraId="03FEB8E6" w14:textId="77777777" w:rsidR="008E1A0A" w:rsidRPr="00BF219E" w:rsidRDefault="00000000">
      <w:r w:rsidRPr="00BF219E">
        <w:t>The liver has a central role in maintaining fasting and postprandial glucose homeostasis, and cirrhosis perturbs this system at several levels. Portal hypertension and portosystemic shunting reduce first-pass hepatic insulin clearance, while loss of functional hepatocyte mass further raises systemic insulin exposure. Chronic hyperinsulinaemia can down-regulate insulin signalling and coexist with marked peripheral insulin resistance. Skeletal muscle, which becomes increasingly important for glucose disposal when hepatic function declines, is often reduced by sarcopenia and physical inactivity. The result is a paradoxical metabolic state in which postprandial hyperglycaemia can coexist with low fasting glucose and vulnerability to fasting hypoglycaemia (Elkrief et al., 2016; García-Compeán et al., 2009; Nishida, 2017).</w:t>
      </w:r>
    </w:p>
    <w:p w14:paraId="5E08073A" w14:textId="77777777" w:rsidR="008E1A0A" w:rsidRPr="00BF219E" w:rsidRDefault="00000000">
      <w:r w:rsidRPr="00BF219E">
        <w:t>Insulin resistance alone does not fully explain overt diabetes. Mechanistic studies indicate that failure of pancreatic beta-cell compensation becomes important as cirrhosis progresses. In a classic liver-transplant cohort, Perseghin et al. (2000) demonstrated profound insulin resistance in cirrhotic patients and additional defects in endogenous glucose production and insulin secretion among those with diabetes. Insulin sensitivity improved after transplantation, but diabetes persisted in a subset with poor beta-cell secretory reserve. This observation remains important because it argues against a simple model in which all cirrhosis-associated diabetes is reversible hyperinsulinaemia caused by shunting.</w:t>
      </w:r>
    </w:p>
    <w:p w14:paraId="750A1455" w14:textId="77777777" w:rsidR="008E1A0A" w:rsidRPr="00BF219E" w:rsidRDefault="00000000">
      <w:r w:rsidRPr="00BF219E">
        <w:t>Hepatogenous diabetes is generally defined as diabetes developing after cirrhosis in a person without established diabetes beforehand. Compared with conventional T2DM, reported characteristics include less obesity, weaker family history, greater postprandial than fasting hyperglycaemia and fewer recognised microvascular complications. These patterns were described in older clinical cohorts and continue to be observed in contemporary prospective work (Holstein et al., 2002; Maji et al., 2024; Orsi et al., 2017). In the 2024 study by Maji et al., oral glucose tolerance testing identified many patients whose fasting glucose did not disclose diabetes, and hepatogenous diabetes became more prominent with advanced Child-Pugh class. These data support the phenotype as clinically relevant, but they do not establish a universally separable disease category.</w:t>
      </w:r>
    </w:p>
    <w:p w14:paraId="1EBB0009" w14:textId="77777777" w:rsidR="008E1A0A" w:rsidRPr="00BF219E" w:rsidRDefault="00000000">
      <w:r w:rsidRPr="00BF219E">
        <w:t>The major reason for caution is overlap. A patient may have years of insulin resistance from obesity and MASLD before cirrhosis is recognised, making chronology unreliable. Alcohol-related disease, viral hepatitis, haemochromatosis, ageing, corticosteroid exposure and genetic predisposition can all modify glucose metabolism. Conversely, a person with apparently pre-existing T2DM may experience a second, cirrhosis-driven deterioration characterised by portal-systemic shunting, sarcopenia and impaired hepatic glucose buffering. Kumar et al. (2022) therefore emphasised the evidential and classificatory uncertainty surrounding hepatogenous diabetes despite plausible biology. The most defensible clinical use of the term is as a phenotypic descriptor that raises diagnostic and therapeutic considerations rather than as a category with validated diagnostic boundaries.</w:t>
      </w:r>
    </w:p>
    <w:p w14:paraId="06FD1631" w14:textId="77777777" w:rsidR="008E1A0A" w:rsidRPr="00BF219E" w:rsidRDefault="00000000">
      <w:r w:rsidRPr="00BF219E">
        <w:t>Cirrhosis severity modifies both hyperglycaemia and hypoglycaemia risk. Progressive loss of glycogen storage, impaired gluconeogenesis, reduced insulin clearance, renal dysfunction and poor nutritional intake can make glucose responses increasingly unstable. Hepatic encephalopathy may reduce adherence and recognition of hypoglycaemia; infection and acute decompensation can abruptly increase insulin resistance; and recovery from acute illness can lower insulin requirements just as quickly. Thus, the metabolic phenotype is dynamic. A diabetes regimen safe in stable Child-Pugh A cirrhosis can become unsafe during ascites, sepsis, acute kidney injury or reduced oral intake (Castera &amp; Cusi, 2023; Lisi et al., 2026; Puri &amp; Kotwal, 2022).</w:t>
      </w:r>
    </w:p>
    <w:p w14:paraId="3648FCC4" w14:textId="77777777" w:rsidR="008E1A0A" w:rsidRPr="00BF219E" w:rsidRDefault="00000000">
      <w:r w:rsidRPr="00BF219E">
        <w:t xml:space="preserve">An additional consequence of cirrhosis is loss of normal hepatic buffering between fed and fasting states. After a meal, the healthy liver extracts portal glucose and suppresses endogenous glucose production; </w:t>
      </w:r>
      <w:r w:rsidRPr="00BF219E">
        <w:lastRenderedPageBreak/>
        <w:t>during fasting, hepatic glycogenolysis and gluconeogenesis defend plasma glucose. Cirrhosis weakens both directions of this response. Portosystemic shunting reduces the fraction of nutrient and insulin exposure reaching hepatocytes, while reduced functional mass limits glycogen storage and glucose output. The patient can therefore have substantial postprandial excursions despite an apparently acceptable fasting profile, yet become vulnerable to hypoglycaemia during overnight fasting, prolonged procedures or missed meals. This physiology helps explain why fasting glucose alone is an insensitive screening tool and why aggressive insulin titration based on postprandial hyperglycaemia can produce nocturnal or fasting hypoglycaemia (Castera &amp; Cusi, 2023; García-Compeán et al., 2022; Nishida, 2017).</w:t>
      </w:r>
    </w:p>
    <w:p w14:paraId="2915B010" w14:textId="77777777" w:rsidR="008E1A0A" w:rsidRPr="00BF219E" w:rsidRDefault="00000000">
      <w:r w:rsidRPr="00BF219E">
        <w:t>Skeletal muscle is not simply a comorbidity in this model; it becomes a central metabolic organ as hepatic reserve falls. Cirrhosis-associated sarcopenia reduces peripheral glucose disposal while hyperammonaemia, inflammation, reduced physical activity and inadequate intake promote further muscle loss. Hyperinsulinaemia can coexist with impaired insulin action, and the resulting cycle may worsen both dysglycaemia and functional reserve. This interaction also complicates interpretation of weight change. Loss of body mass in decompensated cirrhosis may reflect fluid removal, loss of muscle or inadequate nutrition rather than improvement in the cardiometabolic substrate of diabetes. Any intervention that lowers glucose by reducing intake or body weight must therefore be judged against preservation of lean tissue and function, particularly in advanced disease (Lai et al., 2021; Singal et al., 2025).</w:t>
      </w:r>
    </w:p>
    <w:p w14:paraId="40102CE1" w14:textId="77777777" w:rsidR="008E1A0A" w:rsidRPr="00BF219E" w:rsidRDefault="00000000">
      <w:r w:rsidRPr="00BF219E">
        <w:t>Aetiology further modifies the phenotype. MASLD-related cirrhosis often develops after years of obesity, insulin resistance and T2DM, so the metabolic disorder is likely to precede clinically recognised portal hypertension. By contrast, diabetes emerging late in viral, cholestatic or other non-metabolic cirrhosis may more clearly reflect reduced insulin clearance, altered portal flow and loss of beta-cell compensation. Alcohol-associated cirrhosis can combine pancreatic injury, poor nutrition and hepatic insulin resistance, producing a phenotype that does not fit neatly into either category. These differences matter for prognosis and therapy because the expected benefit of weight-reducing or cardiorenal agents is greater when substantial adiposity and conventional cardiometabolic risk coexist, whereas maintenance of intake and avoidance of hypoglycaemia may dominate when malnutrition and decompensation are present (Boursier et al., 2021; Castera &amp; Cusi, 2023; European Association for the Study of the Liver et al., 2024).</w:t>
      </w:r>
    </w:p>
    <w:p w14:paraId="47969020" w14:textId="77777777" w:rsidR="008E1A0A" w:rsidRPr="00BF219E" w:rsidRDefault="00000000">
      <w:r w:rsidRPr="00BF219E">
        <w:t>Table 1 summarises the distinctions that are most useful at the bedside. The table deliberately treats T2DM and hepatogenous diabetes as overlapping clinical patterns because the evidence does not support a binary diagnostic test. The therapeutic implication is to identify the dominant source of risk: cardiometabolic disease and obesity in one patient, or advanced hepatic dysfunction, sarcopenia and hypoglycaemia vulnerability in another.</w:t>
      </w:r>
    </w:p>
    <w:p w14:paraId="7623F40A" w14:textId="77777777" w:rsidR="008E1A0A" w:rsidRPr="00BF219E" w:rsidRDefault="00000000">
      <w:pPr>
        <w:pStyle w:val="TableCaption"/>
      </w:pPr>
      <w:r w:rsidRPr="00BF219E">
        <w:t>Table 1. Clinically useful distinctions between pre-existing type 2 diabetes and hepatogenous diabetes in cirrhosis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083D1916" w14:textId="77777777">
        <w:trPr>
          <w:tblHeader/>
          <w:jc w:val="center"/>
        </w:trPr>
        <w:tc>
          <w:tcPr>
            <w:tcW w:w="1584" w:type="dxa"/>
            <w:shd w:val="clear" w:color="auto" w:fill="D9E2F3"/>
            <w:tcMar>
              <w:top w:w="80" w:type="dxa"/>
              <w:left w:w="90" w:type="dxa"/>
              <w:bottom w:w="80" w:type="dxa"/>
              <w:right w:w="90" w:type="dxa"/>
            </w:tcMar>
            <w:vAlign w:val="center"/>
          </w:tcPr>
          <w:p w14:paraId="5C560A5C" w14:textId="77777777" w:rsidR="008E1A0A" w:rsidRPr="00BF219E" w:rsidRDefault="00000000">
            <w:pPr>
              <w:jc w:val="center"/>
            </w:pPr>
            <w:r w:rsidRPr="00BF219E">
              <w:rPr>
                <w:b/>
                <w:sz w:val="17"/>
              </w:rPr>
              <w:t>Feature</w:t>
            </w:r>
          </w:p>
        </w:tc>
        <w:tc>
          <w:tcPr>
            <w:tcW w:w="2088" w:type="dxa"/>
            <w:shd w:val="clear" w:color="auto" w:fill="D9E2F3"/>
            <w:tcMar>
              <w:top w:w="80" w:type="dxa"/>
              <w:left w:w="90" w:type="dxa"/>
              <w:bottom w:w="80" w:type="dxa"/>
              <w:right w:w="90" w:type="dxa"/>
            </w:tcMar>
            <w:vAlign w:val="center"/>
          </w:tcPr>
          <w:p w14:paraId="6BD84675" w14:textId="77777777" w:rsidR="008E1A0A" w:rsidRPr="00BF219E" w:rsidRDefault="00000000">
            <w:pPr>
              <w:jc w:val="center"/>
            </w:pPr>
            <w:r w:rsidRPr="00BF219E">
              <w:rPr>
                <w:b/>
                <w:sz w:val="17"/>
              </w:rPr>
              <w:t>Pre-existing T2DM pattern</w:t>
            </w:r>
          </w:p>
        </w:tc>
        <w:tc>
          <w:tcPr>
            <w:tcW w:w="2376" w:type="dxa"/>
            <w:shd w:val="clear" w:color="auto" w:fill="D9E2F3"/>
            <w:tcMar>
              <w:top w:w="80" w:type="dxa"/>
              <w:left w:w="90" w:type="dxa"/>
              <w:bottom w:w="80" w:type="dxa"/>
              <w:right w:w="90" w:type="dxa"/>
            </w:tcMar>
            <w:vAlign w:val="center"/>
          </w:tcPr>
          <w:p w14:paraId="6313EAF1" w14:textId="77777777" w:rsidR="008E1A0A" w:rsidRPr="00BF219E" w:rsidRDefault="00000000">
            <w:pPr>
              <w:jc w:val="center"/>
            </w:pPr>
            <w:r w:rsidRPr="00BF219E">
              <w:rPr>
                <w:b/>
                <w:sz w:val="17"/>
              </w:rPr>
              <w:t>Hepatogenous diabetes pattern</w:t>
            </w:r>
          </w:p>
        </w:tc>
        <w:tc>
          <w:tcPr>
            <w:tcW w:w="2160" w:type="dxa"/>
            <w:shd w:val="clear" w:color="auto" w:fill="D9E2F3"/>
            <w:tcMar>
              <w:top w:w="80" w:type="dxa"/>
              <w:left w:w="90" w:type="dxa"/>
              <w:bottom w:w="80" w:type="dxa"/>
              <w:right w:w="90" w:type="dxa"/>
            </w:tcMar>
            <w:vAlign w:val="center"/>
          </w:tcPr>
          <w:p w14:paraId="0E2903E2" w14:textId="77777777" w:rsidR="008E1A0A" w:rsidRPr="00BF219E" w:rsidRDefault="00000000">
            <w:pPr>
              <w:jc w:val="center"/>
            </w:pPr>
            <w:r w:rsidRPr="00BF219E">
              <w:rPr>
                <w:b/>
                <w:sz w:val="17"/>
              </w:rPr>
              <w:t>Management implication</w:t>
            </w:r>
          </w:p>
        </w:tc>
        <w:tc>
          <w:tcPr>
            <w:tcW w:w="1800" w:type="dxa"/>
            <w:shd w:val="clear" w:color="auto" w:fill="D9E2F3"/>
            <w:tcMar>
              <w:top w:w="80" w:type="dxa"/>
              <w:left w:w="90" w:type="dxa"/>
              <w:bottom w:w="80" w:type="dxa"/>
              <w:right w:w="90" w:type="dxa"/>
            </w:tcMar>
            <w:vAlign w:val="center"/>
          </w:tcPr>
          <w:p w14:paraId="5686B0E5" w14:textId="77777777" w:rsidR="008E1A0A" w:rsidRPr="00BF219E" w:rsidRDefault="00000000">
            <w:pPr>
              <w:jc w:val="center"/>
            </w:pPr>
            <w:r w:rsidRPr="00BF219E">
              <w:rPr>
                <w:b/>
                <w:sz w:val="17"/>
              </w:rPr>
              <w:t>Supporting references</w:t>
            </w:r>
          </w:p>
        </w:tc>
      </w:tr>
      <w:tr w:rsidR="00BF219E" w:rsidRPr="00480E24" w14:paraId="0ACDA804" w14:textId="77777777">
        <w:trPr>
          <w:jc w:val="center"/>
        </w:trPr>
        <w:tc>
          <w:tcPr>
            <w:tcW w:w="1584" w:type="dxa"/>
            <w:tcMar>
              <w:top w:w="80" w:type="dxa"/>
              <w:left w:w="90" w:type="dxa"/>
              <w:bottom w:w="80" w:type="dxa"/>
              <w:right w:w="90" w:type="dxa"/>
            </w:tcMar>
            <w:vAlign w:val="center"/>
          </w:tcPr>
          <w:p w14:paraId="2AF816F1" w14:textId="77777777" w:rsidR="008E1A0A" w:rsidRPr="00BF219E" w:rsidRDefault="00000000">
            <w:pPr>
              <w:spacing w:after="0" w:line="240" w:lineRule="auto"/>
            </w:pPr>
            <w:r w:rsidRPr="00BF219E">
              <w:rPr>
                <w:sz w:val="16"/>
              </w:rPr>
              <w:t>Timing</w:t>
            </w:r>
          </w:p>
        </w:tc>
        <w:tc>
          <w:tcPr>
            <w:tcW w:w="2088" w:type="dxa"/>
            <w:tcMar>
              <w:top w:w="80" w:type="dxa"/>
              <w:left w:w="90" w:type="dxa"/>
              <w:bottom w:w="80" w:type="dxa"/>
              <w:right w:w="90" w:type="dxa"/>
            </w:tcMar>
            <w:vAlign w:val="center"/>
          </w:tcPr>
          <w:p w14:paraId="0A94ED00" w14:textId="77777777" w:rsidR="008E1A0A" w:rsidRPr="00BF219E" w:rsidRDefault="00000000">
            <w:pPr>
              <w:spacing w:after="0" w:line="240" w:lineRule="auto"/>
            </w:pPr>
            <w:r w:rsidRPr="00BF219E">
              <w:rPr>
                <w:sz w:val="16"/>
              </w:rPr>
              <w:t>Diabetes usually precedes recognised cirrhosis.</w:t>
            </w:r>
          </w:p>
        </w:tc>
        <w:tc>
          <w:tcPr>
            <w:tcW w:w="2376" w:type="dxa"/>
            <w:tcMar>
              <w:top w:w="80" w:type="dxa"/>
              <w:left w:w="90" w:type="dxa"/>
              <w:bottom w:w="80" w:type="dxa"/>
              <w:right w:w="90" w:type="dxa"/>
            </w:tcMar>
            <w:vAlign w:val="center"/>
          </w:tcPr>
          <w:p w14:paraId="0E54DD7D" w14:textId="77777777" w:rsidR="008E1A0A" w:rsidRPr="00BF219E" w:rsidRDefault="00000000">
            <w:pPr>
              <w:spacing w:after="0" w:line="240" w:lineRule="auto"/>
            </w:pPr>
            <w:r w:rsidRPr="00BF219E">
              <w:rPr>
                <w:sz w:val="16"/>
              </w:rPr>
              <w:t>Dysglycaemia becomes evident after cirrhosis or with worsening hepatic function.</w:t>
            </w:r>
          </w:p>
        </w:tc>
        <w:tc>
          <w:tcPr>
            <w:tcW w:w="2160" w:type="dxa"/>
            <w:tcMar>
              <w:top w:w="80" w:type="dxa"/>
              <w:left w:w="90" w:type="dxa"/>
              <w:bottom w:w="80" w:type="dxa"/>
              <w:right w:w="90" w:type="dxa"/>
            </w:tcMar>
            <w:vAlign w:val="center"/>
          </w:tcPr>
          <w:p w14:paraId="68C1B8A2" w14:textId="77777777" w:rsidR="008E1A0A" w:rsidRPr="00BF219E" w:rsidRDefault="00000000">
            <w:pPr>
              <w:spacing w:after="0" w:line="240" w:lineRule="auto"/>
            </w:pPr>
            <w:r w:rsidRPr="00BF219E">
              <w:rPr>
                <w:sz w:val="16"/>
              </w:rPr>
              <w:t>Chronology informs interpretation but is not definitive in MASLD or unrecognised long-standing liver disease.</w:t>
            </w:r>
          </w:p>
        </w:tc>
        <w:tc>
          <w:tcPr>
            <w:tcW w:w="1800" w:type="dxa"/>
            <w:tcMar>
              <w:top w:w="80" w:type="dxa"/>
              <w:left w:w="90" w:type="dxa"/>
              <w:bottom w:w="80" w:type="dxa"/>
              <w:right w:w="90" w:type="dxa"/>
            </w:tcMar>
            <w:vAlign w:val="center"/>
          </w:tcPr>
          <w:p w14:paraId="6AD50FD7" w14:textId="77777777" w:rsidR="008E1A0A" w:rsidRPr="00480E24" w:rsidRDefault="00000000">
            <w:pPr>
              <w:spacing w:after="0" w:line="240" w:lineRule="auto"/>
              <w:rPr>
                <w:lang w:val="nl-BE"/>
              </w:rPr>
            </w:pPr>
            <w:r w:rsidRPr="00480E24">
              <w:rPr>
                <w:sz w:val="16"/>
                <w:lang w:val="nl-BE"/>
              </w:rPr>
              <w:t>(Kumar et al., 2022; Orsi et al., 2017)</w:t>
            </w:r>
          </w:p>
        </w:tc>
      </w:tr>
      <w:tr w:rsidR="00BF219E" w:rsidRPr="00480E24" w14:paraId="69F92F12" w14:textId="77777777">
        <w:trPr>
          <w:jc w:val="center"/>
        </w:trPr>
        <w:tc>
          <w:tcPr>
            <w:tcW w:w="1584" w:type="dxa"/>
            <w:tcMar>
              <w:top w:w="80" w:type="dxa"/>
              <w:left w:w="90" w:type="dxa"/>
              <w:bottom w:w="80" w:type="dxa"/>
              <w:right w:w="90" w:type="dxa"/>
            </w:tcMar>
            <w:vAlign w:val="center"/>
          </w:tcPr>
          <w:p w14:paraId="0EB34D24" w14:textId="77777777" w:rsidR="008E1A0A" w:rsidRPr="00BF219E" w:rsidRDefault="00000000">
            <w:pPr>
              <w:spacing w:after="0" w:line="240" w:lineRule="auto"/>
            </w:pPr>
            <w:r w:rsidRPr="00BF219E">
              <w:rPr>
                <w:sz w:val="16"/>
              </w:rPr>
              <w:t>Body habitus and metabolic risk</w:t>
            </w:r>
          </w:p>
        </w:tc>
        <w:tc>
          <w:tcPr>
            <w:tcW w:w="2088" w:type="dxa"/>
            <w:tcMar>
              <w:top w:w="80" w:type="dxa"/>
              <w:left w:w="90" w:type="dxa"/>
              <w:bottom w:w="80" w:type="dxa"/>
              <w:right w:w="90" w:type="dxa"/>
            </w:tcMar>
            <w:vAlign w:val="center"/>
          </w:tcPr>
          <w:p w14:paraId="0FA30D96" w14:textId="77777777" w:rsidR="008E1A0A" w:rsidRPr="00BF219E" w:rsidRDefault="00000000">
            <w:pPr>
              <w:spacing w:after="0" w:line="240" w:lineRule="auto"/>
            </w:pPr>
            <w:r w:rsidRPr="00BF219E">
              <w:rPr>
                <w:sz w:val="16"/>
              </w:rPr>
              <w:t>Obesity, dyslipidaemia, hypertension and family history are often present.</w:t>
            </w:r>
          </w:p>
        </w:tc>
        <w:tc>
          <w:tcPr>
            <w:tcW w:w="2376" w:type="dxa"/>
            <w:tcMar>
              <w:top w:w="80" w:type="dxa"/>
              <w:left w:w="90" w:type="dxa"/>
              <w:bottom w:w="80" w:type="dxa"/>
              <w:right w:w="90" w:type="dxa"/>
            </w:tcMar>
            <w:vAlign w:val="center"/>
          </w:tcPr>
          <w:p w14:paraId="7D4CED1C" w14:textId="77777777" w:rsidR="008E1A0A" w:rsidRPr="00BF219E" w:rsidRDefault="00000000">
            <w:pPr>
              <w:spacing w:after="0" w:line="240" w:lineRule="auto"/>
            </w:pPr>
            <w:r w:rsidRPr="00BF219E">
              <w:rPr>
                <w:sz w:val="16"/>
              </w:rPr>
              <w:t>Patients may be leaner and have fewer conventional metabolic risk factors.</w:t>
            </w:r>
          </w:p>
        </w:tc>
        <w:tc>
          <w:tcPr>
            <w:tcW w:w="2160" w:type="dxa"/>
            <w:tcMar>
              <w:top w:w="80" w:type="dxa"/>
              <w:left w:w="90" w:type="dxa"/>
              <w:bottom w:w="80" w:type="dxa"/>
              <w:right w:w="90" w:type="dxa"/>
            </w:tcMar>
            <w:vAlign w:val="center"/>
          </w:tcPr>
          <w:p w14:paraId="0B313F2A" w14:textId="77777777" w:rsidR="008E1A0A" w:rsidRPr="00BF219E" w:rsidRDefault="00000000">
            <w:pPr>
              <w:spacing w:after="0" w:line="240" w:lineRule="auto"/>
            </w:pPr>
            <w:r w:rsidRPr="00BF219E">
              <w:rPr>
                <w:sz w:val="16"/>
              </w:rPr>
              <w:t>Do not assume all cirrhosis-associated diabetes reflects the same cardiometabolic phenotype.</w:t>
            </w:r>
          </w:p>
        </w:tc>
        <w:tc>
          <w:tcPr>
            <w:tcW w:w="1800" w:type="dxa"/>
            <w:tcMar>
              <w:top w:w="80" w:type="dxa"/>
              <w:left w:w="90" w:type="dxa"/>
              <w:bottom w:w="80" w:type="dxa"/>
              <w:right w:w="90" w:type="dxa"/>
            </w:tcMar>
            <w:vAlign w:val="center"/>
          </w:tcPr>
          <w:p w14:paraId="7B50E8A0" w14:textId="77777777" w:rsidR="008E1A0A" w:rsidRPr="00480E24" w:rsidRDefault="00000000">
            <w:pPr>
              <w:spacing w:after="0" w:line="240" w:lineRule="auto"/>
              <w:rPr>
                <w:lang w:val="nl-BE"/>
              </w:rPr>
            </w:pPr>
            <w:r w:rsidRPr="00480E24">
              <w:rPr>
                <w:sz w:val="16"/>
                <w:lang w:val="nl-BE"/>
              </w:rPr>
              <w:t>(Holstein et al., 2002; Maji et al., 2024)</w:t>
            </w:r>
          </w:p>
        </w:tc>
      </w:tr>
      <w:tr w:rsidR="00BF219E" w:rsidRPr="00BF219E" w14:paraId="5FF0CA75" w14:textId="77777777">
        <w:trPr>
          <w:jc w:val="center"/>
        </w:trPr>
        <w:tc>
          <w:tcPr>
            <w:tcW w:w="1584" w:type="dxa"/>
            <w:tcMar>
              <w:top w:w="80" w:type="dxa"/>
              <w:left w:w="90" w:type="dxa"/>
              <w:bottom w:w="80" w:type="dxa"/>
              <w:right w:w="90" w:type="dxa"/>
            </w:tcMar>
            <w:vAlign w:val="center"/>
          </w:tcPr>
          <w:p w14:paraId="178FA394" w14:textId="77777777" w:rsidR="008E1A0A" w:rsidRPr="00BF219E" w:rsidRDefault="00000000">
            <w:pPr>
              <w:spacing w:after="0" w:line="240" w:lineRule="auto"/>
            </w:pPr>
            <w:proofErr w:type="spellStart"/>
            <w:r w:rsidRPr="00BF219E">
              <w:rPr>
                <w:sz w:val="16"/>
              </w:rPr>
              <w:t>Glycaemic</w:t>
            </w:r>
            <w:proofErr w:type="spellEnd"/>
            <w:r w:rsidRPr="00BF219E">
              <w:rPr>
                <w:sz w:val="16"/>
              </w:rPr>
              <w:t xml:space="preserve"> pattern</w:t>
            </w:r>
          </w:p>
        </w:tc>
        <w:tc>
          <w:tcPr>
            <w:tcW w:w="2088" w:type="dxa"/>
            <w:tcMar>
              <w:top w:w="80" w:type="dxa"/>
              <w:left w:w="90" w:type="dxa"/>
              <w:bottom w:w="80" w:type="dxa"/>
              <w:right w:w="90" w:type="dxa"/>
            </w:tcMar>
            <w:vAlign w:val="center"/>
          </w:tcPr>
          <w:p w14:paraId="7C8316AA" w14:textId="77777777" w:rsidR="008E1A0A" w:rsidRPr="00BF219E" w:rsidRDefault="00000000">
            <w:pPr>
              <w:spacing w:after="0" w:line="240" w:lineRule="auto"/>
            </w:pPr>
            <w:r w:rsidRPr="00BF219E">
              <w:rPr>
                <w:sz w:val="16"/>
              </w:rPr>
              <w:t>Fasting and postprandial hyperglycaemia may both be evident.</w:t>
            </w:r>
          </w:p>
        </w:tc>
        <w:tc>
          <w:tcPr>
            <w:tcW w:w="2376" w:type="dxa"/>
            <w:tcMar>
              <w:top w:w="80" w:type="dxa"/>
              <w:left w:w="90" w:type="dxa"/>
              <w:bottom w:w="80" w:type="dxa"/>
              <w:right w:w="90" w:type="dxa"/>
            </w:tcMar>
            <w:vAlign w:val="center"/>
          </w:tcPr>
          <w:p w14:paraId="4C0976E9" w14:textId="77777777" w:rsidR="008E1A0A" w:rsidRPr="00BF219E" w:rsidRDefault="00000000">
            <w:pPr>
              <w:spacing w:after="0" w:line="240" w:lineRule="auto"/>
            </w:pPr>
            <w:r w:rsidRPr="00BF219E">
              <w:rPr>
                <w:sz w:val="16"/>
              </w:rPr>
              <w:t>Postprandial hyperglycaemia can dominate while fasting glucose and HbA1c appear deceptively low.</w:t>
            </w:r>
          </w:p>
        </w:tc>
        <w:tc>
          <w:tcPr>
            <w:tcW w:w="2160" w:type="dxa"/>
            <w:tcMar>
              <w:top w:w="80" w:type="dxa"/>
              <w:left w:w="90" w:type="dxa"/>
              <w:bottom w:w="80" w:type="dxa"/>
              <w:right w:w="90" w:type="dxa"/>
            </w:tcMar>
            <w:vAlign w:val="center"/>
          </w:tcPr>
          <w:p w14:paraId="2223ABED" w14:textId="77777777" w:rsidR="008E1A0A" w:rsidRPr="00BF219E" w:rsidRDefault="00000000">
            <w:pPr>
              <w:spacing w:after="0" w:line="240" w:lineRule="auto"/>
            </w:pPr>
            <w:r w:rsidRPr="00BF219E">
              <w:rPr>
                <w:sz w:val="16"/>
              </w:rPr>
              <w:t>Use postprandial assessment or OGTT when routine markers are discordant with clinical suspicion.</w:t>
            </w:r>
          </w:p>
        </w:tc>
        <w:tc>
          <w:tcPr>
            <w:tcW w:w="1800" w:type="dxa"/>
            <w:tcMar>
              <w:top w:w="80" w:type="dxa"/>
              <w:left w:w="90" w:type="dxa"/>
              <w:bottom w:w="80" w:type="dxa"/>
              <w:right w:w="90" w:type="dxa"/>
            </w:tcMar>
            <w:vAlign w:val="center"/>
          </w:tcPr>
          <w:p w14:paraId="4D87706C" w14:textId="77777777" w:rsidR="008E1A0A" w:rsidRPr="00BF219E" w:rsidRDefault="00000000">
            <w:pPr>
              <w:spacing w:after="0" w:line="240" w:lineRule="auto"/>
            </w:pPr>
            <w:r w:rsidRPr="00BF219E">
              <w:rPr>
                <w:sz w:val="16"/>
              </w:rPr>
              <w:t>(Maji et al., 2024; Nishida, 2017)</w:t>
            </w:r>
          </w:p>
        </w:tc>
      </w:tr>
      <w:tr w:rsidR="00BF219E" w:rsidRPr="00480E24" w14:paraId="7661AEEF" w14:textId="77777777">
        <w:trPr>
          <w:jc w:val="center"/>
        </w:trPr>
        <w:tc>
          <w:tcPr>
            <w:tcW w:w="1584" w:type="dxa"/>
            <w:tcMar>
              <w:top w:w="80" w:type="dxa"/>
              <w:left w:w="90" w:type="dxa"/>
              <w:bottom w:w="80" w:type="dxa"/>
              <w:right w:w="90" w:type="dxa"/>
            </w:tcMar>
            <w:vAlign w:val="center"/>
          </w:tcPr>
          <w:p w14:paraId="3393C192" w14:textId="77777777" w:rsidR="008E1A0A" w:rsidRPr="00BF219E" w:rsidRDefault="00000000">
            <w:pPr>
              <w:spacing w:after="0" w:line="240" w:lineRule="auto"/>
            </w:pPr>
            <w:r w:rsidRPr="00BF219E">
              <w:rPr>
                <w:sz w:val="16"/>
              </w:rPr>
              <w:t xml:space="preserve">Mechanistic </w:t>
            </w:r>
            <w:r w:rsidRPr="00BF219E">
              <w:rPr>
                <w:sz w:val="16"/>
              </w:rPr>
              <w:lastRenderedPageBreak/>
              <w:t>emphasis</w:t>
            </w:r>
          </w:p>
        </w:tc>
        <w:tc>
          <w:tcPr>
            <w:tcW w:w="2088" w:type="dxa"/>
            <w:tcMar>
              <w:top w:w="80" w:type="dxa"/>
              <w:left w:w="90" w:type="dxa"/>
              <w:bottom w:w="80" w:type="dxa"/>
              <w:right w:w="90" w:type="dxa"/>
            </w:tcMar>
            <w:vAlign w:val="center"/>
          </w:tcPr>
          <w:p w14:paraId="4675DA6D" w14:textId="77777777" w:rsidR="008E1A0A" w:rsidRPr="00BF219E" w:rsidRDefault="00000000">
            <w:pPr>
              <w:spacing w:after="0" w:line="240" w:lineRule="auto"/>
            </w:pPr>
            <w:r w:rsidRPr="00BF219E">
              <w:rPr>
                <w:sz w:val="16"/>
              </w:rPr>
              <w:lastRenderedPageBreak/>
              <w:t xml:space="preserve">Adipose, hepatic and </w:t>
            </w:r>
            <w:r w:rsidRPr="00BF219E">
              <w:rPr>
                <w:sz w:val="16"/>
              </w:rPr>
              <w:lastRenderedPageBreak/>
              <w:t>muscle insulin resistance with progressive beta-cell failure.</w:t>
            </w:r>
          </w:p>
        </w:tc>
        <w:tc>
          <w:tcPr>
            <w:tcW w:w="2376" w:type="dxa"/>
            <w:tcMar>
              <w:top w:w="80" w:type="dxa"/>
              <w:left w:w="90" w:type="dxa"/>
              <w:bottom w:w="80" w:type="dxa"/>
              <w:right w:w="90" w:type="dxa"/>
            </w:tcMar>
            <w:vAlign w:val="center"/>
          </w:tcPr>
          <w:p w14:paraId="32496004" w14:textId="77777777" w:rsidR="008E1A0A" w:rsidRPr="00BF219E" w:rsidRDefault="00000000">
            <w:pPr>
              <w:spacing w:after="0" w:line="240" w:lineRule="auto"/>
            </w:pPr>
            <w:r w:rsidRPr="00BF219E">
              <w:rPr>
                <w:sz w:val="16"/>
              </w:rPr>
              <w:lastRenderedPageBreak/>
              <w:t xml:space="preserve">Reduced hepatic insulin </w:t>
            </w:r>
            <w:r w:rsidRPr="00BF219E">
              <w:rPr>
                <w:sz w:val="16"/>
              </w:rPr>
              <w:lastRenderedPageBreak/>
              <w:t>clearance, portosystemic shunting, muscle insulin resistance and eventual beta-cell dysfunction.</w:t>
            </w:r>
          </w:p>
        </w:tc>
        <w:tc>
          <w:tcPr>
            <w:tcW w:w="2160" w:type="dxa"/>
            <w:tcMar>
              <w:top w:w="80" w:type="dxa"/>
              <w:left w:w="90" w:type="dxa"/>
              <w:bottom w:w="80" w:type="dxa"/>
              <w:right w:w="90" w:type="dxa"/>
            </w:tcMar>
            <w:vAlign w:val="center"/>
          </w:tcPr>
          <w:p w14:paraId="43F539D1" w14:textId="77777777" w:rsidR="008E1A0A" w:rsidRPr="00BF219E" w:rsidRDefault="00000000">
            <w:pPr>
              <w:spacing w:after="0" w:line="240" w:lineRule="auto"/>
            </w:pPr>
            <w:r w:rsidRPr="00BF219E">
              <w:rPr>
                <w:sz w:val="16"/>
              </w:rPr>
              <w:lastRenderedPageBreak/>
              <w:t xml:space="preserve">Therapy must account for </w:t>
            </w:r>
            <w:r w:rsidRPr="00BF219E">
              <w:rPr>
                <w:sz w:val="16"/>
              </w:rPr>
              <w:lastRenderedPageBreak/>
              <w:t>both insulin resistance and reduced capacity to buffer fasting glucose.</w:t>
            </w:r>
          </w:p>
        </w:tc>
        <w:tc>
          <w:tcPr>
            <w:tcW w:w="1800" w:type="dxa"/>
            <w:tcMar>
              <w:top w:w="80" w:type="dxa"/>
              <w:left w:w="90" w:type="dxa"/>
              <w:bottom w:w="80" w:type="dxa"/>
              <w:right w:w="90" w:type="dxa"/>
            </w:tcMar>
            <w:vAlign w:val="center"/>
          </w:tcPr>
          <w:p w14:paraId="31B7E1E4" w14:textId="77777777" w:rsidR="008E1A0A" w:rsidRPr="00480E24" w:rsidRDefault="00000000">
            <w:pPr>
              <w:spacing w:after="0" w:line="240" w:lineRule="auto"/>
              <w:rPr>
                <w:lang w:val="nl-BE"/>
              </w:rPr>
            </w:pPr>
            <w:r w:rsidRPr="00480E24">
              <w:rPr>
                <w:sz w:val="16"/>
                <w:lang w:val="nl-BE"/>
              </w:rPr>
              <w:lastRenderedPageBreak/>
              <w:t xml:space="preserve">(Elkrief et al., 2016; </w:t>
            </w:r>
            <w:r w:rsidRPr="00480E24">
              <w:rPr>
                <w:sz w:val="16"/>
                <w:lang w:val="nl-BE"/>
              </w:rPr>
              <w:lastRenderedPageBreak/>
              <w:t>Perseghin et al., 2000)</w:t>
            </w:r>
          </w:p>
        </w:tc>
      </w:tr>
      <w:tr w:rsidR="00BF219E" w:rsidRPr="00480E24" w14:paraId="58501B33" w14:textId="77777777">
        <w:trPr>
          <w:jc w:val="center"/>
        </w:trPr>
        <w:tc>
          <w:tcPr>
            <w:tcW w:w="1584" w:type="dxa"/>
            <w:tcMar>
              <w:top w:w="80" w:type="dxa"/>
              <w:left w:w="90" w:type="dxa"/>
              <w:bottom w:w="80" w:type="dxa"/>
              <w:right w:w="90" w:type="dxa"/>
            </w:tcMar>
            <w:vAlign w:val="center"/>
          </w:tcPr>
          <w:p w14:paraId="1C80EF20" w14:textId="77777777" w:rsidR="008E1A0A" w:rsidRPr="00BF219E" w:rsidRDefault="00000000">
            <w:pPr>
              <w:spacing w:after="0" w:line="240" w:lineRule="auto"/>
            </w:pPr>
            <w:r w:rsidRPr="00BF219E">
              <w:rPr>
                <w:sz w:val="16"/>
              </w:rPr>
              <w:lastRenderedPageBreak/>
              <w:t>Complication profile</w:t>
            </w:r>
          </w:p>
        </w:tc>
        <w:tc>
          <w:tcPr>
            <w:tcW w:w="2088" w:type="dxa"/>
            <w:tcMar>
              <w:top w:w="80" w:type="dxa"/>
              <w:left w:w="90" w:type="dxa"/>
              <w:bottom w:w="80" w:type="dxa"/>
              <w:right w:w="90" w:type="dxa"/>
            </w:tcMar>
            <w:vAlign w:val="center"/>
          </w:tcPr>
          <w:p w14:paraId="19627279" w14:textId="77777777" w:rsidR="008E1A0A" w:rsidRPr="00BF219E" w:rsidRDefault="00000000">
            <w:pPr>
              <w:spacing w:after="0" w:line="240" w:lineRule="auto"/>
            </w:pPr>
            <w:r w:rsidRPr="00BF219E">
              <w:rPr>
                <w:sz w:val="16"/>
              </w:rPr>
              <w:t>Classic microvascular and cardiovascular complications reflect duration and control.</w:t>
            </w:r>
          </w:p>
        </w:tc>
        <w:tc>
          <w:tcPr>
            <w:tcW w:w="2376" w:type="dxa"/>
            <w:tcMar>
              <w:top w:w="80" w:type="dxa"/>
              <w:left w:w="90" w:type="dxa"/>
              <w:bottom w:w="80" w:type="dxa"/>
              <w:right w:w="90" w:type="dxa"/>
            </w:tcMar>
            <w:vAlign w:val="center"/>
          </w:tcPr>
          <w:p w14:paraId="70CE493F" w14:textId="77777777" w:rsidR="008E1A0A" w:rsidRPr="00BF219E" w:rsidRDefault="00000000">
            <w:pPr>
              <w:spacing w:after="0" w:line="240" w:lineRule="auto"/>
            </w:pPr>
            <w:r w:rsidRPr="00BF219E">
              <w:rPr>
                <w:sz w:val="16"/>
              </w:rPr>
              <w:t>Older cohorts reported fewer microvascular complications, while liver-related events dominate prognosis.</w:t>
            </w:r>
          </w:p>
        </w:tc>
        <w:tc>
          <w:tcPr>
            <w:tcW w:w="2160" w:type="dxa"/>
            <w:tcMar>
              <w:top w:w="80" w:type="dxa"/>
              <w:left w:w="90" w:type="dxa"/>
              <w:bottom w:w="80" w:type="dxa"/>
              <w:right w:w="90" w:type="dxa"/>
            </w:tcMar>
            <w:vAlign w:val="center"/>
          </w:tcPr>
          <w:p w14:paraId="34DCE60E" w14:textId="77777777" w:rsidR="008E1A0A" w:rsidRPr="00BF219E" w:rsidRDefault="00000000">
            <w:pPr>
              <w:spacing w:after="0" w:line="240" w:lineRule="auto"/>
            </w:pPr>
            <w:r w:rsidRPr="00BF219E">
              <w:rPr>
                <w:sz w:val="16"/>
              </w:rPr>
              <w:t>Screen conventionally for diabetes complications but prioritise liver-related vulnerability and nutrition.</w:t>
            </w:r>
          </w:p>
        </w:tc>
        <w:tc>
          <w:tcPr>
            <w:tcW w:w="1800" w:type="dxa"/>
            <w:tcMar>
              <w:top w:w="80" w:type="dxa"/>
              <w:left w:w="90" w:type="dxa"/>
              <w:bottom w:w="80" w:type="dxa"/>
              <w:right w:w="90" w:type="dxa"/>
            </w:tcMar>
            <w:vAlign w:val="center"/>
          </w:tcPr>
          <w:p w14:paraId="19727DC8" w14:textId="77777777" w:rsidR="008E1A0A" w:rsidRPr="00480E24" w:rsidRDefault="00000000">
            <w:pPr>
              <w:spacing w:after="0" w:line="240" w:lineRule="auto"/>
              <w:rPr>
                <w:lang w:val="nl-BE"/>
              </w:rPr>
            </w:pPr>
            <w:r w:rsidRPr="00480E24">
              <w:rPr>
                <w:sz w:val="16"/>
                <w:lang w:val="nl-BE"/>
              </w:rPr>
              <w:t>(Holstein et al., 2002; Orsi et al., 2017)</w:t>
            </w:r>
          </w:p>
        </w:tc>
      </w:tr>
      <w:tr w:rsidR="00BF219E" w:rsidRPr="00480E24" w14:paraId="610B8526" w14:textId="77777777">
        <w:trPr>
          <w:jc w:val="center"/>
        </w:trPr>
        <w:tc>
          <w:tcPr>
            <w:tcW w:w="1584" w:type="dxa"/>
            <w:tcMar>
              <w:top w:w="80" w:type="dxa"/>
              <w:left w:w="90" w:type="dxa"/>
              <w:bottom w:w="80" w:type="dxa"/>
              <w:right w:w="90" w:type="dxa"/>
            </w:tcMar>
            <w:vAlign w:val="center"/>
          </w:tcPr>
          <w:p w14:paraId="1430608D" w14:textId="77777777" w:rsidR="008E1A0A" w:rsidRPr="00BF219E" w:rsidRDefault="00000000">
            <w:pPr>
              <w:spacing w:after="0" w:line="240" w:lineRule="auto"/>
            </w:pPr>
            <w:r w:rsidRPr="00BF219E">
              <w:rPr>
                <w:sz w:val="16"/>
              </w:rPr>
              <w:t>Diagnostic certainty</w:t>
            </w:r>
          </w:p>
        </w:tc>
        <w:tc>
          <w:tcPr>
            <w:tcW w:w="2088" w:type="dxa"/>
            <w:tcMar>
              <w:top w:w="80" w:type="dxa"/>
              <w:left w:w="90" w:type="dxa"/>
              <w:bottom w:w="80" w:type="dxa"/>
              <w:right w:w="90" w:type="dxa"/>
            </w:tcMar>
            <w:vAlign w:val="center"/>
          </w:tcPr>
          <w:p w14:paraId="1EF4BFB7" w14:textId="77777777" w:rsidR="008E1A0A" w:rsidRPr="00BF219E" w:rsidRDefault="00000000">
            <w:pPr>
              <w:spacing w:after="0" w:line="240" w:lineRule="auto"/>
            </w:pPr>
            <w:r w:rsidRPr="00BF219E">
              <w:rPr>
                <w:sz w:val="16"/>
              </w:rPr>
              <w:t>Recognised diabetes classification and diagnostic thresholds apply, with cirrhosis-related caveats.</w:t>
            </w:r>
          </w:p>
        </w:tc>
        <w:tc>
          <w:tcPr>
            <w:tcW w:w="2376" w:type="dxa"/>
            <w:tcMar>
              <w:top w:w="80" w:type="dxa"/>
              <w:left w:w="90" w:type="dxa"/>
              <w:bottom w:w="80" w:type="dxa"/>
              <w:right w:w="90" w:type="dxa"/>
            </w:tcMar>
            <w:vAlign w:val="center"/>
          </w:tcPr>
          <w:p w14:paraId="2E6B95B1" w14:textId="77777777" w:rsidR="008E1A0A" w:rsidRPr="00BF219E" w:rsidRDefault="00000000">
            <w:pPr>
              <w:spacing w:after="0" w:line="240" w:lineRule="auto"/>
            </w:pPr>
            <w:r w:rsidRPr="00BF219E">
              <w:rPr>
                <w:sz w:val="16"/>
              </w:rPr>
              <w:t>No universally accepted validated diagnostic classification separates it from T2DM.</w:t>
            </w:r>
          </w:p>
        </w:tc>
        <w:tc>
          <w:tcPr>
            <w:tcW w:w="2160" w:type="dxa"/>
            <w:tcMar>
              <w:top w:w="80" w:type="dxa"/>
              <w:left w:w="90" w:type="dxa"/>
              <w:bottom w:w="80" w:type="dxa"/>
              <w:right w:w="90" w:type="dxa"/>
            </w:tcMar>
            <w:vAlign w:val="center"/>
          </w:tcPr>
          <w:p w14:paraId="705A6257" w14:textId="77777777" w:rsidR="008E1A0A" w:rsidRPr="00BF219E" w:rsidRDefault="00000000">
            <w:pPr>
              <w:spacing w:after="0" w:line="240" w:lineRule="auto"/>
            </w:pPr>
            <w:r w:rsidRPr="00BF219E">
              <w:rPr>
                <w:sz w:val="16"/>
              </w:rPr>
              <w:t>Use hepatogenous diabetes as a working phenotype rather than a rigid disease label.</w:t>
            </w:r>
          </w:p>
        </w:tc>
        <w:tc>
          <w:tcPr>
            <w:tcW w:w="1800" w:type="dxa"/>
            <w:tcMar>
              <w:top w:w="80" w:type="dxa"/>
              <w:left w:w="90" w:type="dxa"/>
              <w:bottom w:w="80" w:type="dxa"/>
              <w:right w:w="90" w:type="dxa"/>
            </w:tcMar>
            <w:vAlign w:val="center"/>
          </w:tcPr>
          <w:p w14:paraId="567BA8E7" w14:textId="77777777" w:rsidR="008E1A0A" w:rsidRPr="00480E24" w:rsidRDefault="00000000">
            <w:pPr>
              <w:spacing w:after="0" w:line="240" w:lineRule="auto"/>
              <w:rPr>
                <w:lang w:val="nl-BE"/>
              </w:rPr>
            </w:pPr>
            <w:r w:rsidRPr="00480E24">
              <w:rPr>
                <w:sz w:val="16"/>
                <w:lang w:val="nl-BE"/>
              </w:rPr>
              <w:t>(Kumar et al., 2022; Maji et al., 2024)</w:t>
            </w:r>
          </w:p>
        </w:tc>
      </w:tr>
    </w:tbl>
    <w:p w14:paraId="11FFFDD7" w14:textId="77777777" w:rsidR="008E1A0A" w:rsidRPr="00BF219E" w:rsidRDefault="00000000">
      <w:pPr>
        <w:pStyle w:val="TableNote"/>
      </w:pPr>
      <w:r w:rsidRPr="00BF219E">
        <w:t>Note. HbA1c = glycated haemoglobin; MASLD = metabolic dysfunction-associated steatotic liver disease; OGTT = oral glucose tolerance test; T2DM = type 2 diabetes mellitus. The phenotypes overlap and are not mutually exclusive.</w:t>
      </w:r>
    </w:p>
    <w:p w14:paraId="24B9DE53" w14:textId="77777777" w:rsidR="008E1A0A" w:rsidRPr="00BF219E" w:rsidRDefault="00000000">
      <w:pPr>
        <w:pStyle w:val="Heading1"/>
        <w:rPr>
          <w:color w:val="auto"/>
        </w:rPr>
      </w:pPr>
      <w:r w:rsidRPr="00BF219E">
        <w:rPr>
          <w:color w:val="auto"/>
        </w:rPr>
        <w:t>4. Diagnosis, Glycaemic Monitoring and Treatment Targets</w:t>
      </w:r>
    </w:p>
    <w:p w14:paraId="0992D8FE" w14:textId="77777777" w:rsidR="008E1A0A" w:rsidRPr="00BF219E" w:rsidRDefault="00000000">
      <w:r w:rsidRPr="00BF219E">
        <w:t>Diagnosis is complicated because the tests used routinely in diabetes were validated in populations without the haematological and metabolic disturbances of advanced cirrhosis. Fasting plasma glucose may miss clinically important dysglycaemia when hepatic glucose production is impaired during fasting but postprandial disposal is poor. Studies using oral glucose tolerance testing (OGTT) repeatedly identify patients with cirrhosis who have diabetic-range post-challenge glucose despite non-diagnostic fasting values (Maji et al., 2024; Nishida, 2017). This does not mean that every patient with cirrhosis requires an OGTT. It means that normal fasting glucose cannot reliably exclude clinically important dysglycaemia when there is advanced liver disease, unexplained postprandial symptoms, recurrent infections, metabolic risk or discordance between glucose measurements and HbA1c.</w:t>
      </w:r>
    </w:p>
    <w:p w14:paraId="619B3CA6" w14:textId="77777777" w:rsidR="008E1A0A" w:rsidRPr="00BF219E" w:rsidRDefault="00000000">
      <w:r w:rsidRPr="00BF219E">
        <w:t>HbA1c is especially vulnerable to misinterpretation. Hypersplenism shortens erythrocyte survival, gastrointestinal bleeding and haemolysis alter red-cell age, transfusion introduces donor erythrocytes, and anaemia is common. In 200 patients referred for transplantation, Nadelson et al. (2016) found substantial discordance between measured HbA1c and glucose-derived estimates, with anaemia predicting greater disagreement. In such patients, a seemingly reassuring HbA1c should not override direct glucose measurements. The limitation becomes more important in decompensated disease because the same patients who have the least reliable HbA1c are often those in whom hypoglycaemia is most dangerous.</w:t>
      </w:r>
    </w:p>
    <w:p w14:paraId="1B7284DF" w14:textId="77777777" w:rsidR="008E1A0A" w:rsidRPr="00BF219E" w:rsidRDefault="00000000">
      <w:r w:rsidRPr="00BF219E">
        <w:t>Alternative glycated proteins such as fructosamine or glycated albumin have theoretical advantages because they are not dependent on erythrocyte lifespan, but cirrhosis also disturbs albumin concentration, turnover and distribution. Their interpretation is therefore not straightforward in hypoalbuminaemia, protein loss or rapidly changing clinical states. They can be supportive when HbA1c is uninterpretable, but neither has a cirrhosis-specific outcome-validated target that would justify replacing glucose-based monitoring altogether (Boursier et al., 2021; Castera &amp; Cusi, 2023).</w:t>
      </w:r>
    </w:p>
    <w:p w14:paraId="13602D51" w14:textId="77777777" w:rsidR="008E1A0A" w:rsidRPr="00BF219E" w:rsidRDefault="00000000">
      <w:r w:rsidRPr="00BF219E">
        <w:t>Self-monitoring of blood glucose remains useful when treatment can cause hypoglycaemia, but isolated pre-meal testing may miss nocturnal or postprandial excursions. Continuous glucose monitoring (CGM) can reveal glycaemic variability, unrecognised nocturnal hypoglycaemia and treatment-related patterns that are particularly relevant when cognitive symptoms overlap with hepatic encephalopathy. The evidential limitation is that CGM thresholds and time-in-range targets have not been prospectively validated against cirrhosis outcomes. CGM should therefore be used as a management tool rather than as evidence that conventional diabetes targets should be imposed unchanged on advanced liver disease (Castera &amp; Cusi, 2023; Lisi et al., 2026).</w:t>
      </w:r>
    </w:p>
    <w:p w14:paraId="6BB728C8" w14:textId="77777777" w:rsidR="008E1A0A" w:rsidRPr="00BF219E" w:rsidRDefault="00000000">
      <w:r w:rsidRPr="00BF219E">
        <w:t xml:space="preserve">Treatment targets should be individualised by hepatic reserve, hypoglycaemia risk, functional status and life expectancy. General diabetes standards emphasise person-centred goals based on comorbidity, </w:t>
      </w:r>
      <w:r w:rsidRPr="00BF219E">
        <w:lastRenderedPageBreak/>
        <w:t>functional status and hypoglycaemia vulnerability (American Diabetes Association Professional Practice Committee for Diabetes, 2026). In cirrhosis, that principle requires stronger weighting of decompensation, hepatic encephalopathy, renal dysfunction, malnutrition and ability to self-manage. In stable compensated cirrhosis with reliable monitoring and low hypoglycaemia risk, conventional glycaemic goals may remain appropriate. In Child-Pugh B or C disease, recurrent decompensation, frailty or cognitive impairment, avoiding clinically important hypoglycaemia and symptomatic hyperglycaemia is usually more important than achieving a low HbA1c value.</w:t>
      </w:r>
    </w:p>
    <w:p w14:paraId="6CA46EE0" w14:textId="77777777" w:rsidR="008E1A0A" w:rsidRPr="00BF219E" w:rsidRDefault="00000000">
      <w:r w:rsidRPr="00BF219E">
        <w:t>A practical diagnostic strategy should distinguish screening from longitudinal treatment monitoring. In clinically stable cirrhosis without known diabetes, fasting plasma glucose and HbA1c are convenient starting tests, but a normal result should not end evaluation when there is strong metabolic risk, unexplained postprandial symptoms or advanced liver disease. Oral glucose tolerance testing (OGTT) is particularly informative when fasting measures are discordant with clinical suspicion because cirrhosis frequently produces impaired post-challenge handling before fasting hyperglycaemia becomes obvious. The OGTT is less useful during acute infection, active gastrointestinal bleeding, recent corticosteroid exposure or unstable decompensation, when transient stress hyperglycaemia may obscure the baseline phenotype. Reassessment after clinical stabilisation is therefore preferable to permanently labelling diabetes from an isolated inpatient glucose abnormality (Maji et al., 2024; Nath &amp; Anand, 2021; Nishida, 2017).</w:t>
      </w:r>
    </w:p>
    <w:p w14:paraId="7B3E68B4" w14:textId="77777777" w:rsidR="008E1A0A" w:rsidRPr="00BF219E" w:rsidRDefault="00000000">
      <w:r w:rsidRPr="00BF219E">
        <w:t>Once treatment begins, the reliability of the measurement should determine how much weight it receives. HbA1c remains useful when red-cell turnover is reasonably stable, but discordance between HbA1c and capillary or sensor glucose should prompt investigation of anaemia, haemolysis, recent bleeding, transfusion and hypersplenism rather than reflexive intensification. Fructosamine and glycated albumin avoid dependence on erythrocyte lifespan, yet cirrhosis-related hypoalbuminaemia and altered protein turnover create their own biases, so neither is a universal replacement for HbA1c. Structured capillary profiles can reveal fasting versus postprandial patterns, and continuous glucose monitoring (CGM) can uncover nocturnal hypoglycaemia and glycaemic variability that averaged biomarkers conceal. The limitation is evidentiary rather than technological: cirrhosis-specific prospective studies have not yet established that conventional CGM targets predict hepatic decompensation or that intensifying treatment to achieve them improves liver outcomes (Boursier et al., 2021; Castera &amp; Cusi, 2023; Nadelson et al., 2016).</w:t>
      </w:r>
    </w:p>
    <w:p w14:paraId="2443BFCC" w14:textId="77777777" w:rsidR="008E1A0A" w:rsidRPr="00BF219E" w:rsidRDefault="00000000">
      <w:r w:rsidRPr="00BF219E">
        <w:t>Treatment targets should also be revisited after sentinel events rather than fixed indefinitely. Development of ascites, recurrent hepatic encephalopathy, acute kidney injury, infection, gastrointestinal bleeding, major weight loss, transjugular intrahepatic portosystemic shunt placement or transplant listing can alter insulin requirements and the safety of oral or injectable therapies. In advanced disease, a numerically impressive HbA1c may be less reassuring than a glucose profile showing stable concentrations without clinically important hypoglycaemia. Conversely, permissive hyperglycaemia should not become an automatic default because severe or symptomatic elevations contribute to dehydration, infection risk and catabolic stress. The defensible approach is calibrated control: use the least hazardous regimen that prevents symptomatic hyperglycaemia while preserving nutrition, cognition and functional reserve (American Diabetes Association Professional Practice Committee for Diabetes, 2026; Castera &amp; Cusi, 2023; Lisi et al., 2026).</w:t>
      </w:r>
    </w:p>
    <w:p w14:paraId="5621B911" w14:textId="77777777" w:rsidR="008E1A0A" w:rsidRPr="00BF219E" w:rsidRDefault="00000000">
      <w:r w:rsidRPr="00BF219E">
        <w:t>Table 2 compares the principal monitoring tools. No single marker is sufficient across all stages of cirrhosis. The most reliable strategy is triangulation: combine direct glucose measurements with awareness of test-specific bias and repeat assessment when clinical status changes.</w:t>
      </w:r>
    </w:p>
    <w:p w14:paraId="66C5B7B6" w14:textId="77777777" w:rsidR="008E1A0A" w:rsidRPr="00BF219E" w:rsidRDefault="00000000">
      <w:pPr>
        <w:pStyle w:val="TableCaption"/>
      </w:pPr>
      <w:r w:rsidRPr="00BF219E">
        <w:t>Table 2. Glycaemic assessment in liver cirrhosis: strengths, limitations and clinical use</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2031E6CC" w14:textId="77777777">
        <w:trPr>
          <w:tblHeader/>
          <w:jc w:val="center"/>
        </w:trPr>
        <w:tc>
          <w:tcPr>
            <w:tcW w:w="1584" w:type="dxa"/>
            <w:shd w:val="clear" w:color="auto" w:fill="D9E2F3"/>
            <w:tcMar>
              <w:top w:w="80" w:type="dxa"/>
              <w:left w:w="90" w:type="dxa"/>
              <w:bottom w:w="80" w:type="dxa"/>
              <w:right w:w="90" w:type="dxa"/>
            </w:tcMar>
            <w:vAlign w:val="center"/>
          </w:tcPr>
          <w:p w14:paraId="4A25A898" w14:textId="77777777" w:rsidR="008E1A0A" w:rsidRPr="00BF219E" w:rsidRDefault="00000000">
            <w:pPr>
              <w:jc w:val="center"/>
            </w:pPr>
            <w:r w:rsidRPr="00BF219E">
              <w:rPr>
                <w:b/>
                <w:sz w:val="17"/>
              </w:rPr>
              <w:t>Tool</w:t>
            </w:r>
          </w:p>
        </w:tc>
        <w:tc>
          <w:tcPr>
            <w:tcW w:w="2088" w:type="dxa"/>
            <w:shd w:val="clear" w:color="auto" w:fill="D9E2F3"/>
            <w:tcMar>
              <w:top w:w="80" w:type="dxa"/>
              <w:left w:w="90" w:type="dxa"/>
              <w:bottom w:w="80" w:type="dxa"/>
              <w:right w:w="90" w:type="dxa"/>
            </w:tcMar>
            <w:vAlign w:val="center"/>
          </w:tcPr>
          <w:p w14:paraId="21C1A324" w14:textId="77777777" w:rsidR="008E1A0A" w:rsidRPr="00BF219E" w:rsidRDefault="00000000">
            <w:pPr>
              <w:jc w:val="center"/>
            </w:pPr>
            <w:r w:rsidRPr="00BF219E">
              <w:rPr>
                <w:b/>
                <w:sz w:val="17"/>
              </w:rPr>
              <w:t>Principal value</w:t>
            </w:r>
          </w:p>
        </w:tc>
        <w:tc>
          <w:tcPr>
            <w:tcW w:w="2376" w:type="dxa"/>
            <w:shd w:val="clear" w:color="auto" w:fill="D9E2F3"/>
            <w:tcMar>
              <w:top w:w="80" w:type="dxa"/>
              <w:left w:w="90" w:type="dxa"/>
              <w:bottom w:w="80" w:type="dxa"/>
              <w:right w:w="90" w:type="dxa"/>
            </w:tcMar>
            <w:vAlign w:val="center"/>
          </w:tcPr>
          <w:p w14:paraId="1C9C6057" w14:textId="77777777" w:rsidR="008E1A0A" w:rsidRPr="00BF219E" w:rsidRDefault="00000000">
            <w:pPr>
              <w:jc w:val="center"/>
            </w:pPr>
            <w:r w:rsidRPr="00BF219E">
              <w:rPr>
                <w:b/>
                <w:sz w:val="17"/>
              </w:rPr>
              <w:t>Cirrhosis-specific limitation</w:t>
            </w:r>
          </w:p>
        </w:tc>
        <w:tc>
          <w:tcPr>
            <w:tcW w:w="2160" w:type="dxa"/>
            <w:shd w:val="clear" w:color="auto" w:fill="D9E2F3"/>
            <w:tcMar>
              <w:top w:w="80" w:type="dxa"/>
              <w:left w:w="90" w:type="dxa"/>
              <w:bottom w:w="80" w:type="dxa"/>
              <w:right w:w="90" w:type="dxa"/>
            </w:tcMar>
            <w:vAlign w:val="center"/>
          </w:tcPr>
          <w:p w14:paraId="3628AF4A" w14:textId="77777777" w:rsidR="008E1A0A" w:rsidRPr="00BF219E" w:rsidRDefault="00000000">
            <w:pPr>
              <w:jc w:val="center"/>
            </w:pPr>
            <w:r w:rsidRPr="00BF219E">
              <w:rPr>
                <w:b/>
                <w:sz w:val="17"/>
              </w:rPr>
              <w:t>Best use</w:t>
            </w:r>
          </w:p>
        </w:tc>
        <w:tc>
          <w:tcPr>
            <w:tcW w:w="1800" w:type="dxa"/>
            <w:shd w:val="clear" w:color="auto" w:fill="D9E2F3"/>
            <w:tcMar>
              <w:top w:w="80" w:type="dxa"/>
              <w:left w:w="90" w:type="dxa"/>
              <w:bottom w:w="80" w:type="dxa"/>
              <w:right w:w="90" w:type="dxa"/>
            </w:tcMar>
            <w:vAlign w:val="center"/>
          </w:tcPr>
          <w:p w14:paraId="51D980E0" w14:textId="77777777" w:rsidR="008E1A0A" w:rsidRPr="00BF219E" w:rsidRDefault="00000000">
            <w:pPr>
              <w:jc w:val="center"/>
            </w:pPr>
            <w:r w:rsidRPr="00BF219E">
              <w:rPr>
                <w:b/>
                <w:sz w:val="17"/>
              </w:rPr>
              <w:t>Supporting references</w:t>
            </w:r>
          </w:p>
        </w:tc>
      </w:tr>
      <w:tr w:rsidR="00BF219E" w:rsidRPr="00BF219E" w14:paraId="099A6782" w14:textId="77777777">
        <w:trPr>
          <w:jc w:val="center"/>
        </w:trPr>
        <w:tc>
          <w:tcPr>
            <w:tcW w:w="1584" w:type="dxa"/>
            <w:tcMar>
              <w:top w:w="80" w:type="dxa"/>
              <w:left w:w="90" w:type="dxa"/>
              <w:bottom w:w="80" w:type="dxa"/>
              <w:right w:w="90" w:type="dxa"/>
            </w:tcMar>
            <w:vAlign w:val="center"/>
          </w:tcPr>
          <w:p w14:paraId="356FD649" w14:textId="77777777" w:rsidR="008E1A0A" w:rsidRPr="00BF219E" w:rsidRDefault="00000000">
            <w:pPr>
              <w:spacing w:after="0" w:line="240" w:lineRule="auto"/>
            </w:pPr>
            <w:r w:rsidRPr="00BF219E">
              <w:rPr>
                <w:sz w:val="16"/>
              </w:rPr>
              <w:t>Fasting plasma glucose</w:t>
            </w:r>
          </w:p>
        </w:tc>
        <w:tc>
          <w:tcPr>
            <w:tcW w:w="2088" w:type="dxa"/>
            <w:tcMar>
              <w:top w:w="80" w:type="dxa"/>
              <w:left w:w="90" w:type="dxa"/>
              <w:bottom w:w="80" w:type="dxa"/>
              <w:right w:w="90" w:type="dxa"/>
            </w:tcMar>
            <w:vAlign w:val="center"/>
          </w:tcPr>
          <w:p w14:paraId="1E7C6E83" w14:textId="77777777" w:rsidR="008E1A0A" w:rsidRPr="00BF219E" w:rsidRDefault="00000000">
            <w:pPr>
              <w:spacing w:after="0" w:line="240" w:lineRule="auto"/>
            </w:pPr>
            <w:r w:rsidRPr="00BF219E">
              <w:rPr>
                <w:sz w:val="16"/>
              </w:rPr>
              <w:t>Simple diagnostic and monitoring measure.</w:t>
            </w:r>
          </w:p>
        </w:tc>
        <w:tc>
          <w:tcPr>
            <w:tcW w:w="2376" w:type="dxa"/>
            <w:tcMar>
              <w:top w:w="80" w:type="dxa"/>
              <w:left w:w="90" w:type="dxa"/>
              <w:bottom w:w="80" w:type="dxa"/>
              <w:right w:w="90" w:type="dxa"/>
            </w:tcMar>
            <w:vAlign w:val="center"/>
          </w:tcPr>
          <w:p w14:paraId="26A84FB7" w14:textId="77777777" w:rsidR="008E1A0A" w:rsidRPr="00BF219E" w:rsidRDefault="00000000">
            <w:pPr>
              <w:spacing w:after="0" w:line="240" w:lineRule="auto"/>
            </w:pPr>
            <w:r w:rsidRPr="00BF219E">
              <w:rPr>
                <w:sz w:val="16"/>
              </w:rPr>
              <w:t>May be low or normal despite marked postprandial dysglycaemia.</w:t>
            </w:r>
          </w:p>
        </w:tc>
        <w:tc>
          <w:tcPr>
            <w:tcW w:w="2160" w:type="dxa"/>
            <w:tcMar>
              <w:top w:w="80" w:type="dxa"/>
              <w:left w:w="90" w:type="dxa"/>
              <w:bottom w:w="80" w:type="dxa"/>
              <w:right w:w="90" w:type="dxa"/>
            </w:tcMar>
            <w:vAlign w:val="center"/>
          </w:tcPr>
          <w:p w14:paraId="2206D4D5" w14:textId="77777777" w:rsidR="008E1A0A" w:rsidRPr="00BF219E" w:rsidRDefault="00000000">
            <w:pPr>
              <w:spacing w:after="0" w:line="240" w:lineRule="auto"/>
            </w:pPr>
            <w:r w:rsidRPr="00BF219E">
              <w:rPr>
                <w:sz w:val="16"/>
              </w:rPr>
              <w:t>Initial screening; interpret with postprandial data when suspicion persists.</w:t>
            </w:r>
          </w:p>
        </w:tc>
        <w:tc>
          <w:tcPr>
            <w:tcW w:w="1800" w:type="dxa"/>
            <w:tcMar>
              <w:top w:w="80" w:type="dxa"/>
              <w:left w:w="90" w:type="dxa"/>
              <w:bottom w:w="80" w:type="dxa"/>
              <w:right w:w="90" w:type="dxa"/>
            </w:tcMar>
            <w:vAlign w:val="center"/>
          </w:tcPr>
          <w:p w14:paraId="7B1FAF70" w14:textId="77777777" w:rsidR="008E1A0A" w:rsidRPr="00BF219E" w:rsidRDefault="00000000">
            <w:pPr>
              <w:spacing w:after="0" w:line="240" w:lineRule="auto"/>
            </w:pPr>
            <w:r w:rsidRPr="00BF219E">
              <w:rPr>
                <w:sz w:val="16"/>
              </w:rPr>
              <w:t>(Maji et al., 2024; Nishida, 2017)</w:t>
            </w:r>
          </w:p>
        </w:tc>
      </w:tr>
      <w:tr w:rsidR="00BF219E" w:rsidRPr="00480E24" w14:paraId="0A601F58" w14:textId="77777777">
        <w:trPr>
          <w:jc w:val="center"/>
        </w:trPr>
        <w:tc>
          <w:tcPr>
            <w:tcW w:w="1584" w:type="dxa"/>
            <w:tcMar>
              <w:top w:w="80" w:type="dxa"/>
              <w:left w:w="90" w:type="dxa"/>
              <w:bottom w:w="80" w:type="dxa"/>
              <w:right w:w="90" w:type="dxa"/>
            </w:tcMar>
            <w:vAlign w:val="center"/>
          </w:tcPr>
          <w:p w14:paraId="0381979C" w14:textId="77777777" w:rsidR="008E1A0A" w:rsidRPr="00BF219E" w:rsidRDefault="00000000">
            <w:pPr>
              <w:spacing w:after="0" w:line="240" w:lineRule="auto"/>
            </w:pPr>
            <w:r w:rsidRPr="00BF219E">
              <w:rPr>
                <w:sz w:val="16"/>
              </w:rPr>
              <w:lastRenderedPageBreak/>
              <w:t>HbA1c</w:t>
            </w:r>
          </w:p>
        </w:tc>
        <w:tc>
          <w:tcPr>
            <w:tcW w:w="2088" w:type="dxa"/>
            <w:tcMar>
              <w:top w:w="80" w:type="dxa"/>
              <w:left w:w="90" w:type="dxa"/>
              <w:bottom w:w="80" w:type="dxa"/>
              <w:right w:w="90" w:type="dxa"/>
            </w:tcMar>
            <w:vAlign w:val="center"/>
          </w:tcPr>
          <w:p w14:paraId="1DA1E3B0" w14:textId="77777777" w:rsidR="008E1A0A" w:rsidRPr="00BF219E" w:rsidRDefault="00000000">
            <w:pPr>
              <w:spacing w:after="0" w:line="240" w:lineRule="auto"/>
            </w:pPr>
            <w:r w:rsidRPr="00BF219E">
              <w:rPr>
                <w:sz w:val="16"/>
              </w:rPr>
              <w:t>Reflects average glycaemia over preceding months in usual diabetes care.</w:t>
            </w:r>
          </w:p>
        </w:tc>
        <w:tc>
          <w:tcPr>
            <w:tcW w:w="2376" w:type="dxa"/>
            <w:tcMar>
              <w:top w:w="80" w:type="dxa"/>
              <w:left w:w="90" w:type="dxa"/>
              <w:bottom w:w="80" w:type="dxa"/>
              <w:right w:w="90" w:type="dxa"/>
            </w:tcMar>
            <w:vAlign w:val="center"/>
          </w:tcPr>
          <w:p w14:paraId="66A88A43" w14:textId="77777777" w:rsidR="008E1A0A" w:rsidRPr="00BF219E" w:rsidRDefault="00000000">
            <w:pPr>
              <w:spacing w:after="0" w:line="240" w:lineRule="auto"/>
            </w:pPr>
            <w:r w:rsidRPr="00BF219E">
              <w:rPr>
                <w:sz w:val="16"/>
              </w:rPr>
              <w:t>Can be falsely low with anaemia, hypersplenism, bleeding, transfusion or shortened erythrocyte survival.</w:t>
            </w:r>
          </w:p>
        </w:tc>
        <w:tc>
          <w:tcPr>
            <w:tcW w:w="2160" w:type="dxa"/>
            <w:tcMar>
              <w:top w:w="80" w:type="dxa"/>
              <w:left w:w="90" w:type="dxa"/>
              <w:bottom w:w="80" w:type="dxa"/>
              <w:right w:w="90" w:type="dxa"/>
            </w:tcMar>
            <w:vAlign w:val="center"/>
          </w:tcPr>
          <w:p w14:paraId="6ACD1670" w14:textId="77777777" w:rsidR="008E1A0A" w:rsidRPr="00BF219E" w:rsidRDefault="00000000">
            <w:pPr>
              <w:spacing w:after="0" w:line="240" w:lineRule="auto"/>
            </w:pPr>
            <w:r w:rsidRPr="00BF219E">
              <w:rPr>
                <w:sz w:val="16"/>
              </w:rPr>
              <w:t>Useful when haematological status is stable; do not use alone in decompensated cirrhosis.</w:t>
            </w:r>
          </w:p>
        </w:tc>
        <w:tc>
          <w:tcPr>
            <w:tcW w:w="1800" w:type="dxa"/>
            <w:tcMar>
              <w:top w:w="80" w:type="dxa"/>
              <w:left w:w="90" w:type="dxa"/>
              <w:bottom w:w="80" w:type="dxa"/>
              <w:right w:w="90" w:type="dxa"/>
            </w:tcMar>
            <w:vAlign w:val="center"/>
          </w:tcPr>
          <w:p w14:paraId="58E2A851" w14:textId="77777777" w:rsidR="008E1A0A" w:rsidRPr="00480E24" w:rsidRDefault="00000000">
            <w:pPr>
              <w:spacing w:after="0" w:line="240" w:lineRule="auto"/>
              <w:rPr>
                <w:lang w:val="nl-BE"/>
              </w:rPr>
            </w:pPr>
            <w:r w:rsidRPr="00480E24">
              <w:rPr>
                <w:sz w:val="16"/>
                <w:lang w:val="nl-BE"/>
              </w:rPr>
              <w:t>(Nadelson et al., 2016; Puri &amp; Kotwal, 2022)</w:t>
            </w:r>
          </w:p>
        </w:tc>
      </w:tr>
      <w:tr w:rsidR="00BF219E" w:rsidRPr="00BF219E" w14:paraId="700401A2" w14:textId="77777777">
        <w:trPr>
          <w:jc w:val="center"/>
        </w:trPr>
        <w:tc>
          <w:tcPr>
            <w:tcW w:w="1584" w:type="dxa"/>
            <w:tcMar>
              <w:top w:w="80" w:type="dxa"/>
              <w:left w:w="90" w:type="dxa"/>
              <w:bottom w:w="80" w:type="dxa"/>
              <w:right w:w="90" w:type="dxa"/>
            </w:tcMar>
            <w:vAlign w:val="center"/>
          </w:tcPr>
          <w:p w14:paraId="249F265F" w14:textId="77777777" w:rsidR="008E1A0A" w:rsidRPr="00BF219E" w:rsidRDefault="00000000">
            <w:pPr>
              <w:spacing w:after="0" w:line="240" w:lineRule="auto"/>
            </w:pPr>
            <w:r w:rsidRPr="00BF219E">
              <w:rPr>
                <w:sz w:val="16"/>
              </w:rPr>
              <w:t>75-g OGTT</w:t>
            </w:r>
          </w:p>
        </w:tc>
        <w:tc>
          <w:tcPr>
            <w:tcW w:w="2088" w:type="dxa"/>
            <w:tcMar>
              <w:top w:w="80" w:type="dxa"/>
              <w:left w:w="90" w:type="dxa"/>
              <w:bottom w:w="80" w:type="dxa"/>
              <w:right w:w="90" w:type="dxa"/>
            </w:tcMar>
            <w:vAlign w:val="center"/>
          </w:tcPr>
          <w:p w14:paraId="088FD538" w14:textId="77777777" w:rsidR="008E1A0A" w:rsidRPr="00BF219E" w:rsidRDefault="00000000">
            <w:pPr>
              <w:spacing w:after="0" w:line="240" w:lineRule="auto"/>
            </w:pPr>
            <w:r w:rsidRPr="00BF219E">
              <w:rPr>
                <w:sz w:val="16"/>
              </w:rPr>
              <w:t>Detects impaired glucose tolerance and post-challenge diabetes missed by fasting tests.</w:t>
            </w:r>
          </w:p>
        </w:tc>
        <w:tc>
          <w:tcPr>
            <w:tcW w:w="2376" w:type="dxa"/>
            <w:tcMar>
              <w:top w:w="80" w:type="dxa"/>
              <w:left w:w="90" w:type="dxa"/>
              <w:bottom w:w="80" w:type="dxa"/>
              <w:right w:w="90" w:type="dxa"/>
            </w:tcMar>
            <w:vAlign w:val="center"/>
          </w:tcPr>
          <w:p w14:paraId="10F37C7F" w14:textId="77777777" w:rsidR="008E1A0A" w:rsidRPr="00BF219E" w:rsidRDefault="00000000">
            <w:pPr>
              <w:spacing w:after="0" w:line="240" w:lineRule="auto"/>
            </w:pPr>
            <w:r w:rsidRPr="00BF219E">
              <w:rPr>
                <w:sz w:val="16"/>
              </w:rPr>
              <w:t>Time-consuming; affected by acute illness and not suitable for unstable inpatients.</w:t>
            </w:r>
          </w:p>
        </w:tc>
        <w:tc>
          <w:tcPr>
            <w:tcW w:w="2160" w:type="dxa"/>
            <w:tcMar>
              <w:top w:w="80" w:type="dxa"/>
              <w:left w:w="90" w:type="dxa"/>
              <w:bottom w:w="80" w:type="dxa"/>
              <w:right w:w="90" w:type="dxa"/>
            </w:tcMar>
            <w:vAlign w:val="center"/>
          </w:tcPr>
          <w:p w14:paraId="67FBBB9F" w14:textId="77777777" w:rsidR="008E1A0A" w:rsidRPr="00BF219E" w:rsidRDefault="00000000">
            <w:pPr>
              <w:spacing w:after="0" w:line="240" w:lineRule="auto"/>
            </w:pPr>
            <w:r w:rsidRPr="00BF219E">
              <w:rPr>
                <w:sz w:val="16"/>
              </w:rPr>
              <w:t>Suspected hepatogenous diabetes or discordant fasting glucose/HbA1c in stable patients.</w:t>
            </w:r>
          </w:p>
        </w:tc>
        <w:tc>
          <w:tcPr>
            <w:tcW w:w="1800" w:type="dxa"/>
            <w:tcMar>
              <w:top w:w="80" w:type="dxa"/>
              <w:left w:w="90" w:type="dxa"/>
              <w:bottom w:w="80" w:type="dxa"/>
              <w:right w:w="90" w:type="dxa"/>
            </w:tcMar>
            <w:vAlign w:val="center"/>
          </w:tcPr>
          <w:p w14:paraId="3F59B866" w14:textId="77777777" w:rsidR="008E1A0A" w:rsidRPr="00BF219E" w:rsidRDefault="00000000">
            <w:pPr>
              <w:spacing w:after="0" w:line="240" w:lineRule="auto"/>
            </w:pPr>
            <w:r w:rsidRPr="00BF219E">
              <w:rPr>
                <w:sz w:val="16"/>
              </w:rPr>
              <w:t>(Maji et al., 2024; Nishida, 2017)</w:t>
            </w:r>
          </w:p>
        </w:tc>
      </w:tr>
      <w:tr w:rsidR="00BF219E" w:rsidRPr="00BF219E" w14:paraId="72552682" w14:textId="77777777">
        <w:trPr>
          <w:jc w:val="center"/>
        </w:trPr>
        <w:tc>
          <w:tcPr>
            <w:tcW w:w="1584" w:type="dxa"/>
            <w:tcMar>
              <w:top w:w="80" w:type="dxa"/>
              <w:left w:w="90" w:type="dxa"/>
              <w:bottom w:w="80" w:type="dxa"/>
              <w:right w:w="90" w:type="dxa"/>
            </w:tcMar>
            <w:vAlign w:val="center"/>
          </w:tcPr>
          <w:p w14:paraId="64BFA939" w14:textId="77777777" w:rsidR="008E1A0A" w:rsidRPr="00BF219E" w:rsidRDefault="00000000">
            <w:pPr>
              <w:spacing w:after="0" w:line="240" w:lineRule="auto"/>
            </w:pPr>
            <w:r w:rsidRPr="00BF219E">
              <w:rPr>
                <w:sz w:val="16"/>
              </w:rPr>
              <w:t>Capillary SMBG</w:t>
            </w:r>
          </w:p>
        </w:tc>
        <w:tc>
          <w:tcPr>
            <w:tcW w:w="2088" w:type="dxa"/>
            <w:tcMar>
              <w:top w:w="80" w:type="dxa"/>
              <w:left w:w="90" w:type="dxa"/>
              <w:bottom w:w="80" w:type="dxa"/>
              <w:right w:w="90" w:type="dxa"/>
            </w:tcMar>
            <w:vAlign w:val="center"/>
          </w:tcPr>
          <w:p w14:paraId="27CBD5D6" w14:textId="77777777" w:rsidR="008E1A0A" w:rsidRPr="00BF219E" w:rsidRDefault="00000000">
            <w:pPr>
              <w:spacing w:after="0" w:line="240" w:lineRule="auto"/>
            </w:pPr>
            <w:r w:rsidRPr="00BF219E">
              <w:rPr>
                <w:sz w:val="16"/>
              </w:rPr>
              <w:t>Direct, actionable glucose values linked to meals and medication.</w:t>
            </w:r>
          </w:p>
        </w:tc>
        <w:tc>
          <w:tcPr>
            <w:tcW w:w="2376" w:type="dxa"/>
            <w:tcMar>
              <w:top w:w="80" w:type="dxa"/>
              <w:left w:w="90" w:type="dxa"/>
              <w:bottom w:w="80" w:type="dxa"/>
              <w:right w:w="90" w:type="dxa"/>
            </w:tcMar>
            <w:vAlign w:val="center"/>
          </w:tcPr>
          <w:p w14:paraId="51D73C52" w14:textId="77777777" w:rsidR="008E1A0A" w:rsidRPr="00BF219E" w:rsidRDefault="00000000">
            <w:pPr>
              <w:spacing w:after="0" w:line="240" w:lineRule="auto"/>
            </w:pPr>
            <w:r w:rsidRPr="00BF219E">
              <w:rPr>
                <w:sz w:val="16"/>
              </w:rPr>
              <w:t>Intermittent sampling can miss nocturnal or postprandial excursions.</w:t>
            </w:r>
          </w:p>
        </w:tc>
        <w:tc>
          <w:tcPr>
            <w:tcW w:w="2160" w:type="dxa"/>
            <w:tcMar>
              <w:top w:w="80" w:type="dxa"/>
              <w:left w:w="90" w:type="dxa"/>
              <w:bottom w:w="80" w:type="dxa"/>
              <w:right w:w="90" w:type="dxa"/>
            </w:tcMar>
            <w:vAlign w:val="center"/>
          </w:tcPr>
          <w:p w14:paraId="4931FDDD" w14:textId="77777777" w:rsidR="008E1A0A" w:rsidRPr="00BF219E" w:rsidRDefault="00000000">
            <w:pPr>
              <w:spacing w:after="0" w:line="240" w:lineRule="auto"/>
            </w:pPr>
            <w:r w:rsidRPr="00BF219E">
              <w:rPr>
                <w:sz w:val="16"/>
              </w:rPr>
              <w:t>Insulin or secretagogue therapy; acute changes in intake or clinical status.</w:t>
            </w:r>
          </w:p>
        </w:tc>
        <w:tc>
          <w:tcPr>
            <w:tcW w:w="1800" w:type="dxa"/>
            <w:tcMar>
              <w:top w:w="80" w:type="dxa"/>
              <w:left w:w="90" w:type="dxa"/>
              <w:bottom w:w="80" w:type="dxa"/>
              <w:right w:w="90" w:type="dxa"/>
            </w:tcMar>
            <w:vAlign w:val="center"/>
          </w:tcPr>
          <w:p w14:paraId="1DE4EC97" w14:textId="77777777" w:rsidR="008E1A0A" w:rsidRPr="00BF219E" w:rsidRDefault="00000000">
            <w:pPr>
              <w:spacing w:after="0" w:line="240" w:lineRule="auto"/>
            </w:pPr>
            <w:r w:rsidRPr="00BF219E">
              <w:rPr>
                <w:sz w:val="16"/>
              </w:rPr>
              <w:t>(Boursier et al., 2021; Castera &amp; Cusi, 2023)</w:t>
            </w:r>
          </w:p>
        </w:tc>
      </w:tr>
      <w:tr w:rsidR="00BF219E" w:rsidRPr="00BF219E" w14:paraId="08CF8D02" w14:textId="77777777">
        <w:trPr>
          <w:jc w:val="center"/>
        </w:trPr>
        <w:tc>
          <w:tcPr>
            <w:tcW w:w="1584" w:type="dxa"/>
            <w:tcMar>
              <w:top w:w="80" w:type="dxa"/>
              <w:left w:w="90" w:type="dxa"/>
              <w:bottom w:w="80" w:type="dxa"/>
              <w:right w:w="90" w:type="dxa"/>
            </w:tcMar>
            <w:vAlign w:val="center"/>
          </w:tcPr>
          <w:p w14:paraId="47B33845" w14:textId="77777777" w:rsidR="008E1A0A" w:rsidRPr="00BF219E" w:rsidRDefault="00000000">
            <w:pPr>
              <w:spacing w:after="0" w:line="240" w:lineRule="auto"/>
            </w:pPr>
            <w:r w:rsidRPr="00BF219E">
              <w:rPr>
                <w:sz w:val="16"/>
              </w:rPr>
              <w:t>CGM</w:t>
            </w:r>
          </w:p>
        </w:tc>
        <w:tc>
          <w:tcPr>
            <w:tcW w:w="2088" w:type="dxa"/>
            <w:tcMar>
              <w:top w:w="80" w:type="dxa"/>
              <w:left w:w="90" w:type="dxa"/>
              <w:bottom w:w="80" w:type="dxa"/>
              <w:right w:w="90" w:type="dxa"/>
            </w:tcMar>
            <w:vAlign w:val="center"/>
          </w:tcPr>
          <w:p w14:paraId="41829066" w14:textId="77777777" w:rsidR="008E1A0A" w:rsidRPr="00BF219E" w:rsidRDefault="00000000">
            <w:pPr>
              <w:spacing w:after="0" w:line="240" w:lineRule="auto"/>
            </w:pPr>
            <w:r w:rsidRPr="00BF219E">
              <w:rPr>
                <w:sz w:val="16"/>
              </w:rPr>
              <w:t>Profiles variability, nocturnal hypoglycaemia and postprandial excursions.</w:t>
            </w:r>
          </w:p>
        </w:tc>
        <w:tc>
          <w:tcPr>
            <w:tcW w:w="2376" w:type="dxa"/>
            <w:tcMar>
              <w:top w:w="80" w:type="dxa"/>
              <w:left w:w="90" w:type="dxa"/>
              <w:bottom w:w="80" w:type="dxa"/>
              <w:right w:w="90" w:type="dxa"/>
            </w:tcMar>
            <w:vAlign w:val="center"/>
          </w:tcPr>
          <w:p w14:paraId="48EA7105" w14:textId="77777777" w:rsidR="008E1A0A" w:rsidRPr="00BF219E" w:rsidRDefault="00000000">
            <w:pPr>
              <w:spacing w:after="0" w:line="240" w:lineRule="auto"/>
            </w:pPr>
            <w:r w:rsidRPr="00BF219E">
              <w:rPr>
                <w:sz w:val="16"/>
              </w:rPr>
              <w:t>Cirrhosis-specific outcome targets are not validated; device performance may vary during oedema or acute illness.</w:t>
            </w:r>
          </w:p>
        </w:tc>
        <w:tc>
          <w:tcPr>
            <w:tcW w:w="2160" w:type="dxa"/>
            <w:tcMar>
              <w:top w:w="80" w:type="dxa"/>
              <w:left w:w="90" w:type="dxa"/>
              <w:bottom w:w="80" w:type="dxa"/>
              <w:right w:w="90" w:type="dxa"/>
            </w:tcMar>
            <w:vAlign w:val="center"/>
          </w:tcPr>
          <w:p w14:paraId="64FEB018" w14:textId="77777777" w:rsidR="008E1A0A" w:rsidRPr="00BF219E" w:rsidRDefault="00000000">
            <w:pPr>
              <w:spacing w:after="0" w:line="240" w:lineRule="auto"/>
            </w:pPr>
            <w:r w:rsidRPr="00BF219E">
              <w:rPr>
                <w:sz w:val="16"/>
              </w:rPr>
              <w:t>Selected high-risk patients with recurrent or unrecognised hypoglycaemia and complex insulin regimens.</w:t>
            </w:r>
          </w:p>
        </w:tc>
        <w:tc>
          <w:tcPr>
            <w:tcW w:w="1800" w:type="dxa"/>
            <w:tcMar>
              <w:top w:w="80" w:type="dxa"/>
              <w:left w:w="90" w:type="dxa"/>
              <w:bottom w:w="80" w:type="dxa"/>
              <w:right w:w="90" w:type="dxa"/>
            </w:tcMar>
            <w:vAlign w:val="center"/>
          </w:tcPr>
          <w:p w14:paraId="19B67C69" w14:textId="77777777" w:rsidR="008E1A0A" w:rsidRPr="00BF219E" w:rsidRDefault="00000000">
            <w:pPr>
              <w:spacing w:after="0" w:line="240" w:lineRule="auto"/>
            </w:pPr>
            <w:r w:rsidRPr="00BF219E">
              <w:rPr>
                <w:sz w:val="16"/>
              </w:rPr>
              <w:t>(Castera &amp; Cusi, 2023; Lisi et al., 2026)</w:t>
            </w:r>
          </w:p>
        </w:tc>
      </w:tr>
      <w:tr w:rsidR="00BF219E" w:rsidRPr="00BF219E" w14:paraId="14F34E8E" w14:textId="77777777">
        <w:trPr>
          <w:jc w:val="center"/>
        </w:trPr>
        <w:tc>
          <w:tcPr>
            <w:tcW w:w="1584" w:type="dxa"/>
            <w:tcMar>
              <w:top w:w="80" w:type="dxa"/>
              <w:left w:w="90" w:type="dxa"/>
              <w:bottom w:w="80" w:type="dxa"/>
              <w:right w:w="90" w:type="dxa"/>
            </w:tcMar>
            <w:vAlign w:val="center"/>
          </w:tcPr>
          <w:p w14:paraId="1D61366F" w14:textId="77777777" w:rsidR="008E1A0A" w:rsidRPr="00BF219E" w:rsidRDefault="00000000">
            <w:pPr>
              <w:spacing w:after="0" w:line="240" w:lineRule="auto"/>
            </w:pPr>
            <w:proofErr w:type="spellStart"/>
            <w:r w:rsidRPr="00BF219E">
              <w:rPr>
                <w:sz w:val="16"/>
              </w:rPr>
              <w:t>Fructosamine</w:t>
            </w:r>
            <w:proofErr w:type="spellEnd"/>
            <w:r w:rsidRPr="00BF219E">
              <w:rPr>
                <w:sz w:val="16"/>
              </w:rPr>
              <w:t xml:space="preserve"> / glycated albumin</w:t>
            </w:r>
          </w:p>
        </w:tc>
        <w:tc>
          <w:tcPr>
            <w:tcW w:w="2088" w:type="dxa"/>
            <w:tcMar>
              <w:top w:w="80" w:type="dxa"/>
              <w:left w:w="90" w:type="dxa"/>
              <w:bottom w:w="80" w:type="dxa"/>
              <w:right w:w="90" w:type="dxa"/>
            </w:tcMar>
            <w:vAlign w:val="center"/>
          </w:tcPr>
          <w:p w14:paraId="3571F659" w14:textId="77777777" w:rsidR="008E1A0A" w:rsidRPr="00BF219E" w:rsidRDefault="00000000">
            <w:pPr>
              <w:spacing w:after="0" w:line="240" w:lineRule="auto"/>
            </w:pPr>
            <w:r w:rsidRPr="00BF219E">
              <w:rPr>
                <w:sz w:val="16"/>
              </w:rPr>
              <w:t>Independent of erythrocyte lifespan.</w:t>
            </w:r>
          </w:p>
        </w:tc>
        <w:tc>
          <w:tcPr>
            <w:tcW w:w="2376" w:type="dxa"/>
            <w:tcMar>
              <w:top w:w="80" w:type="dxa"/>
              <w:left w:w="90" w:type="dxa"/>
              <w:bottom w:w="80" w:type="dxa"/>
              <w:right w:w="90" w:type="dxa"/>
            </w:tcMar>
            <w:vAlign w:val="center"/>
          </w:tcPr>
          <w:p w14:paraId="70048CBF" w14:textId="77777777" w:rsidR="008E1A0A" w:rsidRPr="00BF219E" w:rsidRDefault="00000000">
            <w:pPr>
              <w:spacing w:after="0" w:line="240" w:lineRule="auto"/>
            </w:pPr>
            <w:r w:rsidRPr="00BF219E">
              <w:rPr>
                <w:sz w:val="16"/>
              </w:rPr>
              <w:t>Affected by altered albumin concentration and turnover; limited cirrhosis-specific targets.</w:t>
            </w:r>
          </w:p>
        </w:tc>
        <w:tc>
          <w:tcPr>
            <w:tcW w:w="2160" w:type="dxa"/>
            <w:tcMar>
              <w:top w:w="80" w:type="dxa"/>
              <w:left w:w="90" w:type="dxa"/>
              <w:bottom w:w="80" w:type="dxa"/>
              <w:right w:w="90" w:type="dxa"/>
            </w:tcMar>
            <w:vAlign w:val="center"/>
          </w:tcPr>
          <w:p w14:paraId="7998621C" w14:textId="77777777" w:rsidR="008E1A0A" w:rsidRPr="00BF219E" w:rsidRDefault="00000000">
            <w:pPr>
              <w:spacing w:after="0" w:line="240" w:lineRule="auto"/>
            </w:pPr>
            <w:r w:rsidRPr="00BF219E">
              <w:rPr>
                <w:sz w:val="16"/>
              </w:rPr>
              <w:t>Adjunct when HbA1c is uninterpretable and albumin status is sufficiently stable.</w:t>
            </w:r>
          </w:p>
        </w:tc>
        <w:tc>
          <w:tcPr>
            <w:tcW w:w="1800" w:type="dxa"/>
            <w:tcMar>
              <w:top w:w="80" w:type="dxa"/>
              <w:left w:w="90" w:type="dxa"/>
              <w:bottom w:w="80" w:type="dxa"/>
              <w:right w:w="90" w:type="dxa"/>
            </w:tcMar>
            <w:vAlign w:val="center"/>
          </w:tcPr>
          <w:p w14:paraId="65F8CD92" w14:textId="77777777" w:rsidR="008E1A0A" w:rsidRPr="00BF219E" w:rsidRDefault="00000000">
            <w:pPr>
              <w:spacing w:after="0" w:line="240" w:lineRule="auto"/>
            </w:pPr>
            <w:r w:rsidRPr="00BF219E">
              <w:rPr>
                <w:sz w:val="16"/>
              </w:rPr>
              <w:t>(Boursier et al., 2021; Castera &amp; Cusi, 2023)</w:t>
            </w:r>
          </w:p>
        </w:tc>
      </w:tr>
    </w:tbl>
    <w:p w14:paraId="5519625F" w14:textId="77777777" w:rsidR="008E1A0A" w:rsidRPr="00BF219E" w:rsidRDefault="00000000">
      <w:pPr>
        <w:pStyle w:val="TableNote"/>
      </w:pPr>
      <w:r w:rsidRPr="00BF219E">
        <w:t>Note. CGM = continuous glucose monitoring; HbA1c = glycated haemoglobin; OGTT = oral glucose tolerance test; SMBG = self-monitoring of blood glucose.</w:t>
      </w:r>
    </w:p>
    <w:p w14:paraId="49DFA69C" w14:textId="77777777" w:rsidR="008E1A0A" w:rsidRPr="00BF219E" w:rsidRDefault="00000000">
      <w:pPr>
        <w:pStyle w:val="Heading1"/>
        <w:rPr>
          <w:color w:val="auto"/>
        </w:rPr>
      </w:pPr>
      <w:r w:rsidRPr="00BF219E">
        <w:rPr>
          <w:color w:val="auto"/>
        </w:rPr>
        <w:t>5. Prognostic Significance: What Diabetes Changes in Cirrhosis</w:t>
      </w:r>
    </w:p>
    <w:p w14:paraId="24078F2E" w14:textId="77777777" w:rsidR="008E1A0A" w:rsidRPr="00BF219E" w:rsidRDefault="00000000">
      <w:r w:rsidRPr="00BF219E">
        <w:t>Diabetes is consistently associated with a less favourable clinical course in cirrhosis, but the strength and mechanism of individual associations vary. In compensated hepatitis C virus-related cirrhosis, Calzadilla-Bertot et al. (2016) found that diabetes and marked insulin resistance were independently associated with decompensation and death or transplantation. Such data support prognostic relevance, but aetiology-specific cohorts from the pre-direct-acting antiviral era should not be assumed to provide identical risk estimates in modern MASLD-related cirrhosis. A more defensible conclusion is that dysglycaemia identifies a population with added metabolic and hepatic vulnerability, while the magnitude of risk depends on liver severity, aetiology and comorbidity.</w:t>
      </w:r>
    </w:p>
    <w:p w14:paraId="510CAFC0" w14:textId="77777777" w:rsidR="008E1A0A" w:rsidRPr="00BF219E" w:rsidRDefault="00000000">
      <w:r w:rsidRPr="00BF219E">
        <w:t>The association with hepatic encephalopathy (HE) is among the most reproducible liver-specific signals. In patients with cirrhosis and ascites, diabetes increased the risk of first overt HE in analyses that adjusted for liver severity and other covariates (Jepsen et al., 2015). A prospective cohort likewise associated diabetes with covert HE at baseline and subsequent overt HE (Labenz et al., 2020). More recently, diabetes was independently associated with HE after transjugular intrahepatic portosystemic shunt (TIPS) placement (Spaan et al., 2026). Proposed explanations include constipation and altered gut transit, hyperammonaemia, systemic inflammation, sarcopenia and reduced skeletal-muscle ammonia disposal. These mechanisms are plausible, but current evidence still shows association rather than proof that tighter glycaemic control prevents HE.</w:t>
      </w:r>
    </w:p>
    <w:p w14:paraId="6EBF42FF" w14:textId="77777777" w:rsidR="008E1A0A" w:rsidRPr="00BF219E" w:rsidRDefault="00000000">
      <w:r w:rsidRPr="00BF219E">
        <w:t>Portal hypertension may also intersect with glucose metabolism. Studies of hepatogenous diabetes have linked post-challenge hyperglycaemia and insulin resistance with portal pressure and variceal bleeding, supporting a model in which worsening hepatic haemodynamics and metabolic dysfunction progress together. Yet temporal direction is difficult to establish because portal hypertension itself reduces insulin clearance and increases shunting. This is another reason to avoid describing diabetes simply as a causal driver of decompensation in every patient (Elkrief et al., 2016; Maji et al., 2024).</w:t>
      </w:r>
    </w:p>
    <w:p w14:paraId="3A7A2035" w14:textId="77777777" w:rsidR="008E1A0A" w:rsidRPr="00BF219E" w:rsidRDefault="00000000">
      <w:r w:rsidRPr="00BF219E">
        <w:t>Evidence for infection is less uniform. Cirrhosis and diabetes both impair host defence, and some reviews describe higher infection risk in diabetic cirrhosis. Nevertheless, Bossen et al. (2019) analysed 1,198 patients with cirrhosis and ascites and found no independent increase in infection incidence or post-</w:t>
      </w:r>
      <w:r w:rsidRPr="00BF219E">
        <w:lastRenderedPageBreak/>
        <w:t>infection mortality associated with diabetes. This negative result is clinically important because it prevents a broad assumption that every cirrhosis complication is amplified by diabetes to the same extent. Similar caution is warranted for hepatocellular carcinoma: diabetes is epidemiologically linked with hepatocellular carcinoma, but drug-specific associations can be confounded by metabolic phenotype, cirrhosis aetiology and competing mortality.</w:t>
      </w:r>
    </w:p>
    <w:p w14:paraId="7A32568F" w14:textId="77777777" w:rsidR="008E1A0A" w:rsidRPr="00BF219E" w:rsidRDefault="00000000">
      <w:r w:rsidRPr="00BF219E">
        <w:t>The central therapeutic inference is therefore modest. Diabetes is a prognostic marker and a modifiable metabolic disorder, but direct evidence that achieving a particular glucose target reduces decompensation or mortality is lacking. Management should pursue safe glycaemic control while simultaneously addressing the processes more clearly linked to outcome: aetiology-specific liver treatment, portal-hypertension care, nutrition, renal protection, cardiovascular risk and prevention of decompensation.</w:t>
      </w:r>
    </w:p>
    <w:p w14:paraId="782FACD3" w14:textId="77777777" w:rsidR="008E1A0A" w:rsidRPr="00BF219E" w:rsidRDefault="00000000">
      <w:r w:rsidRPr="00BF219E">
        <w:t>Whether diabetes is a causal driver of decompensation or partly a marker of advanced metabolic and hepatic disease remains difficult to separate. Associations with mortality, hepatic encephalopathy and decompensation persist across several cohorts, but diabetes clusters with age, obesity, cardiovascular disease, renal dysfunction and sarcopenia, all of which independently worsen prognosis. In hepatitis C-related compensated cirrhosis, impaired glucose metabolism predicted decompensation and death, supporting a clinically meaningful relationship beyond simple coexistence (Calzadilla-Bertot et al., 2016). Large cohorts also link diabetes to hepatic encephalopathy, including after transjugular intrahepatic portosystemic shunt, which is biologically plausible given altered ammonia handling, inflammation and muscle loss (Jepsen et al., 2015; Labenz et al., 2020; Spaan et al., 2026). Yet the ascites cohort reported by Bossen et al. (2019) did not find a higher infection risk or infection-related mortality from diabetes, illustrating that individual complications do not move uniformly with glycaemic status. Prognostic counselling should therefore avoid deterministic language and instead use diabetes as one component of a broader risk profile that includes liver severity, renal function, frailty and prior decompensation.</w:t>
      </w:r>
    </w:p>
    <w:p w14:paraId="580604AD" w14:textId="77777777" w:rsidR="008E1A0A" w:rsidRPr="00BF219E" w:rsidRDefault="00000000">
      <w:r w:rsidRPr="00BF219E">
        <w:t>A second interpretive problem is that the exposure labelled 'diabetes' is heterogeneous. Long-standing T2DM with vascular complications is not equivalent to newly recognised post-challenge hyperglycaemia in a patient with advanced portal hypertension. The former may carry decades of cardiovascular and renal risk, whereas the latter may be more strongly coupled to hepatic physiological failure. Studies that combine these phenotypes can dilute or exaggerate specific mechanisms. This is one reason why observational outcome estimates are not sufficient to define treatment targets. Better prognosis research needs chronology of diabetes, measures of glycaemic exposure that remain valid in cirrhosis, cirrhosis aetiology, body composition and time-updated decompensation status rather than a single baseline diabetes code (Kumar et al., 2022; Maji et al., 2024; Orsi et al., 2017).</w:t>
      </w:r>
    </w:p>
    <w:p w14:paraId="79EE3B95" w14:textId="77777777" w:rsidR="008E1A0A" w:rsidRPr="00BF219E" w:rsidRDefault="00000000">
      <w:pPr>
        <w:pStyle w:val="Heading1"/>
        <w:rPr>
          <w:color w:val="auto"/>
        </w:rPr>
      </w:pPr>
      <w:r w:rsidRPr="00BF219E">
        <w:rPr>
          <w:color w:val="auto"/>
        </w:rPr>
        <w:t>6. Nutrition, Weight Management, Sarcopenia and Exercise</w:t>
      </w:r>
    </w:p>
    <w:p w14:paraId="4370C20F" w14:textId="77777777" w:rsidR="008E1A0A" w:rsidRPr="00BF219E" w:rsidRDefault="00000000">
      <w:r w:rsidRPr="00BF219E">
        <w:t>Nutrition creates one of the sharpest conflicts between conventional T2DM management and cirrhosis care. Weight loss and energy restriction may be appropriate for obesity and MASLD, but advanced cirrhosis accelerates fasting metabolism and promotes protein catabolism. Patients can therefore have obesity and severe sarcopenia simultaneously. Restrictive diets that reduce absolute weight while further depleting muscle may worsen frailty, glucose disposal and ammonia handling. Guidance for cirrhosis consequently emphasises adequate energy and protein intake, avoidance of prolonged fasting, small frequent meals and a late-evening snack, with protein restriction generally discouraged even in HE (Lai et al., 2021; Singal et al., 2025).</w:t>
      </w:r>
    </w:p>
    <w:p w14:paraId="57D187E6" w14:textId="77777777" w:rsidR="008E1A0A" w:rsidRPr="00BF219E" w:rsidRDefault="00000000">
      <w:r w:rsidRPr="00BF219E">
        <w:t>For compensated MASLD-related cirrhosis with obesity, intentional weight reduction may improve metabolic health and reduce cardiometabolic risk, but it should be gradual and accompanied by adequate protein and resistance activity where feasible. The goal is loss of adipose tissue while preserving or increasing muscle, not pursuit of a scale weight in isolation. This distinction becomes more important when GLP-1 RAs are used because appetite suppression and gastrointestinal adverse effects can be therapeutically helpful in obesity but harmful in a frail patient with early satiety from ascites. Current MASLD guidance supports incretin-based therapy for conventional indications but does not establish it as a cirrhosis-targeted treatment (European Association for the Study of the Liver et al., 2024).</w:t>
      </w:r>
    </w:p>
    <w:p w14:paraId="1C576337" w14:textId="77777777" w:rsidR="008E1A0A" w:rsidRPr="00BF219E" w:rsidRDefault="00000000">
      <w:r w:rsidRPr="00BF219E">
        <w:lastRenderedPageBreak/>
        <w:t>Sarcopenia contributes directly to metabolic instability because skeletal muscle is a major site of insulin-mediated glucose uptake and an extrahepatic site of ammonia metabolism. Reduced muscle mass can therefore intensify insulin resistance while simultaneously reducing nutritional reserve. Assessment should be practical and repeated, using weight trajectory, intake, functional measures and body-composition information when available rather than relying on body mass index alone. Fluid retention can mask tissue loss, so apparent weight stability is not reassuring in a patient accumulating ascites or oedema (Lai et al., 2021).</w:t>
      </w:r>
    </w:p>
    <w:p w14:paraId="5F85F498" w14:textId="77777777" w:rsidR="008E1A0A" w:rsidRPr="00BF219E" w:rsidRDefault="00000000">
      <w:r w:rsidRPr="00BF219E">
        <w:t>Exercise prescriptions should match portal-hypertension complications, balance, cardiovascular status and frailty. Aerobic activity can support insulin sensitivity, while resistance exercise is particularly relevant to muscle preservation. Evidence for specific programmes in diabetic cirrhosis remains sparse, and decompensated patients may need supervised rehabilitation rather than generic exercise advice. The key principle is that glycaemic management must not be separated from physical reserve.</w:t>
      </w:r>
    </w:p>
    <w:p w14:paraId="31054D3A" w14:textId="77777777" w:rsidR="008E1A0A" w:rsidRPr="00BF219E" w:rsidRDefault="00000000">
      <w:r w:rsidRPr="00BF219E">
        <w:t>Table 3 translates these tensions into stage-specific priorities. It highlights why a treatment that produces weight loss can be advantageous in one patient with compensated obesity and detrimental in another with decompensation and poor intake.</w:t>
      </w:r>
    </w:p>
    <w:p w14:paraId="33707407" w14:textId="77777777" w:rsidR="008E1A0A" w:rsidRPr="00BF219E" w:rsidRDefault="00000000">
      <w:pPr>
        <w:pStyle w:val="TableCaption"/>
      </w:pPr>
      <w:r w:rsidRPr="00BF219E">
        <w:t>Table 3. Nutrition and metabolic priorities across common cirrhosis phenotypes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556DD359" w14:textId="77777777">
        <w:trPr>
          <w:tblHeader/>
          <w:jc w:val="center"/>
        </w:trPr>
        <w:tc>
          <w:tcPr>
            <w:tcW w:w="1584" w:type="dxa"/>
            <w:shd w:val="clear" w:color="auto" w:fill="D9E2F3"/>
            <w:tcMar>
              <w:top w:w="80" w:type="dxa"/>
              <w:left w:w="90" w:type="dxa"/>
              <w:bottom w:w="80" w:type="dxa"/>
              <w:right w:w="90" w:type="dxa"/>
            </w:tcMar>
            <w:vAlign w:val="center"/>
          </w:tcPr>
          <w:p w14:paraId="7C1FEEBB" w14:textId="77777777" w:rsidR="008E1A0A" w:rsidRPr="00BF219E" w:rsidRDefault="00000000">
            <w:pPr>
              <w:jc w:val="center"/>
            </w:pPr>
            <w:r w:rsidRPr="00BF219E">
              <w:rPr>
                <w:b/>
                <w:sz w:val="17"/>
              </w:rPr>
              <w:t>Clinical phenotype</w:t>
            </w:r>
          </w:p>
        </w:tc>
        <w:tc>
          <w:tcPr>
            <w:tcW w:w="2088" w:type="dxa"/>
            <w:shd w:val="clear" w:color="auto" w:fill="D9E2F3"/>
            <w:tcMar>
              <w:top w:w="80" w:type="dxa"/>
              <w:left w:w="90" w:type="dxa"/>
              <w:bottom w:w="80" w:type="dxa"/>
              <w:right w:w="90" w:type="dxa"/>
            </w:tcMar>
            <w:vAlign w:val="center"/>
          </w:tcPr>
          <w:p w14:paraId="701672FE" w14:textId="77777777" w:rsidR="008E1A0A" w:rsidRPr="00BF219E" w:rsidRDefault="00000000">
            <w:pPr>
              <w:jc w:val="center"/>
            </w:pPr>
            <w:r w:rsidRPr="00BF219E">
              <w:rPr>
                <w:b/>
                <w:sz w:val="17"/>
              </w:rPr>
              <w:t>Dominant metabolic risk</w:t>
            </w:r>
          </w:p>
        </w:tc>
        <w:tc>
          <w:tcPr>
            <w:tcW w:w="2376" w:type="dxa"/>
            <w:shd w:val="clear" w:color="auto" w:fill="D9E2F3"/>
            <w:tcMar>
              <w:top w:w="80" w:type="dxa"/>
              <w:left w:w="90" w:type="dxa"/>
              <w:bottom w:w="80" w:type="dxa"/>
              <w:right w:w="90" w:type="dxa"/>
            </w:tcMar>
            <w:vAlign w:val="center"/>
          </w:tcPr>
          <w:p w14:paraId="28466C3E" w14:textId="77777777" w:rsidR="008E1A0A" w:rsidRPr="00BF219E" w:rsidRDefault="00000000">
            <w:pPr>
              <w:jc w:val="center"/>
            </w:pPr>
            <w:r w:rsidRPr="00BF219E">
              <w:rPr>
                <w:b/>
                <w:sz w:val="17"/>
              </w:rPr>
              <w:t>Priority</w:t>
            </w:r>
          </w:p>
        </w:tc>
        <w:tc>
          <w:tcPr>
            <w:tcW w:w="2160" w:type="dxa"/>
            <w:shd w:val="clear" w:color="auto" w:fill="D9E2F3"/>
            <w:tcMar>
              <w:top w:w="80" w:type="dxa"/>
              <w:left w:w="90" w:type="dxa"/>
              <w:bottom w:w="80" w:type="dxa"/>
              <w:right w:w="90" w:type="dxa"/>
            </w:tcMar>
            <w:vAlign w:val="center"/>
          </w:tcPr>
          <w:p w14:paraId="30B344A4" w14:textId="77777777" w:rsidR="008E1A0A" w:rsidRPr="00BF219E" w:rsidRDefault="00000000">
            <w:pPr>
              <w:jc w:val="center"/>
            </w:pPr>
            <w:r w:rsidRPr="00BF219E">
              <w:rPr>
                <w:b/>
                <w:sz w:val="17"/>
              </w:rPr>
              <w:t>Avoid or use cautiously</w:t>
            </w:r>
          </w:p>
        </w:tc>
        <w:tc>
          <w:tcPr>
            <w:tcW w:w="1800" w:type="dxa"/>
            <w:shd w:val="clear" w:color="auto" w:fill="D9E2F3"/>
            <w:tcMar>
              <w:top w:w="80" w:type="dxa"/>
              <w:left w:w="90" w:type="dxa"/>
              <w:bottom w:w="80" w:type="dxa"/>
              <w:right w:w="90" w:type="dxa"/>
            </w:tcMar>
            <w:vAlign w:val="center"/>
          </w:tcPr>
          <w:p w14:paraId="685D114E" w14:textId="77777777" w:rsidR="008E1A0A" w:rsidRPr="00BF219E" w:rsidRDefault="00000000">
            <w:pPr>
              <w:jc w:val="center"/>
            </w:pPr>
            <w:r w:rsidRPr="00BF219E">
              <w:rPr>
                <w:b/>
                <w:sz w:val="17"/>
              </w:rPr>
              <w:t>Supporting references</w:t>
            </w:r>
          </w:p>
        </w:tc>
      </w:tr>
      <w:tr w:rsidR="00BF219E" w:rsidRPr="00BF219E" w14:paraId="66CC6FCF" w14:textId="77777777">
        <w:trPr>
          <w:jc w:val="center"/>
        </w:trPr>
        <w:tc>
          <w:tcPr>
            <w:tcW w:w="1584" w:type="dxa"/>
            <w:tcMar>
              <w:top w:w="80" w:type="dxa"/>
              <w:left w:w="90" w:type="dxa"/>
              <w:bottom w:w="80" w:type="dxa"/>
              <w:right w:w="90" w:type="dxa"/>
            </w:tcMar>
            <w:vAlign w:val="center"/>
          </w:tcPr>
          <w:p w14:paraId="7151DA64" w14:textId="77777777" w:rsidR="008E1A0A" w:rsidRPr="00BF219E" w:rsidRDefault="00000000">
            <w:pPr>
              <w:spacing w:after="0" w:line="240" w:lineRule="auto"/>
            </w:pPr>
            <w:r w:rsidRPr="00BF219E">
              <w:rPr>
                <w:sz w:val="16"/>
              </w:rPr>
              <w:t>Compensated cirrhosis with obesity/MASLD</w:t>
            </w:r>
          </w:p>
        </w:tc>
        <w:tc>
          <w:tcPr>
            <w:tcW w:w="2088" w:type="dxa"/>
            <w:tcMar>
              <w:top w:w="80" w:type="dxa"/>
              <w:left w:w="90" w:type="dxa"/>
              <w:bottom w:w="80" w:type="dxa"/>
              <w:right w:w="90" w:type="dxa"/>
            </w:tcMar>
            <w:vAlign w:val="center"/>
          </w:tcPr>
          <w:p w14:paraId="6C341F18" w14:textId="77777777" w:rsidR="008E1A0A" w:rsidRPr="00BF219E" w:rsidRDefault="00000000">
            <w:pPr>
              <w:spacing w:after="0" w:line="240" w:lineRule="auto"/>
            </w:pPr>
            <w:r w:rsidRPr="00BF219E">
              <w:rPr>
                <w:sz w:val="16"/>
              </w:rPr>
              <w:t>Adiposity, insulin resistance, cardiovascular risk.</w:t>
            </w:r>
          </w:p>
        </w:tc>
        <w:tc>
          <w:tcPr>
            <w:tcW w:w="2376" w:type="dxa"/>
            <w:tcMar>
              <w:top w:w="80" w:type="dxa"/>
              <w:left w:w="90" w:type="dxa"/>
              <w:bottom w:w="80" w:type="dxa"/>
              <w:right w:w="90" w:type="dxa"/>
            </w:tcMar>
            <w:vAlign w:val="center"/>
          </w:tcPr>
          <w:p w14:paraId="2699C3CC" w14:textId="77777777" w:rsidR="008E1A0A" w:rsidRPr="00BF219E" w:rsidRDefault="00000000">
            <w:pPr>
              <w:spacing w:after="0" w:line="240" w:lineRule="auto"/>
            </w:pPr>
            <w:r w:rsidRPr="00BF219E">
              <w:rPr>
                <w:sz w:val="16"/>
              </w:rPr>
              <w:t>Sustainable weight reduction with protein adequacy, physical activity and resistance training.</w:t>
            </w:r>
          </w:p>
        </w:tc>
        <w:tc>
          <w:tcPr>
            <w:tcW w:w="2160" w:type="dxa"/>
            <w:tcMar>
              <w:top w:w="80" w:type="dxa"/>
              <w:left w:w="90" w:type="dxa"/>
              <w:bottom w:w="80" w:type="dxa"/>
              <w:right w:w="90" w:type="dxa"/>
            </w:tcMar>
            <w:vAlign w:val="center"/>
          </w:tcPr>
          <w:p w14:paraId="73F9281F" w14:textId="77777777" w:rsidR="008E1A0A" w:rsidRPr="00BF219E" w:rsidRDefault="00000000">
            <w:pPr>
              <w:spacing w:after="0" w:line="240" w:lineRule="auto"/>
            </w:pPr>
            <w:r w:rsidRPr="00BF219E">
              <w:rPr>
                <w:sz w:val="16"/>
              </w:rPr>
              <w:t>Rapid or severe energy restriction that causes muscle loss.</w:t>
            </w:r>
          </w:p>
        </w:tc>
        <w:tc>
          <w:tcPr>
            <w:tcW w:w="1800" w:type="dxa"/>
            <w:tcMar>
              <w:top w:w="80" w:type="dxa"/>
              <w:left w:w="90" w:type="dxa"/>
              <w:bottom w:w="80" w:type="dxa"/>
              <w:right w:w="90" w:type="dxa"/>
            </w:tcMar>
            <w:vAlign w:val="center"/>
          </w:tcPr>
          <w:p w14:paraId="38852440" w14:textId="77777777" w:rsidR="008E1A0A" w:rsidRPr="00BF219E" w:rsidRDefault="00000000">
            <w:pPr>
              <w:spacing w:after="0" w:line="240" w:lineRule="auto"/>
            </w:pPr>
            <w:r w:rsidRPr="00BF219E">
              <w:rPr>
                <w:sz w:val="16"/>
              </w:rPr>
              <w:t>(European Association for the Study of the Liver et al., 2024; Lai et al., 2021)</w:t>
            </w:r>
          </w:p>
        </w:tc>
      </w:tr>
      <w:tr w:rsidR="00BF219E" w:rsidRPr="00480E24" w14:paraId="4FDC8BA0" w14:textId="77777777">
        <w:trPr>
          <w:jc w:val="center"/>
        </w:trPr>
        <w:tc>
          <w:tcPr>
            <w:tcW w:w="1584" w:type="dxa"/>
            <w:tcMar>
              <w:top w:w="80" w:type="dxa"/>
              <w:left w:w="90" w:type="dxa"/>
              <w:bottom w:w="80" w:type="dxa"/>
              <w:right w:w="90" w:type="dxa"/>
            </w:tcMar>
            <w:vAlign w:val="center"/>
          </w:tcPr>
          <w:p w14:paraId="4BEA39C1" w14:textId="77777777" w:rsidR="008E1A0A" w:rsidRPr="00BF219E" w:rsidRDefault="00000000">
            <w:pPr>
              <w:spacing w:after="0" w:line="240" w:lineRule="auto"/>
            </w:pPr>
            <w:r w:rsidRPr="00BF219E">
              <w:rPr>
                <w:sz w:val="16"/>
              </w:rPr>
              <w:t>Sarcopenic obesity</w:t>
            </w:r>
          </w:p>
        </w:tc>
        <w:tc>
          <w:tcPr>
            <w:tcW w:w="2088" w:type="dxa"/>
            <w:tcMar>
              <w:top w:w="80" w:type="dxa"/>
              <w:left w:w="90" w:type="dxa"/>
              <w:bottom w:w="80" w:type="dxa"/>
              <w:right w:w="90" w:type="dxa"/>
            </w:tcMar>
            <w:vAlign w:val="center"/>
          </w:tcPr>
          <w:p w14:paraId="73B68DFB" w14:textId="77777777" w:rsidR="008E1A0A" w:rsidRPr="00BF219E" w:rsidRDefault="00000000">
            <w:pPr>
              <w:spacing w:after="0" w:line="240" w:lineRule="auto"/>
            </w:pPr>
            <w:r w:rsidRPr="00BF219E">
              <w:rPr>
                <w:sz w:val="16"/>
              </w:rPr>
              <w:t>High adiposity with low muscle reserve; BMI may be misleading.</w:t>
            </w:r>
          </w:p>
        </w:tc>
        <w:tc>
          <w:tcPr>
            <w:tcW w:w="2376" w:type="dxa"/>
            <w:tcMar>
              <w:top w:w="80" w:type="dxa"/>
              <w:left w:w="90" w:type="dxa"/>
              <w:bottom w:w="80" w:type="dxa"/>
              <w:right w:w="90" w:type="dxa"/>
            </w:tcMar>
            <w:vAlign w:val="center"/>
          </w:tcPr>
          <w:p w14:paraId="3D71D377" w14:textId="77777777" w:rsidR="008E1A0A" w:rsidRPr="00BF219E" w:rsidRDefault="00000000">
            <w:pPr>
              <w:spacing w:after="0" w:line="240" w:lineRule="auto"/>
            </w:pPr>
            <w:r w:rsidRPr="00BF219E">
              <w:rPr>
                <w:sz w:val="16"/>
              </w:rPr>
              <w:t>Body-composition-aware nutrition; adequate protein; resistance exercise if safe.</w:t>
            </w:r>
          </w:p>
        </w:tc>
        <w:tc>
          <w:tcPr>
            <w:tcW w:w="2160" w:type="dxa"/>
            <w:tcMar>
              <w:top w:w="80" w:type="dxa"/>
              <w:left w:w="90" w:type="dxa"/>
              <w:bottom w:w="80" w:type="dxa"/>
              <w:right w:w="90" w:type="dxa"/>
            </w:tcMar>
            <w:vAlign w:val="center"/>
          </w:tcPr>
          <w:p w14:paraId="52CA4AAE" w14:textId="77777777" w:rsidR="008E1A0A" w:rsidRPr="00BF219E" w:rsidRDefault="00000000">
            <w:pPr>
              <w:spacing w:after="0" w:line="240" w:lineRule="auto"/>
            </w:pPr>
            <w:r w:rsidRPr="00BF219E">
              <w:rPr>
                <w:sz w:val="16"/>
              </w:rPr>
              <w:t>Weight-centred targets without assessment of muscle and function.</w:t>
            </w:r>
          </w:p>
        </w:tc>
        <w:tc>
          <w:tcPr>
            <w:tcW w:w="1800" w:type="dxa"/>
            <w:tcMar>
              <w:top w:w="80" w:type="dxa"/>
              <w:left w:w="90" w:type="dxa"/>
              <w:bottom w:w="80" w:type="dxa"/>
              <w:right w:w="90" w:type="dxa"/>
            </w:tcMar>
            <w:vAlign w:val="center"/>
          </w:tcPr>
          <w:p w14:paraId="359FD5DF" w14:textId="77777777" w:rsidR="008E1A0A" w:rsidRPr="00480E24" w:rsidRDefault="00000000">
            <w:pPr>
              <w:spacing w:after="0" w:line="240" w:lineRule="auto"/>
              <w:rPr>
                <w:lang w:val="nl-BE"/>
              </w:rPr>
            </w:pPr>
            <w:r w:rsidRPr="00480E24">
              <w:rPr>
                <w:sz w:val="16"/>
                <w:lang w:val="nl-BE"/>
              </w:rPr>
              <w:t>(Lai et al., 2021; Singal et al., 2025)</w:t>
            </w:r>
          </w:p>
        </w:tc>
      </w:tr>
      <w:tr w:rsidR="00BF219E" w:rsidRPr="00480E24" w14:paraId="5B03A479" w14:textId="77777777">
        <w:trPr>
          <w:jc w:val="center"/>
        </w:trPr>
        <w:tc>
          <w:tcPr>
            <w:tcW w:w="1584" w:type="dxa"/>
            <w:tcMar>
              <w:top w:w="80" w:type="dxa"/>
              <w:left w:w="90" w:type="dxa"/>
              <w:bottom w:w="80" w:type="dxa"/>
              <w:right w:w="90" w:type="dxa"/>
            </w:tcMar>
            <w:vAlign w:val="center"/>
          </w:tcPr>
          <w:p w14:paraId="5AE55B21" w14:textId="77777777" w:rsidR="008E1A0A" w:rsidRPr="00BF219E" w:rsidRDefault="00000000">
            <w:pPr>
              <w:spacing w:after="0" w:line="240" w:lineRule="auto"/>
            </w:pPr>
            <w:r w:rsidRPr="00BF219E">
              <w:rPr>
                <w:sz w:val="16"/>
              </w:rPr>
              <w:t>Decompensated cirrhosis with poor intake</w:t>
            </w:r>
          </w:p>
        </w:tc>
        <w:tc>
          <w:tcPr>
            <w:tcW w:w="2088" w:type="dxa"/>
            <w:tcMar>
              <w:top w:w="80" w:type="dxa"/>
              <w:left w:w="90" w:type="dxa"/>
              <w:bottom w:w="80" w:type="dxa"/>
              <w:right w:w="90" w:type="dxa"/>
            </w:tcMar>
            <w:vAlign w:val="center"/>
          </w:tcPr>
          <w:p w14:paraId="2BE5F14F" w14:textId="77777777" w:rsidR="008E1A0A" w:rsidRPr="00BF219E" w:rsidRDefault="00000000">
            <w:pPr>
              <w:spacing w:after="0" w:line="240" w:lineRule="auto"/>
            </w:pPr>
            <w:r w:rsidRPr="00BF219E">
              <w:rPr>
                <w:sz w:val="16"/>
              </w:rPr>
              <w:t>Catabolism, fasting intolerance, hypoglycaemia and micronutrient deficiency.</w:t>
            </w:r>
          </w:p>
        </w:tc>
        <w:tc>
          <w:tcPr>
            <w:tcW w:w="2376" w:type="dxa"/>
            <w:tcMar>
              <w:top w:w="80" w:type="dxa"/>
              <w:left w:w="90" w:type="dxa"/>
              <w:bottom w:w="80" w:type="dxa"/>
              <w:right w:w="90" w:type="dxa"/>
            </w:tcMar>
            <w:vAlign w:val="center"/>
          </w:tcPr>
          <w:p w14:paraId="2F6721E4" w14:textId="77777777" w:rsidR="008E1A0A" w:rsidRPr="00BF219E" w:rsidRDefault="00000000">
            <w:pPr>
              <w:spacing w:after="0" w:line="240" w:lineRule="auto"/>
            </w:pPr>
            <w:r w:rsidRPr="00BF219E">
              <w:rPr>
                <w:sz w:val="16"/>
              </w:rPr>
              <w:t>Small frequent meals, late-evening snack, sufficient energy/protein and dietetic review.</w:t>
            </w:r>
          </w:p>
        </w:tc>
        <w:tc>
          <w:tcPr>
            <w:tcW w:w="2160" w:type="dxa"/>
            <w:tcMar>
              <w:top w:w="80" w:type="dxa"/>
              <w:left w:w="90" w:type="dxa"/>
              <w:bottom w:w="80" w:type="dxa"/>
              <w:right w:w="90" w:type="dxa"/>
            </w:tcMar>
            <w:vAlign w:val="center"/>
          </w:tcPr>
          <w:p w14:paraId="228BF887" w14:textId="77777777" w:rsidR="008E1A0A" w:rsidRPr="00BF219E" w:rsidRDefault="00000000">
            <w:pPr>
              <w:spacing w:after="0" w:line="240" w:lineRule="auto"/>
            </w:pPr>
            <w:r w:rsidRPr="00BF219E">
              <w:rPr>
                <w:sz w:val="16"/>
              </w:rPr>
              <w:t>Prolonged fasting and aggressive weight-loss treatment.</w:t>
            </w:r>
          </w:p>
        </w:tc>
        <w:tc>
          <w:tcPr>
            <w:tcW w:w="1800" w:type="dxa"/>
            <w:tcMar>
              <w:top w:w="80" w:type="dxa"/>
              <w:left w:w="90" w:type="dxa"/>
              <w:bottom w:w="80" w:type="dxa"/>
              <w:right w:w="90" w:type="dxa"/>
            </w:tcMar>
            <w:vAlign w:val="center"/>
          </w:tcPr>
          <w:p w14:paraId="6ECA1E91" w14:textId="77777777" w:rsidR="008E1A0A" w:rsidRPr="00480E24" w:rsidRDefault="00000000">
            <w:pPr>
              <w:spacing w:after="0" w:line="240" w:lineRule="auto"/>
              <w:rPr>
                <w:lang w:val="nl-BE"/>
              </w:rPr>
            </w:pPr>
            <w:r w:rsidRPr="00480E24">
              <w:rPr>
                <w:sz w:val="16"/>
                <w:lang w:val="nl-BE"/>
              </w:rPr>
              <w:t>(Lai et al., 2021; Singal et al., 2025)</w:t>
            </w:r>
          </w:p>
        </w:tc>
      </w:tr>
      <w:tr w:rsidR="00BF219E" w:rsidRPr="00480E24" w14:paraId="3F13D88A" w14:textId="77777777">
        <w:trPr>
          <w:jc w:val="center"/>
        </w:trPr>
        <w:tc>
          <w:tcPr>
            <w:tcW w:w="1584" w:type="dxa"/>
            <w:tcMar>
              <w:top w:w="80" w:type="dxa"/>
              <w:left w:w="90" w:type="dxa"/>
              <w:bottom w:w="80" w:type="dxa"/>
              <w:right w:w="90" w:type="dxa"/>
            </w:tcMar>
            <w:vAlign w:val="center"/>
          </w:tcPr>
          <w:p w14:paraId="35C9A347" w14:textId="77777777" w:rsidR="008E1A0A" w:rsidRPr="00BF219E" w:rsidRDefault="00000000">
            <w:pPr>
              <w:spacing w:after="0" w:line="240" w:lineRule="auto"/>
            </w:pPr>
            <w:r w:rsidRPr="00BF219E">
              <w:rPr>
                <w:sz w:val="16"/>
              </w:rPr>
              <w:t>Hepatic encephalopathy</w:t>
            </w:r>
          </w:p>
        </w:tc>
        <w:tc>
          <w:tcPr>
            <w:tcW w:w="2088" w:type="dxa"/>
            <w:tcMar>
              <w:top w:w="80" w:type="dxa"/>
              <w:left w:w="90" w:type="dxa"/>
              <w:bottom w:w="80" w:type="dxa"/>
              <w:right w:w="90" w:type="dxa"/>
            </w:tcMar>
            <w:vAlign w:val="center"/>
          </w:tcPr>
          <w:p w14:paraId="1389B529" w14:textId="77777777" w:rsidR="008E1A0A" w:rsidRPr="00BF219E" w:rsidRDefault="00000000">
            <w:pPr>
              <w:spacing w:after="0" w:line="240" w:lineRule="auto"/>
            </w:pPr>
            <w:r w:rsidRPr="00BF219E">
              <w:rPr>
                <w:sz w:val="16"/>
              </w:rPr>
              <w:t>Reduced intake, cognitive impairment, hyperammonaemia and muscle loss.</w:t>
            </w:r>
          </w:p>
        </w:tc>
        <w:tc>
          <w:tcPr>
            <w:tcW w:w="2376" w:type="dxa"/>
            <w:tcMar>
              <w:top w:w="80" w:type="dxa"/>
              <w:left w:w="90" w:type="dxa"/>
              <w:bottom w:w="80" w:type="dxa"/>
              <w:right w:w="90" w:type="dxa"/>
            </w:tcMar>
            <w:vAlign w:val="center"/>
          </w:tcPr>
          <w:p w14:paraId="24F79B9F" w14:textId="77777777" w:rsidR="008E1A0A" w:rsidRPr="00BF219E" w:rsidRDefault="00000000">
            <w:pPr>
              <w:spacing w:after="0" w:line="240" w:lineRule="auto"/>
            </w:pPr>
            <w:r w:rsidRPr="00BF219E">
              <w:rPr>
                <w:sz w:val="16"/>
              </w:rPr>
              <w:t>Maintain protein intake; optimise HE therapy and simplify diabetes self-management.</w:t>
            </w:r>
          </w:p>
        </w:tc>
        <w:tc>
          <w:tcPr>
            <w:tcW w:w="2160" w:type="dxa"/>
            <w:tcMar>
              <w:top w:w="80" w:type="dxa"/>
              <w:left w:w="90" w:type="dxa"/>
              <w:bottom w:w="80" w:type="dxa"/>
              <w:right w:w="90" w:type="dxa"/>
            </w:tcMar>
            <w:vAlign w:val="center"/>
          </w:tcPr>
          <w:p w14:paraId="4A19DF4E" w14:textId="77777777" w:rsidR="008E1A0A" w:rsidRPr="00BF219E" w:rsidRDefault="00000000">
            <w:pPr>
              <w:spacing w:after="0" w:line="240" w:lineRule="auto"/>
            </w:pPr>
            <w:r w:rsidRPr="00BF219E">
              <w:rPr>
                <w:sz w:val="16"/>
              </w:rPr>
              <w:t>Routine protein restriction or complex regimens that the patient cannot execute safely.</w:t>
            </w:r>
          </w:p>
        </w:tc>
        <w:tc>
          <w:tcPr>
            <w:tcW w:w="1800" w:type="dxa"/>
            <w:tcMar>
              <w:top w:w="80" w:type="dxa"/>
              <w:left w:w="90" w:type="dxa"/>
              <w:bottom w:w="80" w:type="dxa"/>
              <w:right w:w="90" w:type="dxa"/>
            </w:tcMar>
            <w:vAlign w:val="center"/>
          </w:tcPr>
          <w:p w14:paraId="5D98842F" w14:textId="77777777" w:rsidR="008E1A0A" w:rsidRPr="00480E24" w:rsidRDefault="00000000">
            <w:pPr>
              <w:spacing w:after="0" w:line="240" w:lineRule="auto"/>
              <w:rPr>
                <w:lang w:val="nl-BE"/>
              </w:rPr>
            </w:pPr>
            <w:r w:rsidRPr="00480E24">
              <w:rPr>
                <w:sz w:val="16"/>
                <w:lang w:val="nl-BE"/>
              </w:rPr>
              <w:t>(Lai et al., 2021; Singal et al., 2025)</w:t>
            </w:r>
          </w:p>
        </w:tc>
      </w:tr>
      <w:tr w:rsidR="00BF219E" w:rsidRPr="00BF219E" w14:paraId="372B9667" w14:textId="77777777">
        <w:trPr>
          <w:jc w:val="center"/>
        </w:trPr>
        <w:tc>
          <w:tcPr>
            <w:tcW w:w="1584" w:type="dxa"/>
            <w:tcMar>
              <w:top w:w="80" w:type="dxa"/>
              <w:left w:w="90" w:type="dxa"/>
              <w:bottom w:w="80" w:type="dxa"/>
              <w:right w:w="90" w:type="dxa"/>
            </w:tcMar>
            <w:vAlign w:val="center"/>
          </w:tcPr>
          <w:p w14:paraId="7766FB53" w14:textId="77777777" w:rsidR="008E1A0A" w:rsidRPr="00BF219E" w:rsidRDefault="00000000">
            <w:pPr>
              <w:spacing w:after="0" w:line="240" w:lineRule="auto"/>
            </w:pPr>
            <w:r w:rsidRPr="00BF219E">
              <w:rPr>
                <w:sz w:val="16"/>
              </w:rPr>
              <w:t>Ascites/oedema</w:t>
            </w:r>
          </w:p>
        </w:tc>
        <w:tc>
          <w:tcPr>
            <w:tcW w:w="2088" w:type="dxa"/>
            <w:tcMar>
              <w:top w:w="80" w:type="dxa"/>
              <w:left w:w="90" w:type="dxa"/>
              <w:bottom w:w="80" w:type="dxa"/>
              <w:right w:w="90" w:type="dxa"/>
            </w:tcMar>
            <w:vAlign w:val="center"/>
          </w:tcPr>
          <w:p w14:paraId="44C48D26" w14:textId="77777777" w:rsidR="008E1A0A" w:rsidRPr="00BF219E" w:rsidRDefault="00000000">
            <w:pPr>
              <w:spacing w:after="0" w:line="240" w:lineRule="auto"/>
            </w:pPr>
            <w:r w:rsidRPr="00BF219E">
              <w:rPr>
                <w:sz w:val="16"/>
              </w:rPr>
              <w:t>Fluid-related weight distortion and reduced effective arterial volume.</w:t>
            </w:r>
          </w:p>
        </w:tc>
        <w:tc>
          <w:tcPr>
            <w:tcW w:w="2376" w:type="dxa"/>
            <w:tcMar>
              <w:top w:w="80" w:type="dxa"/>
              <w:left w:w="90" w:type="dxa"/>
              <w:bottom w:w="80" w:type="dxa"/>
              <w:right w:w="90" w:type="dxa"/>
            </w:tcMar>
            <w:vAlign w:val="center"/>
          </w:tcPr>
          <w:p w14:paraId="4367B728" w14:textId="77777777" w:rsidR="008E1A0A" w:rsidRPr="00BF219E" w:rsidRDefault="00000000">
            <w:pPr>
              <w:spacing w:after="0" w:line="240" w:lineRule="auto"/>
            </w:pPr>
            <w:r w:rsidRPr="00BF219E">
              <w:rPr>
                <w:sz w:val="16"/>
              </w:rPr>
              <w:t>Interpret weight changes with fluid status; monitor renal function and sodium management.</w:t>
            </w:r>
          </w:p>
        </w:tc>
        <w:tc>
          <w:tcPr>
            <w:tcW w:w="2160" w:type="dxa"/>
            <w:tcMar>
              <w:top w:w="80" w:type="dxa"/>
              <w:left w:w="90" w:type="dxa"/>
              <w:bottom w:w="80" w:type="dxa"/>
              <w:right w:w="90" w:type="dxa"/>
            </w:tcMar>
            <w:vAlign w:val="center"/>
          </w:tcPr>
          <w:p w14:paraId="7CEA56E3" w14:textId="77777777" w:rsidR="008E1A0A" w:rsidRPr="00BF219E" w:rsidRDefault="00000000">
            <w:pPr>
              <w:spacing w:after="0" w:line="240" w:lineRule="auto"/>
            </w:pPr>
            <w:r w:rsidRPr="00BF219E">
              <w:rPr>
                <w:sz w:val="16"/>
              </w:rPr>
              <w:t>Using scale weight alone as evidence of successful metabolic weight loss.</w:t>
            </w:r>
          </w:p>
        </w:tc>
        <w:tc>
          <w:tcPr>
            <w:tcW w:w="1800" w:type="dxa"/>
            <w:tcMar>
              <w:top w:w="80" w:type="dxa"/>
              <w:left w:w="90" w:type="dxa"/>
              <w:bottom w:w="80" w:type="dxa"/>
              <w:right w:w="90" w:type="dxa"/>
            </w:tcMar>
            <w:vAlign w:val="center"/>
          </w:tcPr>
          <w:p w14:paraId="45144F1B" w14:textId="77777777" w:rsidR="008E1A0A" w:rsidRPr="00BF219E" w:rsidRDefault="00000000">
            <w:pPr>
              <w:spacing w:after="0" w:line="240" w:lineRule="auto"/>
            </w:pPr>
            <w:r w:rsidRPr="00BF219E">
              <w:rPr>
                <w:sz w:val="16"/>
              </w:rPr>
              <w:t>(European Association for the Study of the Liver, 2018; Singal et al., 2025)</w:t>
            </w:r>
          </w:p>
        </w:tc>
      </w:tr>
    </w:tbl>
    <w:p w14:paraId="1E35ADDC" w14:textId="77777777" w:rsidR="008E1A0A" w:rsidRPr="00BF219E" w:rsidRDefault="00000000">
      <w:pPr>
        <w:pStyle w:val="TableNote"/>
      </w:pPr>
      <w:r w:rsidRPr="00BF219E">
        <w:t>Note. BMI = body mass index; HE = hepatic encephalopathy; MASLD = metabolic dysfunction-associated steatotic liver disease.</w:t>
      </w:r>
    </w:p>
    <w:p w14:paraId="0C5B8C7E" w14:textId="77777777" w:rsidR="008E1A0A" w:rsidRPr="00BF219E" w:rsidRDefault="00000000">
      <w:pPr>
        <w:pStyle w:val="Heading1"/>
        <w:rPr>
          <w:color w:val="auto"/>
        </w:rPr>
      </w:pPr>
      <w:r w:rsidRPr="00BF219E">
        <w:rPr>
          <w:color w:val="auto"/>
        </w:rPr>
        <w:t>7. Pharmacological Management Across Cirrhosis Severity</w:t>
      </w:r>
    </w:p>
    <w:p w14:paraId="2F2980C3" w14:textId="77777777" w:rsidR="008E1A0A" w:rsidRPr="00BF219E" w:rsidRDefault="00000000">
      <w:r w:rsidRPr="00BF219E">
        <w:t>Medication selection should start with the clinical state rather than with a universal ranking of glucose-lowering agents. Four questions are decisive: Is the cirrhosis compensated or decompensated? Is renal function stable? Is oral intake adequate and predictable? Is the patient vulnerable to hypoglycaemia because of frailty, cognitive impairment, prior episodes or a drug regimen that increases insulin exposure? Pharmacokinetic safety is necessary but not sufficient. A drug can have acceptable exposure in hepatic impairment yet remain clinically unsuitable because it worsens volume depletion, appetite, gastrointestinal tolerance or hypoglycaemia risk. Conversely, a label warning based on hepatic impairment does not prove that a medication is intrinsically hepatotoxic. This distinction is central to rational prescribing (Boursier et al., 2021; Castera &amp; Cusi, 2023; Puri &amp; Kotwal, 2022).</w:t>
      </w:r>
    </w:p>
    <w:p w14:paraId="663D7B26" w14:textId="77777777" w:rsidR="008E1A0A" w:rsidRPr="00BF219E" w:rsidRDefault="00000000">
      <w:pPr>
        <w:pStyle w:val="Heading2"/>
        <w:rPr>
          <w:color w:val="auto"/>
        </w:rPr>
      </w:pPr>
      <w:r w:rsidRPr="00BF219E">
        <w:rPr>
          <w:color w:val="auto"/>
        </w:rPr>
        <w:lastRenderedPageBreak/>
        <w:t>7.1 Metformin</w:t>
      </w:r>
    </w:p>
    <w:p w14:paraId="5FAA577D" w14:textId="77777777" w:rsidR="008E1A0A" w:rsidRPr="00BF219E" w:rsidRDefault="00000000">
      <w:r w:rsidRPr="00BF219E">
        <w:t>Metformin is the best studied oral agent in cirrhosis, but the evidence is mostly observational. Its advantages include low intrinsic hypoglycaemia risk, weight neutrality or modest weight reduction and long clinical experience. The principal feared toxicity is metformin-associated lactic acidosis, a concern that becomes clinically relevant when cirrhosis is accompanied by severe renal impairment, hypoxia, sepsis, shock or acute decompensation rather than from stable compensated cirrhosis alone. In a single-centre cohort, continuation after cirrhosis diagnosis was associated with substantially longer survival and no observed lactic acidosis events (Zhang et al., 2014). A much larger Veterans Health Administration cohort similarly associated metformin exposure with lower overall mortality, although not with reduced hepatic decompensation or hepatocellular carcinoma after adjustment for concomitant therapies (Kaplan et al., 2021).</w:t>
      </w:r>
    </w:p>
    <w:p w14:paraId="24EB4BD3" w14:textId="77777777" w:rsidR="008E1A0A" w:rsidRPr="00BF219E" w:rsidRDefault="00000000">
      <w:r w:rsidRPr="00BF219E">
        <w:t>A 2024 systematic review and meta-analysis of observational studies found an association between metformin and lower all-cause mortality or transplantation in compensated cirrhosis but no clear reduction in decompensation (Peppas et al., 2024). This pattern is informative: it supports the safety of metformin in selected stable patients and argues against routine discontinuation solely because cirrhosis is diagnosed, but it does not establish a liver-specific protective effect. Confounding by renal function, disease severity and prescribing selection remains difficult to eliminate. A practical approach is to continue or initiate metformin in carefully selected compensated cirrhosis when renal function and tissue perfusion are stable, while withholding it during acute kidney injury, sepsis, hypoxia, severe decompensation or other conditions that increase lactate risk.</w:t>
      </w:r>
    </w:p>
    <w:p w14:paraId="71C8A954" w14:textId="77777777" w:rsidR="008E1A0A" w:rsidRPr="00BF219E" w:rsidRDefault="00000000">
      <w:pPr>
        <w:pStyle w:val="Heading2"/>
        <w:rPr>
          <w:color w:val="auto"/>
        </w:rPr>
      </w:pPr>
      <w:r w:rsidRPr="00BF219E">
        <w:rPr>
          <w:color w:val="auto"/>
        </w:rPr>
        <w:t>7.2 Sulfonylureas and other insulin secretagogues</w:t>
      </w:r>
    </w:p>
    <w:p w14:paraId="3A14E6E3" w14:textId="77777777" w:rsidR="008E1A0A" w:rsidRPr="00BF219E" w:rsidRDefault="00000000">
      <w:r w:rsidRPr="00BF219E">
        <w:t>Sulfonylureas are problematic because hepatic metabolism, altered protein binding, reduced gluconeogenic reserve and unpredictable food intake can magnify hypoglycaemia. This risk is particularly concerning in decompensated disease and in patients with HE. An observational Taiwanese study complicates the conventional narrative: among patients with T2DM and compensated cirrhosis, sulfonylurea use was associated with lower mortality and cardiovascular events rather than excess harm (Yen et al., 2020). The finding is useful precisely because it shows that blanket contraindication is not strongly evidence based in compensated disease. It should not, however, be interpreted as proof of benefit. Treatment selection in administrative data is highly confounded, and the pharmacological hazard of prolonged hypoglycaemia remains. Secretagogues are therefore generally lower-priority choices when safer alternatives are available, especially as hepatic reserve declines.</w:t>
      </w:r>
    </w:p>
    <w:p w14:paraId="4EEA778B" w14:textId="77777777" w:rsidR="008E1A0A" w:rsidRPr="00BF219E" w:rsidRDefault="00000000">
      <w:pPr>
        <w:pStyle w:val="Heading2"/>
        <w:rPr>
          <w:color w:val="auto"/>
        </w:rPr>
      </w:pPr>
      <w:r w:rsidRPr="00BF219E">
        <w:rPr>
          <w:color w:val="auto"/>
        </w:rPr>
        <w:t>7.3 Dipeptidyl peptidase-4 inhibitors</w:t>
      </w:r>
    </w:p>
    <w:p w14:paraId="13F8EA9D" w14:textId="77777777" w:rsidR="008E1A0A" w:rsidRPr="00BF219E" w:rsidRDefault="00000000">
      <w:r w:rsidRPr="00BF219E">
        <w:t>Dipeptidyl peptidase-4 (DPP-4) inhibitors have low intrinsic hypoglycaemia risk and are weight neutral, features that are attractive in cirrhosis. Pharmacokinetic data for linagliptin showed no clinically important increase in exposure across hepatic impairment groups, suggesting that hepatic impairment alone does not necessitate dose adjustment for that agent (Graefe-Mody et al., 2012). Yet pharmacokinetic reassurance should not be confused with evidence of favourable liver outcomes. A propensity-matched Taiwanese cohort associated DPP-4 inhibitor use with more decompensation and hepatic failure than non-use in compensated cirrhosis, without a mortality difference (Yen, Wei, et al., 2021). Residual confounding and comparator choice limit causal inference, but the study weakens any assumption that the class is neutral simply because it is convenient. DPP-4 inhibitors remain reasonable glucose-lowering options in selected compensated patients, particularly when hypoglycaemia avoidance is important, but they do not currently have evidence of liver-specific benefit.</w:t>
      </w:r>
    </w:p>
    <w:p w14:paraId="4F4D37B7" w14:textId="77777777" w:rsidR="008E1A0A" w:rsidRPr="00BF219E" w:rsidRDefault="00000000">
      <w:pPr>
        <w:pStyle w:val="Heading2"/>
        <w:rPr>
          <w:color w:val="auto"/>
        </w:rPr>
      </w:pPr>
      <w:r w:rsidRPr="00BF219E">
        <w:rPr>
          <w:color w:val="auto"/>
        </w:rPr>
        <w:t>7.4 GLP-1 receptor agonists and emerging incretin/glucagon co-agonists</w:t>
      </w:r>
    </w:p>
    <w:p w14:paraId="605F4789" w14:textId="77777777" w:rsidR="008E1A0A" w:rsidRPr="00BF219E" w:rsidRDefault="00000000">
      <w:r w:rsidRPr="00BF219E">
        <w:t xml:space="preserve">GLP-1 RAs have transformed T2DM and obesity management because of substantial glucose lowering, weight reduction and cardiovascular benefit. Their relevance to cirrhosis is greatest in the expanding population with obesity and MASLD-related disease. Observational cirrhosis-specific data are encouraging. In US claims data, GLP-1 RA initiators had fewer hepatic decompensation events than matched initiators </w:t>
      </w:r>
      <w:r w:rsidRPr="00BF219E">
        <w:lastRenderedPageBreak/>
        <w:t>of DPP-4 inhibitors or sulfonylureas; comparisons with SGLT2 inhibitors were less conclusive (Simon et al., 2022). A Taiwanese cohort also associated GLP-1 RA use with favourable long-term outcomes in T2DM with cirrhosis (Yen et al., 2024). Because these studies are non-randomised, they support comparative safety and hypothesis generation rather than proof that GLP-1 RAs prevent decompensation.</w:t>
      </w:r>
    </w:p>
    <w:p w14:paraId="42484DBA" w14:textId="77777777" w:rsidR="008E1A0A" w:rsidRPr="00BF219E" w:rsidRDefault="00000000">
      <w:r w:rsidRPr="00BF219E">
        <w:t>Randomised evidence in established cirrhosis is more limited and provides a useful counterweight to enthusiasm. In patients with non-alcoholic steatohepatitis-related compensated cirrhosis, semaglutide 2.4 mg weekly did not significantly improve fibrosis or steatohepatitis resolution compared with placebo over 48 weeks, although metabolic parameters improved and no new decompensation safety signal emerged (Loomba et al., 2023). Thus, the case for GLP-1 RAs in compensated cirrhosis should rest primarily on conventional diabetes, obesity and cardiovascular indications, not on a claim that they reverse cirrhosis. Gastrointestinal adverse effects, loss of appetite, gallbladder events and excessive weight or muscle loss deserve particular attention in frail or poorly nourished patients.</w:t>
      </w:r>
    </w:p>
    <w:p w14:paraId="6ADAB52E" w14:textId="77777777" w:rsidR="008E1A0A" w:rsidRPr="00BF219E" w:rsidRDefault="00000000">
      <w:r w:rsidRPr="00BF219E">
        <w:t>Dual metabolic agonists are entering the evidence base. A phase I study of survodutide, a glucagon/GLP-1 receptor dual agonist, included participants across Child-Pugh classes for single-dose pharmacokinetics and participants with Child-Pugh A or B disease for longer multiple dosing. Exposure was not materially altered, and exploratory metabolic and liver markers improved (Lawitz et al., 2024). The study broadens the feasibility of studying modern metabolic drugs in cirrhosis, but its small size, short duration and non-randomised design mean that it should not change routine decompensated-cirrhosis practice.</w:t>
      </w:r>
    </w:p>
    <w:p w14:paraId="63659308" w14:textId="77777777" w:rsidR="008E1A0A" w:rsidRPr="00BF219E" w:rsidRDefault="00000000">
      <w:pPr>
        <w:pStyle w:val="Heading2"/>
        <w:rPr>
          <w:color w:val="auto"/>
        </w:rPr>
      </w:pPr>
      <w:r w:rsidRPr="00BF219E">
        <w:rPr>
          <w:color w:val="auto"/>
        </w:rPr>
        <w:t>7.5 Sodium-glucose cotransporter-2 inhibitors</w:t>
      </w:r>
    </w:p>
    <w:p w14:paraId="4AC67458" w14:textId="77777777" w:rsidR="008E1A0A" w:rsidRPr="00BF219E" w:rsidRDefault="00000000">
      <w:r w:rsidRPr="00BF219E">
        <w:t>SGLT2 inhibitors combine glucose lowering with proven cardiorenal benefits in broad T2DM populations and induce modest natriuresis. These properties have led to interest in cirrhosis, including speculation that they might assist volume management. Early discussion was largely mechanistic and based on small reports (Saffo &amp; Taddei, 2018). The evidence base has since strengthened, particularly in compensated cirrhosis. A 2026 target-trial emulation comparing new SGLT2 inhibitor and DPP-4 inhibitor users found lower risks of the composite of decompensation, hepatocellular carcinoma or death, driven by lower mortality and decompensation but not hepatocellular carcinoma (Chou et al., 2026). A large Taiwanese cohort likewise associated SGLT2 inhibitor use with lower kidney, cardiovascular, mortality and hepatic decompensation risks than DPP-4 inhibitors (Chung et al., 2026).</w:t>
      </w:r>
    </w:p>
    <w:p w14:paraId="3A6A3706" w14:textId="77777777" w:rsidR="008E1A0A" w:rsidRPr="00BF219E" w:rsidRDefault="00000000">
      <w:r w:rsidRPr="00BF219E">
        <w:t>These findings are clinically important but remain observational. Channeling bias is plausible because clinicians may avoid SGLT2 inhibitors in patients with low blood pressure, severe renal dysfunction, recurrent infections or unstable decompensation. In advanced cirrhosis, the same pharmacology that is beneficial in heart failure can be hazardous: osmotic diuresis and natriuresis may worsen intravascular underfilling, acute kidney injury or hypotension, while poor intake increases the risk of ketosis and euglycaemic diabetic ketoacidosis. SGLT2 inhibitors are therefore most defensible in carefully selected compensated patients with stable renal function and conventional cardiorenal indications. They should not yet be considered standard therapy for cirrhotic ascites, and routine use during unstable decompensation is not supported by current evidence.</w:t>
      </w:r>
    </w:p>
    <w:p w14:paraId="17CDBFF7" w14:textId="77777777" w:rsidR="008E1A0A" w:rsidRPr="00BF219E" w:rsidRDefault="00000000">
      <w:pPr>
        <w:pStyle w:val="Heading2"/>
        <w:rPr>
          <w:color w:val="auto"/>
        </w:rPr>
      </w:pPr>
      <w:r w:rsidRPr="00BF219E">
        <w:rPr>
          <w:color w:val="auto"/>
        </w:rPr>
        <w:t>7.6 Thiazolidinediones and alpha-glucosidase inhibitors</w:t>
      </w:r>
    </w:p>
    <w:p w14:paraId="4B4A37F4" w14:textId="77777777" w:rsidR="008E1A0A" w:rsidRPr="00BF219E" w:rsidRDefault="00000000">
      <w:r w:rsidRPr="00BF219E">
        <w:t>Pioglitazone improves insulin sensitivity and has evidence in non-cirrhotic steatohepatitis, but fluid retention, weight gain and fracture risk make it unattractive as cirrhosis advances. Trials demonstrating hepatic benefit in steatohepatitis generally do not establish safety in decompensated cirrhosis. For patients with ascites or oedema, the fluid-retaining effect creates a strong reason for avoidance. In stable compensated cirrhosis without fluid retention, use may be considered for conventional indications, but there is little cirrhosis-specific outcome evidence (Boursier et al., 2021; Castera &amp; Cusi, 2023).</w:t>
      </w:r>
    </w:p>
    <w:p w14:paraId="79516195" w14:textId="77777777" w:rsidR="008E1A0A" w:rsidRPr="00BF219E" w:rsidRDefault="00000000">
      <w:r w:rsidRPr="00BF219E">
        <w:t xml:space="preserve">Alpha-glucosidase inhibitors act mainly in the gastrointestinal tract and target postprandial hyperglycaemia, a pattern common in hepatogenous diabetes. A randomised crossover trial of acarbose in cirrhosis with T2DM and low-grade HE improved postprandial glycaemia and neuropsychometric measures, although the study predates modern HE management and was not designed for hard outcomes (Gentile et al., 2005). A </w:t>
      </w:r>
      <w:r w:rsidRPr="00BF219E">
        <w:lastRenderedPageBreak/>
        <w:t>later Taiwanese cohort associated alpha-glucosidase inhibitor use with lower mortality and liver-related complications in compensated cirrhosis (Yen et al., 2022). Gastrointestinal adverse effects and pill burden limit use, but the class remains a rational niche option when postprandial hyperglycaemia predominates and systemic hypoglycaemia risk must be minimised.</w:t>
      </w:r>
    </w:p>
    <w:p w14:paraId="42197815" w14:textId="77777777" w:rsidR="008E1A0A" w:rsidRPr="00BF219E" w:rsidRDefault="00000000">
      <w:pPr>
        <w:pStyle w:val="Heading2"/>
        <w:rPr>
          <w:color w:val="auto"/>
        </w:rPr>
      </w:pPr>
      <w:r w:rsidRPr="00BF219E">
        <w:rPr>
          <w:color w:val="auto"/>
        </w:rPr>
        <w:t>7.7 Insulin</w:t>
      </w:r>
    </w:p>
    <w:p w14:paraId="66208748" w14:textId="77777777" w:rsidR="008E1A0A" w:rsidRPr="00BF219E" w:rsidRDefault="00000000">
      <w:r w:rsidRPr="00BF219E">
        <w:t>Insulin remains the most controllable therapy when oral or injectable non-insulin agents are unsafe, ineffective or temporarily inappropriate. It is particularly important in severe decompensation, critical illness, marked symptomatic hyperglycaemia and the perioperative period. Yet cirrhosis makes dosing unusually unpredictable: insulin resistance can increase requirements, while reduced hepatic insulin clearance, impaired gluconeogenesis and poor intake can abruptly reduce them. Cognitive impairment further raises risk. For these reasons, conservative dose initiation, frequent glucose reassessment and flexible basal-bolus strategies are preferable to rigid regimens or reactive sliding-scale insulin alone (Castera &amp; Cusi, 2023; Puri &amp; Kotwal, 2022).</w:t>
      </w:r>
    </w:p>
    <w:p w14:paraId="08F2C434" w14:textId="77777777" w:rsidR="008E1A0A" w:rsidRPr="00BF219E" w:rsidRDefault="00000000">
      <w:r w:rsidRPr="00BF219E">
        <w:t>The assumption that insulin is necessarily the safest long-term therapy in cirrhosis is not supported by comparative outcomes. In a propensity-matched Taiwanese cohort of compensated cirrhosis, insulin users had higher risks of mortality, decompensation, cardiovascular events and hypoglycaemia than non-users (Yen, Lai, et al., 2021). The result cannot establish insulin toxicity because patients prescribed insulin often have longer-duration or more severe diabetes and greater comorbidity. It does, however, reinforce that insulin should be used because it is clinically necessary, not because cirrhosis automatically makes all non-insulin treatment unacceptable.</w:t>
      </w:r>
    </w:p>
    <w:p w14:paraId="645DB9B5" w14:textId="77777777" w:rsidR="008E1A0A" w:rsidRPr="00BF219E" w:rsidRDefault="00000000">
      <w:r w:rsidRPr="00BF219E">
        <w:t>Drug selection is best approached as a sequence of safety questions rather than by a fixed hierarchy. The first question is whether the patient is clinically stable enough for a long-term outpatient strategy. Active sepsis, gastrointestinal bleeding, acute kidney injury, severe vomiting, marked reduction in oral intake or rapidly changing decompensation can temporarily invalidate a regimen that was reasonable in clinic. The second question is whether the dominant long-term problem is obesity and cardiometabolic risk or, instead, malnutrition, hypotension, renal vulnerability and recurrent encephalopathy. The third is whether the intended drug has a benefit that is established in general T2DM but merely extrapolated to cirrhosis, or whether there is cirrhosis-specific evidence. This distinction is central for newer therapies: strong cardiovascular and kidney evidence in general diabetes does not by itself prove prevention of portal-hypertensive complications (Boursier et al., 2021; Castera &amp; Cusi, 2023; Puri &amp; Kotwal, 2022).</w:t>
      </w:r>
    </w:p>
    <w:p w14:paraId="7AAA4525" w14:textId="77777777" w:rsidR="008E1A0A" w:rsidRPr="00BF219E" w:rsidRDefault="00000000">
      <w:r w:rsidRPr="00BF219E">
        <w:t>Renal function and haemodynamic reserve require particular attention because they change both efficacy and toxicity. Creatinine can underestimate renal impairment in sarcopenic cirrhosis, while diuretics, ascites and systemic vasodilatation can reduce effective circulating volume. A drug that promotes natriuresis or depends on renal clearance may therefore become unsuitable before a change in liver enzymes is obvious. Metformin safety is mainly constrained by renal failure and tissue hypoxia rather than by compensated cirrhosis alone; SGLT2 inhibitors require attention to volume status, genital infection, ketoacidosis risk and acute illness; and several DPP-4 inhibitors require renal dose adaptation even when hepatic pharmacokinetics appear favourable. For insulin, declining renal and hepatic clearance can reduce requirements unpredictably. Medication review should therefore accompany changes in renal function, diuretic therapy, ascites control and nutritional intake rather than occur only at scheduled diabetes visits (Boursier et al., 2021; Castera &amp; Cusi, 2023; Lisi et al., 2026).</w:t>
      </w:r>
    </w:p>
    <w:p w14:paraId="712B87F6" w14:textId="77777777" w:rsidR="008E1A0A" w:rsidRPr="00BF219E" w:rsidRDefault="00000000">
      <w:r w:rsidRPr="00BF219E">
        <w:t xml:space="preserve">Metformin illustrates the difference between historical contraindication and current evidence. Concern about lactic acidosis led to broad avoidance in chronic liver disease, but clinically relevant risk is concentrated in settings that impair lactate clearance or tissue oxygenation, such as severe renal dysfunction, shock, sepsis and hypoxia. Multiple observational cirrhosis cohorts associate continued metformin with lower mortality, and a recent meta-analysis supports a survival association in compensated disease (Kaplan et al., 2021; Peppas et al., 2024; Zhang et al., 2014). The evidence does not prove that metformin directly improves portal hypertension or reverses cirrhosis, and it should not override temporary withholding during acute physiological instability. Its contemporary role is therefore conditional rather than </w:t>
      </w:r>
      <w:r w:rsidRPr="00BF219E">
        <w:lastRenderedPageBreak/>
        <w:t>categorical: a reasonable foundational agent in selected stable patients, not a liver-directed therapy and not a drug to preserve at all costs during decompensation.</w:t>
      </w:r>
    </w:p>
    <w:p w14:paraId="2E0BDB62" w14:textId="77777777" w:rsidR="008E1A0A" w:rsidRPr="00BF219E" w:rsidRDefault="00000000">
      <w:r w:rsidRPr="00BF219E">
        <w:t>The enthusiasm surrounding incretin therapy likewise requires two separate judgments. In patients with compensated MASLD cirrhosis, obesity and T2DM, GLP-1 receptor agonists can address clinically important obesity and cardiometabolic risk. Observational comparative studies suggest lower rates of decompensation than some older glucose-lowering comparators, while the semaglutide phase 2 trial in compensated metabolic dysfunction-associated steatohepatitis (MASH)-related cirrhosis provided reassuring short-term safety but did not demonstrate a significant fibrosis benefit (Loomba et al., 2023; Simon et al., 2022; Yen et al., 2024). These results support use for established metabolic indications in appropriately selected compensated patients, not the assertion that GLP-1 therapy treats cirrhosis itself. In patients with poor appetite or sarcopenia, gastrointestinal adverse effects and rapid weight loss can conflict directly with liver-disease priorities. Monitoring should therefore include intake, muscle and function rather than body weight alone (Lai et al., 2021; Singal et al., 2025).</w:t>
      </w:r>
    </w:p>
    <w:p w14:paraId="17EC118D" w14:textId="77777777" w:rsidR="008E1A0A" w:rsidRPr="00BF219E" w:rsidRDefault="00000000">
      <w:r w:rsidRPr="00BF219E">
        <w:t>SGLT2 inhibitors have generated a different form of optimism because osmotic diuresis, natriuresis and cardiorenal protection seem potentially relevant to portal-hypertensive physiology. Recent target-trial emulation and nationwide cohort data in compensated cirrhosis associate SGLT2 inhibitor use with lower mortality, decompensation and cardiorenal events than DPP-4 inhibitor comparators (Chou et al., 2026; Chung et al., 2026). These analyses are strengthened by large samples and active comparators, but they remain vulnerable to channeling of SGLT2 inhibitors toward patients with better renal function, higher blood pressure and more stable disease. They should not be interpreted as evidence that SGLT2 inhibitors are established treatments for ascites. In decompensated patients receiving diuretics, potential volume depletion, acute kidney injury and euglycaemic ketoacidosis during fasting or infection make cautious case selection essential until prospective trials define safety.</w:t>
      </w:r>
    </w:p>
    <w:p w14:paraId="566A049F" w14:textId="77777777" w:rsidR="008E1A0A" w:rsidRPr="00BF219E" w:rsidRDefault="00000000">
      <w:r w:rsidRPr="00BF219E">
        <w:t>Insulin occupies the opposite evidentiary position: its glucose-lowering efficacy is unquestioned, but its long-term comparative safety in cirrhosis is difficult to infer from observational data. The association between insulin use and adverse outcomes in compensated cirrhosis may reflect hypoglycaemia and hyperinsulinaemia, but it is also highly susceptible to confounding because insulin is preferentially prescribed to patients with severe or long-duration diabetes (Yen, Lai, et al., 2021). Insulin remains the most controllable option when acute illness, severe hyperglycaemia or advanced decompensation makes non-insulin therapy unsuitable. Safer use depends on regimen simplification, matching doses to actual intake, reassessing requirements as renal and hepatic function change, and involving caregivers when cognition is impaired. The clinical error is not using insulin when necessary; it is assuming that insulin requires less individualisation than newer therapies simply because it has long been used in liver disease (Castera &amp; Cusi, 2023; Lisi et al., 2026).</w:t>
      </w:r>
    </w:p>
    <w:p w14:paraId="3C401CA8" w14:textId="77777777" w:rsidR="008E1A0A" w:rsidRPr="00BF219E" w:rsidRDefault="00000000">
      <w:r w:rsidRPr="00BF219E">
        <w:t>Table 4 synthesises the practical balance between evidence and risk. The categories are intentionally cautious: cirrhosis severity, renal function, oral intake and frailty can move an individual patient from one risk category to another within days.</w:t>
      </w:r>
    </w:p>
    <w:p w14:paraId="02982B28" w14:textId="77777777" w:rsidR="008E1A0A" w:rsidRPr="00BF219E" w:rsidRDefault="00000000">
      <w:pPr>
        <w:pStyle w:val="TableCaption"/>
      </w:pPr>
      <w:r w:rsidRPr="00BF219E">
        <w:t>Table 4. Glucose-lowering therapies in cirrhosis: evidence, advantages and stage-specific cautions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270B0E5D" w14:textId="77777777">
        <w:trPr>
          <w:tblHeader/>
          <w:jc w:val="center"/>
        </w:trPr>
        <w:tc>
          <w:tcPr>
            <w:tcW w:w="1584" w:type="dxa"/>
            <w:shd w:val="clear" w:color="auto" w:fill="D9E2F3"/>
            <w:tcMar>
              <w:top w:w="80" w:type="dxa"/>
              <w:left w:w="90" w:type="dxa"/>
              <w:bottom w:w="80" w:type="dxa"/>
              <w:right w:w="90" w:type="dxa"/>
            </w:tcMar>
            <w:vAlign w:val="center"/>
          </w:tcPr>
          <w:p w14:paraId="22BC5402" w14:textId="77777777" w:rsidR="008E1A0A" w:rsidRPr="00BF219E" w:rsidRDefault="00000000">
            <w:pPr>
              <w:jc w:val="center"/>
            </w:pPr>
            <w:r w:rsidRPr="00BF219E">
              <w:rPr>
                <w:b/>
                <w:sz w:val="17"/>
              </w:rPr>
              <w:t>Class</w:t>
            </w:r>
          </w:p>
        </w:tc>
        <w:tc>
          <w:tcPr>
            <w:tcW w:w="2088" w:type="dxa"/>
            <w:shd w:val="clear" w:color="auto" w:fill="D9E2F3"/>
            <w:tcMar>
              <w:top w:w="80" w:type="dxa"/>
              <w:left w:w="90" w:type="dxa"/>
              <w:bottom w:w="80" w:type="dxa"/>
              <w:right w:w="90" w:type="dxa"/>
            </w:tcMar>
            <w:vAlign w:val="center"/>
          </w:tcPr>
          <w:p w14:paraId="2DEF863B" w14:textId="77777777" w:rsidR="008E1A0A" w:rsidRPr="00BF219E" w:rsidRDefault="00000000">
            <w:pPr>
              <w:jc w:val="center"/>
            </w:pPr>
            <w:r w:rsidRPr="00BF219E">
              <w:rPr>
                <w:b/>
                <w:sz w:val="17"/>
              </w:rPr>
              <w:t>Potential advantages</w:t>
            </w:r>
          </w:p>
        </w:tc>
        <w:tc>
          <w:tcPr>
            <w:tcW w:w="2376" w:type="dxa"/>
            <w:shd w:val="clear" w:color="auto" w:fill="D9E2F3"/>
            <w:tcMar>
              <w:top w:w="80" w:type="dxa"/>
              <w:left w:w="90" w:type="dxa"/>
              <w:bottom w:w="80" w:type="dxa"/>
              <w:right w:w="90" w:type="dxa"/>
            </w:tcMar>
            <w:vAlign w:val="center"/>
          </w:tcPr>
          <w:p w14:paraId="58FD4413" w14:textId="77777777" w:rsidR="008E1A0A" w:rsidRPr="00BF219E" w:rsidRDefault="00000000">
            <w:pPr>
              <w:jc w:val="center"/>
            </w:pPr>
            <w:r w:rsidRPr="00BF219E">
              <w:rPr>
                <w:b/>
                <w:sz w:val="17"/>
              </w:rPr>
              <w:t>Main cirrhosis-specific concerns</w:t>
            </w:r>
          </w:p>
        </w:tc>
        <w:tc>
          <w:tcPr>
            <w:tcW w:w="2160" w:type="dxa"/>
            <w:shd w:val="clear" w:color="auto" w:fill="D9E2F3"/>
            <w:tcMar>
              <w:top w:w="80" w:type="dxa"/>
              <w:left w:w="90" w:type="dxa"/>
              <w:bottom w:w="80" w:type="dxa"/>
              <w:right w:w="90" w:type="dxa"/>
            </w:tcMar>
            <w:vAlign w:val="center"/>
          </w:tcPr>
          <w:p w14:paraId="0729610D" w14:textId="77777777" w:rsidR="008E1A0A" w:rsidRPr="00BF219E" w:rsidRDefault="00000000">
            <w:pPr>
              <w:jc w:val="center"/>
            </w:pPr>
            <w:r w:rsidRPr="00BF219E">
              <w:rPr>
                <w:b/>
                <w:sz w:val="17"/>
              </w:rPr>
              <w:t>Most defensible current role</w:t>
            </w:r>
          </w:p>
        </w:tc>
        <w:tc>
          <w:tcPr>
            <w:tcW w:w="1800" w:type="dxa"/>
            <w:shd w:val="clear" w:color="auto" w:fill="D9E2F3"/>
            <w:tcMar>
              <w:top w:w="80" w:type="dxa"/>
              <w:left w:w="90" w:type="dxa"/>
              <w:bottom w:w="80" w:type="dxa"/>
              <w:right w:w="90" w:type="dxa"/>
            </w:tcMar>
            <w:vAlign w:val="center"/>
          </w:tcPr>
          <w:p w14:paraId="597CE286" w14:textId="77777777" w:rsidR="008E1A0A" w:rsidRPr="00BF219E" w:rsidRDefault="00000000">
            <w:pPr>
              <w:jc w:val="center"/>
            </w:pPr>
            <w:r w:rsidRPr="00BF219E">
              <w:rPr>
                <w:b/>
                <w:sz w:val="17"/>
              </w:rPr>
              <w:t>Supporting references</w:t>
            </w:r>
          </w:p>
        </w:tc>
      </w:tr>
      <w:tr w:rsidR="00BF219E" w:rsidRPr="00480E24" w14:paraId="5F908939" w14:textId="77777777">
        <w:trPr>
          <w:jc w:val="center"/>
        </w:trPr>
        <w:tc>
          <w:tcPr>
            <w:tcW w:w="1584" w:type="dxa"/>
            <w:tcMar>
              <w:top w:w="80" w:type="dxa"/>
              <w:left w:w="90" w:type="dxa"/>
              <w:bottom w:w="80" w:type="dxa"/>
              <w:right w:w="90" w:type="dxa"/>
            </w:tcMar>
            <w:vAlign w:val="center"/>
          </w:tcPr>
          <w:p w14:paraId="6E32DDE6" w14:textId="77777777" w:rsidR="008E1A0A" w:rsidRPr="00BF219E" w:rsidRDefault="00000000">
            <w:pPr>
              <w:spacing w:after="0" w:line="240" w:lineRule="auto"/>
            </w:pPr>
            <w:r w:rsidRPr="00BF219E">
              <w:rPr>
                <w:sz w:val="16"/>
              </w:rPr>
              <w:t>Metformin</w:t>
            </w:r>
          </w:p>
        </w:tc>
        <w:tc>
          <w:tcPr>
            <w:tcW w:w="2088" w:type="dxa"/>
            <w:tcMar>
              <w:top w:w="80" w:type="dxa"/>
              <w:left w:w="90" w:type="dxa"/>
              <w:bottom w:w="80" w:type="dxa"/>
              <w:right w:w="90" w:type="dxa"/>
            </w:tcMar>
            <w:vAlign w:val="center"/>
          </w:tcPr>
          <w:p w14:paraId="3077B1C6" w14:textId="77777777" w:rsidR="008E1A0A" w:rsidRPr="00BF219E" w:rsidRDefault="00000000">
            <w:pPr>
              <w:spacing w:after="0" w:line="240" w:lineRule="auto"/>
            </w:pPr>
            <w:r w:rsidRPr="00BF219E">
              <w:rPr>
                <w:sz w:val="16"/>
              </w:rPr>
              <w:t>Low hypoglycaemia risk; extensive experience; observational survival signal.</w:t>
            </w:r>
          </w:p>
        </w:tc>
        <w:tc>
          <w:tcPr>
            <w:tcW w:w="2376" w:type="dxa"/>
            <w:tcMar>
              <w:top w:w="80" w:type="dxa"/>
              <w:left w:w="90" w:type="dxa"/>
              <w:bottom w:w="80" w:type="dxa"/>
              <w:right w:w="90" w:type="dxa"/>
            </w:tcMar>
            <w:vAlign w:val="center"/>
          </w:tcPr>
          <w:p w14:paraId="7AEBBE16" w14:textId="77777777" w:rsidR="008E1A0A" w:rsidRPr="00BF219E" w:rsidRDefault="00000000">
            <w:pPr>
              <w:spacing w:after="0" w:line="240" w:lineRule="auto"/>
            </w:pPr>
            <w:r w:rsidRPr="00BF219E">
              <w:rPr>
                <w:sz w:val="16"/>
              </w:rPr>
              <w:t>Lactic acidosis risk rises with acute kidney injury, sepsis, hypoxia or severe decompensation.</w:t>
            </w:r>
          </w:p>
        </w:tc>
        <w:tc>
          <w:tcPr>
            <w:tcW w:w="2160" w:type="dxa"/>
            <w:tcMar>
              <w:top w:w="80" w:type="dxa"/>
              <w:left w:w="90" w:type="dxa"/>
              <w:bottom w:w="80" w:type="dxa"/>
              <w:right w:w="90" w:type="dxa"/>
            </w:tcMar>
            <w:vAlign w:val="center"/>
          </w:tcPr>
          <w:p w14:paraId="40E844EF" w14:textId="77777777" w:rsidR="008E1A0A" w:rsidRPr="00BF219E" w:rsidRDefault="00000000">
            <w:pPr>
              <w:spacing w:after="0" w:line="240" w:lineRule="auto"/>
            </w:pPr>
            <w:r w:rsidRPr="00BF219E">
              <w:rPr>
                <w:sz w:val="16"/>
              </w:rPr>
              <w:t>Preferred foundational option in selected stable compensated cirrhosis with preserved renal/perfusion status.</w:t>
            </w:r>
          </w:p>
        </w:tc>
        <w:tc>
          <w:tcPr>
            <w:tcW w:w="1800" w:type="dxa"/>
            <w:tcMar>
              <w:top w:w="80" w:type="dxa"/>
              <w:left w:w="90" w:type="dxa"/>
              <w:bottom w:w="80" w:type="dxa"/>
              <w:right w:w="90" w:type="dxa"/>
            </w:tcMar>
            <w:vAlign w:val="center"/>
          </w:tcPr>
          <w:p w14:paraId="29A950E1" w14:textId="77777777" w:rsidR="008E1A0A" w:rsidRPr="00480E24" w:rsidRDefault="00000000">
            <w:pPr>
              <w:spacing w:after="0" w:line="240" w:lineRule="auto"/>
              <w:rPr>
                <w:lang w:val="nl-BE"/>
              </w:rPr>
            </w:pPr>
            <w:r w:rsidRPr="00480E24">
              <w:rPr>
                <w:sz w:val="16"/>
                <w:lang w:val="nl-BE"/>
              </w:rPr>
              <w:t>(Kaplan et al., 2021; Peppas et al., 2024; Zhang et al., 2014)</w:t>
            </w:r>
          </w:p>
        </w:tc>
      </w:tr>
      <w:tr w:rsidR="00BF219E" w:rsidRPr="00480E24" w14:paraId="24C71D81" w14:textId="77777777">
        <w:trPr>
          <w:jc w:val="center"/>
        </w:trPr>
        <w:tc>
          <w:tcPr>
            <w:tcW w:w="1584" w:type="dxa"/>
            <w:tcMar>
              <w:top w:w="80" w:type="dxa"/>
              <w:left w:w="90" w:type="dxa"/>
              <w:bottom w:w="80" w:type="dxa"/>
              <w:right w:w="90" w:type="dxa"/>
            </w:tcMar>
            <w:vAlign w:val="center"/>
          </w:tcPr>
          <w:p w14:paraId="46ED4678" w14:textId="77777777" w:rsidR="008E1A0A" w:rsidRPr="00BF219E" w:rsidRDefault="00000000">
            <w:pPr>
              <w:spacing w:after="0" w:line="240" w:lineRule="auto"/>
            </w:pPr>
            <w:r w:rsidRPr="00BF219E">
              <w:rPr>
                <w:sz w:val="16"/>
              </w:rPr>
              <w:t>Sulfonylureas</w:t>
            </w:r>
          </w:p>
        </w:tc>
        <w:tc>
          <w:tcPr>
            <w:tcW w:w="2088" w:type="dxa"/>
            <w:tcMar>
              <w:top w:w="80" w:type="dxa"/>
              <w:left w:w="90" w:type="dxa"/>
              <w:bottom w:w="80" w:type="dxa"/>
              <w:right w:w="90" w:type="dxa"/>
            </w:tcMar>
            <w:vAlign w:val="center"/>
          </w:tcPr>
          <w:p w14:paraId="17B53F9D" w14:textId="77777777" w:rsidR="008E1A0A" w:rsidRPr="00BF219E" w:rsidRDefault="00000000">
            <w:pPr>
              <w:spacing w:after="0" w:line="240" w:lineRule="auto"/>
            </w:pPr>
            <w:r w:rsidRPr="00BF219E">
              <w:rPr>
                <w:sz w:val="16"/>
              </w:rPr>
              <w:t>Effective and inexpensive.</w:t>
            </w:r>
          </w:p>
        </w:tc>
        <w:tc>
          <w:tcPr>
            <w:tcW w:w="2376" w:type="dxa"/>
            <w:tcMar>
              <w:top w:w="80" w:type="dxa"/>
              <w:left w:w="90" w:type="dxa"/>
              <w:bottom w:w="80" w:type="dxa"/>
              <w:right w:w="90" w:type="dxa"/>
            </w:tcMar>
            <w:vAlign w:val="center"/>
          </w:tcPr>
          <w:p w14:paraId="1F563198" w14:textId="77777777" w:rsidR="008E1A0A" w:rsidRPr="00BF219E" w:rsidRDefault="00000000">
            <w:pPr>
              <w:spacing w:after="0" w:line="240" w:lineRule="auto"/>
            </w:pPr>
            <w:r w:rsidRPr="00BF219E">
              <w:rPr>
                <w:sz w:val="16"/>
              </w:rPr>
              <w:t>Hypoglycaemia, hepatic metabolism, altered protein binding, unpredictable intake.</w:t>
            </w:r>
          </w:p>
        </w:tc>
        <w:tc>
          <w:tcPr>
            <w:tcW w:w="2160" w:type="dxa"/>
            <w:tcMar>
              <w:top w:w="80" w:type="dxa"/>
              <w:left w:w="90" w:type="dxa"/>
              <w:bottom w:w="80" w:type="dxa"/>
              <w:right w:w="90" w:type="dxa"/>
            </w:tcMar>
            <w:vAlign w:val="center"/>
          </w:tcPr>
          <w:p w14:paraId="48B9599A" w14:textId="77777777" w:rsidR="008E1A0A" w:rsidRPr="00BF219E" w:rsidRDefault="00000000">
            <w:pPr>
              <w:spacing w:after="0" w:line="240" w:lineRule="auto"/>
            </w:pPr>
            <w:r w:rsidRPr="00BF219E">
              <w:rPr>
                <w:sz w:val="16"/>
              </w:rPr>
              <w:t>Lower-priority option; avoid or use very cautiously as liver dysfunction advances.</w:t>
            </w:r>
          </w:p>
        </w:tc>
        <w:tc>
          <w:tcPr>
            <w:tcW w:w="1800" w:type="dxa"/>
            <w:tcMar>
              <w:top w:w="80" w:type="dxa"/>
              <w:left w:w="90" w:type="dxa"/>
              <w:bottom w:w="80" w:type="dxa"/>
              <w:right w:w="90" w:type="dxa"/>
            </w:tcMar>
            <w:vAlign w:val="center"/>
          </w:tcPr>
          <w:p w14:paraId="09AF4A6E" w14:textId="77777777" w:rsidR="008E1A0A" w:rsidRPr="00480E24" w:rsidRDefault="00000000">
            <w:pPr>
              <w:spacing w:after="0" w:line="240" w:lineRule="auto"/>
              <w:rPr>
                <w:lang w:val="nl-BE"/>
              </w:rPr>
            </w:pPr>
            <w:r w:rsidRPr="00480E24">
              <w:rPr>
                <w:sz w:val="16"/>
                <w:lang w:val="nl-BE"/>
              </w:rPr>
              <w:t>(Puri &amp; Kotwal, 2022; Yen et al., 2020)</w:t>
            </w:r>
          </w:p>
        </w:tc>
      </w:tr>
      <w:tr w:rsidR="00BF219E" w:rsidRPr="00480E24" w14:paraId="38AB950D" w14:textId="77777777">
        <w:trPr>
          <w:jc w:val="center"/>
        </w:trPr>
        <w:tc>
          <w:tcPr>
            <w:tcW w:w="1584" w:type="dxa"/>
            <w:tcMar>
              <w:top w:w="80" w:type="dxa"/>
              <w:left w:w="90" w:type="dxa"/>
              <w:bottom w:w="80" w:type="dxa"/>
              <w:right w:w="90" w:type="dxa"/>
            </w:tcMar>
            <w:vAlign w:val="center"/>
          </w:tcPr>
          <w:p w14:paraId="05C3928B" w14:textId="77777777" w:rsidR="008E1A0A" w:rsidRPr="00BF219E" w:rsidRDefault="00000000">
            <w:pPr>
              <w:spacing w:after="0" w:line="240" w:lineRule="auto"/>
            </w:pPr>
            <w:r w:rsidRPr="00BF219E">
              <w:rPr>
                <w:sz w:val="16"/>
              </w:rPr>
              <w:t>DPP-4 inhibitors</w:t>
            </w:r>
          </w:p>
        </w:tc>
        <w:tc>
          <w:tcPr>
            <w:tcW w:w="2088" w:type="dxa"/>
            <w:tcMar>
              <w:top w:w="80" w:type="dxa"/>
              <w:left w:w="90" w:type="dxa"/>
              <w:bottom w:w="80" w:type="dxa"/>
              <w:right w:w="90" w:type="dxa"/>
            </w:tcMar>
            <w:vAlign w:val="center"/>
          </w:tcPr>
          <w:p w14:paraId="3AD98635" w14:textId="77777777" w:rsidR="008E1A0A" w:rsidRPr="00BF219E" w:rsidRDefault="00000000">
            <w:pPr>
              <w:spacing w:after="0" w:line="240" w:lineRule="auto"/>
            </w:pPr>
            <w:r w:rsidRPr="00BF219E">
              <w:rPr>
                <w:sz w:val="16"/>
              </w:rPr>
              <w:t xml:space="preserve">Weight neutral; low </w:t>
            </w:r>
            <w:r w:rsidRPr="00BF219E">
              <w:rPr>
                <w:sz w:val="16"/>
              </w:rPr>
              <w:lastRenderedPageBreak/>
              <w:t>intrinsic hypoglycaemia risk; simple dosing.</w:t>
            </w:r>
          </w:p>
        </w:tc>
        <w:tc>
          <w:tcPr>
            <w:tcW w:w="2376" w:type="dxa"/>
            <w:tcMar>
              <w:top w:w="80" w:type="dxa"/>
              <w:left w:w="90" w:type="dxa"/>
              <w:bottom w:w="80" w:type="dxa"/>
              <w:right w:w="90" w:type="dxa"/>
            </w:tcMar>
            <w:vAlign w:val="center"/>
          </w:tcPr>
          <w:p w14:paraId="45FE836F" w14:textId="77777777" w:rsidR="008E1A0A" w:rsidRPr="00BF219E" w:rsidRDefault="00000000">
            <w:pPr>
              <w:spacing w:after="0" w:line="240" w:lineRule="auto"/>
            </w:pPr>
            <w:r w:rsidRPr="00BF219E">
              <w:rPr>
                <w:sz w:val="16"/>
              </w:rPr>
              <w:lastRenderedPageBreak/>
              <w:t xml:space="preserve">Limited liver-outcome benefit; </w:t>
            </w:r>
            <w:r w:rsidRPr="00BF219E">
              <w:rPr>
                <w:sz w:val="16"/>
              </w:rPr>
              <w:lastRenderedPageBreak/>
              <w:t>observational signal for decompensation with class use.</w:t>
            </w:r>
          </w:p>
        </w:tc>
        <w:tc>
          <w:tcPr>
            <w:tcW w:w="2160" w:type="dxa"/>
            <w:tcMar>
              <w:top w:w="80" w:type="dxa"/>
              <w:left w:w="90" w:type="dxa"/>
              <w:bottom w:w="80" w:type="dxa"/>
              <w:right w:w="90" w:type="dxa"/>
            </w:tcMar>
            <w:vAlign w:val="center"/>
          </w:tcPr>
          <w:p w14:paraId="50050D8B" w14:textId="77777777" w:rsidR="008E1A0A" w:rsidRPr="00BF219E" w:rsidRDefault="00000000">
            <w:pPr>
              <w:spacing w:after="0" w:line="240" w:lineRule="auto"/>
            </w:pPr>
            <w:r w:rsidRPr="00BF219E">
              <w:rPr>
                <w:sz w:val="16"/>
              </w:rPr>
              <w:lastRenderedPageBreak/>
              <w:t xml:space="preserve">Selected compensated </w:t>
            </w:r>
            <w:r w:rsidRPr="00BF219E">
              <w:rPr>
                <w:sz w:val="16"/>
              </w:rPr>
              <w:lastRenderedPageBreak/>
              <w:t>patients when simplicity and hypoglycaemia avoidance are priorities.</w:t>
            </w:r>
          </w:p>
        </w:tc>
        <w:tc>
          <w:tcPr>
            <w:tcW w:w="1800" w:type="dxa"/>
            <w:tcMar>
              <w:top w:w="80" w:type="dxa"/>
              <w:left w:w="90" w:type="dxa"/>
              <w:bottom w:w="80" w:type="dxa"/>
              <w:right w:w="90" w:type="dxa"/>
            </w:tcMar>
            <w:vAlign w:val="center"/>
          </w:tcPr>
          <w:p w14:paraId="6CE56DA0" w14:textId="77777777" w:rsidR="008E1A0A" w:rsidRPr="00480E24" w:rsidRDefault="00000000">
            <w:pPr>
              <w:spacing w:after="0" w:line="240" w:lineRule="auto"/>
              <w:rPr>
                <w:lang w:val="nl-BE"/>
              </w:rPr>
            </w:pPr>
            <w:r w:rsidRPr="00480E24">
              <w:rPr>
                <w:sz w:val="16"/>
                <w:lang w:val="nl-BE"/>
              </w:rPr>
              <w:lastRenderedPageBreak/>
              <w:t xml:space="preserve">(Graefe-Mody et al., </w:t>
            </w:r>
            <w:r w:rsidRPr="00480E24">
              <w:rPr>
                <w:sz w:val="16"/>
                <w:lang w:val="nl-BE"/>
              </w:rPr>
              <w:lastRenderedPageBreak/>
              <w:t>2012; Yen, Wei, et al., 2021)</w:t>
            </w:r>
          </w:p>
        </w:tc>
      </w:tr>
      <w:tr w:rsidR="00BF219E" w:rsidRPr="00480E24" w14:paraId="24DCF5B4" w14:textId="77777777">
        <w:trPr>
          <w:jc w:val="center"/>
        </w:trPr>
        <w:tc>
          <w:tcPr>
            <w:tcW w:w="1584" w:type="dxa"/>
            <w:tcMar>
              <w:top w:w="80" w:type="dxa"/>
              <w:left w:w="90" w:type="dxa"/>
              <w:bottom w:w="80" w:type="dxa"/>
              <w:right w:w="90" w:type="dxa"/>
            </w:tcMar>
            <w:vAlign w:val="center"/>
          </w:tcPr>
          <w:p w14:paraId="2981EC5D" w14:textId="77777777" w:rsidR="008E1A0A" w:rsidRPr="00BF219E" w:rsidRDefault="00000000">
            <w:pPr>
              <w:spacing w:after="0" w:line="240" w:lineRule="auto"/>
            </w:pPr>
            <w:r w:rsidRPr="00BF219E">
              <w:rPr>
                <w:sz w:val="16"/>
              </w:rPr>
              <w:lastRenderedPageBreak/>
              <w:t>GLP-1 receptor agonists</w:t>
            </w:r>
          </w:p>
        </w:tc>
        <w:tc>
          <w:tcPr>
            <w:tcW w:w="2088" w:type="dxa"/>
            <w:tcMar>
              <w:top w:w="80" w:type="dxa"/>
              <w:left w:w="90" w:type="dxa"/>
              <w:bottom w:w="80" w:type="dxa"/>
              <w:right w:w="90" w:type="dxa"/>
            </w:tcMar>
            <w:vAlign w:val="center"/>
          </w:tcPr>
          <w:p w14:paraId="7855810D" w14:textId="77777777" w:rsidR="008E1A0A" w:rsidRPr="00BF219E" w:rsidRDefault="00000000">
            <w:pPr>
              <w:spacing w:after="0" w:line="240" w:lineRule="auto"/>
            </w:pPr>
            <w:r w:rsidRPr="00BF219E">
              <w:rPr>
                <w:sz w:val="16"/>
              </w:rPr>
              <w:t>Weight loss, strong glucose lowering, established cardiometabolic benefits; relevant to MASLD.</w:t>
            </w:r>
          </w:p>
        </w:tc>
        <w:tc>
          <w:tcPr>
            <w:tcW w:w="2376" w:type="dxa"/>
            <w:tcMar>
              <w:top w:w="80" w:type="dxa"/>
              <w:left w:w="90" w:type="dxa"/>
              <w:bottom w:w="80" w:type="dxa"/>
              <w:right w:w="90" w:type="dxa"/>
            </w:tcMar>
            <w:vAlign w:val="center"/>
          </w:tcPr>
          <w:p w14:paraId="0344C4B1" w14:textId="77777777" w:rsidR="008E1A0A" w:rsidRPr="00BF219E" w:rsidRDefault="00000000">
            <w:pPr>
              <w:spacing w:after="0" w:line="240" w:lineRule="auto"/>
            </w:pPr>
            <w:r w:rsidRPr="00BF219E">
              <w:rPr>
                <w:sz w:val="16"/>
              </w:rPr>
              <w:t>Nausea/vomiting, poor intake, excessive weight or muscle loss; limited Child-Pugh B/C evidence.</w:t>
            </w:r>
          </w:p>
        </w:tc>
        <w:tc>
          <w:tcPr>
            <w:tcW w:w="2160" w:type="dxa"/>
            <w:tcMar>
              <w:top w:w="80" w:type="dxa"/>
              <w:left w:w="90" w:type="dxa"/>
              <w:bottom w:w="80" w:type="dxa"/>
              <w:right w:w="90" w:type="dxa"/>
            </w:tcMar>
            <w:vAlign w:val="center"/>
          </w:tcPr>
          <w:p w14:paraId="003A5C3F" w14:textId="77777777" w:rsidR="008E1A0A" w:rsidRPr="00BF219E" w:rsidRDefault="00000000">
            <w:pPr>
              <w:spacing w:after="0" w:line="240" w:lineRule="auto"/>
            </w:pPr>
            <w:r w:rsidRPr="00BF219E">
              <w:rPr>
                <w:sz w:val="16"/>
              </w:rPr>
              <w:t>Compensated cirrhosis with obesity/T2DM when conventional indications are present and nutrition is adequate.</w:t>
            </w:r>
          </w:p>
        </w:tc>
        <w:tc>
          <w:tcPr>
            <w:tcW w:w="1800" w:type="dxa"/>
            <w:tcMar>
              <w:top w:w="80" w:type="dxa"/>
              <w:left w:w="90" w:type="dxa"/>
              <w:bottom w:w="80" w:type="dxa"/>
              <w:right w:w="90" w:type="dxa"/>
            </w:tcMar>
            <w:vAlign w:val="center"/>
          </w:tcPr>
          <w:p w14:paraId="59F19B3A" w14:textId="77777777" w:rsidR="008E1A0A" w:rsidRPr="00480E24" w:rsidRDefault="00000000">
            <w:pPr>
              <w:spacing w:after="0" w:line="240" w:lineRule="auto"/>
              <w:rPr>
                <w:lang w:val="nl-BE"/>
              </w:rPr>
            </w:pPr>
            <w:r w:rsidRPr="00480E24">
              <w:rPr>
                <w:sz w:val="16"/>
                <w:lang w:val="nl-BE"/>
              </w:rPr>
              <w:t>(Loomba et al., 2023; Simon et al., 2022; Yen et al., 2024)</w:t>
            </w:r>
          </w:p>
        </w:tc>
      </w:tr>
      <w:tr w:rsidR="00BF219E" w:rsidRPr="00480E24" w14:paraId="4C5C9282" w14:textId="77777777">
        <w:trPr>
          <w:jc w:val="center"/>
        </w:trPr>
        <w:tc>
          <w:tcPr>
            <w:tcW w:w="1584" w:type="dxa"/>
            <w:tcMar>
              <w:top w:w="80" w:type="dxa"/>
              <w:left w:w="90" w:type="dxa"/>
              <w:bottom w:w="80" w:type="dxa"/>
              <w:right w:w="90" w:type="dxa"/>
            </w:tcMar>
            <w:vAlign w:val="center"/>
          </w:tcPr>
          <w:p w14:paraId="4BCACAB7" w14:textId="77777777" w:rsidR="008E1A0A" w:rsidRPr="00BF219E" w:rsidRDefault="00000000">
            <w:pPr>
              <w:spacing w:after="0" w:line="240" w:lineRule="auto"/>
            </w:pPr>
            <w:r w:rsidRPr="00BF219E">
              <w:rPr>
                <w:sz w:val="16"/>
              </w:rPr>
              <w:t>SGLT2 inhibitors</w:t>
            </w:r>
          </w:p>
        </w:tc>
        <w:tc>
          <w:tcPr>
            <w:tcW w:w="2088" w:type="dxa"/>
            <w:tcMar>
              <w:top w:w="80" w:type="dxa"/>
              <w:left w:w="90" w:type="dxa"/>
              <w:bottom w:w="80" w:type="dxa"/>
              <w:right w:w="90" w:type="dxa"/>
            </w:tcMar>
            <w:vAlign w:val="center"/>
          </w:tcPr>
          <w:p w14:paraId="3DCF9D88" w14:textId="77777777" w:rsidR="008E1A0A" w:rsidRPr="00BF219E" w:rsidRDefault="00000000">
            <w:pPr>
              <w:spacing w:after="0" w:line="240" w:lineRule="auto"/>
            </w:pPr>
            <w:r w:rsidRPr="00BF219E">
              <w:rPr>
                <w:sz w:val="16"/>
              </w:rPr>
              <w:t>Cardiorenal benefit; low hypoglycaemia risk; observational cirrhosis outcome signals.</w:t>
            </w:r>
          </w:p>
        </w:tc>
        <w:tc>
          <w:tcPr>
            <w:tcW w:w="2376" w:type="dxa"/>
            <w:tcMar>
              <w:top w:w="80" w:type="dxa"/>
              <w:left w:w="90" w:type="dxa"/>
              <w:bottom w:w="80" w:type="dxa"/>
              <w:right w:w="90" w:type="dxa"/>
            </w:tcMar>
            <w:vAlign w:val="center"/>
          </w:tcPr>
          <w:p w14:paraId="60DB3615" w14:textId="77777777" w:rsidR="008E1A0A" w:rsidRPr="00BF219E" w:rsidRDefault="00000000">
            <w:pPr>
              <w:spacing w:after="0" w:line="240" w:lineRule="auto"/>
            </w:pPr>
            <w:r w:rsidRPr="00BF219E">
              <w:rPr>
                <w:sz w:val="16"/>
              </w:rPr>
              <w:t>Volume depletion, hypotension, AKI, genital infection, euglycaemic ketoacidosis; limited decompensated data.</w:t>
            </w:r>
          </w:p>
        </w:tc>
        <w:tc>
          <w:tcPr>
            <w:tcW w:w="2160" w:type="dxa"/>
            <w:tcMar>
              <w:top w:w="80" w:type="dxa"/>
              <w:left w:w="90" w:type="dxa"/>
              <w:bottom w:w="80" w:type="dxa"/>
              <w:right w:w="90" w:type="dxa"/>
            </w:tcMar>
            <w:vAlign w:val="center"/>
          </w:tcPr>
          <w:p w14:paraId="54B6AF00" w14:textId="77777777" w:rsidR="008E1A0A" w:rsidRPr="00BF219E" w:rsidRDefault="00000000">
            <w:pPr>
              <w:spacing w:after="0" w:line="240" w:lineRule="auto"/>
            </w:pPr>
            <w:r w:rsidRPr="00BF219E">
              <w:rPr>
                <w:sz w:val="16"/>
              </w:rPr>
              <w:t>Carefully selected compensated patients with stable renal function; not established ascites therapy.</w:t>
            </w:r>
          </w:p>
        </w:tc>
        <w:tc>
          <w:tcPr>
            <w:tcW w:w="1800" w:type="dxa"/>
            <w:tcMar>
              <w:top w:w="80" w:type="dxa"/>
              <w:left w:w="90" w:type="dxa"/>
              <w:bottom w:w="80" w:type="dxa"/>
              <w:right w:w="90" w:type="dxa"/>
            </w:tcMar>
            <w:vAlign w:val="center"/>
          </w:tcPr>
          <w:p w14:paraId="7F647800" w14:textId="77777777" w:rsidR="008E1A0A" w:rsidRPr="00480E24" w:rsidRDefault="00000000">
            <w:pPr>
              <w:spacing w:after="0" w:line="240" w:lineRule="auto"/>
              <w:rPr>
                <w:lang w:val="nl-BE"/>
              </w:rPr>
            </w:pPr>
            <w:r w:rsidRPr="00480E24">
              <w:rPr>
                <w:sz w:val="16"/>
                <w:lang w:val="nl-BE"/>
              </w:rPr>
              <w:t>(Chou et al., 2026; Chung et al., 2026; Saffo &amp; Taddei, 2018)</w:t>
            </w:r>
          </w:p>
        </w:tc>
      </w:tr>
      <w:tr w:rsidR="00BF219E" w:rsidRPr="00BF219E" w14:paraId="0C0FD1D9" w14:textId="77777777">
        <w:trPr>
          <w:jc w:val="center"/>
        </w:trPr>
        <w:tc>
          <w:tcPr>
            <w:tcW w:w="1584" w:type="dxa"/>
            <w:tcMar>
              <w:top w:w="80" w:type="dxa"/>
              <w:left w:w="90" w:type="dxa"/>
              <w:bottom w:w="80" w:type="dxa"/>
              <w:right w:w="90" w:type="dxa"/>
            </w:tcMar>
            <w:vAlign w:val="center"/>
          </w:tcPr>
          <w:p w14:paraId="166D5E78" w14:textId="77777777" w:rsidR="008E1A0A" w:rsidRPr="00BF219E" w:rsidRDefault="00000000">
            <w:pPr>
              <w:spacing w:after="0" w:line="240" w:lineRule="auto"/>
            </w:pPr>
            <w:r w:rsidRPr="00BF219E">
              <w:rPr>
                <w:sz w:val="16"/>
              </w:rPr>
              <w:t>Pioglitazone</w:t>
            </w:r>
          </w:p>
        </w:tc>
        <w:tc>
          <w:tcPr>
            <w:tcW w:w="2088" w:type="dxa"/>
            <w:tcMar>
              <w:top w:w="80" w:type="dxa"/>
              <w:left w:w="90" w:type="dxa"/>
              <w:bottom w:w="80" w:type="dxa"/>
              <w:right w:w="90" w:type="dxa"/>
            </w:tcMar>
            <w:vAlign w:val="center"/>
          </w:tcPr>
          <w:p w14:paraId="7CCDE1E1" w14:textId="77777777" w:rsidR="008E1A0A" w:rsidRPr="00BF219E" w:rsidRDefault="00000000">
            <w:pPr>
              <w:spacing w:after="0" w:line="240" w:lineRule="auto"/>
            </w:pPr>
            <w:r w:rsidRPr="00BF219E">
              <w:rPr>
                <w:sz w:val="16"/>
              </w:rPr>
              <w:t>Improves insulin sensitivity; evidence in non-cirrhotic steatohepatitis.</w:t>
            </w:r>
          </w:p>
        </w:tc>
        <w:tc>
          <w:tcPr>
            <w:tcW w:w="2376" w:type="dxa"/>
            <w:tcMar>
              <w:top w:w="80" w:type="dxa"/>
              <w:left w:w="90" w:type="dxa"/>
              <w:bottom w:w="80" w:type="dxa"/>
              <w:right w:w="90" w:type="dxa"/>
            </w:tcMar>
            <w:vAlign w:val="center"/>
          </w:tcPr>
          <w:p w14:paraId="015F6F1A" w14:textId="77777777" w:rsidR="008E1A0A" w:rsidRPr="00BF219E" w:rsidRDefault="00000000">
            <w:pPr>
              <w:spacing w:after="0" w:line="240" w:lineRule="auto"/>
            </w:pPr>
            <w:r w:rsidRPr="00BF219E">
              <w:rPr>
                <w:sz w:val="16"/>
              </w:rPr>
              <w:t>Fluid retention, weight gain, fracture risk; little advanced-cirrhosis outcome evidence.</w:t>
            </w:r>
          </w:p>
        </w:tc>
        <w:tc>
          <w:tcPr>
            <w:tcW w:w="2160" w:type="dxa"/>
            <w:tcMar>
              <w:top w:w="80" w:type="dxa"/>
              <w:left w:w="90" w:type="dxa"/>
              <w:bottom w:w="80" w:type="dxa"/>
              <w:right w:w="90" w:type="dxa"/>
            </w:tcMar>
            <w:vAlign w:val="center"/>
          </w:tcPr>
          <w:p w14:paraId="4535DD63" w14:textId="77777777" w:rsidR="008E1A0A" w:rsidRPr="00BF219E" w:rsidRDefault="00000000">
            <w:pPr>
              <w:spacing w:after="0" w:line="240" w:lineRule="auto"/>
            </w:pPr>
            <w:r w:rsidRPr="00BF219E">
              <w:rPr>
                <w:sz w:val="16"/>
              </w:rPr>
              <w:t>Occasional compensated patients without oedema/ascites; generally avoid in decompensation.</w:t>
            </w:r>
          </w:p>
        </w:tc>
        <w:tc>
          <w:tcPr>
            <w:tcW w:w="1800" w:type="dxa"/>
            <w:tcMar>
              <w:top w:w="80" w:type="dxa"/>
              <w:left w:w="90" w:type="dxa"/>
              <w:bottom w:w="80" w:type="dxa"/>
              <w:right w:w="90" w:type="dxa"/>
            </w:tcMar>
            <w:vAlign w:val="center"/>
          </w:tcPr>
          <w:p w14:paraId="3E7AE77F" w14:textId="77777777" w:rsidR="008E1A0A" w:rsidRPr="00BF219E" w:rsidRDefault="00000000">
            <w:pPr>
              <w:spacing w:after="0" w:line="240" w:lineRule="auto"/>
            </w:pPr>
            <w:r w:rsidRPr="00BF219E">
              <w:rPr>
                <w:sz w:val="16"/>
              </w:rPr>
              <w:t>(Boursier et al., 2021; European Association for the Study of the Liver et al., 2024)</w:t>
            </w:r>
          </w:p>
        </w:tc>
      </w:tr>
      <w:tr w:rsidR="00BF219E" w:rsidRPr="00480E24" w14:paraId="260FF6B4" w14:textId="77777777">
        <w:trPr>
          <w:jc w:val="center"/>
        </w:trPr>
        <w:tc>
          <w:tcPr>
            <w:tcW w:w="1584" w:type="dxa"/>
            <w:tcMar>
              <w:top w:w="80" w:type="dxa"/>
              <w:left w:w="90" w:type="dxa"/>
              <w:bottom w:w="80" w:type="dxa"/>
              <w:right w:w="90" w:type="dxa"/>
            </w:tcMar>
            <w:vAlign w:val="center"/>
          </w:tcPr>
          <w:p w14:paraId="55F23C16" w14:textId="77777777" w:rsidR="008E1A0A" w:rsidRPr="00BF219E" w:rsidRDefault="00000000">
            <w:pPr>
              <w:spacing w:after="0" w:line="240" w:lineRule="auto"/>
            </w:pPr>
            <w:r w:rsidRPr="00BF219E">
              <w:rPr>
                <w:sz w:val="16"/>
              </w:rPr>
              <w:t>Alpha-glucosidase inhibitors</w:t>
            </w:r>
          </w:p>
        </w:tc>
        <w:tc>
          <w:tcPr>
            <w:tcW w:w="2088" w:type="dxa"/>
            <w:tcMar>
              <w:top w:w="80" w:type="dxa"/>
              <w:left w:w="90" w:type="dxa"/>
              <w:bottom w:w="80" w:type="dxa"/>
              <w:right w:w="90" w:type="dxa"/>
            </w:tcMar>
            <w:vAlign w:val="center"/>
          </w:tcPr>
          <w:p w14:paraId="48F7F20E" w14:textId="77777777" w:rsidR="008E1A0A" w:rsidRPr="00BF219E" w:rsidRDefault="00000000">
            <w:pPr>
              <w:spacing w:after="0" w:line="240" w:lineRule="auto"/>
            </w:pPr>
            <w:r w:rsidRPr="00BF219E">
              <w:rPr>
                <w:sz w:val="16"/>
              </w:rPr>
              <w:t>Targets postprandial hyperglycaemia; minimal systemic hypoglycaemia.</w:t>
            </w:r>
          </w:p>
        </w:tc>
        <w:tc>
          <w:tcPr>
            <w:tcW w:w="2376" w:type="dxa"/>
            <w:tcMar>
              <w:top w:w="80" w:type="dxa"/>
              <w:left w:w="90" w:type="dxa"/>
              <w:bottom w:w="80" w:type="dxa"/>
              <w:right w:w="90" w:type="dxa"/>
            </w:tcMar>
            <w:vAlign w:val="center"/>
          </w:tcPr>
          <w:p w14:paraId="6B0DE9A9" w14:textId="77777777" w:rsidR="008E1A0A" w:rsidRPr="00BF219E" w:rsidRDefault="00000000">
            <w:pPr>
              <w:spacing w:after="0" w:line="240" w:lineRule="auto"/>
            </w:pPr>
            <w:r w:rsidRPr="00BF219E">
              <w:rPr>
                <w:sz w:val="16"/>
              </w:rPr>
              <w:t>Gastrointestinal intolerance and pill burden.</w:t>
            </w:r>
          </w:p>
        </w:tc>
        <w:tc>
          <w:tcPr>
            <w:tcW w:w="2160" w:type="dxa"/>
            <w:tcMar>
              <w:top w:w="80" w:type="dxa"/>
              <w:left w:w="90" w:type="dxa"/>
              <w:bottom w:w="80" w:type="dxa"/>
              <w:right w:w="90" w:type="dxa"/>
            </w:tcMar>
            <w:vAlign w:val="center"/>
          </w:tcPr>
          <w:p w14:paraId="0FC9EBCA" w14:textId="77777777" w:rsidR="008E1A0A" w:rsidRPr="00BF219E" w:rsidRDefault="00000000">
            <w:pPr>
              <w:spacing w:after="0" w:line="240" w:lineRule="auto"/>
            </w:pPr>
            <w:r w:rsidRPr="00BF219E">
              <w:rPr>
                <w:sz w:val="16"/>
              </w:rPr>
              <w:t>Niche option in compensated cirrhosis with postprandial excursions.</w:t>
            </w:r>
          </w:p>
        </w:tc>
        <w:tc>
          <w:tcPr>
            <w:tcW w:w="1800" w:type="dxa"/>
            <w:tcMar>
              <w:top w:w="80" w:type="dxa"/>
              <w:left w:w="90" w:type="dxa"/>
              <w:bottom w:w="80" w:type="dxa"/>
              <w:right w:w="90" w:type="dxa"/>
            </w:tcMar>
            <w:vAlign w:val="center"/>
          </w:tcPr>
          <w:p w14:paraId="50674D5E" w14:textId="77777777" w:rsidR="008E1A0A" w:rsidRPr="00480E24" w:rsidRDefault="00000000">
            <w:pPr>
              <w:spacing w:after="0" w:line="240" w:lineRule="auto"/>
              <w:rPr>
                <w:lang w:val="nl-BE"/>
              </w:rPr>
            </w:pPr>
            <w:r w:rsidRPr="00480E24">
              <w:rPr>
                <w:sz w:val="16"/>
                <w:lang w:val="nl-BE"/>
              </w:rPr>
              <w:t>(Gentile et al., 2005; Yen et al., 2022)</w:t>
            </w:r>
          </w:p>
        </w:tc>
      </w:tr>
      <w:tr w:rsidR="00BF219E" w:rsidRPr="00BF219E" w14:paraId="73F4B537" w14:textId="77777777">
        <w:trPr>
          <w:jc w:val="center"/>
        </w:trPr>
        <w:tc>
          <w:tcPr>
            <w:tcW w:w="1584" w:type="dxa"/>
            <w:tcMar>
              <w:top w:w="80" w:type="dxa"/>
              <w:left w:w="90" w:type="dxa"/>
              <w:bottom w:w="80" w:type="dxa"/>
              <w:right w:w="90" w:type="dxa"/>
            </w:tcMar>
            <w:vAlign w:val="center"/>
          </w:tcPr>
          <w:p w14:paraId="4D780BEA" w14:textId="77777777" w:rsidR="008E1A0A" w:rsidRPr="00BF219E" w:rsidRDefault="00000000">
            <w:pPr>
              <w:spacing w:after="0" w:line="240" w:lineRule="auto"/>
            </w:pPr>
            <w:r w:rsidRPr="00BF219E">
              <w:rPr>
                <w:sz w:val="16"/>
              </w:rPr>
              <w:t>Insulin</w:t>
            </w:r>
          </w:p>
        </w:tc>
        <w:tc>
          <w:tcPr>
            <w:tcW w:w="2088" w:type="dxa"/>
            <w:tcMar>
              <w:top w:w="80" w:type="dxa"/>
              <w:left w:w="90" w:type="dxa"/>
              <w:bottom w:w="80" w:type="dxa"/>
              <w:right w:w="90" w:type="dxa"/>
            </w:tcMar>
            <w:vAlign w:val="center"/>
          </w:tcPr>
          <w:p w14:paraId="116DF683" w14:textId="77777777" w:rsidR="008E1A0A" w:rsidRPr="00BF219E" w:rsidRDefault="00000000">
            <w:pPr>
              <w:spacing w:after="0" w:line="240" w:lineRule="auto"/>
            </w:pPr>
            <w:r w:rsidRPr="00BF219E">
              <w:rPr>
                <w:sz w:val="16"/>
              </w:rPr>
              <w:t>Rapidly titratable; usable during acute illness and advanced decompensation.</w:t>
            </w:r>
          </w:p>
        </w:tc>
        <w:tc>
          <w:tcPr>
            <w:tcW w:w="2376" w:type="dxa"/>
            <w:tcMar>
              <w:top w:w="80" w:type="dxa"/>
              <w:left w:w="90" w:type="dxa"/>
              <w:bottom w:w="80" w:type="dxa"/>
              <w:right w:w="90" w:type="dxa"/>
            </w:tcMar>
            <w:vAlign w:val="center"/>
          </w:tcPr>
          <w:p w14:paraId="4296C5A6" w14:textId="77777777" w:rsidR="008E1A0A" w:rsidRPr="00BF219E" w:rsidRDefault="00000000">
            <w:pPr>
              <w:spacing w:after="0" w:line="240" w:lineRule="auto"/>
            </w:pPr>
            <w:r w:rsidRPr="00BF219E">
              <w:rPr>
                <w:sz w:val="16"/>
              </w:rPr>
              <w:t>High hypoglycaemia risk; requirements fluctuate with hepatic function, intake and renal function.</w:t>
            </w:r>
          </w:p>
        </w:tc>
        <w:tc>
          <w:tcPr>
            <w:tcW w:w="2160" w:type="dxa"/>
            <w:tcMar>
              <w:top w:w="80" w:type="dxa"/>
              <w:left w:w="90" w:type="dxa"/>
              <w:bottom w:w="80" w:type="dxa"/>
              <w:right w:w="90" w:type="dxa"/>
            </w:tcMar>
            <w:vAlign w:val="center"/>
          </w:tcPr>
          <w:p w14:paraId="2D2944C7" w14:textId="77777777" w:rsidR="008E1A0A" w:rsidRPr="00BF219E" w:rsidRDefault="00000000">
            <w:pPr>
              <w:spacing w:after="0" w:line="240" w:lineRule="auto"/>
            </w:pPr>
            <w:r w:rsidRPr="00BF219E">
              <w:rPr>
                <w:sz w:val="16"/>
              </w:rPr>
              <w:t>Essential when severe hyperglycaemia, decompensation or acute illness makes alternatives unsuitable.</w:t>
            </w:r>
          </w:p>
        </w:tc>
        <w:tc>
          <w:tcPr>
            <w:tcW w:w="1800" w:type="dxa"/>
            <w:tcMar>
              <w:top w:w="80" w:type="dxa"/>
              <w:left w:w="90" w:type="dxa"/>
              <w:bottom w:w="80" w:type="dxa"/>
              <w:right w:w="90" w:type="dxa"/>
            </w:tcMar>
            <w:vAlign w:val="center"/>
          </w:tcPr>
          <w:p w14:paraId="2340471C" w14:textId="77777777" w:rsidR="008E1A0A" w:rsidRPr="00BF219E" w:rsidRDefault="00000000">
            <w:pPr>
              <w:spacing w:after="0" w:line="240" w:lineRule="auto"/>
            </w:pPr>
            <w:r w:rsidRPr="00BF219E">
              <w:rPr>
                <w:sz w:val="16"/>
              </w:rPr>
              <w:t>(Castera &amp; Cusi, 2023; Yen, Lai, et al., 2021)</w:t>
            </w:r>
          </w:p>
        </w:tc>
      </w:tr>
    </w:tbl>
    <w:p w14:paraId="0DD8FA17" w14:textId="77777777" w:rsidR="008E1A0A" w:rsidRPr="00BF219E" w:rsidRDefault="00000000">
      <w:pPr>
        <w:pStyle w:val="TableNote"/>
      </w:pPr>
      <w:r w:rsidRPr="00BF219E">
        <w:t>Note. AKI = acute kidney injury; DPP-4 = dipeptidyl peptidase-4; GLP-1 = glucagon-like peptide-1; MASLD = metabolic dysfunction-associated steatotic liver disease; SGLT2 = sodium-glucose cotransporter-2; T2DM = type 2 diabetes mellitus. This table is not a dosing guide; individual drug labelling, renal function and acute clinical status must be considered.</w:t>
      </w:r>
    </w:p>
    <w:p w14:paraId="57FF089D" w14:textId="77777777" w:rsidR="008E1A0A" w:rsidRPr="00BF219E" w:rsidRDefault="00000000">
      <w:pPr>
        <w:pStyle w:val="Heading1"/>
        <w:rPr>
          <w:color w:val="auto"/>
        </w:rPr>
      </w:pPr>
      <w:r w:rsidRPr="00BF219E">
        <w:rPr>
          <w:color w:val="auto"/>
        </w:rPr>
        <w:t>8. Decompensated Cirrhosis, Acute Illness and Inpatient Management</w:t>
      </w:r>
    </w:p>
    <w:p w14:paraId="6DFA5B14" w14:textId="77777777" w:rsidR="008E1A0A" w:rsidRPr="00BF219E" w:rsidRDefault="00000000">
      <w:r w:rsidRPr="00BF219E">
        <w:t>Decompensation changes the therapeutic objective. Ascites, variceal bleeding, HE, jaundice, infection and acute kidney injury reduce the margin for medication-related adverse events, and the priority becomes prevention of severe hypo- or hyperglycaemia while the precipitating illness is treated. The haemodynamic state of decompensated cirrhosis is characterised by reduced effective arterial blood volume despite total-body fluid excess. Drugs that reduce intravascular volume or depend on stable renal clearance can therefore become unsafe rapidly. Guidelines for decompensated cirrhosis emphasise careful renal and circulatory management, which should be integrated directly into diabetes decisions (European Association for the Study of the Liver, 2018).</w:t>
      </w:r>
    </w:p>
    <w:p w14:paraId="38850B9F" w14:textId="77777777" w:rsidR="008E1A0A" w:rsidRPr="00BF219E" w:rsidRDefault="00000000">
      <w:r w:rsidRPr="00BF219E">
        <w:t>During sepsis, hypoxia, gastrointestinal bleeding, acute kidney injury, prolonged fasting or major procedures, metformin should generally be withheld because the context rather than cirrhosis alone creates lactic acidosis risk. SGLT2 inhibitors should be interrupted during acute illness, reduced intake or haemodynamic instability because of volume and ketoacidosis concerns. Agents that stimulate endogenous insulin secretion become increasingly unattractive when oral intake is unpredictable. These are dynamic safety decisions rather than permanent declarations that a drug can never be used again after recovery.</w:t>
      </w:r>
    </w:p>
    <w:p w14:paraId="631BA841" w14:textId="77777777" w:rsidR="008E1A0A" w:rsidRPr="00BF219E" w:rsidRDefault="00000000">
      <w:r w:rsidRPr="00BF219E">
        <w:t xml:space="preserve">Insulin is usually the most adaptable therapy in hospital, but requirements can change quickly as infection resolves, steroids are started or stopped, nutrition is interrupted, renal function deteriorates or portal-systemic physiology changes. Frequent bedside glucose measurement or selected use of CGM with confirmatory testing can reduce unrecognised hypoglycaemia. A basal component with nutritional and correctional insulin is generally more physiologically coherent than sliding-scale insulin used alone, although exact dosing must be individualised. In patients with recurrent HE, family or caregiver </w:t>
      </w:r>
      <w:r w:rsidRPr="00BF219E">
        <w:lastRenderedPageBreak/>
        <w:t>participation may be essential after discharge because the cognitive capacity needed for carbohydrate estimation, insulin titration and hypoglycaemia rescue may fluctuate.</w:t>
      </w:r>
    </w:p>
    <w:p w14:paraId="3712A91E" w14:textId="77777777" w:rsidR="008E1A0A" w:rsidRPr="00BF219E" w:rsidRDefault="00000000">
      <w:r w:rsidRPr="00BF219E">
        <w:t>Decompensation also sharpens the distinction between glycaemic control and metabolic overtreatment. Mild to moderate persistent hyperglycaemia may be less immediately dangerous than recurrent hypoglycaemia in a malnourished patient with encephalopathy. Conversely, severe hyperglycaemia promotes osmotic diuresis and can worsen dehydration or infection risk. The appropriate target is therefore a safe range rather than a low HbA1c, and the monitoring strategy should be intensified whenever clinical state changes (Castera &amp; Cusi, 2023; Lisi et al., 2026).</w:t>
      </w:r>
    </w:p>
    <w:p w14:paraId="61EEC621" w14:textId="77777777" w:rsidR="008E1A0A" w:rsidRPr="00BF219E" w:rsidRDefault="00000000">
      <w:r w:rsidRPr="00BF219E">
        <w:t>Acute decompensation should be treated as a metabolic transition rather than merely another clinic encounter. Infection, bleeding, corticosteroids, procedures and stress hormones can transiently raise glucose, whereas reduced intake, vomiting, renal impairment and loss of hepatic glucose production can precipitate hypoglycaemia. The direction of insulin requirement is therefore not predictable from the pre-admission dose. Fixed outpatient regimens should be reviewed on admission and again during recovery. Drugs whose safety depends on stable kidney function, perfusion or oral intake may need temporary interruption, while insulin can be titrated more rapidly to changing physiology. This does not imply that insulin is benign: frequent glucose assessment and conservative dose adjustment are especially important when hepatic encephalopathy limits symptom reporting (European Association for the Study of the Liver, 2018; Lisi et al., 2026).</w:t>
      </w:r>
    </w:p>
    <w:p w14:paraId="2033BEDA" w14:textId="77777777" w:rsidR="008E1A0A" w:rsidRPr="00BF219E" w:rsidRDefault="00000000">
      <w:r w:rsidRPr="00BF219E">
        <w:t>Discharge creates a second high-risk transition. Resolution of sepsis, withdrawal of corticosteroids, diuresis, paracentesis, improved appetite or deterioration in renal function can all make the inpatient regimen inappropriate after leaving hospital. Medication reconciliation should therefore specify which therapies were stopped only temporarily, which should not be restarted without review, and how glucose will be monitored during the early post-discharge period. Recurrent encephalopathy or limited health literacy may require caregiver participation and a deliberately simple regimen. The quality of this transition is likely to matter more for hypoglycaemia prevention than small differences between drug classes, yet it has been poorly studied as a cirrhosis-specific intervention (Castera &amp; Cusi, 2023; Puri &amp; Kotwal, 2022).</w:t>
      </w:r>
    </w:p>
    <w:p w14:paraId="7C2D6305" w14:textId="77777777" w:rsidR="008E1A0A" w:rsidRPr="00BF219E" w:rsidRDefault="00000000">
      <w:pPr>
        <w:pStyle w:val="Heading1"/>
        <w:rPr>
          <w:color w:val="auto"/>
        </w:rPr>
      </w:pPr>
      <w:r w:rsidRPr="00BF219E">
        <w:rPr>
          <w:color w:val="auto"/>
        </w:rPr>
        <w:t>9. Liver Transplantation and Post-Transplant Diabetes</w:t>
      </w:r>
    </w:p>
    <w:p w14:paraId="743CAF00" w14:textId="77777777" w:rsidR="008E1A0A" w:rsidRPr="00BF219E" w:rsidRDefault="00000000">
      <w:r w:rsidRPr="00BF219E">
        <w:t>Liver transplantation illustrates both the reversibility and persistence of cirrhosis-related dysglycaemia. By restoring hepatic mass and portal circulation, transplantation can improve insulin sensitivity in patients whose diabetes is predominantly hepatogenous. Perseghin et al. (2000) showed that insulin resistance improved markedly after transplantation, but diabetes persisted when beta-cell secretory failure was established. Pre-transplant classification therefore has prognostic interest, yet treatment decisions should remain based on actual glucose patterns and comorbidity rather than on an expectation that diabetes will disappear.</w:t>
      </w:r>
    </w:p>
    <w:p w14:paraId="57127A53" w14:textId="77777777" w:rsidR="008E1A0A" w:rsidRPr="00BF219E" w:rsidRDefault="00000000">
      <w:r w:rsidRPr="00BF219E">
        <w:t>Before transplantation, diabetes management must balance cardiovascular and infection risk, nutritional reserve and the avoidance of hypoglycaemia. Contemporary transplant reviews no longer support a universal rule that insulin must be the sole therapy for all candidates with severe liver disease; selected non-insulin agents may be continued when clinically stable, while insulin remains essential when decompensation or perioperative instability limits alternatives (Brodosi et al., 2022). Close coordination between hepatology, endocrinology, nutrition and transplant teams is particularly important because medication eligibility can change as renal function or listing status changes.</w:t>
      </w:r>
    </w:p>
    <w:p w14:paraId="7AEBAE92" w14:textId="77777777" w:rsidR="008E1A0A" w:rsidRPr="00BF219E" w:rsidRDefault="00000000">
      <w:r w:rsidRPr="00BF219E">
        <w:t xml:space="preserve">After transplantation, the metabolic environment changes again. Corticosteroids and calcineurin inhibitors can promote post-transplantation diabetes mellitus (PTDM), while appetite, weight and renal function evolve. Early postoperative hyperglycaemia is often managed with insulin because requirements are rapidly changing. Longer-term therapy can be individualised according to kidney function, weight, cardiovascular disease, graft steatosis and immunosuppressive interactions. Reviews of liver-transplant recipients increasingly consider GLP-1 RAs and SGLT2 inhibitors promising, but liver-transplant-specific outcome data remain limited (Richardson et al., 2022). International PTDM consensus likewise </w:t>
      </w:r>
      <w:r w:rsidRPr="00BF219E">
        <w:lastRenderedPageBreak/>
        <w:t>acknowledges that evidence for newer drugs is developing and that many recommendations across solid-organ transplantation remain based on expert interpretation rather than high-certainty comparative trials (Sharif et al., 2024).</w:t>
      </w:r>
    </w:p>
    <w:p w14:paraId="3E9510DF" w14:textId="77777777" w:rsidR="008E1A0A" w:rsidRPr="00BF219E" w:rsidRDefault="00000000">
      <w:r w:rsidRPr="00BF219E">
        <w:t>The post-transplant setting should not be treated as simply the continuation of pre-transplant diabetes care. Resolution of portal hypertension may reduce insulin resistance, immunosuppression may add new diabetogenic pressure, renal dysfunction can constrain metformin or SGLT2 inhibitor use, and weight gain can reintroduce MASLD risk. Longitudinal reassessment of diabetes phenotype and medication need is therefore more appropriate than automatic continuation of the pre-transplant regimen.</w:t>
      </w:r>
    </w:p>
    <w:p w14:paraId="77B52256" w14:textId="77777777" w:rsidR="008E1A0A" w:rsidRPr="00BF219E" w:rsidRDefault="00000000">
      <w:r w:rsidRPr="00BF219E">
        <w:t>The transplant setting reveals why diabetes phenotype should remain provisional. Removal of the cirrhotic liver and reversal of portal-systemic physiology can improve insulin sensitivity in patients whose dysglycaemia was strongly driven by cirrhosis, but persistent beta-cell dysfunction or long-standing T2DM may prevent remission. At the same time, corticosteroids and calcineurin inhibitors can create or worsen post-transplant diabetes, while improved appetite and weight gain may re-establish a conventional metabolic phenotype. The direction of change is therefore patient specific. Pre-transplant labels should not substitute for reassessment of fasting and postprandial glucose, renal function, nutritional status and medication requirements after graft recovery (Brodosi et al., 2022; Perseghin et al., 2000).</w:t>
      </w:r>
    </w:p>
    <w:p w14:paraId="7AF32996" w14:textId="77777777" w:rsidR="008E1A0A" w:rsidRPr="00BF219E" w:rsidRDefault="00000000">
      <w:r w:rsidRPr="00BF219E">
        <w:t>Management priorities also change across the transplant timeline. Before transplantation, severe hypoglycaemia, malnutrition and cognitive impairment can dominate risk, and treatment needs to remain compatible with unpredictable admissions and procedures. Early after transplantation, rapidly changing steroid exposure, renal function and infection risk commonly favour flexible glucose management. Later, cardiovascular and renal protection, obesity, graft steatosis and recurrent MASLD become more prominent. Evidence for specific glucose-lowering agents in transplant recipients remains thinner than in general T2DM, and interactions with immunosuppression, kidney function and gastrointestinal tolerability require individual review. A longitudinal transplant-diabetes pathway is therefore more defensible than importing either the pre-transplant cirrhosis regimen or a standard primary-care algorithm unchanged (Brodosi et al., 2022).</w:t>
      </w:r>
    </w:p>
    <w:p w14:paraId="5D8F5281" w14:textId="77777777" w:rsidR="008E1A0A" w:rsidRPr="00BF219E" w:rsidRDefault="00000000">
      <w:pPr>
        <w:pStyle w:val="Heading1"/>
        <w:rPr>
          <w:color w:val="auto"/>
        </w:rPr>
      </w:pPr>
      <w:r w:rsidRPr="00BF219E">
        <w:rPr>
          <w:color w:val="auto"/>
        </w:rPr>
        <w:t>10. Emerging Evidence and an Integrated Stage-Based Management Model</w:t>
      </w:r>
    </w:p>
    <w:p w14:paraId="5E5D182C" w14:textId="77777777" w:rsidR="008E1A0A" w:rsidRPr="00BF219E" w:rsidRDefault="00000000">
      <w:r w:rsidRPr="00BF219E">
        <w:t>The most important advance in recent years is not the identification of a single preferred drug but the emergence of a stage-based model. In compensated cirrhosis, particularly MASLD-related disease, clinicians can increasingly choose therapies on the basis of the same cardiovascular, renal and obesity indications that guide modern T2DM care, provided hepatic safety and nutrition are considered. Metformin can often remain foundational; GLP-1 RAs are attractive when obesity and cardiometabolic risk dominate; and SGLT2 inhibitors are increasingly supported by observational cirrhosis data. The evidence should nevertheless be described accurately: the strongest recent signals for prevention of decompensation with GLP-1 RAs or SGLT2 inhibitors come from non-randomised comparative cohorts, not from cirrhosis-specific outcome trials (Chou et al., 2026; Chung et al., 2026; Simon et al., 2022; Yen et al., 2024).</w:t>
      </w:r>
    </w:p>
    <w:p w14:paraId="34752CBF" w14:textId="77777777" w:rsidR="008E1A0A" w:rsidRPr="00BF219E" w:rsidRDefault="00000000">
      <w:r w:rsidRPr="00BF219E">
        <w:t>The management centre of gravity shifts as cirrhosis progresses. In compensated Child-Pugh A disease, long-term cardiorenal and metabolic outcomes can be prioritised. In more advanced Child-Pugh B disease, nutrition, renal function and treatment tolerance increasingly constrain options. In Child-Pugh C or unstable decompensation, avoidance of hypoglycaemia, preservation of intake and rapidly reversible insulin strategies become dominant, with non-insulin therapies reconsidered only after stabilisation. The Child-Pugh class is not itself a complete prescribing algorithm, but it is a useful proxy for the physiological reserve that determines medication tolerance (Boursier et al., 2021; Castera &amp; Cusi, 2023; Lisi et al., 2026).</w:t>
      </w:r>
    </w:p>
    <w:p w14:paraId="0E427049" w14:textId="77777777" w:rsidR="008E1A0A" w:rsidRPr="00BF219E" w:rsidRDefault="00000000">
      <w:r w:rsidRPr="00BF219E">
        <w:t xml:space="preserve">A second advance is the recognition that management should respond to phenotype rather than drug class alone. A patient with compensated MASLD, obesity, preserved kidney function and strong cardiovascular indications may be an excellent candidate for a GLP-1 RA or SGLT2 inhibitor. The same agent may be inappropriate in a patient with refractory ascites, low blood pressure, recurrent HE and poor oral intake. </w:t>
      </w:r>
      <w:r w:rsidRPr="00BF219E">
        <w:lastRenderedPageBreak/>
        <w:t>Similarly, a low HbA1c may indicate excellent control in a stable patient but may signal distorted erythrocyte kinetics or recurrent hypoglycaemia in advanced cirrhosis. This contextual interpretation is more important than any single numeric target.</w:t>
      </w:r>
    </w:p>
    <w:p w14:paraId="25DA4C48" w14:textId="77777777" w:rsidR="008E1A0A" w:rsidRPr="00BF219E" w:rsidRDefault="00000000">
      <w:r w:rsidRPr="00BF219E">
        <w:t>The stage-based model becomes more useful when it is treated as a repeated decision process rather than a one-time classification. At every major review, the clinician can ask whether cirrhosis is compensated or decompensated, whether renal and haemodynamic reserve are stable, whether the patient is nutritionally robust or sarcopenic, whether hypoglycaemia has occurred, and which non-glycaemic benefits are clinically relevant. In compensated disease with preserved intake and kidney function, the treatment portfolio can resemble contemporary T2DM care more closely. After decompensation, the same portfolio may need to contract temporarily or permanently. This framework explains why no single ranking of metformin, GLP-1 receptor agonists, SGLT2 inhibitors, DPP-4 inhibitors and insulin can remain valid across the full natural history of cirrhosis (Boursier et al., 2021; Castera &amp; Cusi, 2023).</w:t>
      </w:r>
    </w:p>
    <w:p w14:paraId="42AD1CA1" w14:textId="77777777" w:rsidR="008E1A0A" w:rsidRPr="00BF219E" w:rsidRDefault="00000000">
      <w:r w:rsidRPr="00BF219E">
        <w:t>Importantly, treatment success should be defined by more than HbA1c. A favourable plan controls symptomatic hyperglycaemia without causing hypoglycaemia, preserves oral intake and muscle, respects renal and haemodynamic constraints, minimises regimen complexity when cognition is impaired, and addresses cardiovascular risk when life expectancy and functional reserve make those benefits meaningful. In a patient with obesity and compensated MASLD cirrhosis, substantial weight loss may represent therapeutic success. In a patient with recurrent ascites and sarcopenia, the same degree of weight loss could be harmful if it reflects reduced intake or lean-mass depletion. Outcome assessment must therefore follow the physiology the treatment is intended to improve, not a universal metabolic surrogate (Lai et al., 2021; Singal et al., 2025).</w:t>
      </w:r>
    </w:p>
    <w:p w14:paraId="0630285B" w14:textId="77777777" w:rsidR="008E1A0A" w:rsidRPr="00BF219E" w:rsidRDefault="00000000">
      <w:r w:rsidRPr="00BF219E">
        <w:t>Table 5 summarises representative evidence that has shaped contemporary practice. The contrast between large observational cohorts and the small number of randomised cirrhosis trials explains why current treatment can be rational and evidence-informed without being supported by high-certainty comparative data for every drug class.</w:t>
      </w:r>
    </w:p>
    <w:p w14:paraId="0088D2B3" w14:textId="77777777" w:rsidR="008E1A0A" w:rsidRPr="00BF219E" w:rsidRDefault="00000000">
      <w:pPr>
        <w:pStyle w:val="TableCaption"/>
      </w:pPr>
      <w:r w:rsidRPr="00BF219E">
        <w:t>Table 5. Representative evidence informing contemporary diabetes management in cirrhosis</w:t>
      </w:r>
    </w:p>
    <w:tbl>
      <w:tblPr>
        <w:tblW w:w="0" w:type="auto"/>
        <w:jc w:val="center"/>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Look w:val="04A0" w:firstRow="1" w:lastRow="0" w:firstColumn="1" w:lastColumn="0" w:noHBand="0" w:noVBand="1"/>
      </w:tblPr>
      <w:tblGrid>
        <w:gridCol w:w="1584"/>
        <w:gridCol w:w="2088"/>
        <w:gridCol w:w="2376"/>
        <w:gridCol w:w="2160"/>
        <w:gridCol w:w="1800"/>
      </w:tblGrid>
      <w:tr w:rsidR="00BF219E" w:rsidRPr="00BF219E" w14:paraId="31C3C74B" w14:textId="77777777">
        <w:trPr>
          <w:tblHeader/>
          <w:jc w:val="center"/>
        </w:trPr>
        <w:tc>
          <w:tcPr>
            <w:tcW w:w="1584" w:type="dxa"/>
            <w:shd w:val="clear" w:color="auto" w:fill="D9E2F3"/>
            <w:tcMar>
              <w:top w:w="80" w:type="dxa"/>
              <w:left w:w="90" w:type="dxa"/>
              <w:bottom w:w="80" w:type="dxa"/>
              <w:right w:w="90" w:type="dxa"/>
            </w:tcMar>
            <w:vAlign w:val="center"/>
          </w:tcPr>
          <w:p w14:paraId="1C07D3E1" w14:textId="77777777" w:rsidR="008E1A0A" w:rsidRPr="00BF219E" w:rsidRDefault="00000000">
            <w:pPr>
              <w:jc w:val="center"/>
            </w:pPr>
            <w:r w:rsidRPr="00BF219E">
              <w:rPr>
                <w:b/>
                <w:sz w:val="17"/>
              </w:rPr>
              <w:t>Study</w:t>
            </w:r>
          </w:p>
        </w:tc>
        <w:tc>
          <w:tcPr>
            <w:tcW w:w="2088" w:type="dxa"/>
            <w:shd w:val="clear" w:color="auto" w:fill="D9E2F3"/>
            <w:tcMar>
              <w:top w:w="80" w:type="dxa"/>
              <w:left w:w="90" w:type="dxa"/>
              <w:bottom w:w="80" w:type="dxa"/>
              <w:right w:w="90" w:type="dxa"/>
            </w:tcMar>
            <w:vAlign w:val="center"/>
          </w:tcPr>
          <w:p w14:paraId="735810B7" w14:textId="77777777" w:rsidR="008E1A0A" w:rsidRPr="00BF219E" w:rsidRDefault="00000000">
            <w:pPr>
              <w:jc w:val="center"/>
            </w:pPr>
            <w:r w:rsidRPr="00BF219E">
              <w:rPr>
                <w:b/>
                <w:sz w:val="17"/>
              </w:rPr>
              <w:t>Design and population</w:t>
            </w:r>
          </w:p>
        </w:tc>
        <w:tc>
          <w:tcPr>
            <w:tcW w:w="2376" w:type="dxa"/>
            <w:shd w:val="clear" w:color="auto" w:fill="D9E2F3"/>
            <w:tcMar>
              <w:top w:w="80" w:type="dxa"/>
              <w:left w:w="90" w:type="dxa"/>
              <w:bottom w:w="80" w:type="dxa"/>
              <w:right w:w="90" w:type="dxa"/>
            </w:tcMar>
            <w:vAlign w:val="center"/>
          </w:tcPr>
          <w:p w14:paraId="148627BE" w14:textId="77777777" w:rsidR="008E1A0A" w:rsidRPr="00BF219E" w:rsidRDefault="00000000">
            <w:pPr>
              <w:jc w:val="center"/>
            </w:pPr>
            <w:r w:rsidRPr="00BF219E">
              <w:rPr>
                <w:b/>
                <w:sz w:val="17"/>
              </w:rPr>
              <w:t>Main finding relevant to practice</w:t>
            </w:r>
          </w:p>
        </w:tc>
        <w:tc>
          <w:tcPr>
            <w:tcW w:w="2160" w:type="dxa"/>
            <w:shd w:val="clear" w:color="auto" w:fill="D9E2F3"/>
            <w:tcMar>
              <w:top w:w="80" w:type="dxa"/>
              <w:left w:w="90" w:type="dxa"/>
              <w:bottom w:w="80" w:type="dxa"/>
              <w:right w:w="90" w:type="dxa"/>
            </w:tcMar>
            <w:vAlign w:val="center"/>
          </w:tcPr>
          <w:p w14:paraId="79AF6B6D" w14:textId="77777777" w:rsidR="008E1A0A" w:rsidRPr="00BF219E" w:rsidRDefault="00000000">
            <w:pPr>
              <w:jc w:val="center"/>
            </w:pPr>
            <w:r w:rsidRPr="00BF219E">
              <w:rPr>
                <w:b/>
                <w:sz w:val="17"/>
              </w:rPr>
              <w:t>Critical limitation</w:t>
            </w:r>
          </w:p>
        </w:tc>
        <w:tc>
          <w:tcPr>
            <w:tcW w:w="1800" w:type="dxa"/>
            <w:shd w:val="clear" w:color="auto" w:fill="D9E2F3"/>
            <w:tcMar>
              <w:top w:w="80" w:type="dxa"/>
              <w:left w:w="90" w:type="dxa"/>
              <w:bottom w:w="80" w:type="dxa"/>
              <w:right w:w="90" w:type="dxa"/>
            </w:tcMar>
            <w:vAlign w:val="center"/>
          </w:tcPr>
          <w:p w14:paraId="59B938C5" w14:textId="77777777" w:rsidR="008E1A0A" w:rsidRPr="00BF219E" w:rsidRDefault="00000000">
            <w:pPr>
              <w:jc w:val="center"/>
            </w:pPr>
            <w:r w:rsidRPr="00BF219E">
              <w:rPr>
                <w:b/>
                <w:sz w:val="17"/>
              </w:rPr>
              <w:t>Supporting references</w:t>
            </w:r>
          </w:p>
        </w:tc>
      </w:tr>
      <w:tr w:rsidR="00BF219E" w:rsidRPr="00BF219E" w14:paraId="232E7205" w14:textId="77777777">
        <w:trPr>
          <w:jc w:val="center"/>
        </w:trPr>
        <w:tc>
          <w:tcPr>
            <w:tcW w:w="1584" w:type="dxa"/>
            <w:tcMar>
              <w:top w:w="80" w:type="dxa"/>
              <w:left w:w="90" w:type="dxa"/>
              <w:bottom w:w="80" w:type="dxa"/>
              <w:right w:w="90" w:type="dxa"/>
            </w:tcMar>
            <w:vAlign w:val="center"/>
          </w:tcPr>
          <w:p w14:paraId="3EC14709" w14:textId="77777777" w:rsidR="008E1A0A" w:rsidRPr="00BF219E" w:rsidRDefault="00000000">
            <w:pPr>
              <w:spacing w:after="0" w:line="240" w:lineRule="auto"/>
            </w:pPr>
            <w:r w:rsidRPr="00BF219E">
              <w:rPr>
                <w:sz w:val="16"/>
              </w:rPr>
              <w:t>Metformin continuation</w:t>
            </w:r>
          </w:p>
        </w:tc>
        <w:tc>
          <w:tcPr>
            <w:tcW w:w="2088" w:type="dxa"/>
            <w:tcMar>
              <w:top w:w="80" w:type="dxa"/>
              <w:left w:w="90" w:type="dxa"/>
              <w:bottom w:w="80" w:type="dxa"/>
              <w:right w:w="90" w:type="dxa"/>
            </w:tcMar>
            <w:vAlign w:val="center"/>
          </w:tcPr>
          <w:p w14:paraId="17CF065A" w14:textId="77777777" w:rsidR="008E1A0A" w:rsidRPr="00BF219E" w:rsidRDefault="00000000">
            <w:pPr>
              <w:spacing w:after="0" w:line="240" w:lineRule="auto"/>
            </w:pPr>
            <w:r w:rsidRPr="00BF219E">
              <w:rPr>
                <w:sz w:val="16"/>
              </w:rPr>
              <w:t>Retrospective cohort of patients using metformin at cirrhosis diagnosis.</w:t>
            </w:r>
          </w:p>
        </w:tc>
        <w:tc>
          <w:tcPr>
            <w:tcW w:w="2376" w:type="dxa"/>
            <w:tcMar>
              <w:top w:w="80" w:type="dxa"/>
              <w:left w:w="90" w:type="dxa"/>
              <w:bottom w:w="80" w:type="dxa"/>
              <w:right w:w="90" w:type="dxa"/>
            </w:tcMar>
            <w:vAlign w:val="center"/>
          </w:tcPr>
          <w:p w14:paraId="7C337B9D" w14:textId="77777777" w:rsidR="008E1A0A" w:rsidRPr="00BF219E" w:rsidRDefault="00000000">
            <w:pPr>
              <w:spacing w:after="0" w:line="240" w:lineRule="auto"/>
            </w:pPr>
            <w:r w:rsidRPr="00BF219E">
              <w:rPr>
                <w:sz w:val="16"/>
              </w:rPr>
              <w:t>Continuation was associated with longer survival; no lactic acidosis events were observed in the cohort.</w:t>
            </w:r>
          </w:p>
        </w:tc>
        <w:tc>
          <w:tcPr>
            <w:tcW w:w="2160" w:type="dxa"/>
            <w:tcMar>
              <w:top w:w="80" w:type="dxa"/>
              <w:left w:w="90" w:type="dxa"/>
              <w:bottom w:w="80" w:type="dxa"/>
              <w:right w:w="90" w:type="dxa"/>
            </w:tcMar>
            <w:vAlign w:val="center"/>
          </w:tcPr>
          <w:p w14:paraId="5E1A3CD4" w14:textId="77777777" w:rsidR="008E1A0A" w:rsidRPr="00BF219E" w:rsidRDefault="00000000">
            <w:pPr>
              <w:spacing w:after="0" w:line="240" w:lineRule="auto"/>
            </w:pPr>
            <w:r w:rsidRPr="00BF219E">
              <w:rPr>
                <w:sz w:val="16"/>
              </w:rPr>
              <w:t>Single-centre observational design and treatment-selection bias.</w:t>
            </w:r>
          </w:p>
        </w:tc>
        <w:tc>
          <w:tcPr>
            <w:tcW w:w="1800" w:type="dxa"/>
            <w:tcMar>
              <w:top w:w="80" w:type="dxa"/>
              <w:left w:w="90" w:type="dxa"/>
              <w:bottom w:w="80" w:type="dxa"/>
              <w:right w:w="90" w:type="dxa"/>
            </w:tcMar>
            <w:vAlign w:val="center"/>
          </w:tcPr>
          <w:p w14:paraId="2F9C8887" w14:textId="77777777" w:rsidR="008E1A0A" w:rsidRPr="00BF219E" w:rsidRDefault="00000000">
            <w:pPr>
              <w:spacing w:after="0" w:line="240" w:lineRule="auto"/>
            </w:pPr>
            <w:r w:rsidRPr="00BF219E">
              <w:rPr>
                <w:sz w:val="16"/>
              </w:rPr>
              <w:t>(Zhang et al., 2014)</w:t>
            </w:r>
          </w:p>
        </w:tc>
      </w:tr>
      <w:tr w:rsidR="00BF219E" w:rsidRPr="00BF219E" w14:paraId="2383C3AA" w14:textId="77777777">
        <w:trPr>
          <w:jc w:val="center"/>
        </w:trPr>
        <w:tc>
          <w:tcPr>
            <w:tcW w:w="1584" w:type="dxa"/>
            <w:tcMar>
              <w:top w:w="80" w:type="dxa"/>
              <w:left w:w="90" w:type="dxa"/>
              <w:bottom w:w="80" w:type="dxa"/>
              <w:right w:w="90" w:type="dxa"/>
            </w:tcMar>
            <w:vAlign w:val="center"/>
          </w:tcPr>
          <w:p w14:paraId="47D8EE87" w14:textId="77777777" w:rsidR="008E1A0A" w:rsidRPr="00BF219E" w:rsidRDefault="00000000">
            <w:pPr>
              <w:spacing w:after="0" w:line="240" w:lineRule="auto"/>
            </w:pPr>
            <w:r w:rsidRPr="00BF219E">
              <w:rPr>
                <w:sz w:val="16"/>
              </w:rPr>
              <w:t>National metformin cohort</w:t>
            </w:r>
          </w:p>
        </w:tc>
        <w:tc>
          <w:tcPr>
            <w:tcW w:w="2088" w:type="dxa"/>
            <w:tcMar>
              <w:top w:w="80" w:type="dxa"/>
              <w:left w:w="90" w:type="dxa"/>
              <w:bottom w:w="80" w:type="dxa"/>
              <w:right w:w="90" w:type="dxa"/>
            </w:tcMar>
            <w:vAlign w:val="center"/>
          </w:tcPr>
          <w:p w14:paraId="68437A2C" w14:textId="77777777" w:rsidR="008E1A0A" w:rsidRPr="00BF219E" w:rsidRDefault="00000000">
            <w:pPr>
              <w:spacing w:after="0" w:line="240" w:lineRule="auto"/>
            </w:pPr>
            <w:r w:rsidRPr="00BF219E">
              <w:rPr>
                <w:sz w:val="16"/>
              </w:rPr>
              <w:t>Large Veterans Health Administration cohort with diabetes and cirrhosis.</w:t>
            </w:r>
          </w:p>
        </w:tc>
        <w:tc>
          <w:tcPr>
            <w:tcW w:w="2376" w:type="dxa"/>
            <w:tcMar>
              <w:top w:w="80" w:type="dxa"/>
              <w:left w:w="90" w:type="dxa"/>
              <w:bottom w:w="80" w:type="dxa"/>
              <w:right w:w="90" w:type="dxa"/>
            </w:tcMar>
            <w:vAlign w:val="center"/>
          </w:tcPr>
          <w:p w14:paraId="7FB2CE9C" w14:textId="77777777" w:rsidR="008E1A0A" w:rsidRPr="00BF219E" w:rsidRDefault="00000000">
            <w:pPr>
              <w:spacing w:after="0" w:line="240" w:lineRule="auto"/>
            </w:pPr>
            <w:r w:rsidRPr="00BF219E">
              <w:rPr>
                <w:sz w:val="16"/>
              </w:rPr>
              <w:t>Metformin exposure was associated with lower overall mortality but not clearly lower decompensation or HCC after adjustment.</w:t>
            </w:r>
          </w:p>
        </w:tc>
        <w:tc>
          <w:tcPr>
            <w:tcW w:w="2160" w:type="dxa"/>
            <w:tcMar>
              <w:top w:w="80" w:type="dxa"/>
              <w:left w:w="90" w:type="dxa"/>
              <w:bottom w:w="80" w:type="dxa"/>
              <w:right w:w="90" w:type="dxa"/>
            </w:tcMar>
            <w:vAlign w:val="center"/>
          </w:tcPr>
          <w:p w14:paraId="09AD34B4" w14:textId="77777777" w:rsidR="008E1A0A" w:rsidRPr="00BF219E" w:rsidRDefault="00000000">
            <w:pPr>
              <w:spacing w:after="0" w:line="240" w:lineRule="auto"/>
            </w:pPr>
            <w:r w:rsidRPr="00BF219E">
              <w:rPr>
                <w:sz w:val="16"/>
              </w:rPr>
              <w:t>Predominantly male cohort; residual confounding remains possible.</w:t>
            </w:r>
          </w:p>
        </w:tc>
        <w:tc>
          <w:tcPr>
            <w:tcW w:w="1800" w:type="dxa"/>
            <w:tcMar>
              <w:top w:w="80" w:type="dxa"/>
              <w:left w:w="90" w:type="dxa"/>
              <w:bottom w:w="80" w:type="dxa"/>
              <w:right w:w="90" w:type="dxa"/>
            </w:tcMar>
            <w:vAlign w:val="center"/>
          </w:tcPr>
          <w:p w14:paraId="54CBA4F2" w14:textId="77777777" w:rsidR="008E1A0A" w:rsidRPr="00BF219E" w:rsidRDefault="00000000">
            <w:pPr>
              <w:spacing w:after="0" w:line="240" w:lineRule="auto"/>
            </w:pPr>
            <w:r w:rsidRPr="00BF219E">
              <w:rPr>
                <w:sz w:val="16"/>
              </w:rPr>
              <w:t>(Kaplan et al., 2021)</w:t>
            </w:r>
          </w:p>
        </w:tc>
      </w:tr>
      <w:tr w:rsidR="00BF219E" w:rsidRPr="00BF219E" w14:paraId="31C09916" w14:textId="77777777">
        <w:trPr>
          <w:jc w:val="center"/>
        </w:trPr>
        <w:tc>
          <w:tcPr>
            <w:tcW w:w="1584" w:type="dxa"/>
            <w:tcMar>
              <w:top w:w="80" w:type="dxa"/>
              <w:left w:w="90" w:type="dxa"/>
              <w:bottom w:w="80" w:type="dxa"/>
              <w:right w:w="90" w:type="dxa"/>
            </w:tcMar>
            <w:vAlign w:val="center"/>
          </w:tcPr>
          <w:p w14:paraId="10F60BE1" w14:textId="77777777" w:rsidR="008E1A0A" w:rsidRPr="00BF219E" w:rsidRDefault="00000000">
            <w:pPr>
              <w:spacing w:after="0" w:line="240" w:lineRule="auto"/>
            </w:pPr>
            <w:r w:rsidRPr="00BF219E">
              <w:rPr>
                <w:sz w:val="16"/>
              </w:rPr>
              <w:t>GLP-1 RA comparative cohort</w:t>
            </w:r>
          </w:p>
        </w:tc>
        <w:tc>
          <w:tcPr>
            <w:tcW w:w="2088" w:type="dxa"/>
            <w:tcMar>
              <w:top w:w="80" w:type="dxa"/>
              <w:left w:w="90" w:type="dxa"/>
              <w:bottom w:w="80" w:type="dxa"/>
              <w:right w:w="90" w:type="dxa"/>
            </w:tcMar>
            <w:vAlign w:val="center"/>
          </w:tcPr>
          <w:p w14:paraId="4A327647" w14:textId="77777777" w:rsidR="008E1A0A" w:rsidRPr="00BF219E" w:rsidRDefault="00000000">
            <w:pPr>
              <w:spacing w:after="0" w:line="240" w:lineRule="auto"/>
            </w:pPr>
            <w:r w:rsidRPr="00BF219E">
              <w:rPr>
                <w:sz w:val="16"/>
              </w:rPr>
              <w:t>Propensity-matched claims-based cohorts of cirrhosis and T2DM.</w:t>
            </w:r>
          </w:p>
        </w:tc>
        <w:tc>
          <w:tcPr>
            <w:tcW w:w="2376" w:type="dxa"/>
            <w:tcMar>
              <w:top w:w="80" w:type="dxa"/>
              <w:left w:w="90" w:type="dxa"/>
              <w:bottom w:w="80" w:type="dxa"/>
              <w:right w:w="90" w:type="dxa"/>
            </w:tcMar>
            <w:vAlign w:val="center"/>
          </w:tcPr>
          <w:p w14:paraId="0CF05CD6" w14:textId="77777777" w:rsidR="008E1A0A" w:rsidRPr="00BF219E" w:rsidRDefault="00000000">
            <w:pPr>
              <w:spacing w:after="0" w:line="240" w:lineRule="auto"/>
            </w:pPr>
            <w:r w:rsidRPr="00BF219E">
              <w:rPr>
                <w:sz w:val="16"/>
              </w:rPr>
              <w:t>GLP-1 RA initiation was associated with fewer decompensation events than DPP-4 inhibitors or sulfonylureas.</w:t>
            </w:r>
          </w:p>
        </w:tc>
        <w:tc>
          <w:tcPr>
            <w:tcW w:w="2160" w:type="dxa"/>
            <w:tcMar>
              <w:top w:w="80" w:type="dxa"/>
              <w:left w:w="90" w:type="dxa"/>
              <w:bottom w:w="80" w:type="dxa"/>
              <w:right w:w="90" w:type="dxa"/>
            </w:tcMar>
            <w:vAlign w:val="center"/>
          </w:tcPr>
          <w:p w14:paraId="7C262573" w14:textId="77777777" w:rsidR="008E1A0A" w:rsidRPr="00BF219E" w:rsidRDefault="00000000">
            <w:pPr>
              <w:spacing w:after="0" w:line="240" w:lineRule="auto"/>
            </w:pPr>
            <w:r w:rsidRPr="00BF219E">
              <w:rPr>
                <w:sz w:val="16"/>
              </w:rPr>
              <w:t>Short follow-up and non-random treatment allocation.</w:t>
            </w:r>
          </w:p>
        </w:tc>
        <w:tc>
          <w:tcPr>
            <w:tcW w:w="1800" w:type="dxa"/>
            <w:tcMar>
              <w:top w:w="80" w:type="dxa"/>
              <w:left w:w="90" w:type="dxa"/>
              <w:bottom w:w="80" w:type="dxa"/>
              <w:right w:w="90" w:type="dxa"/>
            </w:tcMar>
            <w:vAlign w:val="center"/>
          </w:tcPr>
          <w:p w14:paraId="5E77B751" w14:textId="77777777" w:rsidR="008E1A0A" w:rsidRPr="00BF219E" w:rsidRDefault="00000000">
            <w:pPr>
              <w:spacing w:after="0" w:line="240" w:lineRule="auto"/>
            </w:pPr>
            <w:r w:rsidRPr="00BF219E">
              <w:rPr>
                <w:sz w:val="16"/>
              </w:rPr>
              <w:t>(Simon et al., 2022)</w:t>
            </w:r>
          </w:p>
        </w:tc>
      </w:tr>
      <w:tr w:rsidR="00BF219E" w:rsidRPr="00BF219E" w14:paraId="2A2ACA8A" w14:textId="77777777">
        <w:trPr>
          <w:jc w:val="center"/>
        </w:trPr>
        <w:tc>
          <w:tcPr>
            <w:tcW w:w="1584" w:type="dxa"/>
            <w:tcMar>
              <w:top w:w="80" w:type="dxa"/>
              <w:left w:w="90" w:type="dxa"/>
              <w:bottom w:w="80" w:type="dxa"/>
              <w:right w:w="90" w:type="dxa"/>
            </w:tcMar>
            <w:vAlign w:val="center"/>
          </w:tcPr>
          <w:p w14:paraId="44BDA1BB" w14:textId="77777777" w:rsidR="008E1A0A" w:rsidRPr="00BF219E" w:rsidRDefault="00000000">
            <w:pPr>
              <w:spacing w:after="0" w:line="240" w:lineRule="auto"/>
            </w:pPr>
            <w:r w:rsidRPr="00BF219E">
              <w:rPr>
                <w:sz w:val="16"/>
              </w:rPr>
              <w:t>Semaglutide in compensated MASH cirrhosis</w:t>
            </w:r>
          </w:p>
        </w:tc>
        <w:tc>
          <w:tcPr>
            <w:tcW w:w="2088" w:type="dxa"/>
            <w:tcMar>
              <w:top w:w="80" w:type="dxa"/>
              <w:left w:w="90" w:type="dxa"/>
              <w:bottom w:w="80" w:type="dxa"/>
              <w:right w:w="90" w:type="dxa"/>
            </w:tcMar>
            <w:vAlign w:val="center"/>
          </w:tcPr>
          <w:p w14:paraId="39F25A60" w14:textId="77777777" w:rsidR="008E1A0A" w:rsidRPr="00BF219E" w:rsidRDefault="00000000">
            <w:pPr>
              <w:spacing w:after="0" w:line="240" w:lineRule="auto"/>
            </w:pPr>
            <w:r w:rsidRPr="00BF219E">
              <w:rPr>
                <w:sz w:val="16"/>
              </w:rPr>
              <w:t>Randomised placebo-controlled phase 2 trial.</w:t>
            </w:r>
          </w:p>
        </w:tc>
        <w:tc>
          <w:tcPr>
            <w:tcW w:w="2376" w:type="dxa"/>
            <w:tcMar>
              <w:top w:w="80" w:type="dxa"/>
              <w:left w:w="90" w:type="dxa"/>
              <w:bottom w:w="80" w:type="dxa"/>
              <w:right w:w="90" w:type="dxa"/>
            </w:tcMar>
            <w:vAlign w:val="center"/>
          </w:tcPr>
          <w:p w14:paraId="2181EDBE" w14:textId="77777777" w:rsidR="008E1A0A" w:rsidRPr="00BF219E" w:rsidRDefault="00000000">
            <w:pPr>
              <w:spacing w:after="0" w:line="240" w:lineRule="auto"/>
            </w:pPr>
            <w:r w:rsidRPr="00BF219E">
              <w:rPr>
                <w:sz w:val="16"/>
              </w:rPr>
              <w:t>No significant fibrosis or MASH-resolution benefit at 48 weeks; metabolic improvements and no new decompensation safety signal.</w:t>
            </w:r>
          </w:p>
        </w:tc>
        <w:tc>
          <w:tcPr>
            <w:tcW w:w="2160" w:type="dxa"/>
            <w:tcMar>
              <w:top w:w="80" w:type="dxa"/>
              <w:left w:w="90" w:type="dxa"/>
              <w:bottom w:w="80" w:type="dxa"/>
              <w:right w:w="90" w:type="dxa"/>
            </w:tcMar>
            <w:vAlign w:val="center"/>
          </w:tcPr>
          <w:p w14:paraId="108A55D6" w14:textId="77777777" w:rsidR="008E1A0A" w:rsidRPr="00BF219E" w:rsidRDefault="00000000">
            <w:pPr>
              <w:spacing w:after="0" w:line="240" w:lineRule="auto"/>
            </w:pPr>
            <w:r w:rsidRPr="00BF219E">
              <w:rPr>
                <w:sz w:val="16"/>
              </w:rPr>
              <w:t>Small trial; not powered for clinical decompensation outcomes.</w:t>
            </w:r>
          </w:p>
        </w:tc>
        <w:tc>
          <w:tcPr>
            <w:tcW w:w="1800" w:type="dxa"/>
            <w:tcMar>
              <w:top w:w="80" w:type="dxa"/>
              <w:left w:w="90" w:type="dxa"/>
              <w:bottom w:w="80" w:type="dxa"/>
              <w:right w:w="90" w:type="dxa"/>
            </w:tcMar>
            <w:vAlign w:val="center"/>
          </w:tcPr>
          <w:p w14:paraId="260BB4FB" w14:textId="77777777" w:rsidR="008E1A0A" w:rsidRPr="00BF219E" w:rsidRDefault="00000000">
            <w:pPr>
              <w:spacing w:after="0" w:line="240" w:lineRule="auto"/>
            </w:pPr>
            <w:r w:rsidRPr="00BF219E">
              <w:rPr>
                <w:sz w:val="16"/>
              </w:rPr>
              <w:t>(Loomba et al., 2023)</w:t>
            </w:r>
          </w:p>
        </w:tc>
      </w:tr>
      <w:tr w:rsidR="00BF219E" w:rsidRPr="00BF219E" w14:paraId="684029D9" w14:textId="77777777">
        <w:trPr>
          <w:jc w:val="center"/>
        </w:trPr>
        <w:tc>
          <w:tcPr>
            <w:tcW w:w="1584" w:type="dxa"/>
            <w:tcMar>
              <w:top w:w="80" w:type="dxa"/>
              <w:left w:w="90" w:type="dxa"/>
              <w:bottom w:w="80" w:type="dxa"/>
              <w:right w:w="90" w:type="dxa"/>
            </w:tcMar>
            <w:vAlign w:val="center"/>
          </w:tcPr>
          <w:p w14:paraId="46A8E34E" w14:textId="77777777" w:rsidR="008E1A0A" w:rsidRPr="00BF219E" w:rsidRDefault="00000000">
            <w:pPr>
              <w:spacing w:after="0" w:line="240" w:lineRule="auto"/>
            </w:pPr>
            <w:r w:rsidRPr="00BF219E">
              <w:rPr>
                <w:sz w:val="16"/>
              </w:rPr>
              <w:t>SGLT2 target-trial emulation</w:t>
            </w:r>
          </w:p>
        </w:tc>
        <w:tc>
          <w:tcPr>
            <w:tcW w:w="2088" w:type="dxa"/>
            <w:tcMar>
              <w:top w:w="80" w:type="dxa"/>
              <w:left w:w="90" w:type="dxa"/>
              <w:bottom w:w="80" w:type="dxa"/>
              <w:right w:w="90" w:type="dxa"/>
            </w:tcMar>
            <w:vAlign w:val="center"/>
          </w:tcPr>
          <w:p w14:paraId="5824F2A3" w14:textId="77777777" w:rsidR="008E1A0A" w:rsidRPr="00BF219E" w:rsidRDefault="00000000">
            <w:pPr>
              <w:spacing w:after="0" w:line="240" w:lineRule="auto"/>
            </w:pPr>
            <w:r w:rsidRPr="00BF219E">
              <w:rPr>
                <w:sz w:val="16"/>
              </w:rPr>
              <w:t>Matched adults with T2DM and compensated cirrhosis initiating SGLT2 or DPP-4 inhibitors.</w:t>
            </w:r>
          </w:p>
        </w:tc>
        <w:tc>
          <w:tcPr>
            <w:tcW w:w="2376" w:type="dxa"/>
            <w:tcMar>
              <w:top w:w="80" w:type="dxa"/>
              <w:left w:w="90" w:type="dxa"/>
              <w:bottom w:w="80" w:type="dxa"/>
              <w:right w:w="90" w:type="dxa"/>
            </w:tcMar>
            <w:vAlign w:val="center"/>
          </w:tcPr>
          <w:p w14:paraId="1C7D461C" w14:textId="77777777" w:rsidR="008E1A0A" w:rsidRPr="00BF219E" w:rsidRDefault="00000000">
            <w:pPr>
              <w:spacing w:after="0" w:line="240" w:lineRule="auto"/>
            </w:pPr>
            <w:r w:rsidRPr="00BF219E">
              <w:rPr>
                <w:sz w:val="16"/>
              </w:rPr>
              <w:t>SGLT2 inhibitor use was associated with lower mortality and incident decompensation.</w:t>
            </w:r>
          </w:p>
        </w:tc>
        <w:tc>
          <w:tcPr>
            <w:tcW w:w="2160" w:type="dxa"/>
            <w:tcMar>
              <w:top w:w="80" w:type="dxa"/>
              <w:left w:w="90" w:type="dxa"/>
              <w:bottom w:w="80" w:type="dxa"/>
              <w:right w:w="90" w:type="dxa"/>
            </w:tcMar>
            <w:vAlign w:val="center"/>
          </w:tcPr>
          <w:p w14:paraId="0CF7736C" w14:textId="77777777" w:rsidR="008E1A0A" w:rsidRPr="00BF219E" w:rsidRDefault="00000000">
            <w:pPr>
              <w:spacing w:after="0" w:line="240" w:lineRule="auto"/>
            </w:pPr>
            <w:r w:rsidRPr="00BF219E">
              <w:rPr>
                <w:sz w:val="16"/>
              </w:rPr>
              <w:t>Observational design; healthier-user and prescribing-channel bias remain possible.</w:t>
            </w:r>
          </w:p>
        </w:tc>
        <w:tc>
          <w:tcPr>
            <w:tcW w:w="1800" w:type="dxa"/>
            <w:tcMar>
              <w:top w:w="80" w:type="dxa"/>
              <w:left w:w="90" w:type="dxa"/>
              <w:bottom w:w="80" w:type="dxa"/>
              <w:right w:w="90" w:type="dxa"/>
            </w:tcMar>
            <w:vAlign w:val="center"/>
          </w:tcPr>
          <w:p w14:paraId="0C13A225" w14:textId="77777777" w:rsidR="008E1A0A" w:rsidRPr="00BF219E" w:rsidRDefault="00000000">
            <w:pPr>
              <w:spacing w:after="0" w:line="240" w:lineRule="auto"/>
            </w:pPr>
            <w:r w:rsidRPr="00BF219E">
              <w:rPr>
                <w:sz w:val="16"/>
              </w:rPr>
              <w:t>(Chou et al., 2026)</w:t>
            </w:r>
          </w:p>
        </w:tc>
      </w:tr>
      <w:tr w:rsidR="00BF219E" w:rsidRPr="00BF219E" w14:paraId="6BF6F840" w14:textId="77777777">
        <w:trPr>
          <w:jc w:val="center"/>
        </w:trPr>
        <w:tc>
          <w:tcPr>
            <w:tcW w:w="1584" w:type="dxa"/>
            <w:tcMar>
              <w:top w:w="80" w:type="dxa"/>
              <w:left w:w="90" w:type="dxa"/>
              <w:bottom w:w="80" w:type="dxa"/>
              <w:right w:w="90" w:type="dxa"/>
            </w:tcMar>
            <w:vAlign w:val="center"/>
          </w:tcPr>
          <w:p w14:paraId="009263D2" w14:textId="77777777" w:rsidR="008E1A0A" w:rsidRPr="00BF219E" w:rsidRDefault="00000000">
            <w:pPr>
              <w:spacing w:after="0" w:line="240" w:lineRule="auto"/>
            </w:pPr>
            <w:r w:rsidRPr="00BF219E">
              <w:rPr>
                <w:sz w:val="16"/>
              </w:rPr>
              <w:lastRenderedPageBreak/>
              <w:t>SGLT2 nationwide cohort</w:t>
            </w:r>
          </w:p>
        </w:tc>
        <w:tc>
          <w:tcPr>
            <w:tcW w:w="2088" w:type="dxa"/>
            <w:tcMar>
              <w:top w:w="80" w:type="dxa"/>
              <w:left w:w="90" w:type="dxa"/>
              <w:bottom w:w="80" w:type="dxa"/>
              <w:right w:w="90" w:type="dxa"/>
            </w:tcMar>
            <w:vAlign w:val="center"/>
          </w:tcPr>
          <w:p w14:paraId="0B0C17AE" w14:textId="77777777" w:rsidR="008E1A0A" w:rsidRPr="00BF219E" w:rsidRDefault="00000000">
            <w:pPr>
              <w:spacing w:after="0" w:line="240" w:lineRule="auto"/>
            </w:pPr>
            <w:r w:rsidRPr="00BF219E">
              <w:rPr>
                <w:sz w:val="16"/>
              </w:rPr>
              <w:t>Large Taiwanese retrospective cohort comparing SGLT2 and DPP-4 inhibitors.</w:t>
            </w:r>
          </w:p>
        </w:tc>
        <w:tc>
          <w:tcPr>
            <w:tcW w:w="2376" w:type="dxa"/>
            <w:tcMar>
              <w:top w:w="80" w:type="dxa"/>
              <w:left w:w="90" w:type="dxa"/>
              <w:bottom w:w="80" w:type="dxa"/>
              <w:right w:w="90" w:type="dxa"/>
            </w:tcMar>
            <w:vAlign w:val="center"/>
          </w:tcPr>
          <w:p w14:paraId="69F51E04" w14:textId="77777777" w:rsidR="008E1A0A" w:rsidRPr="00BF219E" w:rsidRDefault="00000000">
            <w:pPr>
              <w:spacing w:after="0" w:line="240" w:lineRule="auto"/>
            </w:pPr>
            <w:r w:rsidRPr="00BF219E">
              <w:rPr>
                <w:sz w:val="16"/>
              </w:rPr>
              <w:t>SGLT2 inhibitors were associated with lower renal, cardiovascular, mortality and decompensation risks.</w:t>
            </w:r>
          </w:p>
        </w:tc>
        <w:tc>
          <w:tcPr>
            <w:tcW w:w="2160" w:type="dxa"/>
            <w:tcMar>
              <w:top w:w="80" w:type="dxa"/>
              <w:left w:w="90" w:type="dxa"/>
              <w:bottom w:w="80" w:type="dxa"/>
              <w:right w:w="90" w:type="dxa"/>
            </w:tcMar>
            <w:vAlign w:val="center"/>
          </w:tcPr>
          <w:p w14:paraId="7B8D6072" w14:textId="77777777" w:rsidR="008E1A0A" w:rsidRPr="00BF219E" w:rsidRDefault="00000000">
            <w:pPr>
              <w:spacing w:after="0" w:line="240" w:lineRule="auto"/>
            </w:pPr>
            <w:r w:rsidRPr="00BF219E">
              <w:rPr>
                <w:sz w:val="16"/>
              </w:rPr>
              <w:t>Administrative data cannot eliminate residual confounding or fully characterise cirrhosis severity.</w:t>
            </w:r>
          </w:p>
        </w:tc>
        <w:tc>
          <w:tcPr>
            <w:tcW w:w="1800" w:type="dxa"/>
            <w:tcMar>
              <w:top w:w="80" w:type="dxa"/>
              <w:left w:w="90" w:type="dxa"/>
              <w:bottom w:w="80" w:type="dxa"/>
              <w:right w:w="90" w:type="dxa"/>
            </w:tcMar>
            <w:vAlign w:val="center"/>
          </w:tcPr>
          <w:p w14:paraId="79B9E79A" w14:textId="77777777" w:rsidR="008E1A0A" w:rsidRPr="00BF219E" w:rsidRDefault="00000000">
            <w:pPr>
              <w:spacing w:after="0" w:line="240" w:lineRule="auto"/>
            </w:pPr>
            <w:r w:rsidRPr="00BF219E">
              <w:rPr>
                <w:sz w:val="16"/>
              </w:rPr>
              <w:t>(Chung et al., 2026)</w:t>
            </w:r>
          </w:p>
        </w:tc>
      </w:tr>
      <w:tr w:rsidR="00BF219E" w:rsidRPr="00BF219E" w14:paraId="4223991E" w14:textId="77777777">
        <w:trPr>
          <w:jc w:val="center"/>
        </w:trPr>
        <w:tc>
          <w:tcPr>
            <w:tcW w:w="1584" w:type="dxa"/>
            <w:tcMar>
              <w:top w:w="80" w:type="dxa"/>
              <w:left w:w="90" w:type="dxa"/>
              <w:bottom w:w="80" w:type="dxa"/>
              <w:right w:w="90" w:type="dxa"/>
            </w:tcMar>
            <w:vAlign w:val="center"/>
          </w:tcPr>
          <w:p w14:paraId="7C9EB272" w14:textId="77777777" w:rsidR="008E1A0A" w:rsidRPr="00BF219E" w:rsidRDefault="00000000">
            <w:pPr>
              <w:spacing w:after="0" w:line="240" w:lineRule="auto"/>
            </w:pPr>
            <w:r w:rsidRPr="00BF219E">
              <w:rPr>
                <w:sz w:val="16"/>
              </w:rPr>
              <w:t>Insulin comparative cohort</w:t>
            </w:r>
          </w:p>
        </w:tc>
        <w:tc>
          <w:tcPr>
            <w:tcW w:w="2088" w:type="dxa"/>
            <w:tcMar>
              <w:top w:w="80" w:type="dxa"/>
              <w:left w:w="90" w:type="dxa"/>
              <w:bottom w:w="80" w:type="dxa"/>
              <w:right w:w="90" w:type="dxa"/>
            </w:tcMar>
            <w:vAlign w:val="center"/>
          </w:tcPr>
          <w:p w14:paraId="6F30C1B6" w14:textId="77777777" w:rsidR="008E1A0A" w:rsidRPr="00BF219E" w:rsidRDefault="00000000">
            <w:pPr>
              <w:spacing w:after="0" w:line="240" w:lineRule="auto"/>
            </w:pPr>
            <w:r w:rsidRPr="00BF219E">
              <w:rPr>
                <w:sz w:val="16"/>
              </w:rPr>
              <w:t>Propensity-matched compensated-cirrhosis cohort.</w:t>
            </w:r>
          </w:p>
        </w:tc>
        <w:tc>
          <w:tcPr>
            <w:tcW w:w="2376" w:type="dxa"/>
            <w:tcMar>
              <w:top w:w="80" w:type="dxa"/>
              <w:left w:w="90" w:type="dxa"/>
              <w:bottom w:w="80" w:type="dxa"/>
              <w:right w:w="90" w:type="dxa"/>
            </w:tcMar>
            <w:vAlign w:val="center"/>
          </w:tcPr>
          <w:p w14:paraId="3C845E86" w14:textId="77777777" w:rsidR="008E1A0A" w:rsidRPr="00BF219E" w:rsidRDefault="00000000">
            <w:pPr>
              <w:spacing w:after="0" w:line="240" w:lineRule="auto"/>
            </w:pPr>
            <w:r w:rsidRPr="00BF219E">
              <w:rPr>
                <w:sz w:val="16"/>
              </w:rPr>
              <w:t>Insulin use was associated with more hypoglycaemia and adverse clinical outcomes.</w:t>
            </w:r>
          </w:p>
        </w:tc>
        <w:tc>
          <w:tcPr>
            <w:tcW w:w="2160" w:type="dxa"/>
            <w:tcMar>
              <w:top w:w="80" w:type="dxa"/>
              <w:left w:w="90" w:type="dxa"/>
              <w:bottom w:w="80" w:type="dxa"/>
              <w:right w:w="90" w:type="dxa"/>
            </w:tcMar>
            <w:vAlign w:val="center"/>
          </w:tcPr>
          <w:p w14:paraId="3D2B1AD0" w14:textId="77777777" w:rsidR="008E1A0A" w:rsidRPr="00BF219E" w:rsidRDefault="00000000">
            <w:pPr>
              <w:spacing w:after="0" w:line="240" w:lineRule="auto"/>
            </w:pPr>
            <w:r w:rsidRPr="00BF219E">
              <w:rPr>
                <w:sz w:val="16"/>
              </w:rPr>
              <w:t>Strong confounding by indication and diabetes severity; association is not proof of insulin harm.</w:t>
            </w:r>
          </w:p>
        </w:tc>
        <w:tc>
          <w:tcPr>
            <w:tcW w:w="1800" w:type="dxa"/>
            <w:tcMar>
              <w:top w:w="80" w:type="dxa"/>
              <w:left w:w="90" w:type="dxa"/>
              <w:bottom w:w="80" w:type="dxa"/>
              <w:right w:w="90" w:type="dxa"/>
            </w:tcMar>
            <w:vAlign w:val="center"/>
          </w:tcPr>
          <w:p w14:paraId="39B07920" w14:textId="77777777" w:rsidR="008E1A0A" w:rsidRPr="00BF219E" w:rsidRDefault="00000000">
            <w:pPr>
              <w:spacing w:after="0" w:line="240" w:lineRule="auto"/>
            </w:pPr>
            <w:r w:rsidRPr="00BF219E">
              <w:rPr>
                <w:sz w:val="16"/>
              </w:rPr>
              <w:t>(Yen, Lai, et al., 2021)</w:t>
            </w:r>
          </w:p>
        </w:tc>
      </w:tr>
      <w:tr w:rsidR="00BF219E" w:rsidRPr="00BF219E" w14:paraId="7B2B4B15" w14:textId="77777777">
        <w:trPr>
          <w:jc w:val="center"/>
        </w:trPr>
        <w:tc>
          <w:tcPr>
            <w:tcW w:w="1584" w:type="dxa"/>
            <w:tcMar>
              <w:top w:w="80" w:type="dxa"/>
              <w:left w:w="90" w:type="dxa"/>
              <w:bottom w:w="80" w:type="dxa"/>
              <w:right w:w="90" w:type="dxa"/>
            </w:tcMar>
            <w:vAlign w:val="center"/>
          </w:tcPr>
          <w:p w14:paraId="6AB5DB3A" w14:textId="77777777" w:rsidR="008E1A0A" w:rsidRPr="00BF219E" w:rsidRDefault="00000000">
            <w:pPr>
              <w:spacing w:after="0" w:line="240" w:lineRule="auto"/>
            </w:pPr>
            <w:proofErr w:type="spellStart"/>
            <w:r w:rsidRPr="00BF219E">
              <w:rPr>
                <w:sz w:val="16"/>
              </w:rPr>
              <w:t>Survodutide</w:t>
            </w:r>
            <w:proofErr w:type="spellEnd"/>
            <w:r w:rsidRPr="00BF219E">
              <w:rPr>
                <w:sz w:val="16"/>
              </w:rPr>
              <w:t xml:space="preserve"> early cirrhosis study</w:t>
            </w:r>
          </w:p>
        </w:tc>
        <w:tc>
          <w:tcPr>
            <w:tcW w:w="2088" w:type="dxa"/>
            <w:tcMar>
              <w:top w:w="80" w:type="dxa"/>
              <w:left w:w="90" w:type="dxa"/>
              <w:bottom w:w="80" w:type="dxa"/>
              <w:right w:w="90" w:type="dxa"/>
            </w:tcMar>
            <w:vAlign w:val="center"/>
          </w:tcPr>
          <w:p w14:paraId="5DA83D46" w14:textId="77777777" w:rsidR="008E1A0A" w:rsidRPr="00BF219E" w:rsidRDefault="00000000">
            <w:pPr>
              <w:spacing w:after="0" w:line="240" w:lineRule="auto"/>
            </w:pPr>
            <w:r w:rsidRPr="00BF219E">
              <w:rPr>
                <w:sz w:val="16"/>
              </w:rPr>
              <w:t>Phase I pharmacokinetic and tolerability study across cirrhosis severity.</w:t>
            </w:r>
          </w:p>
        </w:tc>
        <w:tc>
          <w:tcPr>
            <w:tcW w:w="2376" w:type="dxa"/>
            <w:tcMar>
              <w:top w:w="80" w:type="dxa"/>
              <w:left w:w="90" w:type="dxa"/>
              <w:bottom w:w="80" w:type="dxa"/>
              <w:right w:w="90" w:type="dxa"/>
            </w:tcMar>
            <w:vAlign w:val="center"/>
          </w:tcPr>
          <w:p w14:paraId="1A439447" w14:textId="77777777" w:rsidR="008E1A0A" w:rsidRPr="00BF219E" w:rsidRDefault="00000000">
            <w:pPr>
              <w:spacing w:after="0" w:line="240" w:lineRule="auto"/>
            </w:pPr>
            <w:r w:rsidRPr="00BF219E">
              <w:rPr>
                <w:sz w:val="16"/>
              </w:rPr>
              <w:t>No major exposure increase; exploratory metabolic and liver-marker improvements.</w:t>
            </w:r>
          </w:p>
        </w:tc>
        <w:tc>
          <w:tcPr>
            <w:tcW w:w="2160" w:type="dxa"/>
            <w:tcMar>
              <w:top w:w="80" w:type="dxa"/>
              <w:left w:w="90" w:type="dxa"/>
              <w:bottom w:w="80" w:type="dxa"/>
              <w:right w:w="90" w:type="dxa"/>
            </w:tcMar>
            <w:vAlign w:val="center"/>
          </w:tcPr>
          <w:p w14:paraId="2D9C2636" w14:textId="77777777" w:rsidR="008E1A0A" w:rsidRPr="00BF219E" w:rsidRDefault="00000000">
            <w:pPr>
              <w:spacing w:after="0" w:line="240" w:lineRule="auto"/>
            </w:pPr>
            <w:r w:rsidRPr="00BF219E">
              <w:rPr>
                <w:sz w:val="16"/>
              </w:rPr>
              <w:t>Small, short-duration, early-phase study; not evidence of clinical outcome benefit.</w:t>
            </w:r>
          </w:p>
        </w:tc>
        <w:tc>
          <w:tcPr>
            <w:tcW w:w="1800" w:type="dxa"/>
            <w:tcMar>
              <w:top w:w="80" w:type="dxa"/>
              <w:left w:w="90" w:type="dxa"/>
              <w:bottom w:w="80" w:type="dxa"/>
              <w:right w:w="90" w:type="dxa"/>
            </w:tcMar>
            <w:vAlign w:val="center"/>
          </w:tcPr>
          <w:p w14:paraId="5A72A4DB" w14:textId="77777777" w:rsidR="008E1A0A" w:rsidRPr="00BF219E" w:rsidRDefault="00000000">
            <w:pPr>
              <w:spacing w:after="0" w:line="240" w:lineRule="auto"/>
            </w:pPr>
            <w:r w:rsidRPr="00BF219E">
              <w:rPr>
                <w:sz w:val="16"/>
              </w:rPr>
              <w:t>(Lawitz et al., 2024)</w:t>
            </w:r>
          </w:p>
        </w:tc>
      </w:tr>
    </w:tbl>
    <w:p w14:paraId="46EC698D" w14:textId="77777777" w:rsidR="008E1A0A" w:rsidRPr="00BF219E" w:rsidRDefault="00000000">
      <w:pPr>
        <w:pStyle w:val="TableNote"/>
      </w:pPr>
      <w:r w:rsidRPr="00BF219E">
        <w:t>Note. DPP-4 = dipeptidyl peptidase-4; GLP-1 RA = glucagon-like peptide-1 receptor agonist; HCC = hepatocellular carcinoma; MASH = metabolic dysfunction-associated steatohepatitis; SGLT2 = sodium-glucose cotransporter-2; T2DM = type 2 diabetes mellitus.</w:t>
      </w:r>
    </w:p>
    <w:p w14:paraId="769A290D" w14:textId="77777777" w:rsidR="008E1A0A" w:rsidRPr="00BF219E" w:rsidRDefault="00000000">
      <w:pPr>
        <w:pStyle w:val="Heading1"/>
        <w:rPr>
          <w:color w:val="auto"/>
        </w:rPr>
      </w:pPr>
      <w:r w:rsidRPr="00BF219E">
        <w:rPr>
          <w:color w:val="auto"/>
        </w:rPr>
        <w:t>11. Controversies and Persistent Evidence Gaps</w:t>
      </w:r>
    </w:p>
    <w:p w14:paraId="1325C7F8" w14:textId="77777777" w:rsidR="008E1A0A" w:rsidRPr="00BF219E" w:rsidRDefault="00000000">
      <w:r w:rsidRPr="00BF219E">
        <w:t>Recent syntheses continue to frame hepatogenous diabetes as an under-recognised complication of cirrhosis and to propose increasingly precise phenotypes, but the quality of primary evidence remains uneven. Reviews by Nath and Anand (2021) and El-Azab et al. (2026) are valuable for integrating mechanisms and diagnostic reasoning, yet they also illustrate how much contemporary guidance still depends on synthesis of small mechanistic studies and observational cohorts rather than cirrhosis-specific randomised treatment evidence.</w:t>
      </w:r>
    </w:p>
    <w:p w14:paraId="2B752C78" w14:textId="77777777" w:rsidR="008E1A0A" w:rsidRPr="00BF219E" w:rsidRDefault="00000000">
      <w:r w:rsidRPr="00BF219E">
        <w:t>The first controversy is whether hepatogenous diabetes should be a formal diagnostic entity. The phenotype has biological coherence and clinically useful features, and contemporary prospective data continue to show that OGTT can uncover diabetes not evident from fasting glucose. Yet chronology is often uncertain, validated diagnostic criteria are absent, and modern MASLD blurs the boundary between liver-driven and metabolically driven diabetes. Formal separation could improve research stratification, but premature clinical labelling could create false certainty. Future studies should therefore report whether diabetes predates cirrhosis, how it was diagnosed, and whether post-challenge dysglycaemia is present rather than relying solely on a binary label (Kumar et al., 2022; Maji et al., 2024).</w:t>
      </w:r>
    </w:p>
    <w:p w14:paraId="4937B3FC" w14:textId="77777777" w:rsidR="008E1A0A" w:rsidRPr="00BF219E" w:rsidRDefault="00000000">
      <w:r w:rsidRPr="00BF219E">
        <w:t>The second controversy is the extent to which glucose-lowering drugs alter liver outcomes independently of glycaemia and patient selection. Metformin, GLP-1 RAs, SGLT2 inhibitors and alpha-glucosidase inhibitors all have observational associations with favourable outcomes in at least some cirrhosis cohorts. These signals are consistent enough to challenge older therapeutic nihilism, but the evidence architecture is vulnerable to confounding. Patients given newer drugs are often younger, have better renal function, more compensated disease and greater access to specialist care. Patients given insulin may have more severe or longer-duration diabetes. Even sophisticated propensity matching cannot fully measure these clinical differences. Claims that a drug is "hepatoprotective" should therefore be reserved for randomised or otherwise compelling causal evidence.</w:t>
      </w:r>
    </w:p>
    <w:p w14:paraId="7900B3D1" w14:textId="77777777" w:rsidR="008E1A0A" w:rsidRPr="00BF219E" w:rsidRDefault="00000000">
      <w:r w:rsidRPr="00BF219E">
        <w:t>Third, decompensated cirrhosis remains underrepresented. Many pharmacokinetic studies enrol small numbers of participants and are not designed to detect decompensation, renal events or mortality. Randomised metabolic trials commonly exclude unstable ascites, recent HE, severe renal dysfunction and poor nutrition. The resulting evidence is strongest precisely in the population at lowest treatment risk. Lisi et al. (2026) highlighted how limited the therapeutic evidence remains once decompensation has occurred. This gap is clinically important because the relative importance of weight loss, cardiorenal prevention and tight glycaemia declines as hypoglycaemia, frailty and transplantation become more immediate concerns.</w:t>
      </w:r>
    </w:p>
    <w:p w14:paraId="2AFF60FF" w14:textId="77777777" w:rsidR="008E1A0A" w:rsidRPr="00BF219E" w:rsidRDefault="00000000">
      <w:r w:rsidRPr="00BF219E">
        <w:t xml:space="preserve">Fourth, glycaemic targets are not validated against liver-specific outcomes. HbA1c can be inaccurate, while CGM-derived metrics have not been linked prospectively to decompensation, HE, wait-list mortality </w:t>
      </w:r>
      <w:r w:rsidRPr="00BF219E">
        <w:lastRenderedPageBreak/>
        <w:t>or transplantation outcomes. Observational associations between diabetes and HE suggest that poor glycaemic status may matter, but no trial has established that intensifying treatment to a particular glucose or HbA1c threshold prevents HE. This uncertainty should produce measured individualisation, not abandonment of glycaemic control.</w:t>
      </w:r>
    </w:p>
    <w:p w14:paraId="2238EB15" w14:textId="77777777" w:rsidR="008E1A0A" w:rsidRPr="00BF219E" w:rsidRDefault="00000000">
      <w:r w:rsidRPr="00BF219E">
        <w:t>Finally, the aetiological landscape is changing. Older studies are enriched for hepatitis C and alcohol-related cirrhosis, whereas newer cohorts increasingly include MASLD and multimorbidity. Direct-acting antiviral cure, obesity pharmacotherapy and modern cardiorenal diabetes treatment have changed background risk. Evidence synthesis must therefore distinguish enduring physiology from era-specific outcomes. The most credible current framework is adaptive: use established diabetes benefits in stable compensated cirrhosis, reduce treatment complexity and hypoglycaemia risk as hepatic reserve falls, and reassess the entire regimen after each major decompensation.</w:t>
      </w:r>
    </w:p>
    <w:p w14:paraId="7C9F534D" w14:textId="77777777" w:rsidR="008E1A0A" w:rsidRPr="00BF219E" w:rsidRDefault="00000000">
      <w:r w:rsidRPr="00BF219E">
        <w:t>A further gap concerns the comparator used in modern observational studies. Active-comparator designs are stronger than comparisons with untreated patients, but the choice of comparator can still shape the apparent result. DPP-4 inhibitors, sulfonylureas and insulin are prescribed to different clinical phenotypes, and prescribing is constrained by kidney function, obesity, hypoglycaemia risk and clinician familiarity. A lower decompensation rate among GLP-1 receptor agonist or SGLT2 inhibitor users may therefore represent a mixture of drug effect, better baseline prognosis and differential surveillance. Future causal analyses should emulate explicit treatment strategies, incorporate time-updated renal and liver status, test negative-control outcomes where feasible and report sensitivity to unmeasured confounding. Until then, consistency across cohorts should raise confidence in comparative safety without being converted into a claim of liver-specific efficacy (Chou et al., 2026; Chung et al., 2026; Simon et al., 2022).</w:t>
      </w:r>
    </w:p>
    <w:p w14:paraId="074BA68A" w14:textId="77777777" w:rsidR="008E1A0A" w:rsidRPr="00BF219E" w:rsidRDefault="00000000">
      <w:pPr>
        <w:pStyle w:val="Heading1"/>
        <w:rPr>
          <w:color w:val="auto"/>
        </w:rPr>
      </w:pPr>
      <w:r w:rsidRPr="00BF219E">
        <w:rPr>
          <w:color w:val="auto"/>
        </w:rPr>
        <w:t>12. Future Directions</w:t>
      </w:r>
    </w:p>
    <w:p w14:paraId="7C40AF75" w14:textId="77777777" w:rsidR="008E1A0A" w:rsidRPr="00BF219E" w:rsidRDefault="00000000">
      <w:r w:rsidRPr="00BF219E">
        <w:t>The immediate research priority is prospective comparative effectiveness in well-phenotyped compensated cirrhosis. Large pragmatic randomised trials or carefully designed prospective cohorts should compare metformin-based combinations, GLP-1 RAs, SGLT2 inhibitors and other low-hypoglycaemia strategies using clinically meaningful liver outcomes rather than liver enzymes alone. Stratification should include cirrhosis aetiology, Child-Pugh class, clinically significant portal hypertension, renal function, diabetes duration, baseline sarcopenia and whether diabetes clearly predates cirrhosis. Outcomes should include first decompensation, HE, acute kidney injury, severe hypoglycaemia, cardiovascular events, quality of life, transplantation and mortality. Without this level of phenotyping, residual confounding will continue to dominate interpretation of drug-outcome associations.</w:t>
      </w:r>
    </w:p>
    <w:p w14:paraId="5898059A" w14:textId="77777777" w:rsidR="008E1A0A" w:rsidRPr="00BF219E" w:rsidRDefault="00000000">
      <w:r w:rsidRPr="00BF219E">
        <w:t>A second priority is deliberate inclusion of stable Child-Pugh B and carefully selected decompensated patients in pharmacological research. These groups are often excluded for safety reasons, but exclusion perpetuates the evidence gap that matters most in clinical practice. Early-phase pharmacokinetic and safety studies such as the survodutide programme show that structured inclusion is feasible (Lawitz et al., 2024). Subsequent trials should use staged enrolment, explicit stopping rules, renal and haemodynamic monitoring, nutritional endpoints and patient-reported tolerability. The objective should not be to demonstrate that every modern agent can be used in decompensation; it should be to identify which patients can safely benefit and when therapy should be withheld.</w:t>
      </w:r>
    </w:p>
    <w:p w14:paraId="5B1BC693" w14:textId="77777777" w:rsidR="008E1A0A" w:rsidRPr="00BF219E" w:rsidRDefault="00000000">
      <w:r w:rsidRPr="00BF219E">
        <w:t>Third, diabetes phenotyping in cirrhosis needs standardisation. A research definition of hepatogenous diabetes should incorporate documented chronology, OGTT findings, fasting glucose, HbA1c reliability, body composition and conventional T2DM risk factors. Longitudinal studies before and after transplantation could then test whether the proposed phenotype predicts reversibility, beta-cell reserve and treatment response. Such work would move the concept from descriptive taxonomy towards a clinically testable construct (Kumar et al., 2022; Orsi et al., 2017).</w:t>
      </w:r>
    </w:p>
    <w:p w14:paraId="539DE93E" w14:textId="77777777" w:rsidR="008E1A0A" w:rsidRPr="00BF219E" w:rsidRDefault="00000000">
      <w:r w:rsidRPr="00BF219E">
        <w:t xml:space="preserve">Fourth, monitoring studies should determine which CGM metrics are meaningful in cirrhosis. Prospective cohorts could relate time below range, postprandial exposure and glycaemic variability to HE, falls, frailty, hospitalisation and mortality. This is particularly important because HbA1c is least reliable in the patients at </w:t>
      </w:r>
      <w:r w:rsidRPr="00BF219E">
        <w:lastRenderedPageBreak/>
        <w:t>greatest risk. Interventional studies could then evaluate whether CGM-guided simplification reduces severe hypoglycaemia without causing symptomatic hyperglycaemia. A validated cirrhosis-specific monitoring strategy would be more useful than importing targets from populations with normal erythrocyte kinetics and hepatic reserve.</w:t>
      </w:r>
    </w:p>
    <w:p w14:paraId="6C09C251" w14:textId="77777777" w:rsidR="008E1A0A" w:rsidRPr="00BF219E" w:rsidRDefault="00000000">
      <w:r w:rsidRPr="00BF219E">
        <w:t>Fifth, nutrition and diabetes trials should measure muscle rather than body weight alone. Modern anti-obesity treatments can reduce adiposity substantially, but cirrhosis outcomes depend heavily on sarcopenia and functional reserve. Trials of incretin-based therapies in compensated MASLD cirrhosis should therefore include objective muscle mass, strength, dietary intake and frailty outcomes alongside weight, glycaemia and liver markers. In decompensated disease, the research question should shift from maximum weight loss to preservation of muscle and avoidance of catabolism.</w:t>
      </w:r>
    </w:p>
    <w:p w14:paraId="4D70929D" w14:textId="77777777" w:rsidR="008E1A0A" w:rsidRPr="00BF219E" w:rsidRDefault="00000000">
      <w:r w:rsidRPr="00BF219E">
        <w:t>Longer term, integrated care models should be tested rather than assumed to be beneficial. A multidisciplinary pathway linking hepatology, diabetes care, renal assessment, nutrition, pharmacy and transplant services could be evaluated against usual care for medication safety, severe hypoglycaemia, decompensation, emergency attendance and patient burden. The potential value is greatest at transition points: first decompensation, hospital discharge, TIPS, transplant listing and post-transplant steroid tapering. These are the moments when physiological reserve and medication suitability change most rapidly, and when a static diabetes prescription is most likely to become unsafe.</w:t>
      </w:r>
    </w:p>
    <w:p w14:paraId="72B56E2B" w14:textId="77777777" w:rsidR="008E1A0A" w:rsidRPr="00BF219E" w:rsidRDefault="00000000">
      <w:pPr>
        <w:pStyle w:val="Heading1"/>
        <w:rPr>
          <w:color w:val="auto"/>
        </w:rPr>
      </w:pPr>
      <w:r w:rsidRPr="00BF219E">
        <w:rPr>
          <w:color w:val="auto"/>
        </w:rPr>
        <w:t>13. Conclusions</w:t>
      </w:r>
    </w:p>
    <w:p w14:paraId="35505F5C" w14:textId="77777777" w:rsidR="008E1A0A" w:rsidRPr="00BF219E" w:rsidRDefault="00000000">
      <w:r w:rsidRPr="00BF219E">
        <w:t>Diabetes in liver cirrhosis is not a conventional diabetes problem superimposed on liver disease. Cirrhosis changes glucose physiology, the reliability of HbA1c and fasting glucose, nutritional priorities, medication handling and the consequences of hypoglycaemia. Hepatogenous diabetes remains a useful clinical concept because it draws attention to postprandial dysglycaemia, portal-systemic physiology and beta-cell failure, but it cannot yet be separated reliably from T2DM in many patients. Diagnosis and monitoring should therefore combine direct glucose assessment with awareness of the limitations of surrogate markers.</w:t>
      </w:r>
    </w:p>
    <w:p w14:paraId="67670A16" w14:textId="77777777" w:rsidR="008E1A0A" w:rsidRPr="00BF219E" w:rsidRDefault="00000000">
      <w:r w:rsidRPr="00BF219E">
        <w:t>The strongest management principle is stage-specific individualisation. Stable compensated cirrhosis permits broader use of contemporary diabetes therapies when renal function, nutrition and conventional indications support them. Metformin has the most mature observational safety and survival evidence, while GLP-1 receptor agonists and SGLT2 inhibitors have increasingly persuasive but predominantly non-randomised data in compensated disease. Their metabolic and cardiorenal benefits should not be conflated with proven reversal of cirrhosis. As hepatic reserve declines, treatment priorities shift towards preservation of muscle and intake, renal and haemodynamic safety, simplification and avoidance of hypoglycaemia. Insulin remains indispensable in severe decompensation and acute illness, but its use demands frequent reassessment because requirements are unstable. The next advance will depend less on another general treatment algorithm than on trials that deliberately include cirrhosis severity, body composition, portal-hypertension outcomes and modern glucose-monitoring measures.</w:t>
      </w:r>
    </w:p>
    <w:p w14:paraId="76FADAA3" w14:textId="77777777" w:rsidR="008E1A0A" w:rsidRPr="00BF219E" w:rsidRDefault="00000000">
      <w:pPr>
        <w:pStyle w:val="Heading1"/>
        <w:rPr>
          <w:color w:val="auto"/>
        </w:rPr>
      </w:pPr>
      <w:r w:rsidRPr="00BF219E">
        <w:rPr>
          <w:color w:val="auto"/>
        </w:rPr>
        <w:t>14. Limitations</w:t>
      </w:r>
    </w:p>
    <w:p w14:paraId="10A28798" w14:textId="77777777" w:rsidR="008E1A0A" w:rsidRDefault="00000000">
      <w:r w:rsidRPr="00BF219E">
        <w:t xml:space="preserve">This critical narrative review is intrinsically vulnerable to selection and interpretive bias despite a transparent search and appraisal approach. It did not use a prospectively registered systematic-review protocol, formal duplicate independent screening or a quantitative risk-of-bias score for every included study. Direct access to all subscription bibliographic databases was not available, and the review relied on accessible scholarly indexes and verified bibliographic sources. The evidence itself is heterogeneous: diabetes and hepatogenous diabetes definitions vary, HbA1c is measured under different haematological conditions, cirrhosis severity is inconsistently reported, and many comparative drug studies are retrospective and susceptible to confounding by indication. Decompensated cirrhosis, frailty and severe renal dysfunction are underrepresented in trials, while many older cohorts reflect hepatitis C or treatment </w:t>
      </w:r>
      <w:r w:rsidRPr="00BF219E">
        <w:lastRenderedPageBreak/>
        <w:t>eras that differ from contemporary MASLD-dominant practice. These constraints precluded quantitative synthesis and limit the certainty of drug-specific liver outcome conclusions.</w:t>
      </w:r>
    </w:p>
    <w:p w14:paraId="463886BE" w14:textId="77777777" w:rsidR="007A0E85" w:rsidRDefault="007A0E85"/>
    <w:p w14:paraId="01960D88" w14:textId="77777777" w:rsidR="0017378A" w:rsidRDefault="0017378A" w:rsidP="007A0E85">
      <w:pPr>
        <w:spacing w:after="0" w:line="240" w:lineRule="auto"/>
        <w:jc w:val="left"/>
        <w:rPr>
          <w:rFonts w:eastAsia="Calibri" w:cs="Arial"/>
          <w:b/>
          <w:sz w:val="20"/>
          <w:szCs w:val="20"/>
        </w:rPr>
      </w:pPr>
    </w:p>
    <w:p w14:paraId="7491BA19" w14:textId="77777777" w:rsidR="0017378A" w:rsidRDefault="0017378A" w:rsidP="007A0E85">
      <w:pPr>
        <w:spacing w:after="0" w:line="240" w:lineRule="auto"/>
        <w:jc w:val="left"/>
        <w:rPr>
          <w:rFonts w:eastAsia="Calibri" w:cs="Arial"/>
          <w:b/>
          <w:sz w:val="20"/>
          <w:szCs w:val="20"/>
        </w:rPr>
      </w:pPr>
    </w:p>
    <w:p w14:paraId="159D4AEB" w14:textId="77777777" w:rsidR="007A0E85" w:rsidRPr="007A0E85" w:rsidRDefault="007A0E85" w:rsidP="007A0E85">
      <w:pPr>
        <w:spacing w:after="0" w:line="240" w:lineRule="auto"/>
        <w:jc w:val="left"/>
        <w:rPr>
          <w:rFonts w:eastAsia="Calibri" w:cs="Arial"/>
          <w:b/>
          <w:sz w:val="20"/>
          <w:szCs w:val="20"/>
        </w:rPr>
      </w:pPr>
      <w:r w:rsidRPr="007A0E85">
        <w:rPr>
          <w:rFonts w:eastAsia="Calibri" w:cs="Arial"/>
          <w:b/>
          <w:sz w:val="20"/>
          <w:szCs w:val="20"/>
        </w:rPr>
        <w:t>Declaration of AI Use</w:t>
      </w:r>
    </w:p>
    <w:p w14:paraId="4E4FE5B9" w14:textId="77777777" w:rsidR="007A0E85" w:rsidRPr="007A0E85" w:rsidRDefault="007A0E85" w:rsidP="007A0E85">
      <w:pPr>
        <w:spacing w:after="0" w:line="240" w:lineRule="auto"/>
        <w:jc w:val="left"/>
        <w:rPr>
          <w:rFonts w:eastAsia="Calibri" w:cs="Arial"/>
          <w:sz w:val="20"/>
          <w:szCs w:val="20"/>
        </w:rPr>
      </w:pPr>
    </w:p>
    <w:p w14:paraId="6A2CC791" w14:textId="77777777" w:rsidR="007A0E85" w:rsidRPr="007A0E85" w:rsidRDefault="007A0E85" w:rsidP="007A0E85">
      <w:pPr>
        <w:spacing w:after="0" w:line="240" w:lineRule="auto"/>
        <w:jc w:val="left"/>
        <w:rPr>
          <w:rFonts w:eastAsia="Calibri" w:cs="Arial"/>
          <w:sz w:val="20"/>
          <w:szCs w:val="20"/>
        </w:rPr>
      </w:pPr>
      <w:r w:rsidRPr="007A0E85">
        <w:rPr>
          <w:rFonts w:eastAsia="Calibri"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2F0EBF4" w14:textId="77777777" w:rsidR="007A0E85" w:rsidRPr="007A0E85" w:rsidRDefault="007A0E85" w:rsidP="007A0E85">
      <w:pPr>
        <w:spacing w:after="0" w:line="240" w:lineRule="auto"/>
        <w:rPr>
          <w:rFonts w:ascii="Times New Roman" w:eastAsia="Calibri" w:hAnsi="Times New Roman" w:cs="Times New Roman"/>
          <w:sz w:val="22"/>
        </w:rPr>
      </w:pPr>
    </w:p>
    <w:p w14:paraId="7F98C727" w14:textId="77777777" w:rsidR="007A0E85" w:rsidRPr="007A0E85" w:rsidRDefault="007A0E85" w:rsidP="007A0E85">
      <w:pPr>
        <w:spacing w:after="0" w:line="240" w:lineRule="auto"/>
        <w:rPr>
          <w:rFonts w:ascii="Times New Roman" w:eastAsia="Calibri" w:hAnsi="Times New Roman" w:cs="Times New Roman"/>
          <w:sz w:val="22"/>
        </w:rPr>
      </w:pPr>
    </w:p>
    <w:p w14:paraId="231D295E" w14:textId="77777777" w:rsidR="007A0E85" w:rsidRPr="007A0E85" w:rsidRDefault="007A0E85" w:rsidP="007A0E85">
      <w:pPr>
        <w:spacing w:after="200" w:line="276" w:lineRule="auto"/>
        <w:jc w:val="left"/>
        <w:rPr>
          <w:rFonts w:ascii="Cambria" w:eastAsia="Times New Roman" w:hAnsi="Cambria" w:cs="Arial"/>
          <w:b/>
          <w:bCs/>
          <w:sz w:val="22"/>
          <w:lang w:val="en-GB" w:eastAsia="en-GB"/>
        </w:rPr>
      </w:pPr>
      <w:r w:rsidRPr="007A0E85">
        <w:rPr>
          <w:rFonts w:ascii="Cambria" w:eastAsia="Times New Roman" w:hAnsi="Cambria" w:cs="Arial"/>
          <w:b/>
          <w:bCs/>
          <w:sz w:val="22"/>
          <w:lang w:val="en-GB" w:eastAsia="en-GB"/>
        </w:rPr>
        <w:t>COMPETING INTERESTS DISCLAIMER:</w:t>
      </w:r>
    </w:p>
    <w:p w14:paraId="30C8BAEA" w14:textId="77777777" w:rsidR="007A0E85" w:rsidRPr="007A0E85" w:rsidRDefault="007A0E85" w:rsidP="007A0E85">
      <w:pPr>
        <w:spacing w:after="200" w:line="276" w:lineRule="auto"/>
        <w:jc w:val="left"/>
        <w:rPr>
          <w:rFonts w:ascii="Cambria" w:eastAsia="Times New Roman" w:hAnsi="Cambria" w:cs="Times New Roman"/>
          <w:sz w:val="22"/>
          <w:lang w:val="en-GB" w:eastAsia="en-GB"/>
        </w:rPr>
      </w:pPr>
      <w:r w:rsidRPr="007A0E85">
        <w:rPr>
          <w:rFonts w:ascii="Cambria" w:eastAsia="Times New Roman" w:hAnsi="Cambria" w:cs="Arial"/>
          <w:sz w:val="22"/>
          <w:lang w:val="en-GB" w:eastAsia="en-GB"/>
        </w:rPr>
        <w:t>Authors have declared that they have no known competing financial interests OR non-financial interests OR personal relationships that could have appeared to influence the work reported in this paper.</w:t>
      </w:r>
    </w:p>
    <w:p w14:paraId="1FB76C97" w14:textId="77777777" w:rsidR="007A0E85" w:rsidRPr="00BF219E" w:rsidRDefault="007A0E85"/>
    <w:p w14:paraId="5ACD9E91" w14:textId="77777777" w:rsidR="008E1A0A" w:rsidRPr="00BF219E" w:rsidRDefault="00000000">
      <w:pPr>
        <w:pStyle w:val="Heading1"/>
        <w:rPr>
          <w:color w:val="auto"/>
        </w:rPr>
      </w:pPr>
      <w:r w:rsidRPr="00BF219E">
        <w:rPr>
          <w:color w:val="auto"/>
        </w:rPr>
        <w:t>References</w:t>
      </w:r>
    </w:p>
    <w:p w14:paraId="23CB8AD5" w14:textId="0D70C871"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American Diabetes Association Professional Practice Committee for Diabetes. (2026). 4. Comprehensive medical evaluation and assessment of comorbidities: Standards of care in diabetes—2026. </w:t>
      </w:r>
      <w:r w:rsidRPr="00480E24">
        <w:rPr>
          <w:rFonts w:ascii="Times New Roman" w:eastAsia="Times New Roman" w:hAnsi="Times New Roman" w:cs="Times New Roman"/>
          <w:i/>
          <w:iCs/>
          <w:sz w:val="24"/>
          <w:szCs w:val="24"/>
        </w:rPr>
        <w:t>Diabetes Care, 49</w:t>
      </w:r>
      <w:r w:rsidRPr="00480E24">
        <w:rPr>
          <w:rFonts w:ascii="Times New Roman" w:eastAsia="Times New Roman" w:hAnsi="Times New Roman" w:cs="Times New Roman"/>
          <w:sz w:val="24"/>
          <w:szCs w:val="24"/>
        </w:rPr>
        <w:t xml:space="preserve">(Supplement 1), S61–S88. </w:t>
      </w:r>
      <w:hyperlink r:id="rId8" w:history="1">
        <w:r w:rsidRPr="00480E24">
          <w:rPr>
            <w:rFonts w:ascii="Times New Roman" w:eastAsia="Times New Roman" w:hAnsi="Times New Roman" w:cs="Times New Roman"/>
            <w:color w:val="0000FF"/>
            <w:sz w:val="24"/>
            <w:szCs w:val="24"/>
            <w:u w:val="single"/>
          </w:rPr>
          <w:t>https://doi.org/10.2337/dc26-S004</w:t>
        </w:r>
      </w:hyperlink>
    </w:p>
    <w:p w14:paraId="5299CF04" w14:textId="286050AD" w:rsidR="00480E24" w:rsidRPr="00480E24" w:rsidRDefault="00480E24" w:rsidP="00480E24">
      <w:pPr>
        <w:spacing w:after="0" w:line="240" w:lineRule="auto"/>
        <w:ind w:left="540" w:hanging="540"/>
        <w:rPr>
          <w:rFonts w:ascii="Times New Roman" w:eastAsia="Times New Roman" w:hAnsi="Times New Roman" w:cs="Times New Roman"/>
          <w:sz w:val="24"/>
          <w:szCs w:val="24"/>
        </w:rPr>
      </w:pPr>
      <w:proofErr w:type="spellStart"/>
      <w:r w:rsidRPr="00480E24">
        <w:rPr>
          <w:rFonts w:ascii="Times New Roman" w:eastAsia="Times New Roman" w:hAnsi="Times New Roman" w:cs="Times New Roman"/>
          <w:sz w:val="24"/>
          <w:szCs w:val="24"/>
        </w:rPr>
        <w:t>Baethge</w:t>
      </w:r>
      <w:proofErr w:type="spellEnd"/>
      <w:r w:rsidRPr="00480E24">
        <w:rPr>
          <w:rFonts w:ascii="Times New Roman" w:eastAsia="Times New Roman" w:hAnsi="Times New Roman" w:cs="Times New Roman"/>
          <w:sz w:val="24"/>
          <w:szCs w:val="24"/>
        </w:rPr>
        <w:t xml:space="preserve">, C., Goldbeck-Wood, S., &amp; Mertens, S. (2019). SANRA—a scale for the quality assessment of narrative review articles. </w:t>
      </w:r>
      <w:r w:rsidRPr="00480E24">
        <w:rPr>
          <w:rFonts w:ascii="Times New Roman" w:eastAsia="Times New Roman" w:hAnsi="Times New Roman" w:cs="Times New Roman"/>
          <w:i/>
          <w:iCs/>
          <w:sz w:val="24"/>
          <w:szCs w:val="24"/>
        </w:rPr>
        <w:t>Research Integrity and Peer Review, 4</w:t>
      </w:r>
      <w:r w:rsidRPr="00480E24">
        <w:rPr>
          <w:rFonts w:ascii="Times New Roman" w:eastAsia="Times New Roman" w:hAnsi="Times New Roman" w:cs="Times New Roman"/>
          <w:sz w:val="24"/>
          <w:szCs w:val="24"/>
        </w:rPr>
        <w:t xml:space="preserve">, 5. </w:t>
      </w:r>
      <w:hyperlink r:id="rId9" w:history="1">
        <w:r w:rsidRPr="00480E24">
          <w:rPr>
            <w:rFonts w:ascii="Times New Roman" w:eastAsia="Times New Roman" w:hAnsi="Times New Roman" w:cs="Times New Roman"/>
            <w:color w:val="0000FF"/>
            <w:sz w:val="24"/>
            <w:szCs w:val="24"/>
            <w:u w:val="single"/>
          </w:rPr>
          <w:t>https://doi.org/10.1186/s41073-019-0064-8</w:t>
        </w:r>
      </w:hyperlink>
    </w:p>
    <w:p w14:paraId="71A7B649" w14:textId="4AC14BE7"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Bhaduri, G., Sridharan, K., Jain, T., Kaur, K., Patnaik, I., Gupta, R., &amp; Sharma, A. (2025). Mortality and liver-related outcomes in patients with decompensated liver disease and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w:t>
      </w:r>
      <w:r w:rsidRPr="00480E24">
        <w:rPr>
          <w:rFonts w:ascii="Times New Roman" w:eastAsia="Times New Roman" w:hAnsi="Times New Roman" w:cs="Times New Roman"/>
          <w:i/>
          <w:iCs/>
          <w:sz w:val="24"/>
          <w:szCs w:val="24"/>
        </w:rPr>
        <w:t>Journal of Clinical and Experimental Hepatology, 15</w:t>
      </w:r>
      <w:r w:rsidRPr="00480E24">
        <w:rPr>
          <w:rFonts w:ascii="Times New Roman" w:eastAsia="Times New Roman" w:hAnsi="Times New Roman" w:cs="Times New Roman"/>
          <w:sz w:val="24"/>
          <w:szCs w:val="24"/>
        </w:rPr>
        <w:t xml:space="preserve">(5), 102593. </w:t>
      </w:r>
      <w:hyperlink r:id="rId10" w:history="1">
        <w:r w:rsidRPr="00480E24">
          <w:rPr>
            <w:rFonts w:ascii="Times New Roman" w:eastAsia="Times New Roman" w:hAnsi="Times New Roman" w:cs="Times New Roman"/>
            <w:color w:val="0000FF"/>
            <w:sz w:val="24"/>
            <w:szCs w:val="24"/>
            <w:u w:val="single"/>
          </w:rPr>
          <w:t>https://doi.org/10.1016/j.jceh.2025.102593</w:t>
        </w:r>
      </w:hyperlink>
    </w:p>
    <w:p w14:paraId="4A091158" w14:textId="0C78AE43"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Bossen, L., Dam, G. A., Vilstrup, H., Watson, H., &amp; Jepsen, P. (2019). </w:t>
      </w:r>
      <w:r w:rsidRPr="00480E24">
        <w:rPr>
          <w:rFonts w:ascii="Times New Roman" w:eastAsia="Times New Roman" w:hAnsi="Times New Roman" w:cs="Times New Roman"/>
          <w:sz w:val="24"/>
          <w:szCs w:val="24"/>
        </w:rPr>
        <w:t xml:space="preserve">Diabetes does not increase infection risk or mortality following an infection in patients with cirrhosis and ascites. </w:t>
      </w:r>
      <w:r w:rsidRPr="00480E24">
        <w:rPr>
          <w:rFonts w:ascii="Times New Roman" w:eastAsia="Times New Roman" w:hAnsi="Times New Roman" w:cs="Times New Roman"/>
          <w:i/>
          <w:iCs/>
          <w:sz w:val="24"/>
          <w:szCs w:val="24"/>
        </w:rPr>
        <w:t>JHEP Reports, 1</w:t>
      </w:r>
      <w:r w:rsidRPr="00480E24">
        <w:rPr>
          <w:rFonts w:ascii="Times New Roman" w:eastAsia="Times New Roman" w:hAnsi="Times New Roman" w:cs="Times New Roman"/>
          <w:sz w:val="24"/>
          <w:szCs w:val="24"/>
        </w:rPr>
        <w:t xml:space="preserve">(4), 265–269. </w:t>
      </w:r>
      <w:hyperlink r:id="rId11" w:history="1">
        <w:r w:rsidRPr="00480E24">
          <w:rPr>
            <w:rFonts w:ascii="Times New Roman" w:eastAsia="Times New Roman" w:hAnsi="Times New Roman" w:cs="Times New Roman"/>
            <w:color w:val="0000FF"/>
            <w:sz w:val="24"/>
            <w:szCs w:val="24"/>
            <w:u w:val="single"/>
          </w:rPr>
          <w:t>https://doi.org/10.1016/j.jhepr.2019.07.008</w:t>
        </w:r>
      </w:hyperlink>
    </w:p>
    <w:p w14:paraId="58EB3C80" w14:textId="6ED88F44"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Boursier, J., Anty, R., </w:t>
      </w:r>
      <w:proofErr w:type="spellStart"/>
      <w:r w:rsidRPr="00480E24">
        <w:rPr>
          <w:rFonts w:ascii="Times New Roman" w:eastAsia="Times New Roman" w:hAnsi="Times New Roman" w:cs="Times New Roman"/>
          <w:sz w:val="24"/>
          <w:szCs w:val="24"/>
        </w:rPr>
        <w:t>Carette</w:t>
      </w:r>
      <w:proofErr w:type="spellEnd"/>
      <w:r w:rsidRPr="00480E24">
        <w:rPr>
          <w:rFonts w:ascii="Times New Roman" w:eastAsia="Times New Roman" w:hAnsi="Times New Roman" w:cs="Times New Roman"/>
          <w:sz w:val="24"/>
          <w:szCs w:val="24"/>
        </w:rPr>
        <w:t xml:space="preserve">, C., Cariou, B., Castera, L., Caussy, C., Fontaine, H., </w:t>
      </w:r>
      <w:proofErr w:type="spellStart"/>
      <w:r w:rsidRPr="00480E24">
        <w:rPr>
          <w:rFonts w:ascii="Times New Roman" w:eastAsia="Times New Roman" w:hAnsi="Times New Roman" w:cs="Times New Roman"/>
          <w:sz w:val="24"/>
          <w:szCs w:val="24"/>
        </w:rPr>
        <w:t>Garioud</w:t>
      </w:r>
      <w:proofErr w:type="spellEnd"/>
      <w:r w:rsidRPr="00480E24">
        <w:rPr>
          <w:rFonts w:ascii="Times New Roman" w:eastAsia="Times New Roman" w:hAnsi="Times New Roman" w:cs="Times New Roman"/>
          <w:sz w:val="24"/>
          <w:szCs w:val="24"/>
        </w:rPr>
        <w:t xml:space="preserve">, A., Gourdy, P., Guerci, B., Guillaume, M., Michot, N., </w:t>
      </w:r>
      <w:proofErr w:type="spellStart"/>
      <w:r w:rsidRPr="00480E24">
        <w:rPr>
          <w:rFonts w:ascii="Times New Roman" w:eastAsia="Times New Roman" w:hAnsi="Times New Roman" w:cs="Times New Roman"/>
          <w:sz w:val="24"/>
          <w:szCs w:val="24"/>
        </w:rPr>
        <w:t>Minello</w:t>
      </w:r>
      <w:proofErr w:type="spellEnd"/>
      <w:r w:rsidRPr="00480E24">
        <w:rPr>
          <w:rFonts w:ascii="Times New Roman" w:eastAsia="Times New Roman" w:hAnsi="Times New Roman" w:cs="Times New Roman"/>
          <w:sz w:val="24"/>
          <w:szCs w:val="24"/>
        </w:rPr>
        <w:t xml:space="preserve">, A., </w:t>
      </w:r>
      <w:proofErr w:type="spellStart"/>
      <w:r w:rsidRPr="00480E24">
        <w:rPr>
          <w:rFonts w:ascii="Times New Roman" w:eastAsia="Times New Roman" w:hAnsi="Times New Roman" w:cs="Times New Roman"/>
          <w:sz w:val="24"/>
          <w:szCs w:val="24"/>
        </w:rPr>
        <w:t>Ouizeman</w:t>
      </w:r>
      <w:proofErr w:type="spellEnd"/>
      <w:r w:rsidRPr="00480E24">
        <w:rPr>
          <w:rFonts w:ascii="Times New Roman" w:eastAsia="Times New Roman" w:hAnsi="Times New Roman" w:cs="Times New Roman"/>
          <w:sz w:val="24"/>
          <w:szCs w:val="24"/>
        </w:rPr>
        <w:t xml:space="preserve">, D. J., Serfaty, L., Bonnet, F., Vergès, B., Petit, J.-M., AFEF, &amp; SFD. (2021). Management of diabetes mellitus in patients with cirrhosis: An overview and joint statement. </w:t>
      </w:r>
      <w:r w:rsidRPr="00480E24">
        <w:rPr>
          <w:rFonts w:ascii="Times New Roman" w:eastAsia="Times New Roman" w:hAnsi="Times New Roman" w:cs="Times New Roman"/>
          <w:i/>
          <w:iCs/>
          <w:sz w:val="24"/>
          <w:szCs w:val="24"/>
        </w:rPr>
        <w:t>Diabetes &amp; Metabolism, 47</w:t>
      </w:r>
      <w:r w:rsidRPr="00480E24">
        <w:rPr>
          <w:rFonts w:ascii="Times New Roman" w:eastAsia="Times New Roman" w:hAnsi="Times New Roman" w:cs="Times New Roman"/>
          <w:sz w:val="24"/>
          <w:szCs w:val="24"/>
        </w:rPr>
        <w:t xml:space="preserve">(5), 101272. </w:t>
      </w:r>
      <w:hyperlink r:id="rId12" w:history="1">
        <w:r w:rsidRPr="00480E24">
          <w:rPr>
            <w:rFonts w:ascii="Times New Roman" w:eastAsia="Times New Roman" w:hAnsi="Times New Roman" w:cs="Times New Roman"/>
            <w:color w:val="0000FF"/>
            <w:sz w:val="24"/>
            <w:szCs w:val="24"/>
            <w:u w:val="single"/>
          </w:rPr>
          <w:t>https://doi.org/10.1016/j.diabet.2021.101272</w:t>
        </w:r>
      </w:hyperlink>
    </w:p>
    <w:p w14:paraId="537CEB0B" w14:textId="395A2597"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Brodosi, L., Petta, S., Petroni, M. L., Marchesini, G., &amp; Morelli, M. C. (2022). Management of diabetes in candidates for liver transplantation and in transplant recipients. </w:t>
      </w:r>
      <w:r w:rsidRPr="00480E24">
        <w:rPr>
          <w:rFonts w:ascii="Times New Roman" w:eastAsia="Times New Roman" w:hAnsi="Times New Roman" w:cs="Times New Roman"/>
          <w:i/>
          <w:iCs/>
          <w:sz w:val="24"/>
          <w:szCs w:val="24"/>
        </w:rPr>
        <w:t>Transplantation, 106</w:t>
      </w:r>
      <w:r w:rsidRPr="00480E24">
        <w:rPr>
          <w:rFonts w:ascii="Times New Roman" w:eastAsia="Times New Roman" w:hAnsi="Times New Roman" w:cs="Times New Roman"/>
          <w:sz w:val="24"/>
          <w:szCs w:val="24"/>
        </w:rPr>
        <w:t xml:space="preserve">(3), 462–478. </w:t>
      </w:r>
      <w:hyperlink r:id="rId13" w:history="1">
        <w:r w:rsidRPr="00480E24">
          <w:rPr>
            <w:rFonts w:ascii="Times New Roman" w:eastAsia="Times New Roman" w:hAnsi="Times New Roman" w:cs="Times New Roman"/>
            <w:color w:val="0000FF"/>
            <w:sz w:val="24"/>
            <w:szCs w:val="24"/>
            <w:u w:val="single"/>
          </w:rPr>
          <w:t>https://doi.org/10.1097/TP.0000000000003867</w:t>
        </w:r>
      </w:hyperlink>
    </w:p>
    <w:p w14:paraId="7A51D817" w14:textId="23EDE56B"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Calzadilla-Bertot, L., Vilar-Gomez, E., Torres-Gonzalez, A., Socias-Lopez, M., Diago, M., Adams, L. A., &amp; Romero-Gomez, M. (2016). Impaired glucose metabolism increases risk of hepatic decompensation and death in patients with compensated hepatitis C virus-related cirrhosis. </w:t>
      </w:r>
      <w:r w:rsidRPr="00480E24">
        <w:rPr>
          <w:rFonts w:ascii="Times New Roman" w:eastAsia="Times New Roman" w:hAnsi="Times New Roman" w:cs="Times New Roman"/>
          <w:i/>
          <w:iCs/>
          <w:sz w:val="24"/>
          <w:szCs w:val="24"/>
        </w:rPr>
        <w:t>Digestive and Liver Disease, 48</w:t>
      </w:r>
      <w:r w:rsidRPr="00480E24">
        <w:rPr>
          <w:rFonts w:ascii="Times New Roman" w:eastAsia="Times New Roman" w:hAnsi="Times New Roman" w:cs="Times New Roman"/>
          <w:sz w:val="24"/>
          <w:szCs w:val="24"/>
        </w:rPr>
        <w:t xml:space="preserve">(3), 283–290. </w:t>
      </w:r>
      <w:hyperlink r:id="rId14" w:history="1">
        <w:r w:rsidRPr="00480E24">
          <w:rPr>
            <w:rFonts w:ascii="Times New Roman" w:eastAsia="Times New Roman" w:hAnsi="Times New Roman" w:cs="Times New Roman"/>
            <w:color w:val="0000FF"/>
            <w:sz w:val="24"/>
            <w:szCs w:val="24"/>
            <w:u w:val="single"/>
          </w:rPr>
          <w:t>https://doi.org/10.1016/j.dld.2015.12.002</w:t>
        </w:r>
      </w:hyperlink>
    </w:p>
    <w:p w14:paraId="30DBD50E" w14:textId="0FEAFA50"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Castera, L., &amp; Cusi, K. (2023). Diabetes and cirrhosis: Current concepts on diagnosis and management. </w:t>
      </w:r>
      <w:r w:rsidRPr="00480E24">
        <w:rPr>
          <w:rFonts w:ascii="Times New Roman" w:eastAsia="Times New Roman" w:hAnsi="Times New Roman" w:cs="Times New Roman"/>
          <w:i/>
          <w:iCs/>
          <w:sz w:val="24"/>
          <w:szCs w:val="24"/>
        </w:rPr>
        <w:t>Hepatology, 77</w:t>
      </w:r>
      <w:r w:rsidRPr="00480E24">
        <w:rPr>
          <w:rFonts w:ascii="Times New Roman" w:eastAsia="Times New Roman" w:hAnsi="Times New Roman" w:cs="Times New Roman"/>
          <w:sz w:val="24"/>
          <w:szCs w:val="24"/>
        </w:rPr>
        <w:t xml:space="preserve">(6), 2128–2146. </w:t>
      </w:r>
      <w:hyperlink r:id="rId15" w:history="1">
        <w:r w:rsidRPr="00480E24">
          <w:rPr>
            <w:rFonts w:ascii="Times New Roman" w:eastAsia="Times New Roman" w:hAnsi="Times New Roman" w:cs="Times New Roman"/>
            <w:color w:val="0000FF"/>
            <w:sz w:val="24"/>
            <w:szCs w:val="24"/>
            <w:u w:val="single"/>
          </w:rPr>
          <w:t>https://doi.org/10.1097/HEP.0000000000000263</w:t>
        </w:r>
      </w:hyperlink>
    </w:p>
    <w:p w14:paraId="7C8946BC" w14:textId="1D07E517"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lastRenderedPageBreak/>
        <w:t xml:space="preserve">Chou, T.-S., Tsai, D. H.-T., Shao, S.-C., &amp; Lai, E. C.-C. (2026). SGLT-2 inhibitor </w:t>
      </w:r>
      <w:proofErr w:type="gramStart"/>
      <w:r w:rsidRPr="00480E24">
        <w:rPr>
          <w:rFonts w:ascii="Times New Roman" w:eastAsia="Times New Roman" w:hAnsi="Times New Roman" w:cs="Times New Roman"/>
          <w:sz w:val="24"/>
          <w:szCs w:val="24"/>
        </w:rPr>
        <w:t>use</w:t>
      </w:r>
      <w:proofErr w:type="gramEnd"/>
      <w:r w:rsidRPr="00480E24">
        <w:rPr>
          <w:rFonts w:ascii="Times New Roman" w:eastAsia="Times New Roman" w:hAnsi="Times New Roman" w:cs="Times New Roman"/>
          <w:sz w:val="24"/>
          <w:szCs w:val="24"/>
        </w:rPr>
        <w:t xml:space="preserve"> and liver-related and mortality outcomes in patients with type 2 diabetes and compensated cirrhosis. </w:t>
      </w:r>
      <w:r w:rsidRPr="00480E24">
        <w:rPr>
          <w:rFonts w:ascii="Times New Roman" w:eastAsia="Times New Roman" w:hAnsi="Times New Roman" w:cs="Times New Roman"/>
          <w:i/>
          <w:iCs/>
          <w:sz w:val="24"/>
          <w:szCs w:val="24"/>
        </w:rPr>
        <w:t>BMC Medicine, 24</w:t>
      </w:r>
      <w:r w:rsidRPr="00480E24">
        <w:rPr>
          <w:rFonts w:ascii="Times New Roman" w:eastAsia="Times New Roman" w:hAnsi="Times New Roman" w:cs="Times New Roman"/>
          <w:sz w:val="24"/>
          <w:szCs w:val="24"/>
        </w:rPr>
        <w:t xml:space="preserve">(1), 78. </w:t>
      </w:r>
      <w:hyperlink r:id="rId16" w:history="1">
        <w:r w:rsidRPr="00480E24">
          <w:rPr>
            <w:rFonts w:ascii="Times New Roman" w:eastAsia="Times New Roman" w:hAnsi="Times New Roman" w:cs="Times New Roman"/>
            <w:color w:val="0000FF"/>
            <w:sz w:val="24"/>
            <w:szCs w:val="24"/>
            <w:u w:val="single"/>
          </w:rPr>
          <w:t>https://doi.org/10.1186/s12916-026-04629-x</w:t>
        </w:r>
      </w:hyperlink>
    </w:p>
    <w:p w14:paraId="396B9388" w14:textId="6CBF86C7"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Chung, M.-C., Yu, T.-M., Wu, L.-Y., Wu, M.-J., Shieh, J.-J., &amp; Chung, C.-J. (2026). SGLT2 inhibitor </w:t>
      </w:r>
      <w:proofErr w:type="gramStart"/>
      <w:r w:rsidRPr="00480E24">
        <w:rPr>
          <w:rFonts w:ascii="Times New Roman" w:eastAsia="Times New Roman" w:hAnsi="Times New Roman" w:cs="Times New Roman"/>
          <w:sz w:val="24"/>
          <w:szCs w:val="24"/>
        </w:rPr>
        <w:t>use</w:t>
      </w:r>
      <w:proofErr w:type="gramEnd"/>
      <w:r w:rsidRPr="00480E24">
        <w:rPr>
          <w:rFonts w:ascii="Times New Roman" w:eastAsia="Times New Roman" w:hAnsi="Times New Roman" w:cs="Times New Roman"/>
          <w:sz w:val="24"/>
          <w:szCs w:val="24"/>
        </w:rPr>
        <w:t xml:space="preserve"> and cardiorenal outcomes in type 2 diabetes with liver cirrhosis. </w:t>
      </w:r>
      <w:r w:rsidRPr="00480E24">
        <w:rPr>
          <w:rFonts w:ascii="Times New Roman" w:eastAsia="Times New Roman" w:hAnsi="Times New Roman" w:cs="Times New Roman"/>
          <w:i/>
          <w:iCs/>
          <w:sz w:val="24"/>
          <w:szCs w:val="24"/>
        </w:rPr>
        <w:t>JAMA Network Open, 9</w:t>
      </w:r>
      <w:r w:rsidRPr="00480E24">
        <w:rPr>
          <w:rFonts w:ascii="Times New Roman" w:eastAsia="Times New Roman" w:hAnsi="Times New Roman" w:cs="Times New Roman"/>
          <w:sz w:val="24"/>
          <w:szCs w:val="24"/>
        </w:rPr>
        <w:t xml:space="preserve">(2), e2560429. </w:t>
      </w:r>
      <w:hyperlink r:id="rId17" w:history="1">
        <w:r w:rsidRPr="00480E24">
          <w:rPr>
            <w:rFonts w:ascii="Times New Roman" w:eastAsia="Times New Roman" w:hAnsi="Times New Roman" w:cs="Times New Roman"/>
            <w:color w:val="0000FF"/>
            <w:sz w:val="24"/>
            <w:szCs w:val="24"/>
            <w:u w:val="single"/>
          </w:rPr>
          <w:t>https://doi.org/10.1001/jamanetworkopen.2025.60429</w:t>
        </w:r>
      </w:hyperlink>
    </w:p>
    <w:p w14:paraId="6F079E59" w14:textId="05153703"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El-Azab, G., Rady, M. A., Assem, M., &amp; </w:t>
      </w:r>
      <w:proofErr w:type="spellStart"/>
      <w:r w:rsidRPr="00480E24">
        <w:rPr>
          <w:rFonts w:ascii="Times New Roman" w:eastAsia="Times New Roman" w:hAnsi="Times New Roman" w:cs="Times New Roman"/>
          <w:sz w:val="24"/>
          <w:szCs w:val="24"/>
        </w:rPr>
        <w:t>Nagdy</w:t>
      </w:r>
      <w:proofErr w:type="spellEnd"/>
      <w:r w:rsidRPr="00480E24">
        <w:rPr>
          <w:rFonts w:ascii="Times New Roman" w:eastAsia="Times New Roman" w:hAnsi="Times New Roman" w:cs="Times New Roman"/>
          <w:sz w:val="24"/>
          <w:szCs w:val="24"/>
        </w:rPr>
        <w:t xml:space="preserve">, H. (2026).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in the era of precision medicine: Diagnosis, management, and future directions. </w:t>
      </w:r>
      <w:r w:rsidRPr="00480E24">
        <w:rPr>
          <w:rFonts w:ascii="Times New Roman" w:eastAsia="Times New Roman" w:hAnsi="Times New Roman" w:cs="Times New Roman"/>
          <w:i/>
          <w:iCs/>
          <w:sz w:val="24"/>
          <w:szCs w:val="24"/>
        </w:rPr>
        <w:t>Clinical and Experimental Medicine, 26</w:t>
      </w:r>
      <w:r w:rsidRPr="00480E24">
        <w:rPr>
          <w:rFonts w:ascii="Times New Roman" w:eastAsia="Times New Roman" w:hAnsi="Times New Roman" w:cs="Times New Roman"/>
          <w:sz w:val="24"/>
          <w:szCs w:val="24"/>
        </w:rPr>
        <w:t xml:space="preserve">(1), 218. </w:t>
      </w:r>
      <w:hyperlink r:id="rId18" w:history="1">
        <w:r w:rsidRPr="00480E24">
          <w:rPr>
            <w:rFonts w:ascii="Times New Roman" w:eastAsia="Times New Roman" w:hAnsi="Times New Roman" w:cs="Times New Roman"/>
            <w:color w:val="0000FF"/>
            <w:sz w:val="24"/>
            <w:szCs w:val="24"/>
            <w:u w:val="single"/>
          </w:rPr>
          <w:t>https://doi.org/10.1007/s10238-026-02112-8</w:t>
        </w:r>
      </w:hyperlink>
    </w:p>
    <w:p w14:paraId="1252A349" w14:textId="4DD90F35" w:rsidR="00480E24" w:rsidRPr="00480E24" w:rsidRDefault="00480E24" w:rsidP="00480E24">
      <w:pPr>
        <w:spacing w:after="0" w:line="240" w:lineRule="auto"/>
        <w:ind w:left="540" w:hanging="540"/>
        <w:rPr>
          <w:rFonts w:ascii="Times New Roman" w:eastAsia="Times New Roman" w:hAnsi="Times New Roman" w:cs="Times New Roman"/>
          <w:sz w:val="24"/>
          <w:szCs w:val="24"/>
        </w:rPr>
      </w:pPr>
      <w:proofErr w:type="spellStart"/>
      <w:r w:rsidRPr="00480E24">
        <w:rPr>
          <w:rFonts w:ascii="Times New Roman" w:eastAsia="Times New Roman" w:hAnsi="Times New Roman" w:cs="Times New Roman"/>
          <w:sz w:val="24"/>
          <w:szCs w:val="24"/>
        </w:rPr>
        <w:t>Elkrief</w:t>
      </w:r>
      <w:proofErr w:type="spellEnd"/>
      <w:r w:rsidRPr="00480E24">
        <w:rPr>
          <w:rFonts w:ascii="Times New Roman" w:eastAsia="Times New Roman" w:hAnsi="Times New Roman" w:cs="Times New Roman"/>
          <w:sz w:val="24"/>
          <w:szCs w:val="24"/>
        </w:rPr>
        <w:t xml:space="preserve">, L., </w:t>
      </w:r>
      <w:proofErr w:type="spellStart"/>
      <w:r w:rsidRPr="00480E24">
        <w:rPr>
          <w:rFonts w:ascii="Times New Roman" w:eastAsia="Times New Roman" w:hAnsi="Times New Roman" w:cs="Times New Roman"/>
          <w:sz w:val="24"/>
          <w:szCs w:val="24"/>
        </w:rPr>
        <w:t>Rautou</w:t>
      </w:r>
      <w:proofErr w:type="spellEnd"/>
      <w:r w:rsidRPr="00480E24">
        <w:rPr>
          <w:rFonts w:ascii="Times New Roman" w:eastAsia="Times New Roman" w:hAnsi="Times New Roman" w:cs="Times New Roman"/>
          <w:sz w:val="24"/>
          <w:szCs w:val="24"/>
        </w:rPr>
        <w:t xml:space="preserve">, P.-E., Sarin, S., Valla, D., Paradis, V., &amp; Moreau, R. (2016). Diabetes mellitus in patients with cirrhosis: Clinical implications and management. </w:t>
      </w:r>
      <w:r w:rsidRPr="00480E24">
        <w:rPr>
          <w:rFonts w:ascii="Times New Roman" w:eastAsia="Times New Roman" w:hAnsi="Times New Roman" w:cs="Times New Roman"/>
          <w:i/>
          <w:iCs/>
          <w:sz w:val="24"/>
          <w:szCs w:val="24"/>
        </w:rPr>
        <w:t>Liver International, 36</w:t>
      </w:r>
      <w:r w:rsidRPr="00480E24">
        <w:rPr>
          <w:rFonts w:ascii="Times New Roman" w:eastAsia="Times New Roman" w:hAnsi="Times New Roman" w:cs="Times New Roman"/>
          <w:sz w:val="24"/>
          <w:szCs w:val="24"/>
        </w:rPr>
        <w:t xml:space="preserve">(7), 936–948. </w:t>
      </w:r>
      <w:hyperlink r:id="rId19" w:history="1">
        <w:r w:rsidRPr="00480E24">
          <w:rPr>
            <w:rFonts w:ascii="Times New Roman" w:eastAsia="Times New Roman" w:hAnsi="Times New Roman" w:cs="Times New Roman"/>
            <w:color w:val="0000FF"/>
            <w:sz w:val="24"/>
            <w:szCs w:val="24"/>
            <w:u w:val="single"/>
          </w:rPr>
          <w:t>https://doi.org/10.1111/liv.13115</w:t>
        </w:r>
      </w:hyperlink>
    </w:p>
    <w:p w14:paraId="074EF12E" w14:textId="216775B5"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European Association for the Study of the Liver. (2018). EASL clinical practice guidelines for the management of patients with decompensated cirrhosis. </w:t>
      </w:r>
      <w:r w:rsidRPr="00480E24">
        <w:rPr>
          <w:rFonts w:ascii="Times New Roman" w:eastAsia="Times New Roman" w:hAnsi="Times New Roman" w:cs="Times New Roman"/>
          <w:i/>
          <w:iCs/>
          <w:sz w:val="24"/>
          <w:szCs w:val="24"/>
        </w:rPr>
        <w:t>Journal of Hepatology, 69</w:t>
      </w:r>
      <w:r w:rsidRPr="00480E24">
        <w:rPr>
          <w:rFonts w:ascii="Times New Roman" w:eastAsia="Times New Roman" w:hAnsi="Times New Roman" w:cs="Times New Roman"/>
          <w:sz w:val="24"/>
          <w:szCs w:val="24"/>
        </w:rPr>
        <w:t xml:space="preserve">(2), 406–460. </w:t>
      </w:r>
      <w:hyperlink r:id="rId20" w:history="1">
        <w:r w:rsidRPr="00480E24">
          <w:rPr>
            <w:rFonts w:ascii="Times New Roman" w:eastAsia="Times New Roman" w:hAnsi="Times New Roman" w:cs="Times New Roman"/>
            <w:color w:val="0000FF"/>
            <w:sz w:val="24"/>
            <w:szCs w:val="24"/>
            <w:u w:val="single"/>
          </w:rPr>
          <w:t>https://doi.org/10.1016/j.jhep.2018.03.024</w:t>
        </w:r>
      </w:hyperlink>
    </w:p>
    <w:p w14:paraId="7A871406" w14:textId="20CCAE07"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European Association for the Study of the Liver, European Association for the Study of Diabetes, &amp; European Association for the Study of Obesity. (2024). EASL-EASD-EASO clinical practice guidelines on the management of metabolic dysfunction-associated </w:t>
      </w:r>
      <w:proofErr w:type="spellStart"/>
      <w:r w:rsidRPr="00480E24">
        <w:rPr>
          <w:rFonts w:ascii="Times New Roman" w:eastAsia="Times New Roman" w:hAnsi="Times New Roman" w:cs="Times New Roman"/>
          <w:sz w:val="24"/>
          <w:szCs w:val="24"/>
        </w:rPr>
        <w:t>steatotic</w:t>
      </w:r>
      <w:proofErr w:type="spellEnd"/>
      <w:r w:rsidRPr="00480E24">
        <w:rPr>
          <w:rFonts w:ascii="Times New Roman" w:eastAsia="Times New Roman" w:hAnsi="Times New Roman" w:cs="Times New Roman"/>
          <w:sz w:val="24"/>
          <w:szCs w:val="24"/>
        </w:rPr>
        <w:t xml:space="preserve"> liver disease (MASLD). </w:t>
      </w:r>
      <w:r w:rsidRPr="00480E24">
        <w:rPr>
          <w:rFonts w:ascii="Times New Roman" w:eastAsia="Times New Roman" w:hAnsi="Times New Roman" w:cs="Times New Roman"/>
          <w:i/>
          <w:iCs/>
          <w:sz w:val="24"/>
          <w:szCs w:val="24"/>
        </w:rPr>
        <w:t>Journal of Hepatology, 81</w:t>
      </w:r>
      <w:r w:rsidRPr="00480E24">
        <w:rPr>
          <w:rFonts w:ascii="Times New Roman" w:eastAsia="Times New Roman" w:hAnsi="Times New Roman" w:cs="Times New Roman"/>
          <w:sz w:val="24"/>
          <w:szCs w:val="24"/>
        </w:rPr>
        <w:t xml:space="preserve">(3), 492–542. </w:t>
      </w:r>
      <w:hyperlink r:id="rId21" w:history="1">
        <w:r w:rsidRPr="00480E24">
          <w:rPr>
            <w:rFonts w:ascii="Times New Roman" w:eastAsia="Times New Roman" w:hAnsi="Times New Roman" w:cs="Times New Roman"/>
            <w:color w:val="0000FF"/>
            <w:sz w:val="24"/>
            <w:szCs w:val="24"/>
            <w:u w:val="single"/>
          </w:rPr>
          <w:t>https://doi.org/10.1016/j.jhep.2024.04.031</w:t>
        </w:r>
      </w:hyperlink>
    </w:p>
    <w:p w14:paraId="2B1831BA" w14:textId="5492378F"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García-</w:t>
      </w:r>
      <w:proofErr w:type="spellStart"/>
      <w:r w:rsidRPr="00480E24">
        <w:rPr>
          <w:rFonts w:ascii="Times New Roman" w:eastAsia="Times New Roman" w:hAnsi="Times New Roman" w:cs="Times New Roman"/>
          <w:sz w:val="24"/>
          <w:szCs w:val="24"/>
        </w:rPr>
        <w:t>Compeán</w:t>
      </w:r>
      <w:proofErr w:type="spellEnd"/>
      <w:r w:rsidRPr="00480E24">
        <w:rPr>
          <w:rFonts w:ascii="Times New Roman" w:eastAsia="Times New Roman" w:hAnsi="Times New Roman" w:cs="Times New Roman"/>
          <w:sz w:val="24"/>
          <w:szCs w:val="24"/>
        </w:rPr>
        <w:t>, D., Jaquez-</w:t>
      </w:r>
      <w:proofErr w:type="spellStart"/>
      <w:r w:rsidRPr="00480E24">
        <w:rPr>
          <w:rFonts w:ascii="Times New Roman" w:eastAsia="Times New Roman" w:hAnsi="Times New Roman" w:cs="Times New Roman"/>
          <w:sz w:val="24"/>
          <w:szCs w:val="24"/>
        </w:rPr>
        <w:t>Quintana</w:t>
      </w:r>
      <w:proofErr w:type="spellEnd"/>
      <w:r w:rsidRPr="00480E24">
        <w:rPr>
          <w:rFonts w:ascii="Times New Roman" w:eastAsia="Times New Roman" w:hAnsi="Times New Roman" w:cs="Times New Roman"/>
          <w:sz w:val="24"/>
          <w:szCs w:val="24"/>
        </w:rPr>
        <w:t xml:space="preserve">, J. O., González-González, J. A., &amp; Maldonado-Garza, H. (2009). Liver cirrhosis and diabetes: Risk factors, pathophysiology, clinical implications and management. </w:t>
      </w:r>
      <w:r w:rsidRPr="00480E24">
        <w:rPr>
          <w:rFonts w:ascii="Times New Roman" w:eastAsia="Times New Roman" w:hAnsi="Times New Roman" w:cs="Times New Roman"/>
          <w:i/>
          <w:iCs/>
          <w:sz w:val="24"/>
          <w:szCs w:val="24"/>
        </w:rPr>
        <w:t>World Journal of Gastroenterology, 15</w:t>
      </w:r>
      <w:r w:rsidRPr="00480E24">
        <w:rPr>
          <w:rFonts w:ascii="Times New Roman" w:eastAsia="Times New Roman" w:hAnsi="Times New Roman" w:cs="Times New Roman"/>
          <w:sz w:val="24"/>
          <w:szCs w:val="24"/>
        </w:rPr>
        <w:t xml:space="preserve">(3), 280–288. </w:t>
      </w:r>
      <w:hyperlink r:id="rId22" w:history="1">
        <w:r w:rsidRPr="00480E24">
          <w:rPr>
            <w:rFonts w:ascii="Times New Roman" w:eastAsia="Times New Roman" w:hAnsi="Times New Roman" w:cs="Times New Roman"/>
            <w:color w:val="0000FF"/>
            <w:sz w:val="24"/>
            <w:szCs w:val="24"/>
            <w:u w:val="single"/>
          </w:rPr>
          <w:t>https://doi.org/10.3748/wjg.15.280</w:t>
        </w:r>
      </w:hyperlink>
    </w:p>
    <w:p w14:paraId="5A3876AC" w14:textId="268ABA26"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García-</w:t>
      </w:r>
      <w:proofErr w:type="spellStart"/>
      <w:r w:rsidRPr="00480E24">
        <w:rPr>
          <w:rFonts w:ascii="Times New Roman" w:eastAsia="Times New Roman" w:hAnsi="Times New Roman" w:cs="Times New Roman"/>
          <w:sz w:val="24"/>
          <w:szCs w:val="24"/>
        </w:rPr>
        <w:t>Compeán</w:t>
      </w:r>
      <w:proofErr w:type="spellEnd"/>
      <w:r w:rsidRPr="00480E24">
        <w:rPr>
          <w:rFonts w:ascii="Times New Roman" w:eastAsia="Times New Roman" w:hAnsi="Times New Roman" w:cs="Times New Roman"/>
          <w:sz w:val="24"/>
          <w:szCs w:val="24"/>
        </w:rPr>
        <w:t xml:space="preserve">, D., Orsi, E., Kumar, R., Gundling, F., Nishida, T., Villarreal-Pérez, J. Z., Del Cueto-Aguilera, Á. N., González-González, J. A., &amp; Pugliese, G. (2022). Clinical implications of diabetes in chronic liver disease: Diagnosis, outcomes and management, current and future perspectives. </w:t>
      </w:r>
      <w:r w:rsidRPr="00480E24">
        <w:rPr>
          <w:rFonts w:ascii="Times New Roman" w:eastAsia="Times New Roman" w:hAnsi="Times New Roman" w:cs="Times New Roman"/>
          <w:i/>
          <w:iCs/>
          <w:sz w:val="24"/>
          <w:szCs w:val="24"/>
        </w:rPr>
        <w:t>World Journal of Gastroenterology, 28</w:t>
      </w:r>
      <w:r w:rsidRPr="00480E24">
        <w:rPr>
          <w:rFonts w:ascii="Times New Roman" w:eastAsia="Times New Roman" w:hAnsi="Times New Roman" w:cs="Times New Roman"/>
          <w:sz w:val="24"/>
          <w:szCs w:val="24"/>
        </w:rPr>
        <w:t xml:space="preserve">(8), 775–793. </w:t>
      </w:r>
      <w:hyperlink r:id="rId23" w:history="1">
        <w:r w:rsidRPr="00480E24">
          <w:rPr>
            <w:rFonts w:ascii="Times New Roman" w:eastAsia="Times New Roman" w:hAnsi="Times New Roman" w:cs="Times New Roman"/>
            <w:color w:val="0000FF"/>
            <w:sz w:val="24"/>
            <w:szCs w:val="24"/>
            <w:u w:val="single"/>
          </w:rPr>
          <w:t>https://doi.org/10.3748/wjg.v28.i8.775</w:t>
        </w:r>
      </w:hyperlink>
    </w:p>
    <w:p w14:paraId="432D96FA" w14:textId="5B0B4464"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Gentile, S., Guarino, G., Romano, M., Alagia, I. A., Fierro, M., Annunziata, S., Magliano, P. L., Gravina, A. G., &amp; Torella, R. (2005). A randomized controlled trial of acarbose in hepatic encephalopathy. </w:t>
      </w:r>
      <w:r w:rsidRPr="00480E24">
        <w:rPr>
          <w:rFonts w:ascii="Times New Roman" w:eastAsia="Times New Roman" w:hAnsi="Times New Roman" w:cs="Times New Roman"/>
          <w:i/>
          <w:iCs/>
          <w:sz w:val="24"/>
          <w:szCs w:val="24"/>
        </w:rPr>
        <w:t>Clinical Gastroenterology and Hepatology, 3</w:t>
      </w:r>
      <w:r w:rsidRPr="00480E24">
        <w:rPr>
          <w:rFonts w:ascii="Times New Roman" w:eastAsia="Times New Roman" w:hAnsi="Times New Roman" w:cs="Times New Roman"/>
          <w:sz w:val="24"/>
          <w:szCs w:val="24"/>
        </w:rPr>
        <w:t xml:space="preserve">(2), 184–191. </w:t>
      </w:r>
      <w:hyperlink r:id="rId24" w:history="1">
        <w:r w:rsidRPr="00480E24">
          <w:rPr>
            <w:rFonts w:ascii="Times New Roman" w:eastAsia="Times New Roman" w:hAnsi="Times New Roman" w:cs="Times New Roman"/>
            <w:color w:val="0000FF"/>
            <w:sz w:val="24"/>
            <w:szCs w:val="24"/>
            <w:u w:val="single"/>
          </w:rPr>
          <w:t>https://doi.org/10.1016/S1542-3565(04)00667-6</w:t>
        </w:r>
      </w:hyperlink>
    </w:p>
    <w:p w14:paraId="4705BD47" w14:textId="2BC38D7D" w:rsidR="00480E24" w:rsidRPr="00480E24" w:rsidRDefault="00480E24" w:rsidP="00480E24">
      <w:pPr>
        <w:spacing w:after="0" w:line="240" w:lineRule="auto"/>
        <w:ind w:left="540" w:hanging="540"/>
        <w:rPr>
          <w:rFonts w:ascii="Times New Roman" w:eastAsia="Times New Roman" w:hAnsi="Times New Roman" w:cs="Times New Roman"/>
          <w:sz w:val="24"/>
          <w:szCs w:val="24"/>
          <w:lang w:val="nl-BE"/>
        </w:rPr>
      </w:pPr>
      <w:r w:rsidRPr="00480E24">
        <w:rPr>
          <w:rFonts w:ascii="Times New Roman" w:eastAsia="Times New Roman" w:hAnsi="Times New Roman" w:cs="Times New Roman"/>
          <w:sz w:val="24"/>
          <w:szCs w:val="24"/>
        </w:rPr>
        <w:t xml:space="preserve">Graefe-Mody, U., Rose, P., </w:t>
      </w:r>
      <w:proofErr w:type="spellStart"/>
      <w:r w:rsidRPr="00480E24">
        <w:rPr>
          <w:rFonts w:ascii="Times New Roman" w:eastAsia="Times New Roman" w:hAnsi="Times New Roman" w:cs="Times New Roman"/>
          <w:sz w:val="24"/>
          <w:szCs w:val="24"/>
        </w:rPr>
        <w:t>Retlich</w:t>
      </w:r>
      <w:proofErr w:type="spellEnd"/>
      <w:r w:rsidRPr="00480E24">
        <w:rPr>
          <w:rFonts w:ascii="Times New Roman" w:eastAsia="Times New Roman" w:hAnsi="Times New Roman" w:cs="Times New Roman"/>
          <w:sz w:val="24"/>
          <w:szCs w:val="24"/>
        </w:rPr>
        <w:t xml:space="preserve">, S., Ring, A., Waldhauser, L., Cinca, R., &amp; </w:t>
      </w:r>
      <w:proofErr w:type="spellStart"/>
      <w:r w:rsidRPr="00480E24">
        <w:rPr>
          <w:rFonts w:ascii="Times New Roman" w:eastAsia="Times New Roman" w:hAnsi="Times New Roman" w:cs="Times New Roman"/>
          <w:sz w:val="24"/>
          <w:szCs w:val="24"/>
        </w:rPr>
        <w:t>Woerle</w:t>
      </w:r>
      <w:proofErr w:type="spellEnd"/>
      <w:r w:rsidRPr="00480E24">
        <w:rPr>
          <w:rFonts w:ascii="Times New Roman" w:eastAsia="Times New Roman" w:hAnsi="Times New Roman" w:cs="Times New Roman"/>
          <w:sz w:val="24"/>
          <w:szCs w:val="24"/>
        </w:rPr>
        <w:t xml:space="preserve">, H.-J. (2012). Pharmacokinetics of linagliptin in subjects with hepatic impairment. </w:t>
      </w:r>
      <w:r w:rsidRPr="00480E24">
        <w:rPr>
          <w:rFonts w:ascii="Times New Roman" w:eastAsia="Times New Roman" w:hAnsi="Times New Roman" w:cs="Times New Roman"/>
          <w:i/>
          <w:iCs/>
          <w:sz w:val="24"/>
          <w:szCs w:val="24"/>
        </w:rPr>
        <w:t>British Journal of Clinical Pharmacology, 74</w:t>
      </w:r>
      <w:r w:rsidRPr="00480E24">
        <w:rPr>
          <w:rFonts w:ascii="Times New Roman" w:eastAsia="Times New Roman" w:hAnsi="Times New Roman" w:cs="Times New Roman"/>
          <w:sz w:val="24"/>
          <w:szCs w:val="24"/>
        </w:rPr>
        <w:t xml:space="preserve">(1), 75–85. </w:t>
      </w:r>
      <w:hyperlink r:id="rId25" w:history="1">
        <w:r w:rsidRPr="00480E24">
          <w:rPr>
            <w:rFonts w:ascii="Times New Roman" w:eastAsia="Times New Roman" w:hAnsi="Times New Roman" w:cs="Times New Roman"/>
            <w:color w:val="0000FF"/>
            <w:sz w:val="24"/>
            <w:szCs w:val="24"/>
            <w:u w:val="single"/>
            <w:lang w:val="nl-BE"/>
          </w:rPr>
          <w:t>https://doi.org/10.1111/j.1365-2125.2012.04173.x</w:t>
        </w:r>
      </w:hyperlink>
    </w:p>
    <w:p w14:paraId="423B1912" w14:textId="143310E7" w:rsidR="00480E24" w:rsidRPr="00480E24" w:rsidRDefault="00480E24" w:rsidP="00480E24">
      <w:pPr>
        <w:spacing w:after="0" w:line="240" w:lineRule="auto"/>
        <w:ind w:left="540" w:hanging="540"/>
        <w:rPr>
          <w:rFonts w:ascii="Times New Roman" w:eastAsia="Times New Roman" w:hAnsi="Times New Roman" w:cs="Times New Roman"/>
          <w:sz w:val="24"/>
          <w:szCs w:val="24"/>
          <w:lang w:val="nl-BE"/>
        </w:rPr>
      </w:pPr>
      <w:r w:rsidRPr="00480E24">
        <w:rPr>
          <w:rFonts w:ascii="Times New Roman" w:eastAsia="Times New Roman" w:hAnsi="Times New Roman" w:cs="Times New Roman"/>
          <w:sz w:val="24"/>
          <w:szCs w:val="24"/>
          <w:lang w:val="nl-BE"/>
        </w:rPr>
        <w:t xml:space="preserve">Holstein, A., Hinze, S., Thiessen, E., Plaschke, A., &amp; Egberts, E.-H. (2002). </w:t>
      </w:r>
      <w:r w:rsidRPr="00480E24">
        <w:rPr>
          <w:rFonts w:ascii="Times New Roman" w:eastAsia="Times New Roman" w:hAnsi="Times New Roman" w:cs="Times New Roman"/>
          <w:sz w:val="24"/>
          <w:szCs w:val="24"/>
        </w:rPr>
        <w:t xml:space="preserve">Clinical implications of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in liver cirrhosis. </w:t>
      </w:r>
      <w:r w:rsidRPr="00480E24">
        <w:rPr>
          <w:rFonts w:ascii="Times New Roman" w:eastAsia="Times New Roman" w:hAnsi="Times New Roman" w:cs="Times New Roman"/>
          <w:i/>
          <w:iCs/>
          <w:sz w:val="24"/>
          <w:szCs w:val="24"/>
        </w:rPr>
        <w:t>Journal of Gastroenterology and Hepatology, 17</w:t>
      </w:r>
      <w:r w:rsidRPr="00480E24">
        <w:rPr>
          <w:rFonts w:ascii="Times New Roman" w:eastAsia="Times New Roman" w:hAnsi="Times New Roman" w:cs="Times New Roman"/>
          <w:sz w:val="24"/>
          <w:szCs w:val="24"/>
        </w:rPr>
        <w:t xml:space="preserve">(6), 677–681. </w:t>
      </w:r>
      <w:hyperlink r:id="rId26" w:history="1">
        <w:r w:rsidRPr="00480E24">
          <w:rPr>
            <w:rFonts w:ascii="Times New Roman" w:eastAsia="Times New Roman" w:hAnsi="Times New Roman" w:cs="Times New Roman"/>
            <w:color w:val="0000FF"/>
            <w:sz w:val="24"/>
            <w:szCs w:val="24"/>
            <w:u w:val="single"/>
            <w:lang w:val="nl-BE"/>
          </w:rPr>
          <w:t>https://doi.org/10.1046/j.1440-1746.2002.02755.x</w:t>
        </w:r>
      </w:hyperlink>
    </w:p>
    <w:p w14:paraId="703D9DEE" w14:textId="679F77DB"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Jepsen, P., Watson, H., Andersen, P. K., &amp; Vilstrup, H. (2015). </w:t>
      </w:r>
      <w:r w:rsidRPr="00480E24">
        <w:rPr>
          <w:rFonts w:ascii="Times New Roman" w:eastAsia="Times New Roman" w:hAnsi="Times New Roman" w:cs="Times New Roman"/>
          <w:sz w:val="24"/>
          <w:szCs w:val="24"/>
        </w:rPr>
        <w:t xml:space="preserve">Diabetes as a risk factor for hepatic encephalopathy in cirrhosis patients. </w:t>
      </w:r>
      <w:r w:rsidRPr="00480E24">
        <w:rPr>
          <w:rFonts w:ascii="Times New Roman" w:eastAsia="Times New Roman" w:hAnsi="Times New Roman" w:cs="Times New Roman"/>
          <w:i/>
          <w:iCs/>
          <w:sz w:val="24"/>
          <w:szCs w:val="24"/>
        </w:rPr>
        <w:t>Journal of Hepatology, 63</w:t>
      </w:r>
      <w:r w:rsidRPr="00480E24">
        <w:rPr>
          <w:rFonts w:ascii="Times New Roman" w:eastAsia="Times New Roman" w:hAnsi="Times New Roman" w:cs="Times New Roman"/>
          <w:sz w:val="24"/>
          <w:szCs w:val="24"/>
        </w:rPr>
        <w:t xml:space="preserve">(5), 1133–1138. </w:t>
      </w:r>
      <w:hyperlink r:id="rId27" w:history="1">
        <w:r w:rsidRPr="00480E24">
          <w:rPr>
            <w:rFonts w:ascii="Times New Roman" w:eastAsia="Times New Roman" w:hAnsi="Times New Roman" w:cs="Times New Roman"/>
            <w:color w:val="0000FF"/>
            <w:sz w:val="24"/>
            <w:szCs w:val="24"/>
            <w:u w:val="single"/>
          </w:rPr>
          <w:t>https://doi.org/10.1016/j.jhep.2015.07.007</w:t>
        </w:r>
      </w:hyperlink>
    </w:p>
    <w:p w14:paraId="06E09DDD" w14:textId="5BB295B2"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Kaplan, D. E., </w:t>
      </w:r>
      <w:proofErr w:type="spellStart"/>
      <w:r w:rsidRPr="00480E24">
        <w:rPr>
          <w:rFonts w:ascii="Times New Roman" w:eastAsia="Times New Roman" w:hAnsi="Times New Roman" w:cs="Times New Roman"/>
          <w:sz w:val="24"/>
          <w:szCs w:val="24"/>
        </w:rPr>
        <w:t>Serper</w:t>
      </w:r>
      <w:proofErr w:type="spellEnd"/>
      <w:r w:rsidRPr="00480E24">
        <w:rPr>
          <w:rFonts w:ascii="Times New Roman" w:eastAsia="Times New Roman" w:hAnsi="Times New Roman" w:cs="Times New Roman"/>
          <w:sz w:val="24"/>
          <w:szCs w:val="24"/>
        </w:rPr>
        <w:t xml:space="preserve">, M., John, B. V., Tessiatore, K. M., Lerer, R., Mehta, R., Fox, R., </w:t>
      </w:r>
      <w:proofErr w:type="spellStart"/>
      <w:r w:rsidRPr="00480E24">
        <w:rPr>
          <w:rFonts w:ascii="Times New Roman" w:eastAsia="Times New Roman" w:hAnsi="Times New Roman" w:cs="Times New Roman"/>
          <w:sz w:val="24"/>
          <w:szCs w:val="24"/>
        </w:rPr>
        <w:t>Aytaman</w:t>
      </w:r>
      <w:proofErr w:type="spellEnd"/>
      <w:r w:rsidRPr="00480E24">
        <w:rPr>
          <w:rFonts w:ascii="Times New Roman" w:eastAsia="Times New Roman" w:hAnsi="Times New Roman" w:cs="Times New Roman"/>
          <w:sz w:val="24"/>
          <w:szCs w:val="24"/>
        </w:rPr>
        <w:t xml:space="preserve">, A., </w:t>
      </w:r>
      <w:proofErr w:type="spellStart"/>
      <w:r w:rsidRPr="00480E24">
        <w:rPr>
          <w:rFonts w:ascii="Times New Roman" w:eastAsia="Times New Roman" w:hAnsi="Times New Roman" w:cs="Times New Roman"/>
          <w:sz w:val="24"/>
          <w:szCs w:val="24"/>
        </w:rPr>
        <w:t>Baytarian</w:t>
      </w:r>
      <w:proofErr w:type="spellEnd"/>
      <w:r w:rsidRPr="00480E24">
        <w:rPr>
          <w:rFonts w:ascii="Times New Roman" w:eastAsia="Times New Roman" w:hAnsi="Times New Roman" w:cs="Times New Roman"/>
          <w:sz w:val="24"/>
          <w:szCs w:val="24"/>
        </w:rPr>
        <w:t xml:space="preserve">, M., Hunt, K., Albrecht, J., &amp; Taddei, T. H. (2021). Effects of metformin exposure on survival in a large national cohort of patients with diabetes and cirrhosis. </w:t>
      </w:r>
      <w:r w:rsidRPr="00480E24">
        <w:rPr>
          <w:rFonts w:ascii="Times New Roman" w:eastAsia="Times New Roman" w:hAnsi="Times New Roman" w:cs="Times New Roman"/>
          <w:i/>
          <w:iCs/>
          <w:sz w:val="24"/>
          <w:szCs w:val="24"/>
        </w:rPr>
        <w:t>Clinical Gastroenterology and Hepatology, 19</w:t>
      </w:r>
      <w:r w:rsidRPr="00480E24">
        <w:rPr>
          <w:rFonts w:ascii="Times New Roman" w:eastAsia="Times New Roman" w:hAnsi="Times New Roman" w:cs="Times New Roman"/>
          <w:sz w:val="24"/>
          <w:szCs w:val="24"/>
        </w:rPr>
        <w:t xml:space="preserve">(10), 2148–2160.e14. </w:t>
      </w:r>
      <w:hyperlink r:id="rId28" w:history="1">
        <w:r w:rsidRPr="00480E24">
          <w:rPr>
            <w:rFonts w:ascii="Times New Roman" w:eastAsia="Times New Roman" w:hAnsi="Times New Roman" w:cs="Times New Roman"/>
            <w:color w:val="0000FF"/>
            <w:sz w:val="24"/>
            <w:szCs w:val="24"/>
            <w:u w:val="single"/>
          </w:rPr>
          <w:t>https://doi.org/10.1016/j.cgh.2020.08.026</w:t>
        </w:r>
      </w:hyperlink>
    </w:p>
    <w:p w14:paraId="7214D810" w14:textId="47F54F12"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Kumar, R., García-</w:t>
      </w:r>
      <w:proofErr w:type="spellStart"/>
      <w:r w:rsidRPr="00480E24">
        <w:rPr>
          <w:rFonts w:ascii="Times New Roman" w:eastAsia="Times New Roman" w:hAnsi="Times New Roman" w:cs="Times New Roman"/>
          <w:sz w:val="24"/>
          <w:szCs w:val="24"/>
        </w:rPr>
        <w:t>Compeán</w:t>
      </w:r>
      <w:proofErr w:type="spellEnd"/>
      <w:r w:rsidRPr="00480E24">
        <w:rPr>
          <w:rFonts w:ascii="Times New Roman" w:eastAsia="Times New Roman" w:hAnsi="Times New Roman" w:cs="Times New Roman"/>
          <w:sz w:val="24"/>
          <w:szCs w:val="24"/>
        </w:rPr>
        <w:t xml:space="preserve">, D., &amp; Maji, T. (2022).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Knowledge, evidence, and skepticism. </w:t>
      </w:r>
      <w:r w:rsidRPr="00480E24">
        <w:rPr>
          <w:rFonts w:ascii="Times New Roman" w:eastAsia="Times New Roman" w:hAnsi="Times New Roman" w:cs="Times New Roman"/>
          <w:i/>
          <w:iCs/>
          <w:sz w:val="24"/>
          <w:szCs w:val="24"/>
        </w:rPr>
        <w:t>World Journal of Hepatology, 14</w:t>
      </w:r>
      <w:r w:rsidRPr="00480E24">
        <w:rPr>
          <w:rFonts w:ascii="Times New Roman" w:eastAsia="Times New Roman" w:hAnsi="Times New Roman" w:cs="Times New Roman"/>
          <w:sz w:val="24"/>
          <w:szCs w:val="24"/>
        </w:rPr>
        <w:t xml:space="preserve">(7), 1291–1306. </w:t>
      </w:r>
      <w:hyperlink r:id="rId29" w:history="1">
        <w:r w:rsidRPr="00480E24">
          <w:rPr>
            <w:rFonts w:ascii="Times New Roman" w:eastAsia="Times New Roman" w:hAnsi="Times New Roman" w:cs="Times New Roman"/>
            <w:color w:val="0000FF"/>
            <w:sz w:val="24"/>
            <w:szCs w:val="24"/>
            <w:u w:val="single"/>
          </w:rPr>
          <w:t>https://doi.org/10.4254/wjh.v14.i7.1291</w:t>
        </w:r>
      </w:hyperlink>
    </w:p>
    <w:p w14:paraId="24B1C12B" w14:textId="42690866"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lastRenderedPageBreak/>
        <w:t xml:space="preserve">Labenz, C., Nagel, M., Kremer, W. M., Hilscher, M., Schilling, C. A., Toenges, G., Kuchen, R., Schattenberg, J. M., Galle, P. R., &amp; Wörns, M.-A. (2020). </w:t>
      </w:r>
      <w:r w:rsidRPr="00480E24">
        <w:rPr>
          <w:rFonts w:ascii="Times New Roman" w:eastAsia="Times New Roman" w:hAnsi="Times New Roman" w:cs="Times New Roman"/>
          <w:sz w:val="24"/>
          <w:szCs w:val="24"/>
        </w:rPr>
        <w:t xml:space="preserve">Association between diabetes mellitus and hepatic encephalopathy in patients with cirrhosis. </w:t>
      </w:r>
      <w:r w:rsidRPr="00480E24">
        <w:rPr>
          <w:rFonts w:ascii="Times New Roman" w:eastAsia="Times New Roman" w:hAnsi="Times New Roman" w:cs="Times New Roman"/>
          <w:i/>
          <w:iCs/>
          <w:sz w:val="24"/>
          <w:szCs w:val="24"/>
        </w:rPr>
        <w:t>Alimentary Pharmacology &amp; Therapeutics, 52</w:t>
      </w:r>
      <w:r w:rsidRPr="00480E24">
        <w:rPr>
          <w:rFonts w:ascii="Times New Roman" w:eastAsia="Times New Roman" w:hAnsi="Times New Roman" w:cs="Times New Roman"/>
          <w:sz w:val="24"/>
          <w:szCs w:val="24"/>
        </w:rPr>
        <w:t xml:space="preserve">(3), 527–536. </w:t>
      </w:r>
      <w:hyperlink r:id="rId30" w:history="1">
        <w:r w:rsidRPr="00480E24">
          <w:rPr>
            <w:rFonts w:ascii="Times New Roman" w:eastAsia="Times New Roman" w:hAnsi="Times New Roman" w:cs="Times New Roman"/>
            <w:color w:val="0000FF"/>
            <w:sz w:val="24"/>
            <w:szCs w:val="24"/>
            <w:u w:val="single"/>
          </w:rPr>
          <w:t>https://doi.org/10.1111/apt.15915</w:t>
        </w:r>
      </w:hyperlink>
    </w:p>
    <w:p w14:paraId="524C6311" w14:textId="170E8F56"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Lai, J. C., Tandon, P., Bernal, W., Tapper, E. B., Ekong, U., </w:t>
      </w:r>
      <w:proofErr w:type="spellStart"/>
      <w:r w:rsidRPr="00480E24">
        <w:rPr>
          <w:rFonts w:ascii="Times New Roman" w:eastAsia="Times New Roman" w:hAnsi="Times New Roman" w:cs="Times New Roman"/>
          <w:sz w:val="24"/>
          <w:szCs w:val="24"/>
        </w:rPr>
        <w:t>Dasarathy</w:t>
      </w:r>
      <w:proofErr w:type="spellEnd"/>
      <w:r w:rsidRPr="00480E24">
        <w:rPr>
          <w:rFonts w:ascii="Times New Roman" w:eastAsia="Times New Roman" w:hAnsi="Times New Roman" w:cs="Times New Roman"/>
          <w:sz w:val="24"/>
          <w:szCs w:val="24"/>
        </w:rPr>
        <w:t xml:space="preserve">, S., &amp; Carey, E. J. (2021). Malnutrition, frailty, and sarcopenia in patients with cirrhosis: 2021 practice guidance by the American Association for the Study of Liver Diseases. </w:t>
      </w:r>
      <w:r w:rsidRPr="00480E24">
        <w:rPr>
          <w:rFonts w:ascii="Times New Roman" w:eastAsia="Times New Roman" w:hAnsi="Times New Roman" w:cs="Times New Roman"/>
          <w:i/>
          <w:iCs/>
          <w:sz w:val="24"/>
          <w:szCs w:val="24"/>
        </w:rPr>
        <w:t>Hepatology, 74</w:t>
      </w:r>
      <w:r w:rsidRPr="00480E24">
        <w:rPr>
          <w:rFonts w:ascii="Times New Roman" w:eastAsia="Times New Roman" w:hAnsi="Times New Roman" w:cs="Times New Roman"/>
          <w:sz w:val="24"/>
          <w:szCs w:val="24"/>
        </w:rPr>
        <w:t xml:space="preserve">(3), 1611–1644. </w:t>
      </w:r>
      <w:hyperlink r:id="rId31" w:history="1">
        <w:r w:rsidRPr="00480E24">
          <w:rPr>
            <w:rFonts w:ascii="Times New Roman" w:eastAsia="Times New Roman" w:hAnsi="Times New Roman" w:cs="Times New Roman"/>
            <w:color w:val="0000FF"/>
            <w:sz w:val="24"/>
            <w:szCs w:val="24"/>
            <w:u w:val="single"/>
          </w:rPr>
          <w:t>https://doi.org/10.1002/hep.32049</w:t>
        </w:r>
      </w:hyperlink>
    </w:p>
    <w:p w14:paraId="578151D9" w14:textId="17631066" w:rsidR="00480E24" w:rsidRPr="00480E24" w:rsidRDefault="00480E24" w:rsidP="00480E24">
      <w:pPr>
        <w:spacing w:after="0" w:line="240" w:lineRule="auto"/>
        <w:ind w:left="540" w:hanging="540"/>
        <w:rPr>
          <w:rFonts w:ascii="Times New Roman" w:eastAsia="Times New Roman" w:hAnsi="Times New Roman" w:cs="Times New Roman"/>
          <w:sz w:val="24"/>
          <w:szCs w:val="24"/>
        </w:rPr>
      </w:pPr>
      <w:proofErr w:type="spellStart"/>
      <w:r w:rsidRPr="00480E24">
        <w:rPr>
          <w:rFonts w:ascii="Times New Roman" w:eastAsia="Times New Roman" w:hAnsi="Times New Roman" w:cs="Times New Roman"/>
          <w:sz w:val="24"/>
          <w:szCs w:val="24"/>
        </w:rPr>
        <w:t>Lawitz</w:t>
      </w:r>
      <w:proofErr w:type="spellEnd"/>
      <w:r w:rsidRPr="00480E24">
        <w:rPr>
          <w:rFonts w:ascii="Times New Roman" w:eastAsia="Times New Roman" w:hAnsi="Times New Roman" w:cs="Times New Roman"/>
          <w:sz w:val="24"/>
          <w:szCs w:val="24"/>
        </w:rPr>
        <w:t xml:space="preserve">, E. J., </w:t>
      </w:r>
      <w:proofErr w:type="spellStart"/>
      <w:r w:rsidRPr="00480E24">
        <w:rPr>
          <w:rFonts w:ascii="Times New Roman" w:eastAsia="Times New Roman" w:hAnsi="Times New Roman" w:cs="Times New Roman"/>
          <w:sz w:val="24"/>
          <w:szCs w:val="24"/>
        </w:rPr>
        <w:t>Fraessdorf</w:t>
      </w:r>
      <w:proofErr w:type="spellEnd"/>
      <w:r w:rsidRPr="00480E24">
        <w:rPr>
          <w:rFonts w:ascii="Times New Roman" w:eastAsia="Times New Roman" w:hAnsi="Times New Roman" w:cs="Times New Roman"/>
          <w:sz w:val="24"/>
          <w:szCs w:val="24"/>
        </w:rPr>
        <w:t xml:space="preserve">, M., Neff, G. W., </w:t>
      </w:r>
      <w:proofErr w:type="spellStart"/>
      <w:r w:rsidRPr="00480E24">
        <w:rPr>
          <w:rFonts w:ascii="Times New Roman" w:eastAsia="Times New Roman" w:hAnsi="Times New Roman" w:cs="Times New Roman"/>
          <w:sz w:val="24"/>
          <w:szCs w:val="24"/>
        </w:rPr>
        <w:t>Schattenberg</w:t>
      </w:r>
      <w:proofErr w:type="spellEnd"/>
      <w:r w:rsidRPr="00480E24">
        <w:rPr>
          <w:rFonts w:ascii="Times New Roman" w:eastAsia="Times New Roman" w:hAnsi="Times New Roman" w:cs="Times New Roman"/>
          <w:sz w:val="24"/>
          <w:szCs w:val="24"/>
        </w:rPr>
        <w:t xml:space="preserve">, J. M., Noureddin, M., Alkhouri, N., Schmid, B., Andrews, C. P., Takács, I., Hussain, S. A., Fenske, W. K., Gane, E. J., Hosseini-Tabatabaei, A., Sanyal, A. J., Mazo, D. F., &amp; Younes, R. (2024). Efficacy, tolerability and pharmacokinetics of </w:t>
      </w:r>
      <w:proofErr w:type="spellStart"/>
      <w:r w:rsidRPr="00480E24">
        <w:rPr>
          <w:rFonts w:ascii="Times New Roman" w:eastAsia="Times New Roman" w:hAnsi="Times New Roman" w:cs="Times New Roman"/>
          <w:sz w:val="24"/>
          <w:szCs w:val="24"/>
        </w:rPr>
        <w:t>survodutide</w:t>
      </w:r>
      <w:proofErr w:type="spellEnd"/>
      <w:r w:rsidRPr="00480E24">
        <w:rPr>
          <w:rFonts w:ascii="Times New Roman" w:eastAsia="Times New Roman" w:hAnsi="Times New Roman" w:cs="Times New Roman"/>
          <w:sz w:val="24"/>
          <w:szCs w:val="24"/>
        </w:rPr>
        <w:t xml:space="preserve">, a glucagon/glucagon-like peptide-1 receptor dual agonist, in cirrhosis. </w:t>
      </w:r>
      <w:r w:rsidRPr="00480E24">
        <w:rPr>
          <w:rFonts w:ascii="Times New Roman" w:eastAsia="Times New Roman" w:hAnsi="Times New Roman" w:cs="Times New Roman"/>
          <w:i/>
          <w:iCs/>
          <w:sz w:val="24"/>
          <w:szCs w:val="24"/>
        </w:rPr>
        <w:t>Journal of Hepatology, 81</w:t>
      </w:r>
      <w:r w:rsidRPr="00480E24">
        <w:rPr>
          <w:rFonts w:ascii="Times New Roman" w:eastAsia="Times New Roman" w:hAnsi="Times New Roman" w:cs="Times New Roman"/>
          <w:sz w:val="24"/>
          <w:szCs w:val="24"/>
        </w:rPr>
        <w:t xml:space="preserve">(5), 837–846. </w:t>
      </w:r>
      <w:hyperlink r:id="rId32" w:history="1">
        <w:r w:rsidRPr="00480E24">
          <w:rPr>
            <w:rFonts w:ascii="Times New Roman" w:eastAsia="Times New Roman" w:hAnsi="Times New Roman" w:cs="Times New Roman"/>
            <w:color w:val="0000FF"/>
            <w:sz w:val="24"/>
            <w:szCs w:val="24"/>
            <w:u w:val="single"/>
          </w:rPr>
          <w:t>https://doi.org/10.1016/j.jhep.2024.06.003</w:t>
        </w:r>
      </w:hyperlink>
    </w:p>
    <w:p w14:paraId="172DE766" w14:textId="4D32C1CC"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Lee, W. G., Wells, C. I., McCall, J. L., Murphy, R., &amp; Plank, L. D. (2019). Prevalence of diabetes in liver cirrhosis: A systematic review and meta-analysis. </w:t>
      </w:r>
      <w:r w:rsidRPr="00480E24">
        <w:rPr>
          <w:rFonts w:ascii="Times New Roman" w:eastAsia="Times New Roman" w:hAnsi="Times New Roman" w:cs="Times New Roman"/>
          <w:i/>
          <w:iCs/>
          <w:sz w:val="24"/>
          <w:szCs w:val="24"/>
        </w:rPr>
        <w:t>Diabetes/Metabolism Research and Reviews, 35</w:t>
      </w:r>
      <w:r w:rsidRPr="00480E24">
        <w:rPr>
          <w:rFonts w:ascii="Times New Roman" w:eastAsia="Times New Roman" w:hAnsi="Times New Roman" w:cs="Times New Roman"/>
          <w:sz w:val="24"/>
          <w:szCs w:val="24"/>
        </w:rPr>
        <w:t xml:space="preserve">(6), e3157. </w:t>
      </w:r>
      <w:hyperlink r:id="rId33" w:history="1">
        <w:r w:rsidRPr="00480E24">
          <w:rPr>
            <w:rFonts w:ascii="Times New Roman" w:eastAsia="Times New Roman" w:hAnsi="Times New Roman" w:cs="Times New Roman"/>
            <w:color w:val="0000FF"/>
            <w:sz w:val="24"/>
            <w:szCs w:val="24"/>
            <w:u w:val="single"/>
          </w:rPr>
          <w:t>https://doi.org/10.1002/dmrr.3157</w:t>
        </w:r>
      </w:hyperlink>
    </w:p>
    <w:p w14:paraId="5712E74E" w14:textId="62042B67"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Lisi, C., Robone, M. L., Bonomo, M., Campion, D., </w:t>
      </w:r>
      <w:proofErr w:type="spellStart"/>
      <w:r w:rsidRPr="00480E24">
        <w:rPr>
          <w:rFonts w:ascii="Times New Roman" w:eastAsia="Times New Roman" w:hAnsi="Times New Roman" w:cs="Times New Roman"/>
          <w:sz w:val="24"/>
          <w:szCs w:val="24"/>
        </w:rPr>
        <w:t>Bugianesi</w:t>
      </w:r>
      <w:proofErr w:type="spellEnd"/>
      <w:r w:rsidRPr="00480E24">
        <w:rPr>
          <w:rFonts w:ascii="Times New Roman" w:eastAsia="Times New Roman" w:hAnsi="Times New Roman" w:cs="Times New Roman"/>
          <w:sz w:val="24"/>
          <w:szCs w:val="24"/>
        </w:rPr>
        <w:t xml:space="preserve">, E., &amp; Alessandria, C. (2026). Clinical impact and therapeutic management of diabetes mellitus in patients with decompensated cirrhosis. </w:t>
      </w:r>
      <w:r w:rsidRPr="00480E24">
        <w:rPr>
          <w:rFonts w:ascii="Times New Roman" w:eastAsia="Times New Roman" w:hAnsi="Times New Roman" w:cs="Times New Roman"/>
          <w:i/>
          <w:iCs/>
          <w:sz w:val="24"/>
          <w:szCs w:val="24"/>
        </w:rPr>
        <w:t>Liver International, 46</w:t>
      </w:r>
      <w:r w:rsidRPr="00480E24">
        <w:rPr>
          <w:rFonts w:ascii="Times New Roman" w:eastAsia="Times New Roman" w:hAnsi="Times New Roman" w:cs="Times New Roman"/>
          <w:sz w:val="24"/>
          <w:szCs w:val="24"/>
        </w:rPr>
        <w:t xml:space="preserve">(4), e70597. </w:t>
      </w:r>
      <w:hyperlink r:id="rId34" w:history="1">
        <w:r w:rsidRPr="00480E24">
          <w:rPr>
            <w:rFonts w:ascii="Times New Roman" w:eastAsia="Times New Roman" w:hAnsi="Times New Roman" w:cs="Times New Roman"/>
            <w:color w:val="0000FF"/>
            <w:sz w:val="24"/>
            <w:szCs w:val="24"/>
            <w:u w:val="single"/>
          </w:rPr>
          <w:t>https://doi.org/10.1111/liv.70597</w:t>
        </w:r>
      </w:hyperlink>
    </w:p>
    <w:p w14:paraId="0B407E78" w14:textId="25916F00"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Loomba, R., Abdelmalek, M. F., Armstrong, M. J., Jara, M., Kjær, M. S., Krarup, N., </w:t>
      </w:r>
      <w:proofErr w:type="spellStart"/>
      <w:r w:rsidRPr="00480E24">
        <w:rPr>
          <w:rFonts w:ascii="Times New Roman" w:eastAsia="Times New Roman" w:hAnsi="Times New Roman" w:cs="Times New Roman"/>
          <w:sz w:val="24"/>
          <w:szCs w:val="24"/>
        </w:rPr>
        <w:t>Lawitz</w:t>
      </w:r>
      <w:proofErr w:type="spellEnd"/>
      <w:r w:rsidRPr="00480E24">
        <w:rPr>
          <w:rFonts w:ascii="Times New Roman" w:eastAsia="Times New Roman" w:hAnsi="Times New Roman" w:cs="Times New Roman"/>
          <w:sz w:val="24"/>
          <w:szCs w:val="24"/>
        </w:rPr>
        <w:t xml:space="preserve">, E., </w:t>
      </w:r>
      <w:proofErr w:type="spellStart"/>
      <w:r w:rsidRPr="00480E24">
        <w:rPr>
          <w:rFonts w:ascii="Times New Roman" w:eastAsia="Times New Roman" w:hAnsi="Times New Roman" w:cs="Times New Roman"/>
          <w:sz w:val="24"/>
          <w:szCs w:val="24"/>
        </w:rPr>
        <w:t>Ratziu</w:t>
      </w:r>
      <w:proofErr w:type="spellEnd"/>
      <w:r w:rsidRPr="00480E24">
        <w:rPr>
          <w:rFonts w:ascii="Times New Roman" w:eastAsia="Times New Roman" w:hAnsi="Times New Roman" w:cs="Times New Roman"/>
          <w:sz w:val="24"/>
          <w:szCs w:val="24"/>
        </w:rPr>
        <w:t xml:space="preserve">, V., Sanyal, A. J., </w:t>
      </w:r>
      <w:proofErr w:type="spellStart"/>
      <w:r w:rsidRPr="00480E24">
        <w:rPr>
          <w:rFonts w:ascii="Times New Roman" w:eastAsia="Times New Roman" w:hAnsi="Times New Roman" w:cs="Times New Roman"/>
          <w:sz w:val="24"/>
          <w:szCs w:val="24"/>
        </w:rPr>
        <w:t>Schattenberg</w:t>
      </w:r>
      <w:proofErr w:type="spellEnd"/>
      <w:r w:rsidRPr="00480E24">
        <w:rPr>
          <w:rFonts w:ascii="Times New Roman" w:eastAsia="Times New Roman" w:hAnsi="Times New Roman" w:cs="Times New Roman"/>
          <w:sz w:val="24"/>
          <w:szCs w:val="24"/>
        </w:rPr>
        <w:t xml:space="preserve">, J. M., &amp; Newsome, P. N. (2023). Semaglutide 2.4 mg once weekly in patients with non-alcoholic steatohepatitis-related cirrhosis: A </w:t>
      </w:r>
      <w:proofErr w:type="spellStart"/>
      <w:r w:rsidRPr="00480E24">
        <w:rPr>
          <w:rFonts w:ascii="Times New Roman" w:eastAsia="Times New Roman" w:hAnsi="Times New Roman" w:cs="Times New Roman"/>
          <w:sz w:val="24"/>
          <w:szCs w:val="24"/>
        </w:rPr>
        <w:t>randomised</w:t>
      </w:r>
      <w:proofErr w:type="spellEnd"/>
      <w:r w:rsidRPr="00480E24">
        <w:rPr>
          <w:rFonts w:ascii="Times New Roman" w:eastAsia="Times New Roman" w:hAnsi="Times New Roman" w:cs="Times New Roman"/>
          <w:sz w:val="24"/>
          <w:szCs w:val="24"/>
        </w:rPr>
        <w:t xml:space="preserve">, placebo-controlled phase 2 trial. </w:t>
      </w:r>
      <w:r w:rsidRPr="00480E24">
        <w:rPr>
          <w:rFonts w:ascii="Times New Roman" w:eastAsia="Times New Roman" w:hAnsi="Times New Roman" w:cs="Times New Roman"/>
          <w:i/>
          <w:iCs/>
          <w:sz w:val="24"/>
          <w:szCs w:val="24"/>
        </w:rPr>
        <w:t>The Lancet Gastroenterology &amp; Hepatology, 8</w:t>
      </w:r>
      <w:r w:rsidRPr="00480E24">
        <w:rPr>
          <w:rFonts w:ascii="Times New Roman" w:eastAsia="Times New Roman" w:hAnsi="Times New Roman" w:cs="Times New Roman"/>
          <w:sz w:val="24"/>
          <w:szCs w:val="24"/>
        </w:rPr>
        <w:t xml:space="preserve">(6), 511–522. </w:t>
      </w:r>
      <w:hyperlink r:id="rId35" w:history="1">
        <w:r w:rsidRPr="00480E24">
          <w:rPr>
            <w:rFonts w:ascii="Times New Roman" w:eastAsia="Times New Roman" w:hAnsi="Times New Roman" w:cs="Times New Roman"/>
            <w:color w:val="0000FF"/>
            <w:sz w:val="24"/>
            <w:szCs w:val="24"/>
            <w:u w:val="single"/>
          </w:rPr>
          <w:t>https://doi.org/10.1016/S2468-1253(23)00068-7</w:t>
        </w:r>
      </w:hyperlink>
    </w:p>
    <w:p w14:paraId="444080FC" w14:textId="6C520132"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Maji, T., Mahto, M., Kumar, S., Anand, U., Priyadarshi, R. N., Arya, R., &amp; Kumar, R. (2024).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as compared to type-2 diabetes mellitus and non-diabetes in patients with liver cirrhosis: Magnitude, characteristics, and implications. </w:t>
      </w:r>
      <w:r w:rsidRPr="00480E24">
        <w:rPr>
          <w:rFonts w:ascii="Times New Roman" w:eastAsia="Times New Roman" w:hAnsi="Times New Roman" w:cs="Times New Roman"/>
          <w:i/>
          <w:iCs/>
          <w:sz w:val="24"/>
          <w:szCs w:val="24"/>
        </w:rPr>
        <w:t>Journal of Clinical and Experimental Hepatology, 14</w:t>
      </w:r>
      <w:r w:rsidRPr="00480E24">
        <w:rPr>
          <w:rFonts w:ascii="Times New Roman" w:eastAsia="Times New Roman" w:hAnsi="Times New Roman" w:cs="Times New Roman"/>
          <w:sz w:val="24"/>
          <w:szCs w:val="24"/>
        </w:rPr>
        <w:t xml:space="preserve">(5), 101411. </w:t>
      </w:r>
      <w:hyperlink r:id="rId36" w:history="1">
        <w:r w:rsidRPr="00480E24">
          <w:rPr>
            <w:rFonts w:ascii="Times New Roman" w:eastAsia="Times New Roman" w:hAnsi="Times New Roman" w:cs="Times New Roman"/>
            <w:color w:val="0000FF"/>
            <w:sz w:val="24"/>
            <w:szCs w:val="24"/>
            <w:u w:val="single"/>
          </w:rPr>
          <w:t>https://doi.org/10.1016/j.jceh.2024.101411</w:t>
        </w:r>
      </w:hyperlink>
    </w:p>
    <w:p w14:paraId="79A110A5" w14:textId="0634F6BE"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Nadelson, J., Satapathy, S. K., &amp; Nair, S. (2016). Glycated hemoglobin levels in patients with decompensated cirrhosis. </w:t>
      </w:r>
      <w:r w:rsidRPr="00480E24">
        <w:rPr>
          <w:rFonts w:ascii="Times New Roman" w:eastAsia="Times New Roman" w:hAnsi="Times New Roman" w:cs="Times New Roman"/>
          <w:i/>
          <w:iCs/>
          <w:sz w:val="24"/>
          <w:szCs w:val="24"/>
        </w:rPr>
        <w:t>International Journal of Endocrinology, 2016</w:t>
      </w:r>
      <w:r w:rsidRPr="00480E24">
        <w:rPr>
          <w:rFonts w:ascii="Times New Roman" w:eastAsia="Times New Roman" w:hAnsi="Times New Roman" w:cs="Times New Roman"/>
          <w:sz w:val="24"/>
          <w:szCs w:val="24"/>
        </w:rPr>
        <w:t xml:space="preserve">, 8390210. </w:t>
      </w:r>
      <w:hyperlink r:id="rId37" w:history="1">
        <w:r w:rsidRPr="00480E24">
          <w:rPr>
            <w:rFonts w:ascii="Times New Roman" w:eastAsia="Times New Roman" w:hAnsi="Times New Roman" w:cs="Times New Roman"/>
            <w:color w:val="0000FF"/>
            <w:sz w:val="24"/>
            <w:szCs w:val="24"/>
            <w:u w:val="single"/>
          </w:rPr>
          <w:t>https://doi.org/10.1155/2016/8390210</w:t>
        </w:r>
      </w:hyperlink>
    </w:p>
    <w:p w14:paraId="330886A0" w14:textId="51F32BEB"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Nath, P., &amp; Anand, A. C. (2021).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A primer. </w:t>
      </w:r>
      <w:r w:rsidRPr="00480E24">
        <w:rPr>
          <w:rFonts w:ascii="Times New Roman" w:eastAsia="Times New Roman" w:hAnsi="Times New Roman" w:cs="Times New Roman"/>
          <w:i/>
          <w:iCs/>
          <w:sz w:val="24"/>
          <w:szCs w:val="24"/>
        </w:rPr>
        <w:t>Journal of Clinical and Experimental Hepatology, 11</w:t>
      </w:r>
      <w:r w:rsidRPr="00480E24">
        <w:rPr>
          <w:rFonts w:ascii="Times New Roman" w:eastAsia="Times New Roman" w:hAnsi="Times New Roman" w:cs="Times New Roman"/>
          <w:sz w:val="24"/>
          <w:szCs w:val="24"/>
        </w:rPr>
        <w:t xml:space="preserve">(5), 603–615. </w:t>
      </w:r>
      <w:hyperlink r:id="rId38" w:history="1">
        <w:r w:rsidRPr="00480E24">
          <w:rPr>
            <w:rFonts w:ascii="Times New Roman" w:eastAsia="Times New Roman" w:hAnsi="Times New Roman" w:cs="Times New Roman"/>
            <w:color w:val="0000FF"/>
            <w:sz w:val="24"/>
            <w:szCs w:val="24"/>
            <w:u w:val="single"/>
          </w:rPr>
          <w:t>https://doi.org/10.1016/j.jceh.2021.04.012</w:t>
        </w:r>
      </w:hyperlink>
    </w:p>
    <w:p w14:paraId="69216530" w14:textId="5292D7A1"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Nishida, T. (2017). Diagnosis and clinical implications of diabetes in liver cirrhosis: A focus on the oral glucose tolerance test. </w:t>
      </w:r>
      <w:r w:rsidRPr="00480E24">
        <w:rPr>
          <w:rFonts w:ascii="Times New Roman" w:eastAsia="Times New Roman" w:hAnsi="Times New Roman" w:cs="Times New Roman"/>
          <w:i/>
          <w:iCs/>
          <w:sz w:val="24"/>
          <w:szCs w:val="24"/>
        </w:rPr>
        <w:t>Journal of the Endocrine Society, 1</w:t>
      </w:r>
      <w:r w:rsidRPr="00480E24">
        <w:rPr>
          <w:rFonts w:ascii="Times New Roman" w:eastAsia="Times New Roman" w:hAnsi="Times New Roman" w:cs="Times New Roman"/>
          <w:sz w:val="24"/>
          <w:szCs w:val="24"/>
        </w:rPr>
        <w:t xml:space="preserve">(7), 886–896. </w:t>
      </w:r>
      <w:hyperlink r:id="rId39" w:history="1">
        <w:r w:rsidRPr="00480E24">
          <w:rPr>
            <w:rFonts w:ascii="Times New Roman" w:eastAsia="Times New Roman" w:hAnsi="Times New Roman" w:cs="Times New Roman"/>
            <w:color w:val="0000FF"/>
            <w:sz w:val="24"/>
            <w:szCs w:val="24"/>
            <w:u w:val="single"/>
          </w:rPr>
          <w:t>https://doi.org/10.1210/js.2017-00183</w:t>
        </w:r>
      </w:hyperlink>
    </w:p>
    <w:p w14:paraId="4133E410" w14:textId="154E6E8F"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Orsi, E., </w:t>
      </w:r>
      <w:proofErr w:type="spellStart"/>
      <w:r w:rsidRPr="00480E24">
        <w:rPr>
          <w:rFonts w:ascii="Times New Roman" w:eastAsia="Times New Roman" w:hAnsi="Times New Roman" w:cs="Times New Roman"/>
          <w:sz w:val="24"/>
          <w:szCs w:val="24"/>
        </w:rPr>
        <w:t>Grancini</w:t>
      </w:r>
      <w:proofErr w:type="spellEnd"/>
      <w:r w:rsidRPr="00480E24">
        <w:rPr>
          <w:rFonts w:ascii="Times New Roman" w:eastAsia="Times New Roman" w:hAnsi="Times New Roman" w:cs="Times New Roman"/>
          <w:sz w:val="24"/>
          <w:szCs w:val="24"/>
        </w:rPr>
        <w:t xml:space="preserve">, V., Menini, S., </w:t>
      </w:r>
      <w:proofErr w:type="spellStart"/>
      <w:r w:rsidRPr="00480E24">
        <w:rPr>
          <w:rFonts w:ascii="Times New Roman" w:eastAsia="Times New Roman" w:hAnsi="Times New Roman" w:cs="Times New Roman"/>
          <w:sz w:val="24"/>
          <w:szCs w:val="24"/>
        </w:rPr>
        <w:t>Aghemo</w:t>
      </w:r>
      <w:proofErr w:type="spellEnd"/>
      <w:r w:rsidRPr="00480E24">
        <w:rPr>
          <w:rFonts w:ascii="Times New Roman" w:eastAsia="Times New Roman" w:hAnsi="Times New Roman" w:cs="Times New Roman"/>
          <w:sz w:val="24"/>
          <w:szCs w:val="24"/>
        </w:rPr>
        <w:t xml:space="preserve">, A., &amp; Pugliese, G. (2017).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Is it time to separate it from type 2 diabetes? </w:t>
      </w:r>
      <w:r w:rsidRPr="00480E24">
        <w:rPr>
          <w:rFonts w:ascii="Times New Roman" w:eastAsia="Times New Roman" w:hAnsi="Times New Roman" w:cs="Times New Roman"/>
          <w:i/>
          <w:iCs/>
          <w:sz w:val="24"/>
          <w:szCs w:val="24"/>
        </w:rPr>
        <w:t>Liver International, 37</w:t>
      </w:r>
      <w:r w:rsidRPr="00480E24">
        <w:rPr>
          <w:rFonts w:ascii="Times New Roman" w:eastAsia="Times New Roman" w:hAnsi="Times New Roman" w:cs="Times New Roman"/>
          <w:sz w:val="24"/>
          <w:szCs w:val="24"/>
        </w:rPr>
        <w:t xml:space="preserve">(7), 950–962. </w:t>
      </w:r>
      <w:hyperlink r:id="rId40" w:history="1">
        <w:r w:rsidRPr="00480E24">
          <w:rPr>
            <w:rFonts w:ascii="Times New Roman" w:eastAsia="Times New Roman" w:hAnsi="Times New Roman" w:cs="Times New Roman"/>
            <w:color w:val="0000FF"/>
            <w:sz w:val="24"/>
            <w:szCs w:val="24"/>
            <w:u w:val="single"/>
          </w:rPr>
          <w:t>https://doi.org/10.1111/liv.13337</w:t>
        </w:r>
      </w:hyperlink>
    </w:p>
    <w:p w14:paraId="7EC11CCA" w14:textId="73D4F9E8"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Peppas, S., Doumas, S., </w:t>
      </w:r>
      <w:proofErr w:type="spellStart"/>
      <w:r w:rsidRPr="00480E24">
        <w:rPr>
          <w:rFonts w:ascii="Times New Roman" w:eastAsia="Times New Roman" w:hAnsi="Times New Roman" w:cs="Times New Roman"/>
          <w:sz w:val="24"/>
          <w:szCs w:val="24"/>
        </w:rPr>
        <w:t>Suvarnakar</w:t>
      </w:r>
      <w:proofErr w:type="spellEnd"/>
      <w:r w:rsidRPr="00480E24">
        <w:rPr>
          <w:rFonts w:ascii="Times New Roman" w:eastAsia="Times New Roman" w:hAnsi="Times New Roman" w:cs="Times New Roman"/>
          <w:sz w:val="24"/>
          <w:szCs w:val="24"/>
        </w:rPr>
        <w:t xml:space="preserve">, A., Chou, J., Arafat, A., Ahmad, A. I., &amp; Lewis, J. H. (2024). Clinical outcomes with metformin use in diabetic patients with compensated cirrhosis: A systematic review and meta-analysis. </w:t>
      </w:r>
      <w:r w:rsidRPr="00480E24">
        <w:rPr>
          <w:rFonts w:ascii="Times New Roman" w:eastAsia="Times New Roman" w:hAnsi="Times New Roman" w:cs="Times New Roman"/>
          <w:i/>
          <w:iCs/>
          <w:sz w:val="24"/>
          <w:szCs w:val="24"/>
        </w:rPr>
        <w:t>European Journal of Gastroenterology &amp; Hepatology, 36</w:t>
      </w:r>
      <w:r w:rsidRPr="00480E24">
        <w:rPr>
          <w:rFonts w:ascii="Times New Roman" w:eastAsia="Times New Roman" w:hAnsi="Times New Roman" w:cs="Times New Roman"/>
          <w:sz w:val="24"/>
          <w:szCs w:val="24"/>
        </w:rPr>
        <w:t xml:space="preserve">(5), 674–682. </w:t>
      </w:r>
      <w:hyperlink r:id="rId41" w:history="1">
        <w:r w:rsidRPr="00480E24">
          <w:rPr>
            <w:rFonts w:ascii="Times New Roman" w:eastAsia="Times New Roman" w:hAnsi="Times New Roman" w:cs="Times New Roman"/>
            <w:color w:val="0000FF"/>
            <w:sz w:val="24"/>
            <w:szCs w:val="24"/>
            <w:u w:val="single"/>
          </w:rPr>
          <w:t>https://doi.org/10.1097/MEG.0000000000002754</w:t>
        </w:r>
      </w:hyperlink>
    </w:p>
    <w:p w14:paraId="517A6F90" w14:textId="773D1B4D" w:rsidR="00480E24" w:rsidRPr="00480E24" w:rsidRDefault="00480E24" w:rsidP="00480E24">
      <w:pPr>
        <w:spacing w:after="0" w:line="240" w:lineRule="auto"/>
        <w:ind w:left="540" w:hanging="540"/>
        <w:rPr>
          <w:rFonts w:ascii="Times New Roman" w:eastAsia="Times New Roman" w:hAnsi="Times New Roman" w:cs="Times New Roman"/>
          <w:sz w:val="24"/>
          <w:szCs w:val="24"/>
        </w:rPr>
      </w:pPr>
      <w:proofErr w:type="spellStart"/>
      <w:r w:rsidRPr="00480E24">
        <w:rPr>
          <w:rFonts w:ascii="Times New Roman" w:eastAsia="Times New Roman" w:hAnsi="Times New Roman" w:cs="Times New Roman"/>
          <w:sz w:val="24"/>
          <w:szCs w:val="24"/>
        </w:rPr>
        <w:t>Perseghin</w:t>
      </w:r>
      <w:proofErr w:type="spellEnd"/>
      <w:r w:rsidRPr="00480E24">
        <w:rPr>
          <w:rFonts w:ascii="Times New Roman" w:eastAsia="Times New Roman" w:hAnsi="Times New Roman" w:cs="Times New Roman"/>
          <w:sz w:val="24"/>
          <w:szCs w:val="24"/>
        </w:rPr>
        <w:t xml:space="preserve">, G., Mazzaferro, V., Sereni, L. P., Regalia, E., </w:t>
      </w:r>
      <w:proofErr w:type="spellStart"/>
      <w:r w:rsidRPr="00480E24">
        <w:rPr>
          <w:rFonts w:ascii="Times New Roman" w:eastAsia="Times New Roman" w:hAnsi="Times New Roman" w:cs="Times New Roman"/>
          <w:sz w:val="24"/>
          <w:szCs w:val="24"/>
        </w:rPr>
        <w:t>Benedini</w:t>
      </w:r>
      <w:proofErr w:type="spellEnd"/>
      <w:r w:rsidRPr="00480E24">
        <w:rPr>
          <w:rFonts w:ascii="Times New Roman" w:eastAsia="Times New Roman" w:hAnsi="Times New Roman" w:cs="Times New Roman"/>
          <w:sz w:val="24"/>
          <w:szCs w:val="24"/>
        </w:rPr>
        <w:t xml:space="preserve">, S., </w:t>
      </w:r>
      <w:proofErr w:type="spellStart"/>
      <w:r w:rsidRPr="00480E24">
        <w:rPr>
          <w:rFonts w:ascii="Times New Roman" w:eastAsia="Times New Roman" w:hAnsi="Times New Roman" w:cs="Times New Roman"/>
          <w:sz w:val="24"/>
          <w:szCs w:val="24"/>
        </w:rPr>
        <w:t>Bazzigaluppi</w:t>
      </w:r>
      <w:proofErr w:type="spellEnd"/>
      <w:r w:rsidRPr="00480E24">
        <w:rPr>
          <w:rFonts w:ascii="Times New Roman" w:eastAsia="Times New Roman" w:hAnsi="Times New Roman" w:cs="Times New Roman"/>
          <w:sz w:val="24"/>
          <w:szCs w:val="24"/>
        </w:rPr>
        <w:t xml:space="preserve">, E., Pulvirenti, A., Leão, A. A., </w:t>
      </w:r>
      <w:proofErr w:type="spellStart"/>
      <w:r w:rsidRPr="00480E24">
        <w:rPr>
          <w:rFonts w:ascii="Times New Roman" w:eastAsia="Times New Roman" w:hAnsi="Times New Roman" w:cs="Times New Roman"/>
          <w:sz w:val="24"/>
          <w:szCs w:val="24"/>
        </w:rPr>
        <w:t>Calori</w:t>
      </w:r>
      <w:proofErr w:type="spellEnd"/>
      <w:r w:rsidRPr="00480E24">
        <w:rPr>
          <w:rFonts w:ascii="Times New Roman" w:eastAsia="Times New Roman" w:hAnsi="Times New Roman" w:cs="Times New Roman"/>
          <w:sz w:val="24"/>
          <w:szCs w:val="24"/>
        </w:rPr>
        <w:t xml:space="preserve">, G., Romito, R., Baratti, D., &amp; Luzi, L. (2000). Contribution of reduced insulin sensitivity and secretion to the pathogenesis of </w:t>
      </w:r>
      <w:proofErr w:type="spellStart"/>
      <w:r w:rsidRPr="00480E24">
        <w:rPr>
          <w:rFonts w:ascii="Times New Roman" w:eastAsia="Times New Roman" w:hAnsi="Times New Roman" w:cs="Times New Roman"/>
          <w:sz w:val="24"/>
          <w:szCs w:val="24"/>
        </w:rPr>
        <w:t>hepatogenous</w:t>
      </w:r>
      <w:proofErr w:type="spellEnd"/>
      <w:r w:rsidRPr="00480E24">
        <w:rPr>
          <w:rFonts w:ascii="Times New Roman" w:eastAsia="Times New Roman" w:hAnsi="Times New Roman" w:cs="Times New Roman"/>
          <w:sz w:val="24"/>
          <w:szCs w:val="24"/>
        </w:rPr>
        <w:t xml:space="preserve"> diabetes: Effect of liver transplantation. </w:t>
      </w:r>
      <w:r w:rsidRPr="00480E24">
        <w:rPr>
          <w:rFonts w:ascii="Times New Roman" w:eastAsia="Times New Roman" w:hAnsi="Times New Roman" w:cs="Times New Roman"/>
          <w:i/>
          <w:iCs/>
          <w:sz w:val="24"/>
          <w:szCs w:val="24"/>
        </w:rPr>
        <w:t>Hepatology, 31</w:t>
      </w:r>
      <w:r w:rsidRPr="00480E24">
        <w:rPr>
          <w:rFonts w:ascii="Times New Roman" w:eastAsia="Times New Roman" w:hAnsi="Times New Roman" w:cs="Times New Roman"/>
          <w:sz w:val="24"/>
          <w:szCs w:val="24"/>
        </w:rPr>
        <w:t xml:space="preserve">(3), 694–703. </w:t>
      </w:r>
      <w:hyperlink r:id="rId42" w:history="1">
        <w:r w:rsidRPr="00480E24">
          <w:rPr>
            <w:rFonts w:ascii="Times New Roman" w:eastAsia="Times New Roman" w:hAnsi="Times New Roman" w:cs="Times New Roman"/>
            <w:color w:val="0000FF"/>
            <w:sz w:val="24"/>
            <w:szCs w:val="24"/>
            <w:u w:val="single"/>
          </w:rPr>
          <w:t>https://doi.org/10.1002/hep.510310320</w:t>
        </w:r>
      </w:hyperlink>
    </w:p>
    <w:p w14:paraId="6116BCA7" w14:textId="3FFB1500"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lastRenderedPageBreak/>
        <w:t xml:space="preserve">Puri, P., &amp; Kotwal, N. (2022). An approach to the management of diabetes mellitus in cirrhosis: A primer for the hepatologist. </w:t>
      </w:r>
      <w:r w:rsidRPr="00480E24">
        <w:rPr>
          <w:rFonts w:ascii="Times New Roman" w:eastAsia="Times New Roman" w:hAnsi="Times New Roman" w:cs="Times New Roman"/>
          <w:i/>
          <w:iCs/>
          <w:sz w:val="24"/>
          <w:szCs w:val="24"/>
        </w:rPr>
        <w:t>Journal of Clinical and Experimental Hepatology, 12</w:t>
      </w:r>
      <w:r w:rsidRPr="00480E24">
        <w:rPr>
          <w:rFonts w:ascii="Times New Roman" w:eastAsia="Times New Roman" w:hAnsi="Times New Roman" w:cs="Times New Roman"/>
          <w:sz w:val="24"/>
          <w:szCs w:val="24"/>
        </w:rPr>
        <w:t xml:space="preserve">(2), 560–574. </w:t>
      </w:r>
      <w:hyperlink r:id="rId43" w:history="1">
        <w:r w:rsidRPr="00480E24">
          <w:rPr>
            <w:rFonts w:ascii="Times New Roman" w:eastAsia="Times New Roman" w:hAnsi="Times New Roman" w:cs="Times New Roman"/>
            <w:color w:val="0000FF"/>
            <w:sz w:val="24"/>
            <w:szCs w:val="24"/>
            <w:u w:val="single"/>
          </w:rPr>
          <w:t>https://doi.org/10.1016/j.jceh.2021.09.010</w:t>
        </w:r>
      </w:hyperlink>
    </w:p>
    <w:p w14:paraId="40504E9A" w14:textId="1E9BAB2F" w:rsidR="00480E24" w:rsidRPr="00480E24" w:rsidRDefault="00480E24" w:rsidP="00480E24">
      <w:pPr>
        <w:spacing w:after="0" w:line="240" w:lineRule="auto"/>
        <w:ind w:left="540" w:hanging="540"/>
        <w:rPr>
          <w:rFonts w:ascii="Times New Roman" w:eastAsia="Times New Roman" w:hAnsi="Times New Roman" w:cs="Times New Roman"/>
          <w:sz w:val="24"/>
          <w:szCs w:val="24"/>
          <w:lang w:val="nl-BE"/>
        </w:rPr>
      </w:pPr>
      <w:r w:rsidRPr="00480E24">
        <w:rPr>
          <w:rFonts w:ascii="Times New Roman" w:eastAsia="Times New Roman" w:hAnsi="Times New Roman" w:cs="Times New Roman"/>
          <w:sz w:val="24"/>
          <w:szCs w:val="24"/>
        </w:rPr>
        <w:t xml:space="preserve">Richardson, B., Khan, M. Q., Brown, S. A., Watt, K. D., &amp; Izzy, M. (2022). Personalizing diabetes management in liver transplant recipients: The new era for optimizing risk management. </w:t>
      </w:r>
      <w:r w:rsidRPr="00480E24">
        <w:rPr>
          <w:rFonts w:ascii="Times New Roman" w:eastAsia="Times New Roman" w:hAnsi="Times New Roman" w:cs="Times New Roman"/>
          <w:i/>
          <w:iCs/>
          <w:sz w:val="24"/>
          <w:szCs w:val="24"/>
          <w:lang w:val="nl-BE"/>
        </w:rPr>
        <w:t>Hepatology Communications, 6</w:t>
      </w:r>
      <w:r w:rsidRPr="00480E24">
        <w:rPr>
          <w:rFonts w:ascii="Times New Roman" w:eastAsia="Times New Roman" w:hAnsi="Times New Roman" w:cs="Times New Roman"/>
          <w:sz w:val="24"/>
          <w:szCs w:val="24"/>
          <w:lang w:val="nl-BE"/>
        </w:rPr>
        <w:t xml:space="preserve">(6), 1250–1261. </w:t>
      </w:r>
      <w:r w:rsidRPr="00480E24">
        <w:rPr>
          <w:rFonts w:ascii="Times New Roman" w:eastAsia="Times New Roman" w:hAnsi="Times New Roman" w:cs="Times New Roman"/>
          <w:sz w:val="24"/>
          <w:szCs w:val="24"/>
        </w:rPr>
        <w:fldChar w:fldCharType="begin"/>
      </w:r>
      <w:r w:rsidRPr="00480E24">
        <w:rPr>
          <w:rFonts w:ascii="Times New Roman" w:eastAsia="Times New Roman" w:hAnsi="Times New Roman" w:cs="Times New Roman"/>
          <w:sz w:val="24"/>
          <w:szCs w:val="24"/>
          <w:lang w:val="nl-BE"/>
        </w:rPr>
        <w:instrText>HYPERLINK "https://doi.org/10.1002/hep4.1876"</w:instrText>
      </w:r>
      <w:r w:rsidRPr="00480E24">
        <w:rPr>
          <w:rFonts w:ascii="Times New Roman" w:eastAsia="Times New Roman" w:hAnsi="Times New Roman" w:cs="Times New Roman"/>
          <w:sz w:val="24"/>
          <w:szCs w:val="24"/>
        </w:rPr>
        <w:fldChar w:fldCharType="separate"/>
      </w:r>
      <w:r w:rsidRPr="00480E24">
        <w:rPr>
          <w:rFonts w:ascii="Times New Roman" w:eastAsia="Times New Roman" w:hAnsi="Times New Roman" w:cs="Times New Roman"/>
          <w:color w:val="0000FF"/>
          <w:sz w:val="24"/>
          <w:szCs w:val="24"/>
          <w:u w:val="single"/>
          <w:lang w:val="nl-BE"/>
        </w:rPr>
        <w:t>https://doi.org/10.1002/hep4.1876</w:t>
      </w:r>
      <w:r w:rsidRPr="00480E24">
        <w:rPr>
          <w:rFonts w:ascii="Times New Roman" w:eastAsia="Times New Roman" w:hAnsi="Times New Roman" w:cs="Times New Roman"/>
          <w:sz w:val="24"/>
          <w:szCs w:val="24"/>
        </w:rPr>
        <w:fldChar w:fldCharType="end"/>
      </w:r>
    </w:p>
    <w:p w14:paraId="63E42E0E" w14:textId="22C11794"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Rigon, F. A., Ronsoni, M. F., Hohl, A., Vianna, A. G. D., van de Sande-Lee, S., &amp; Schiavon, L. de L. (2025). </w:t>
      </w:r>
      <w:r w:rsidRPr="00480E24">
        <w:rPr>
          <w:rFonts w:ascii="Times New Roman" w:eastAsia="Times New Roman" w:hAnsi="Times New Roman" w:cs="Times New Roman"/>
          <w:sz w:val="24"/>
          <w:szCs w:val="24"/>
        </w:rPr>
        <w:t xml:space="preserve">Intermittently scanned continuous glucose monitoring performance in patients with liver cirrhosis. </w:t>
      </w:r>
      <w:r w:rsidRPr="00480E24">
        <w:rPr>
          <w:rFonts w:ascii="Times New Roman" w:eastAsia="Times New Roman" w:hAnsi="Times New Roman" w:cs="Times New Roman"/>
          <w:i/>
          <w:iCs/>
          <w:sz w:val="24"/>
          <w:szCs w:val="24"/>
        </w:rPr>
        <w:t>Journal of Diabetes Science and Technology, 19</w:t>
      </w:r>
      <w:r w:rsidRPr="00480E24">
        <w:rPr>
          <w:rFonts w:ascii="Times New Roman" w:eastAsia="Times New Roman" w:hAnsi="Times New Roman" w:cs="Times New Roman"/>
          <w:sz w:val="24"/>
          <w:szCs w:val="24"/>
        </w:rPr>
        <w:t xml:space="preserve">(4), 1023–1034. </w:t>
      </w:r>
      <w:hyperlink r:id="rId44" w:history="1">
        <w:r w:rsidRPr="00480E24">
          <w:rPr>
            <w:rFonts w:ascii="Times New Roman" w:eastAsia="Times New Roman" w:hAnsi="Times New Roman" w:cs="Times New Roman"/>
            <w:color w:val="0000FF"/>
            <w:sz w:val="24"/>
            <w:szCs w:val="24"/>
            <w:u w:val="single"/>
          </w:rPr>
          <w:t>https://doi.org/10.1177/19322968241232686</w:t>
        </w:r>
      </w:hyperlink>
    </w:p>
    <w:p w14:paraId="43C7AD32" w14:textId="324A8C4A"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Saffo, S., &amp; Taddei, T. (2018). SGLT2 inhibitors and cirrhosis: A unique perspective on the </w:t>
      </w:r>
      <w:proofErr w:type="spellStart"/>
      <w:r w:rsidRPr="00480E24">
        <w:rPr>
          <w:rFonts w:ascii="Times New Roman" w:eastAsia="Times New Roman" w:hAnsi="Times New Roman" w:cs="Times New Roman"/>
          <w:sz w:val="24"/>
          <w:szCs w:val="24"/>
        </w:rPr>
        <w:t>comanagement</w:t>
      </w:r>
      <w:proofErr w:type="spellEnd"/>
      <w:r w:rsidRPr="00480E24">
        <w:rPr>
          <w:rFonts w:ascii="Times New Roman" w:eastAsia="Times New Roman" w:hAnsi="Times New Roman" w:cs="Times New Roman"/>
          <w:sz w:val="24"/>
          <w:szCs w:val="24"/>
        </w:rPr>
        <w:t xml:space="preserve"> of diabetes mellitus and ascites. </w:t>
      </w:r>
      <w:r w:rsidRPr="00480E24">
        <w:rPr>
          <w:rFonts w:ascii="Times New Roman" w:eastAsia="Times New Roman" w:hAnsi="Times New Roman" w:cs="Times New Roman"/>
          <w:i/>
          <w:iCs/>
          <w:sz w:val="24"/>
          <w:szCs w:val="24"/>
        </w:rPr>
        <w:t>Clinical Liver Disease, 11</w:t>
      </w:r>
      <w:r w:rsidRPr="00480E24">
        <w:rPr>
          <w:rFonts w:ascii="Times New Roman" w:eastAsia="Times New Roman" w:hAnsi="Times New Roman" w:cs="Times New Roman"/>
          <w:sz w:val="24"/>
          <w:szCs w:val="24"/>
        </w:rPr>
        <w:t xml:space="preserve">(6), 141–144. </w:t>
      </w:r>
      <w:hyperlink r:id="rId45" w:history="1">
        <w:r w:rsidRPr="00480E24">
          <w:rPr>
            <w:rFonts w:ascii="Times New Roman" w:eastAsia="Times New Roman" w:hAnsi="Times New Roman" w:cs="Times New Roman"/>
            <w:color w:val="0000FF"/>
            <w:sz w:val="24"/>
            <w:szCs w:val="24"/>
            <w:u w:val="single"/>
          </w:rPr>
          <w:t>https://doi.org/10.1002/cld.714</w:t>
        </w:r>
      </w:hyperlink>
    </w:p>
    <w:p w14:paraId="5E4C3665" w14:textId="42F597C4"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Sharif, A., </w:t>
      </w:r>
      <w:proofErr w:type="spellStart"/>
      <w:r w:rsidRPr="00480E24">
        <w:rPr>
          <w:rFonts w:ascii="Times New Roman" w:eastAsia="Times New Roman" w:hAnsi="Times New Roman" w:cs="Times New Roman"/>
          <w:sz w:val="24"/>
          <w:szCs w:val="24"/>
        </w:rPr>
        <w:t>Chakkera</w:t>
      </w:r>
      <w:proofErr w:type="spellEnd"/>
      <w:r w:rsidRPr="00480E24">
        <w:rPr>
          <w:rFonts w:ascii="Times New Roman" w:eastAsia="Times New Roman" w:hAnsi="Times New Roman" w:cs="Times New Roman"/>
          <w:sz w:val="24"/>
          <w:szCs w:val="24"/>
        </w:rPr>
        <w:t xml:space="preserve">, H., de Vries, A. P. J., Eller, K., Guthoff, M., Haller, M. C., Hornum, M., Nordheim, E., Kautzky-Willer, A., Krebs, M., Kukla, A., </w:t>
      </w:r>
      <w:proofErr w:type="spellStart"/>
      <w:r w:rsidRPr="00480E24">
        <w:rPr>
          <w:rFonts w:ascii="Times New Roman" w:eastAsia="Times New Roman" w:hAnsi="Times New Roman" w:cs="Times New Roman"/>
          <w:sz w:val="24"/>
          <w:szCs w:val="24"/>
        </w:rPr>
        <w:t>Kurnikowski</w:t>
      </w:r>
      <w:proofErr w:type="spellEnd"/>
      <w:r w:rsidRPr="00480E24">
        <w:rPr>
          <w:rFonts w:ascii="Times New Roman" w:eastAsia="Times New Roman" w:hAnsi="Times New Roman" w:cs="Times New Roman"/>
          <w:sz w:val="24"/>
          <w:szCs w:val="24"/>
        </w:rPr>
        <w:t xml:space="preserve">, A., Schwaiger, E., Montero, N., Pascual, J., Jenssen, T. G., Porrini, E., &amp; </w:t>
      </w:r>
      <w:proofErr w:type="spellStart"/>
      <w:r w:rsidRPr="00480E24">
        <w:rPr>
          <w:rFonts w:ascii="Times New Roman" w:eastAsia="Times New Roman" w:hAnsi="Times New Roman" w:cs="Times New Roman"/>
          <w:sz w:val="24"/>
          <w:szCs w:val="24"/>
        </w:rPr>
        <w:t>Hecking</w:t>
      </w:r>
      <w:proofErr w:type="spellEnd"/>
      <w:r w:rsidRPr="00480E24">
        <w:rPr>
          <w:rFonts w:ascii="Times New Roman" w:eastAsia="Times New Roman" w:hAnsi="Times New Roman" w:cs="Times New Roman"/>
          <w:sz w:val="24"/>
          <w:szCs w:val="24"/>
        </w:rPr>
        <w:t xml:space="preserve">, M. (2024). International consensus on post-transplantation diabetes mellitus. </w:t>
      </w:r>
      <w:r w:rsidRPr="00480E24">
        <w:rPr>
          <w:rFonts w:ascii="Times New Roman" w:eastAsia="Times New Roman" w:hAnsi="Times New Roman" w:cs="Times New Roman"/>
          <w:i/>
          <w:iCs/>
          <w:sz w:val="24"/>
          <w:szCs w:val="24"/>
        </w:rPr>
        <w:t>Nephrology Dialysis Transplantation, 39</w:t>
      </w:r>
      <w:r w:rsidRPr="00480E24">
        <w:rPr>
          <w:rFonts w:ascii="Times New Roman" w:eastAsia="Times New Roman" w:hAnsi="Times New Roman" w:cs="Times New Roman"/>
          <w:sz w:val="24"/>
          <w:szCs w:val="24"/>
        </w:rPr>
        <w:t xml:space="preserve">(3), 531–549. </w:t>
      </w:r>
      <w:hyperlink r:id="rId46" w:history="1">
        <w:r w:rsidRPr="00480E24">
          <w:rPr>
            <w:rFonts w:ascii="Times New Roman" w:eastAsia="Times New Roman" w:hAnsi="Times New Roman" w:cs="Times New Roman"/>
            <w:color w:val="0000FF"/>
            <w:sz w:val="24"/>
            <w:szCs w:val="24"/>
            <w:u w:val="single"/>
          </w:rPr>
          <w:t>https://doi.org/10.1093/ndt/gfad258</w:t>
        </w:r>
      </w:hyperlink>
    </w:p>
    <w:p w14:paraId="2CCFBBBA" w14:textId="5C4F2A38"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rPr>
        <w:t xml:space="preserve">Simon, T. G., </w:t>
      </w:r>
      <w:proofErr w:type="spellStart"/>
      <w:r w:rsidRPr="00480E24">
        <w:rPr>
          <w:rFonts w:ascii="Times New Roman" w:eastAsia="Times New Roman" w:hAnsi="Times New Roman" w:cs="Times New Roman"/>
          <w:sz w:val="24"/>
          <w:szCs w:val="24"/>
        </w:rPr>
        <w:t>Patorno</w:t>
      </w:r>
      <w:proofErr w:type="spellEnd"/>
      <w:r w:rsidRPr="00480E24">
        <w:rPr>
          <w:rFonts w:ascii="Times New Roman" w:eastAsia="Times New Roman" w:hAnsi="Times New Roman" w:cs="Times New Roman"/>
          <w:sz w:val="24"/>
          <w:szCs w:val="24"/>
        </w:rPr>
        <w:t xml:space="preserve">, E., &amp; Schneeweiss, S. (2022). Glucagon-like peptide-1 receptor agonists and hepatic decompensation events in patients with cirrhosis and diabetes. </w:t>
      </w:r>
      <w:r w:rsidRPr="00480E24">
        <w:rPr>
          <w:rFonts w:ascii="Times New Roman" w:eastAsia="Times New Roman" w:hAnsi="Times New Roman" w:cs="Times New Roman"/>
          <w:i/>
          <w:iCs/>
          <w:sz w:val="24"/>
          <w:szCs w:val="24"/>
        </w:rPr>
        <w:t>Clinical Gastroenterology and Hepatology, 20</w:t>
      </w:r>
      <w:r w:rsidRPr="00480E24">
        <w:rPr>
          <w:rFonts w:ascii="Times New Roman" w:eastAsia="Times New Roman" w:hAnsi="Times New Roman" w:cs="Times New Roman"/>
          <w:sz w:val="24"/>
          <w:szCs w:val="24"/>
        </w:rPr>
        <w:t xml:space="preserve">(6), 1382–1393.e19. </w:t>
      </w:r>
      <w:hyperlink r:id="rId47" w:history="1">
        <w:r w:rsidRPr="00480E24">
          <w:rPr>
            <w:rFonts w:ascii="Times New Roman" w:eastAsia="Times New Roman" w:hAnsi="Times New Roman" w:cs="Times New Roman"/>
            <w:color w:val="0000FF"/>
            <w:sz w:val="24"/>
            <w:szCs w:val="24"/>
            <w:u w:val="single"/>
          </w:rPr>
          <w:t>https://doi.org/10.1016/j.cgh.2021.07.010</w:t>
        </w:r>
      </w:hyperlink>
    </w:p>
    <w:p w14:paraId="38618BCA" w14:textId="33616579" w:rsidR="00480E24" w:rsidRPr="00480E24" w:rsidRDefault="00480E24" w:rsidP="00480E24">
      <w:pPr>
        <w:spacing w:after="0" w:line="240" w:lineRule="auto"/>
        <w:ind w:left="540" w:hanging="540"/>
        <w:rPr>
          <w:rFonts w:ascii="Times New Roman" w:eastAsia="Times New Roman" w:hAnsi="Times New Roman" w:cs="Times New Roman"/>
          <w:sz w:val="24"/>
          <w:szCs w:val="24"/>
          <w:lang w:val="nl-BE"/>
        </w:rPr>
      </w:pPr>
      <w:r w:rsidRPr="00480E24">
        <w:rPr>
          <w:rFonts w:ascii="Times New Roman" w:eastAsia="Times New Roman" w:hAnsi="Times New Roman" w:cs="Times New Roman"/>
          <w:sz w:val="24"/>
          <w:szCs w:val="24"/>
        </w:rPr>
        <w:t xml:space="preserve">Singal, A. K., Wong, R. J., </w:t>
      </w:r>
      <w:proofErr w:type="spellStart"/>
      <w:r w:rsidRPr="00480E24">
        <w:rPr>
          <w:rFonts w:ascii="Times New Roman" w:eastAsia="Times New Roman" w:hAnsi="Times New Roman" w:cs="Times New Roman"/>
          <w:sz w:val="24"/>
          <w:szCs w:val="24"/>
        </w:rPr>
        <w:t>Dasarathy</w:t>
      </w:r>
      <w:proofErr w:type="spellEnd"/>
      <w:r w:rsidRPr="00480E24">
        <w:rPr>
          <w:rFonts w:ascii="Times New Roman" w:eastAsia="Times New Roman" w:hAnsi="Times New Roman" w:cs="Times New Roman"/>
          <w:sz w:val="24"/>
          <w:szCs w:val="24"/>
        </w:rPr>
        <w:t xml:space="preserve">, S., Abdelmalek, M. F., Neuschwander-Tetri, B. A., </w:t>
      </w:r>
      <w:proofErr w:type="spellStart"/>
      <w:r w:rsidRPr="00480E24">
        <w:rPr>
          <w:rFonts w:ascii="Times New Roman" w:eastAsia="Times New Roman" w:hAnsi="Times New Roman" w:cs="Times New Roman"/>
          <w:sz w:val="24"/>
          <w:szCs w:val="24"/>
        </w:rPr>
        <w:t>Limketkai</w:t>
      </w:r>
      <w:proofErr w:type="spellEnd"/>
      <w:r w:rsidRPr="00480E24">
        <w:rPr>
          <w:rFonts w:ascii="Times New Roman" w:eastAsia="Times New Roman" w:hAnsi="Times New Roman" w:cs="Times New Roman"/>
          <w:sz w:val="24"/>
          <w:szCs w:val="24"/>
        </w:rPr>
        <w:t xml:space="preserve">, B. N., Petrey, J., &amp; McClain, C. J. (2025). ACG clinical guideline: Malnutrition and nutritional recommendations in liver disease. </w:t>
      </w:r>
      <w:r w:rsidRPr="00480E24">
        <w:rPr>
          <w:rFonts w:ascii="Times New Roman" w:eastAsia="Times New Roman" w:hAnsi="Times New Roman" w:cs="Times New Roman"/>
          <w:i/>
          <w:iCs/>
          <w:sz w:val="24"/>
          <w:szCs w:val="24"/>
          <w:lang w:val="nl-BE"/>
        </w:rPr>
        <w:t>The American Journal of Gastroenterology, 120</w:t>
      </w:r>
      <w:r w:rsidRPr="00480E24">
        <w:rPr>
          <w:rFonts w:ascii="Times New Roman" w:eastAsia="Times New Roman" w:hAnsi="Times New Roman" w:cs="Times New Roman"/>
          <w:sz w:val="24"/>
          <w:szCs w:val="24"/>
          <w:lang w:val="nl-BE"/>
        </w:rPr>
        <w:t xml:space="preserve">(5), 950–972. </w:t>
      </w:r>
      <w:r w:rsidRPr="00480E24">
        <w:rPr>
          <w:rFonts w:ascii="Times New Roman" w:eastAsia="Times New Roman" w:hAnsi="Times New Roman" w:cs="Times New Roman"/>
          <w:sz w:val="24"/>
          <w:szCs w:val="24"/>
        </w:rPr>
        <w:fldChar w:fldCharType="begin"/>
      </w:r>
      <w:r w:rsidRPr="00480E24">
        <w:rPr>
          <w:rFonts w:ascii="Times New Roman" w:eastAsia="Times New Roman" w:hAnsi="Times New Roman" w:cs="Times New Roman"/>
          <w:sz w:val="24"/>
          <w:szCs w:val="24"/>
          <w:lang w:val="nl-BE"/>
        </w:rPr>
        <w:instrText>HYPERLINK "https://doi.org/10.14309/ajg.0000000000003379"</w:instrText>
      </w:r>
      <w:r w:rsidRPr="00480E24">
        <w:rPr>
          <w:rFonts w:ascii="Times New Roman" w:eastAsia="Times New Roman" w:hAnsi="Times New Roman" w:cs="Times New Roman"/>
          <w:sz w:val="24"/>
          <w:szCs w:val="24"/>
        </w:rPr>
        <w:fldChar w:fldCharType="separate"/>
      </w:r>
      <w:r w:rsidRPr="00480E24">
        <w:rPr>
          <w:rFonts w:ascii="Times New Roman" w:eastAsia="Times New Roman" w:hAnsi="Times New Roman" w:cs="Times New Roman"/>
          <w:color w:val="0000FF"/>
          <w:sz w:val="24"/>
          <w:szCs w:val="24"/>
          <w:u w:val="single"/>
          <w:lang w:val="nl-BE"/>
        </w:rPr>
        <w:t>https://doi.org/10.14309/ajg.0000000000003379</w:t>
      </w:r>
      <w:r w:rsidRPr="00480E24">
        <w:rPr>
          <w:rFonts w:ascii="Times New Roman" w:eastAsia="Times New Roman" w:hAnsi="Times New Roman" w:cs="Times New Roman"/>
          <w:sz w:val="24"/>
          <w:szCs w:val="24"/>
        </w:rPr>
        <w:fldChar w:fldCharType="end"/>
      </w:r>
    </w:p>
    <w:p w14:paraId="113C8739" w14:textId="72AD056A"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Spaan, M., Werner, E., Dijkstra, W., Erler, N. E., Bijdevaate, D., Darwish Murad, S., Sonneveld, M. J., den Hoed, C. M., van Eldere, A., Sprengers, D. S., Brouwer, W.-P., de Knegt, R. J., Janssen, H. L. A., Pieterman, K., Coenen, S., Maan, R., &amp; van der Meer, A. J. (2026). </w:t>
      </w:r>
      <w:r w:rsidRPr="00480E24">
        <w:rPr>
          <w:rFonts w:ascii="Times New Roman" w:eastAsia="Times New Roman" w:hAnsi="Times New Roman" w:cs="Times New Roman"/>
          <w:sz w:val="24"/>
          <w:szCs w:val="24"/>
        </w:rPr>
        <w:t xml:space="preserve">Diabetes mellitus is a risk factor for hepatic encephalopathy following </w:t>
      </w:r>
      <w:proofErr w:type="spellStart"/>
      <w:r w:rsidRPr="00480E24">
        <w:rPr>
          <w:rFonts w:ascii="Times New Roman" w:eastAsia="Times New Roman" w:hAnsi="Times New Roman" w:cs="Times New Roman"/>
          <w:sz w:val="24"/>
          <w:szCs w:val="24"/>
        </w:rPr>
        <w:t>transjugular</w:t>
      </w:r>
      <w:proofErr w:type="spellEnd"/>
      <w:r w:rsidRPr="00480E24">
        <w:rPr>
          <w:rFonts w:ascii="Times New Roman" w:eastAsia="Times New Roman" w:hAnsi="Times New Roman" w:cs="Times New Roman"/>
          <w:sz w:val="24"/>
          <w:szCs w:val="24"/>
        </w:rPr>
        <w:t xml:space="preserve"> intrahepatic portosystemic shunt. </w:t>
      </w:r>
      <w:r w:rsidRPr="00480E24">
        <w:rPr>
          <w:rFonts w:ascii="Times New Roman" w:eastAsia="Times New Roman" w:hAnsi="Times New Roman" w:cs="Times New Roman"/>
          <w:i/>
          <w:iCs/>
          <w:sz w:val="24"/>
          <w:szCs w:val="24"/>
        </w:rPr>
        <w:t>Alimentary Pharmacology &amp; Therapeutics, 63</w:t>
      </w:r>
      <w:r w:rsidRPr="00480E24">
        <w:rPr>
          <w:rFonts w:ascii="Times New Roman" w:eastAsia="Times New Roman" w:hAnsi="Times New Roman" w:cs="Times New Roman"/>
          <w:sz w:val="24"/>
          <w:szCs w:val="24"/>
        </w:rPr>
        <w:t xml:space="preserve">(7), 967–978. </w:t>
      </w:r>
      <w:hyperlink r:id="rId48" w:history="1">
        <w:r w:rsidRPr="00480E24">
          <w:rPr>
            <w:rFonts w:ascii="Times New Roman" w:eastAsia="Times New Roman" w:hAnsi="Times New Roman" w:cs="Times New Roman"/>
            <w:color w:val="0000FF"/>
            <w:sz w:val="24"/>
            <w:szCs w:val="24"/>
            <w:u w:val="single"/>
          </w:rPr>
          <w:t>https://doi.org/10.1111/apt.70453</w:t>
        </w:r>
      </w:hyperlink>
    </w:p>
    <w:p w14:paraId="5A1C4A15" w14:textId="00F8DFFE"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Wlazlo, N., Beijers, H. J. B. H., Schoon, E. J., Sauerwein, H. P., Stehouwer, C. D. A., &amp; Bravenboer, B. (2010). </w:t>
      </w:r>
      <w:r w:rsidRPr="00480E24">
        <w:rPr>
          <w:rFonts w:ascii="Times New Roman" w:eastAsia="Times New Roman" w:hAnsi="Times New Roman" w:cs="Times New Roman"/>
          <w:sz w:val="24"/>
          <w:szCs w:val="24"/>
        </w:rPr>
        <w:t xml:space="preserve">High prevalence of diabetes mellitus in patients with liver cirrhosis. </w:t>
      </w:r>
      <w:r w:rsidRPr="00480E24">
        <w:rPr>
          <w:rFonts w:ascii="Times New Roman" w:eastAsia="Times New Roman" w:hAnsi="Times New Roman" w:cs="Times New Roman"/>
          <w:i/>
          <w:iCs/>
          <w:sz w:val="24"/>
          <w:szCs w:val="24"/>
        </w:rPr>
        <w:t>Diabetic Medicine, 27</w:t>
      </w:r>
      <w:r w:rsidRPr="00480E24">
        <w:rPr>
          <w:rFonts w:ascii="Times New Roman" w:eastAsia="Times New Roman" w:hAnsi="Times New Roman" w:cs="Times New Roman"/>
          <w:sz w:val="24"/>
          <w:szCs w:val="24"/>
        </w:rPr>
        <w:t xml:space="preserve">(11), 1308–1311. </w:t>
      </w:r>
      <w:hyperlink r:id="rId49" w:history="1">
        <w:r w:rsidRPr="00480E24">
          <w:rPr>
            <w:rFonts w:ascii="Times New Roman" w:eastAsia="Times New Roman" w:hAnsi="Times New Roman" w:cs="Times New Roman"/>
            <w:color w:val="0000FF"/>
            <w:sz w:val="24"/>
            <w:szCs w:val="24"/>
            <w:u w:val="single"/>
          </w:rPr>
          <w:t>https://doi.org/10.1111/j.1464-5491.2010.03093.x</w:t>
        </w:r>
      </w:hyperlink>
    </w:p>
    <w:p w14:paraId="0A52E033" w14:textId="21E61944"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Yen, F.-S., Hou, M.-C., Wei, J. C.-C., Huang, Y.-H., Shih, Y.-H., Pan, C.-W., Wang, S.-T., Hwu, C.-M., &amp; Hsu, C.-C. (2025). </w:t>
      </w:r>
      <w:r w:rsidRPr="00480E24">
        <w:rPr>
          <w:rFonts w:ascii="Times New Roman" w:eastAsia="Times New Roman" w:hAnsi="Times New Roman" w:cs="Times New Roman"/>
          <w:sz w:val="24"/>
          <w:szCs w:val="24"/>
        </w:rPr>
        <w:t xml:space="preserve">Sodium-glucose cotransporter 2 inhibitors use in patients with liver cirrhosis. </w:t>
      </w:r>
      <w:r w:rsidRPr="00480E24">
        <w:rPr>
          <w:rFonts w:ascii="Times New Roman" w:eastAsia="Times New Roman" w:hAnsi="Times New Roman" w:cs="Times New Roman"/>
          <w:i/>
          <w:iCs/>
          <w:sz w:val="24"/>
          <w:szCs w:val="24"/>
        </w:rPr>
        <w:t>Diabetes/Metabolism Research and Reviews, 41</w:t>
      </w:r>
      <w:r w:rsidRPr="00480E24">
        <w:rPr>
          <w:rFonts w:ascii="Times New Roman" w:eastAsia="Times New Roman" w:hAnsi="Times New Roman" w:cs="Times New Roman"/>
          <w:sz w:val="24"/>
          <w:szCs w:val="24"/>
        </w:rPr>
        <w:t xml:space="preserve">(5), e70070. </w:t>
      </w:r>
      <w:hyperlink r:id="rId50" w:history="1">
        <w:r w:rsidRPr="00480E24">
          <w:rPr>
            <w:rFonts w:ascii="Times New Roman" w:eastAsia="Times New Roman" w:hAnsi="Times New Roman" w:cs="Times New Roman"/>
            <w:color w:val="0000FF"/>
            <w:sz w:val="24"/>
            <w:szCs w:val="24"/>
            <w:u w:val="single"/>
          </w:rPr>
          <w:t>https://doi.org/10.1002/dmrr.70070</w:t>
        </w:r>
      </w:hyperlink>
    </w:p>
    <w:p w14:paraId="286FAC77" w14:textId="65A5CEFA"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Yen, F.-S., Hou, M.-C., Wei, J. C.-C., Shih, Y.-H., Hsu, C. Y., Hsu, C.-C., &amp; Hwu, C.-M. (2022). </w:t>
      </w:r>
      <w:r w:rsidRPr="00480E24">
        <w:rPr>
          <w:rFonts w:ascii="Times New Roman" w:eastAsia="Times New Roman" w:hAnsi="Times New Roman" w:cs="Times New Roman"/>
          <w:sz w:val="24"/>
          <w:szCs w:val="24"/>
        </w:rPr>
        <w:t xml:space="preserve">Liver-related long-term outcomes of alpha-glucosidase inhibitors in patients with diabetes and liver cirrhosis. </w:t>
      </w:r>
      <w:r w:rsidRPr="00480E24">
        <w:rPr>
          <w:rFonts w:ascii="Times New Roman" w:eastAsia="Times New Roman" w:hAnsi="Times New Roman" w:cs="Times New Roman"/>
          <w:i/>
          <w:iCs/>
          <w:sz w:val="24"/>
          <w:szCs w:val="24"/>
        </w:rPr>
        <w:t>Frontiers in Pharmacology, 13</w:t>
      </w:r>
      <w:r w:rsidRPr="00480E24">
        <w:rPr>
          <w:rFonts w:ascii="Times New Roman" w:eastAsia="Times New Roman" w:hAnsi="Times New Roman" w:cs="Times New Roman"/>
          <w:sz w:val="24"/>
          <w:szCs w:val="24"/>
        </w:rPr>
        <w:t xml:space="preserve">, 1049094. </w:t>
      </w:r>
      <w:hyperlink r:id="rId51" w:history="1">
        <w:r w:rsidRPr="00480E24">
          <w:rPr>
            <w:rFonts w:ascii="Times New Roman" w:eastAsia="Times New Roman" w:hAnsi="Times New Roman" w:cs="Times New Roman"/>
            <w:color w:val="0000FF"/>
            <w:sz w:val="24"/>
            <w:szCs w:val="24"/>
            <w:u w:val="single"/>
          </w:rPr>
          <w:t>https://doi.org/10.3389/fphar.2022.1049094</w:t>
        </w:r>
      </w:hyperlink>
    </w:p>
    <w:p w14:paraId="5F3823F3" w14:textId="74666A86"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Yen, F.-S., Hou, M.-C., Wei, J. C.-C., Shih, Y.-H., Hsu, C. Y., Hsu, C.-C., &amp; Hwu, C.-M. (2024). </w:t>
      </w:r>
      <w:r w:rsidRPr="00480E24">
        <w:rPr>
          <w:rFonts w:ascii="Times New Roman" w:eastAsia="Times New Roman" w:hAnsi="Times New Roman" w:cs="Times New Roman"/>
          <w:sz w:val="24"/>
          <w:szCs w:val="24"/>
        </w:rPr>
        <w:t xml:space="preserve">Glucagon-like peptide-1 receptor agonist use in patients with liver cirrhosis and type 2 diabetes. </w:t>
      </w:r>
      <w:r w:rsidRPr="00480E24">
        <w:rPr>
          <w:rFonts w:ascii="Times New Roman" w:eastAsia="Times New Roman" w:hAnsi="Times New Roman" w:cs="Times New Roman"/>
          <w:i/>
          <w:iCs/>
          <w:sz w:val="24"/>
          <w:szCs w:val="24"/>
        </w:rPr>
        <w:t>Clinical Gastroenterology and Hepatology, 22</w:t>
      </w:r>
      <w:r w:rsidRPr="00480E24">
        <w:rPr>
          <w:rFonts w:ascii="Times New Roman" w:eastAsia="Times New Roman" w:hAnsi="Times New Roman" w:cs="Times New Roman"/>
          <w:sz w:val="24"/>
          <w:szCs w:val="24"/>
        </w:rPr>
        <w:t xml:space="preserve">(6), 1255–1264.e18. </w:t>
      </w:r>
      <w:hyperlink r:id="rId52" w:history="1">
        <w:r w:rsidRPr="00480E24">
          <w:rPr>
            <w:rFonts w:ascii="Times New Roman" w:eastAsia="Times New Roman" w:hAnsi="Times New Roman" w:cs="Times New Roman"/>
            <w:color w:val="0000FF"/>
            <w:sz w:val="24"/>
            <w:szCs w:val="24"/>
            <w:u w:val="single"/>
          </w:rPr>
          <w:t>https://doi.org/10.1016/j.cgh.2023.06.004</w:t>
        </w:r>
      </w:hyperlink>
    </w:p>
    <w:p w14:paraId="07C80F80" w14:textId="59C85295" w:rsidR="00480E24" w:rsidRPr="00480E24" w:rsidRDefault="00480E24" w:rsidP="00480E24">
      <w:pPr>
        <w:spacing w:after="0" w:line="240" w:lineRule="auto"/>
        <w:ind w:left="540" w:hanging="540"/>
        <w:rPr>
          <w:rFonts w:ascii="Times New Roman" w:eastAsia="Times New Roman" w:hAnsi="Times New Roman" w:cs="Times New Roman"/>
          <w:sz w:val="24"/>
          <w:szCs w:val="24"/>
          <w:lang w:val="nl-BE"/>
        </w:rPr>
      </w:pPr>
      <w:r w:rsidRPr="00480E24">
        <w:rPr>
          <w:rFonts w:ascii="Times New Roman" w:eastAsia="Times New Roman" w:hAnsi="Times New Roman" w:cs="Times New Roman"/>
          <w:sz w:val="24"/>
          <w:szCs w:val="24"/>
        </w:rPr>
        <w:t xml:space="preserve">Yen, F.-S., Lai, J.-N., Wei, J. C.-C., Chiu, L.-T., Hsu, C.-C., Hou, M.-C., &amp; Hwu, C.-M. (2021). Is insulin the preferred treatment in persons with type 2 diabetes and liver cirrhosis? </w:t>
      </w:r>
      <w:r w:rsidRPr="00480E24">
        <w:rPr>
          <w:rFonts w:ascii="Times New Roman" w:eastAsia="Times New Roman" w:hAnsi="Times New Roman" w:cs="Times New Roman"/>
          <w:i/>
          <w:iCs/>
          <w:sz w:val="24"/>
          <w:szCs w:val="24"/>
          <w:lang w:val="nl-BE"/>
        </w:rPr>
        <w:t>BMC Gastroenterology, 21</w:t>
      </w:r>
      <w:r w:rsidRPr="00480E24">
        <w:rPr>
          <w:rFonts w:ascii="Times New Roman" w:eastAsia="Times New Roman" w:hAnsi="Times New Roman" w:cs="Times New Roman"/>
          <w:sz w:val="24"/>
          <w:szCs w:val="24"/>
          <w:lang w:val="nl-BE"/>
        </w:rPr>
        <w:t xml:space="preserve">(1), 263. </w:t>
      </w:r>
      <w:r w:rsidRPr="00480E24">
        <w:rPr>
          <w:rFonts w:ascii="Times New Roman" w:eastAsia="Times New Roman" w:hAnsi="Times New Roman" w:cs="Times New Roman"/>
          <w:sz w:val="24"/>
          <w:szCs w:val="24"/>
        </w:rPr>
        <w:fldChar w:fldCharType="begin"/>
      </w:r>
      <w:r w:rsidRPr="00480E24">
        <w:rPr>
          <w:rFonts w:ascii="Times New Roman" w:eastAsia="Times New Roman" w:hAnsi="Times New Roman" w:cs="Times New Roman"/>
          <w:sz w:val="24"/>
          <w:szCs w:val="24"/>
          <w:lang w:val="nl-BE"/>
        </w:rPr>
        <w:instrText>HYPERLINK "https://doi.org/10.1186/s12876-021-01773-x"</w:instrText>
      </w:r>
      <w:r w:rsidRPr="00480E24">
        <w:rPr>
          <w:rFonts w:ascii="Times New Roman" w:eastAsia="Times New Roman" w:hAnsi="Times New Roman" w:cs="Times New Roman"/>
          <w:sz w:val="24"/>
          <w:szCs w:val="24"/>
        </w:rPr>
        <w:fldChar w:fldCharType="separate"/>
      </w:r>
      <w:r w:rsidRPr="00480E24">
        <w:rPr>
          <w:rFonts w:ascii="Times New Roman" w:eastAsia="Times New Roman" w:hAnsi="Times New Roman" w:cs="Times New Roman"/>
          <w:color w:val="0000FF"/>
          <w:sz w:val="24"/>
          <w:szCs w:val="24"/>
          <w:u w:val="single"/>
          <w:lang w:val="nl-BE"/>
        </w:rPr>
        <w:t>https://doi.org/10.1186/s12876-021-01773-x</w:t>
      </w:r>
      <w:r w:rsidRPr="00480E24">
        <w:rPr>
          <w:rFonts w:ascii="Times New Roman" w:eastAsia="Times New Roman" w:hAnsi="Times New Roman" w:cs="Times New Roman"/>
          <w:sz w:val="24"/>
          <w:szCs w:val="24"/>
        </w:rPr>
        <w:fldChar w:fldCharType="end"/>
      </w:r>
    </w:p>
    <w:p w14:paraId="21075C65" w14:textId="6AC514CE"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lastRenderedPageBreak/>
        <w:t xml:space="preserve">Yen, F.-S., Lai, J.-N., Wei, J. C.-C., Chiu, L.-T., Hwu, C.-M., Hou, M.-C., &amp; Hsu, C.-C. (2020). </w:t>
      </w:r>
      <w:r w:rsidRPr="00480E24">
        <w:rPr>
          <w:rFonts w:ascii="Times New Roman" w:eastAsia="Times New Roman" w:hAnsi="Times New Roman" w:cs="Times New Roman"/>
          <w:sz w:val="24"/>
          <w:szCs w:val="24"/>
        </w:rPr>
        <w:t xml:space="preserve">Sulfonylureas may be useful for glycemic management in patients with diabetes and liver cirrhosis. </w:t>
      </w:r>
      <w:r w:rsidRPr="00480E24">
        <w:rPr>
          <w:rFonts w:ascii="Times New Roman" w:eastAsia="Times New Roman" w:hAnsi="Times New Roman" w:cs="Times New Roman"/>
          <w:i/>
          <w:iCs/>
          <w:sz w:val="24"/>
          <w:szCs w:val="24"/>
        </w:rPr>
        <w:t>PLOS ONE, 15</w:t>
      </w:r>
      <w:r w:rsidRPr="00480E24">
        <w:rPr>
          <w:rFonts w:ascii="Times New Roman" w:eastAsia="Times New Roman" w:hAnsi="Times New Roman" w:cs="Times New Roman"/>
          <w:sz w:val="24"/>
          <w:szCs w:val="24"/>
        </w:rPr>
        <w:t xml:space="preserve">(12), e0243783. </w:t>
      </w:r>
      <w:hyperlink r:id="rId53" w:history="1">
        <w:r w:rsidRPr="00480E24">
          <w:rPr>
            <w:rFonts w:ascii="Times New Roman" w:eastAsia="Times New Roman" w:hAnsi="Times New Roman" w:cs="Times New Roman"/>
            <w:color w:val="0000FF"/>
            <w:sz w:val="24"/>
            <w:szCs w:val="24"/>
            <w:u w:val="single"/>
          </w:rPr>
          <w:t>https://doi.org/10.1371/journal.pone.0243783</w:t>
        </w:r>
      </w:hyperlink>
    </w:p>
    <w:p w14:paraId="32705FB1" w14:textId="1641FA8D" w:rsidR="00480E24" w:rsidRPr="00480E24" w:rsidRDefault="00480E24" w:rsidP="00480E24">
      <w:pPr>
        <w:spacing w:after="0" w:line="240" w:lineRule="auto"/>
        <w:ind w:left="540" w:hanging="540"/>
        <w:rPr>
          <w:rFonts w:ascii="Times New Roman" w:eastAsia="Times New Roman" w:hAnsi="Times New Roman" w:cs="Times New Roman"/>
          <w:sz w:val="24"/>
          <w:szCs w:val="24"/>
        </w:rPr>
      </w:pPr>
      <w:r w:rsidRPr="00480E24">
        <w:rPr>
          <w:rFonts w:ascii="Times New Roman" w:eastAsia="Times New Roman" w:hAnsi="Times New Roman" w:cs="Times New Roman"/>
          <w:sz w:val="24"/>
          <w:szCs w:val="24"/>
          <w:lang w:val="nl-BE"/>
        </w:rPr>
        <w:t xml:space="preserve">Yen, F.-S., Wei, J. C.-C., Yip, H.-T., Hwu, C.-M., Hou, M.-C., &amp; Hsu, C.-C. (2021). </w:t>
      </w:r>
      <w:r w:rsidRPr="00480E24">
        <w:rPr>
          <w:rFonts w:ascii="Times New Roman" w:eastAsia="Times New Roman" w:hAnsi="Times New Roman" w:cs="Times New Roman"/>
          <w:sz w:val="24"/>
          <w:szCs w:val="24"/>
        </w:rPr>
        <w:t xml:space="preserve">Dipeptidyl peptidase-4 inhibitors may accelerate cirrhosis decompensation in patients with diabetes and liver cirrhosis: A nationwide population-based cohort study in Taiwan. </w:t>
      </w:r>
      <w:r w:rsidRPr="00480E24">
        <w:rPr>
          <w:rFonts w:ascii="Times New Roman" w:eastAsia="Times New Roman" w:hAnsi="Times New Roman" w:cs="Times New Roman"/>
          <w:i/>
          <w:iCs/>
          <w:sz w:val="24"/>
          <w:szCs w:val="24"/>
        </w:rPr>
        <w:t>Hepatology International, 15</w:t>
      </w:r>
      <w:r w:rsidRPr="00480E24">
        <w:rPr>
          <w:rFonts w:ascii="Times New Roman" w:eastAsia="Times New Roman" w:hAnsi="Times New Roman" w:cs="Times New Roman"/>
          <w:sz w:val="24"/>
          <w:szCs w:val="24"/>
        </w:rPr>
        <w:t xml:space="preserve">(1), 179–190. </w:t>
      </w:r>
      <w:hyperlink r:id="rId54" w:history="1">
        <w:r w:rsidRPr="00480E24">
          <w:rPr>
            <w:rFonts w:ascii="Times New Roman" w:eastAsia="Times New Roman" w:hAnsi="Times New Roman" w:cs="Times New Roman"/>
            <w:color w:val="0000FF"/>
            <w:sz w:val="24"/>
            <w:szCs w:val="24"/>
            <w:u w:val="single"/>
          </w:rPr>
          <w:t>https://doi.org/10.1007/s12072-020-10122-1</w:t>
        </w:r>
      </w:hyperlink>
    </w:p>
    <w:p w14:paraId="4443C63D" w14:textId="45738F1F" w:rsidR="00BF219E" w:rsidRPr="00BF219E" w:rsidRDefault="00480E24" w:rsidP="00480E24">
      <w:pPr>
        <w:ind w:left="540" w:hanging="540"/>
      </w:pPr>
      <w:r w:rsidRPr="00480E24">
        <w:rPr>
          <w:rFonts w:ascii="Times New Roman" w:eastAsia="Times New Roman" w:hAnsi="Times New Roman" w:cs="Times New Roman"/>
          <w:sz w:val="24"/>
          <w:szCs w:val="24"/>
        </w:rPr>
        <w:t xml:space="preserve">Zhang, X., Harmsen, W. S., Mettler, T. A., Kim, W. R., Roberts, R. O., </w:t>
      </w:r>
      <w:proofErr w:type="spellStart"/>
      <w:r w:rsidRPr="00480E24">
        <w:rPr>
          <w:rFonts w:ascii="Times New Roman" w:eastAsia="Times New Roman" w:hAnsi="Times New Roman" w:cs="Times New Roman"/>
          <w:sz w:val="24"/>
          <w:szCs w:val="24"/>
        </w:rPr>
        <w:t>Therneau</w:t>
      </w:r>
      <w:proofErr w:type="spellEnd"/>
      <w:r w:rsidRPr="00480E24">
        <w:rPr>
          <w:rFonts w:ascii="Times New Roman" w:eastAsia="Times New Roman" w:hAnsi="Times New Roman" w:cs="Times New Roman"/>
          <w:sz w:val="24"/>
          <w:szCs w:val="24"/>
        </w:rPr>
        <w:t xml:space="preserve">, T. M., Roberts, L. R., &amp; </w:t>
      </w:r>
      <w:proofErr w:type="spellStart"/>
      <w:r w:rsidRPr="00480E24">
        <w:rPr>
          <w:rFonts w:ascii="Times New Roman" w:eastAsia="Times New Roman" w:hAnsi="Times New Roman" w:cs="Times New Roman"/>
          <w:sz w:val="24"/>
          <w:szCs w:val="24"/>
        </w:rPr>
        <w:t>Chaiteerakij</w:t>
      </w:r>
      <w:proofErr w:type="spellEnd"/>
      <w:r w:rsidRPr="00480E24">
        <w:rPr>
          <w:rFonts w:ascii="Times New Roman" w:eastAsia="Times New Roman" w:hAnsi="Times New Roman" w:cs="Times New Roman"/>
          <w:sz w:val="24"/>
          <w:szCs w:val="24"/>
        </w:rPr>
        <w:t xml:space="preserve">, R. (2014). Continuation of metformin use after a diagnosis of cirrhosis significantly improves survival of patients with diabetes. </w:t>
      </w:r>
      <w:r w:rsidRPr="00480E24">
        <w:rPr>
          <w:rFonts w:ascii="Times New Roman" w:eastAsia="Times New Roman" w:hAnsi="Times New Roman" w:cs="Times New Roman"/>
          <w:i/>
          <w:iCs/>
          <w:sz w:val="24"/>
          <w:szCs w:val="24"/>
        </w:rPr>
        <w:t>Hepatology, 60</w:t>
      </w:r>
      <w:r w:rsidRPr="00480E24">
        <w:rPr>
          <w:rFonts w:ascii="Times New Roman" w:eastAsia="Times New Roman" w:hAnsi="Times New Roman" w:cs="Times New Roman"/>
          <w:sz w:val="24"/>
          <w:szCs w:val="24"/>
        </w:rPr>
        <w:t xml:space="preserve">(6), 2008–2016. </w:t>
      </w:r>
      <w:hyperlink r:id="rId55" w:history="1">
        <w:r w:rsidRPr="00480E24">
          <w:rPr>
            <w:rFonts w:ascii="Times New Roman" w:eastAsia="Times New Roman" w:hAnsi="Times New Roman" w:cs="Times New Roman"/>
            <w:color w:val="0000FF"/>
            <w:sz w:val="24"/>
            <w:szCs w:val="24"/>
            <w:u w:val="single"/>
          </w:rPr>
          <w:t>https://doi.org/10.1002/hep.27199</w:t>
        </w:r>
      </w:hyperlink>
    </w:p>
    <w:sectPr w:rsidR="00BF219E" w:rsidRPr="00BF219E" w:rsidSect="00034616">
      <w:headerReference w:type="even" r:id="rId56"/>
      <w:headerReference w:type="default" r:id="rId57"/>
      <w:footerReference w:type="even" r:id="rId58"/>
      <w:footerReference w:type="default" r:id="rId59"/>
      <w:headerReference w:type="first" r:id="rId60"/>
      <w:footerReference w:type="first" r:id="rId61"/>
      <w:pgSz w:w="12240" w:h="15840"/>
      <w:pgMar w:top="1080" w:right="1152" w:bottom="1080"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0DACD7" w14:textId="77777777" w:rsidR="00206ED0" w:rsidRDefault="00206ED0">
      <w:pPr>
        <w:spacing w:after="0" w:line="240" w:lineRule="auto"/>
      </w:pPr>
      <w:r>
        <w:separator/>
      </w:r>
    </w:p>
  </w:endnote>
  <w:endnote w:type="continuationSeparator" w:id="0">
    <w:p w14:paraId="61E1BFA4" w14:textId="77777777" w:rsidR="00206ED0" w:rsidRDefault="00206E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CDD079" w14:textId="77777777" w:rsidR="0017378A" w:rsidRDefault="0017378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BE0902" w14:textId="77777777" w:rsidR="0017378A" w:rsidRDefault="001737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CE46AB" w14:textId="77777777" w:rsidR="0017378A" w:rsidRDefault="001737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FC316" w14:textId="77777777" w:rsidR="00206ED0" w:rsidRDefault="00206ED0">
      <w:pPr>
        <w:spacing w:after="0" w:line="240" w:lineRule="auto"/>
      </w:pPr>
      <w:r>
        <w:separator/>
      </w:r>
    </w:p>
  </w:footnote>
  <w:footnote w:type="continuationSeparator" w:id="0">
    <w:p w14:paraId="6DAA2B1F" w14:textId="77777777" w:rsidR="00206ED0" w:rsidRDefault="00206E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3A31" w14:textId="77777777" w:rsidR="0017378A" w:rsidRDefault="00000000">
    <w:pPr>
      <w:pStyle w:val="Header"/>
    </w:pPr>
    <w:r>
      <w:rPr>
        <w:noProof/>
      </w:rPr>
      <w:pict w14:anchorId="0E019A5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7" o:spid="_x0000_s1026" type="#_x0000_t136" style="position:absolute;left:0;text-align:left;margin-left:0;margin-top:0;width:630.3pt;height:70pt;rotation:315;z-index:-251655168;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9981D" w14:textId="77777777" w:rsidR="0017378A" w:rsidRDefault="00000000">
    <w:pPr>
      <w:pStyle w:val="Header"/>
    </w:pPr>
    <w:r>
      <w:rPr>
        <w:noProof/>
      </w:rPr>
      <w:pict w14:anchorId="4B4632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8" o:spid="_x0000_s1027" type="#_x0000_t136" style="position:absolute;left:0;text-align:left;margin-left:0;margin-top:0;width:630.3pt;height:70pt;rotation:315;z-index:-251653120;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7C387C" w14:textId="77777777" w:rsidR="0017378A" w:rsidRDefault="00000000">
    <w:pPr>
      <w:pStyle w:val="Header"/>
    </w:pPr>
    <w:r>
      <w:rPr>
        <w:noProof/>
      </w:rPr>
      <w:pict w14:anchorId="7231AB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08398296" o:spid="_x0000_s1025" type="#_x0000_t136" style="position:absolute;left:0;text-align:left;margin-left:0;margin-top:0;width:630.3pt;height:70pt;rotation:315;z-index:-251657216;mso-position-horizontal:center;mso-position-horizontal-relative:margin;mso-position-vertical:center;mso-position-vertical-relative:margin" o:allowincell="f" fillcolor="silver" stroked="f">
          <v:fill opacity=".5"/>
          <v:textpath style="font-family:&quot;Arial&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53DD0F47"/>
    <w:multiLevelType w:val="hybridMultilevel"/>
    <w:tmpl w:val="669038C0"/>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91A4568"/>
    <w:multiLevelType w:val="hybridMultilevel"/>
    <w:tmpl w:val="BAF4B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967854">
    <w:abstractNumId w:val="8"/>
  </w:num>
  <w:num w:numId="2" w16cid:durableId="2080862383">
    <w:abstractNumId w:val="6"/>
  </w:num>
  <w:num w:numId="3" w16cid:durableId="588084602">
    <w:abstractNumId w:val="5"/>
  </w:num>
  <w:num w:numId="4" w16cid:durableId="17200277">
    <w:abstractNumId w:val="4"/>
  </w:num>
  <w:num w:numId="5" w16cid:durableId="1012300683">
    <w:abstractNumId w:val="7"/>
  </w:num>
  <w:num w:numId="6" w16cid:durableId="119304250">
    <w:abstractNumId w:val="3"/>
  </w:num>
  <w:num w:numId="7" w16cid:durableId="1473017282">
    <w:abstractNumId w:val="2"/>
  </w:num>
  <w:num w:numId="8" w16cid:durableId="768547427">
    <w:abstractNumId w:val="1"/>
  </w:num>
  <w:num w:numId="9" w16cid:durableId="57285109">
    <w:abstractNumId w:val="0"/>
  </w:num>
  <w:num w:numId="10" w16cid:durableId="690884447">
    <w:abstractNumId w:val="10"/>
  </w:num>
  <w:num w:numId="11" w16cid:durableId="191354416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7378A"/>
    <w:rsid w:val="001F6982"/>
    <w:rsid w:val="00206ED0"/>
    <w:rsid w:val="0029639D"/>
    <w:rsid w:val="00321E14"/>
    <w:rsid w:val="00326F90"/>
    <w:rsid w:val="003A112F"/>
    <w:rsid w:val="00480E24"/>
    <w:rsid w:val="00737B7A"/>
    <w:rsid w:val="007A0E85"/>
    <w:rsid w:val="008E1A0A"/>
    <w:rsid w:val="00951CAC"/>
    <w:rsid w:val="00AA1D8D"/>
    <w:rsid w:val="00B25096"/>
    <w:rsid w:val="00B47730"/>
    <w:rsid w:val="00BB5EA2"/>
    <w:rsid w:val="00BF219E"/>
    <w:rsid w:val="00CB0664"/>
    <w:rsid w:val="00E0747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A45106D"/>
  <w14:defaultImageDpi w14:val="300"/>
  <w15:docId w15:val="{629CA6FC-C795-4711-800F-004E507FE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9" w:lineRule="auto"/>
      <w:jc w:val="both"/>
    </w:pPr>
    <w:rPr>
      <w:rFonts w:ascii="Arial" w:hAnsi="Arial"/>
      <w:sz w:val="21"/>
    </w:rPr>
  </w:style>
  <w:style w:type="paragraph" w:styleId="Heading1">
    <w:name w:val="heading 1"/>
    <w:basedOn w:val="Normal"/>
    <w:next w:val="Normal"/>
    <w:link w:val="Heading1Char"/>
    <w:uiPriority w:val="9"/>
    <w:qFormat/>
    <w:rsid w:val="00FC693F"/>
    <w:pPr>
      <w:keepNext/>
      <w:keepLines/>
      <w:spacing w:before="240"/>
      <w:outlineLvl w:val="0"/>
    </w:pPr>
    <w:rPr>
      <w:rFonts w:asciiTheme="majorHAnsi" w:eastAsiaTheme="majorEastAsia" w:hAnsiTheme="majorHAnsi" w:cstheme="majorBidi"/>
      <w:b/>
      <w:bCs/>
      <w:color w:val="1F4E79"/>
      <w:sz w:val="26"/>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b/>
      <w:bCs/>
      <w:color w:val="2F5597"/>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F4E79"/>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bstractText">
    <w:name w:val="Abstract Text"/>
    <w:pPr>
      <w:spacing w:after="120" w:line="252" w:lineRule="auto"/>
      <w:jc w:val="both"/>
    </w:pPr>
    <w:rPr>
      <w:rFonts w:ascii="Arial" w:hAnsi="Arial"/>
      <w:sz w:val="20"/>
    </w:rPr>
  </w:style>
  <w:style w:type="paragraph" w:customStyle="1" w:styleId="TableCaption">
    <w:name w:val="Table Caption"/>
    <w:pPr>
      <w:keepNext/>
      <w:spacing w:before="160" w:after="80"/>
    </w:pPr>
    <w:rPr>
      <w:rFonts w:ascii="Arial" w:hAnsi="Arial"/>
      <w:b/>
      <w:sz w:val="19"/>
    </w:rPr>
  </w:style>
  <w:style w:type="paragraph" w:customStyle="1" w:styleId="TableNote">
    <w:name w:val="Table Note"/>
    <w:pPr>
      <w:spacing w:before="60" w:after="160"/>
    </w:pPr>
    <w:rPr>
      <w:rFonts w:ascii="Arial" w:hAnsi="Arial"/>
      <w:i/>
      <w:sz w:val="17"/>
    </w:rPr>
  </w:style>
  <w:style w:type="paragraph" w:customStyle="1" w:styleId="Reference">
    <w:name w:val="Reference"/>
    <w:pPr>
      <w:spacing w:after="60" w:line="240" w:lineRule="auto"/>
      <w:ind w:left="432" w:hanging="432"/>
    </w:pPr>
    <w:rPr>
      <w:rFonts w:ascii="Arial" w:hAnsi="Arial"/>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097/TP.0000000000003867" TargetMode="External"/><Relationship Id="rId18" Type="http://schemas.openxmlformats.org/officeDocument/2006/relationships/hyperlink" Target="https://doi.org/10.1007/s10238-026-02112-8" TargetMode="External"/><Relationship Id="rId26" Type="http://schemas.openxmlformats.org/officeDocument/2006/relationships/hyperlink" Target="https://doi.org/10.1046/j.1440-1746.2002.02755.x" TargetMode="External"/><Relationship Id="rId39" Type="http://schemas.openxmlformats.org/officeDocument/2006/relationships/hyperlink" Target="https://doi.org/10.1210/js.2017-00183" TargetMode="External"/><Relationship Id="rId21" Type="http://schemas.openxmlformats.org/officeDocument/2006/relationships/hyperlink" Target="https://doi.org/10.1016/j.jhep.2024.04.031" TargetMode="External"/><Relationship Id="rId34" Type="http://schemas.openxmlformats.org/officeDocument/2006/relationships/hyperlink" Target="https://doi.org/10.1111/liv.70597" TargetMode="External"/><Relationship Id="rId42" Type="http://schemas.openxmlformats.org/officeDocument/2006/relationships/hyperlink" Target="https://doi.org/10.1002/hep.510310320" TargetMode="External"/><Relationship Id="rId47" Type="http://schemas.openxmlformats.org/officeDocument/2006/relationships/hyperlink" Target="https://doi.org/10.1016/j.cgh.2021.07.010" TargetMode="External"/><Relationship Id="rId50" Type="http://schemas.openxmlformats.org/officeDocument/2006/relationships/hyperlink" Target="https://doi.org/10.1002/dmrr.70070" TargetMode="External"/><Relationship Id="rId55" Type="http://schemas.openxmlformats.org/officeDocument/2006/relationships/hyperlink" Target="https://doi.org/10.1002/hep.27199" TargetMode="External"/><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186/s12916-026-04629-x" TargetMode="External"/><Relationship Id="rId29" Type="http://schemas.openxmlformats.org/officeDocument/2006/relationships/hyperlink" Target="https://doi.org/10.4254/wjh.v14.i7.1291" TargetMode="External"/><Relationship Id="rId11" Type="http://schemas.openxmlformats.org/officeDocument/2006/relationships/hyperlink" Target="https://doi.org/10.1016/j.jhepr.2019.07.008" TargetMode="External"/><Relationship Id="rId24" Type="http://schemas.openxmlformats.org/officeDocument/2006/relationships/hyperlink" Target="https://doi.org/10.1016/S1542-3565(04)00667-6" TargetMode="External"/><Relationship Id="rId32" Type="http://schemas.openxmlformats.org/officeDocument/2006/relationships/hyperlink" Target="https://doi.org/10.1016/j.jhep.2024.06.003" TargetMode="External"/><Relationship Id="rId37" Type="http://schemas.openxmlformats.org/officeDocument/2006/relationships/hyperlink" Target="https://doi.org/10.1155/2016/8390210" TargetMode="External"/><Relationship Id="rId40" Type="http://schemas.openxmlformats.org/officeDocument/2006/relationships/hyperlink" Target="https://doi.org/10.1111/liv.13337" TargetMode="External"/><Relationship Id="rId45" Type="http://schemas.openxmlformats.org/officeDocument/2006/relationships/hyperlink" Target="https://doi.org/10.1002/cld.714" TargetMode="External"/><Relationship Id="rId53" Type="http://schemas.openxmlformats.org/officeDocument/2006/relationships/hyperlink" Target="https://doi.org/10.1371/journal.pone.0243783" TargetMode="External"/><Relationship Id="rId58" Type="http://schemas.openxmlformats.org/officeDocument/2006/relationships/footer" Target="footer1.xml"/><Relationship Id="rId5" Type="http://schemas.openxmlformats.org/officeDocument/2006/relationships/webSettings" Target="webSettings.xml"/><Relationship Id="rId61" Type="http://schemas.openxmlformats.org/officeDocument/2006/relationships/footer" Target="footer3.xml"/><Relationship Id="rId19" Type="http://schemas.openxmlformats.org/officeDocument/2006/relationships/hyperlink" Target="https://doi.org/10.1111/liv.13115" TargetMode="External"/><Relationship Id="rId14" Type="http://schemas.openxmlformats.org/officeDocument/2006/relationships/hyperlink" Target="https://doi.org/10.1016/j.dld.2015.12.002" TargetMode="External"/><Relationship Id="rId22" Type="http://schemas.openxmlformats.org/officeDocument/2006/relationships/hyperlink" Target="https://doi.org/10.3748/wjg.15.280" TargetMode="External"/><Relationship Id="rId27" Type="http://schemas.openxmlformats.org/officeDocument/2006/relationships/hyperlink" Target="https://doi.org/10.1016/j.jhep.2015.07.007" TargetMode="External"/><Relationship Id="rId30" Type="http://schemas.openxmlformats.org/officeDocument/2006/relationships/hyperlink" Target="https://doi.org/10.1111/apt.15915" TargetMode="External"/><Relationship Id="rId35" Type="http://schemas.openxmlformats.org/officeDocument/2006/relationships/hyperlink" Target="https://doi.org/10.1016/S2468-1253(23)00068-7" TargetMode="External"/><Relationship Id="rId43" Type="http://schemas.openxmlformats.org/officeDocument/2006/relationships/hyperlink" Target="https://doi.org/10.1016/j.jceh.2021.09.010" TargetMode="External"/><Relationship Id="rId48" Type="http://schemas.openxmlformats.org/officeDocument/2006/relationships/hyperlink" Target="https://doi.org/10.1111/apt.70453" TargetMode="External"/><Relationship Id="rId56" Type="http://schemas.openxmlformats.org/officeDocument/2006/relationships/header" Target="header1.xml"/><Relationship Id="rId8" Type="http://schemas.openxmlformats.org/officeDocument/2006/relationships/hyperlink" Target="https://doi.org/10.2337/dc26-S004" TargetMode="External"/><Relationship Id="rId51" Type="http://schemas.openxmlformats.org/officeDocument/2006/relationships/hyperlink" Target="https://doi.org/10.3389/fphar.2022.1049094" TargetMode="External"/><Relationship Id="rId3" Type="http://schemas.openxmlformats.org/officeDocument/2006/relationships/styles" Target="styles.xml"/><Relationship Id="rId12" Type="http://schemas.openxmlformats.org/officeDocument/2006/relationships/hyperlink" Target="https://doi.org/10.1016/j.diabet.2021.101272" TargetMode="External"/><Relationship Id="rId17" Type="http://schemas.openxmlformats.org/officeDocument/2006/relationships/hyperlink" Target="https://doi.org/10.1001/jamanetworkopen.2025.60429" TargetMode="External"/><Relationship Id="rId25" Type="http://schemas.openxmlformats.org/officeDocument/2006/relationships/hyperlink" Target="https://doi.org/10.1111/j.1365-2125.2012.04173.x" TargetMode="External"/><Relationship Id="rId33" Type="http://schemas.openxmlformats.org/officeDocument/2006/relationships/hyperlink" Target="https://doi.org/10.1002/dmrr.3157" TargetMode="External"/><Relationship Id="rId38" Type="http://schemas.openxmlformats.org/officeDocument/2006/relationships/hyperlink" Target="https://doi.org/10.1016/j.jceh.2021.04.012" TargetMode="External"/><Relationship Id="rId46" Type="http://schemas.openxmlformats.org/officeDocument/2006/relationships/hyperlink" Target="https://doi.org/10.1093/ndt/gfad258" TargetMode="External"/><Relationship Id="rId59" Type="http://schemas.openxmlformats.org/officeDocument/2006/relationships/footer" Target="footer2.xml"/><Relationship Id="rId20" Type="http://schemas.openxmlformats.org/officeDocument/2006/relationships/hyperlink" Target="https://doi.org/10.1016/j.jhep.2018.03.024" TargetMode="External"/><Relationship Id="rId41" Type="http://schemas.openxmlformats.org/officeDocument/2006/relationships/hyperlink" Target="https://doi.org/10.1097/MEG.0000000000002754" TargetMode="External"/><Relationship Id="rId54" Type="http://schemas.openxmlformats.org/officeDocument/2006/relationships/hyperlink" Target="https://doi.org/10.1007/s12072-020-10122-1"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doi.org/10.1097/HEP.0000000000000263" TargetMode="External"/><Relationship Id="rId23" Type="http://schemas.openxmlformats.org/officeDocument/2006/relationships/hyperlink" Target="https://doi.org/10.3748/wjg.v28.i8.775" TargetMode="External"/><Relationship Id="rId28" Type="http://schemas.openxmlformats.org/officeDocument/2006/relationships/hyperlink" Target="https://doi.org/10.1016/j.cgh.2020.08.026" TargetMode="External"/><Relationship Id="rId36" Type="http://schemas.openxmlformats.org/officeDocument/2006/relationships/hyperlink" Target="https://doi.org/10.1016/j.jceh.2024.101411" TargetMode="External"/><Relationship Id="rId49" Type="http://schemas.openxmlformats.org/officeDocument/2006/relationships/hyperlink" Target="https://doi.org/10.1111/j.1464-5491.2010.03093.x" TargetMode="External"/><Relationship Id="rId57" Type="http://schemas.openxmlformats.org/officeDocument/2006/relationships/header" Target="header2.xml"/><Relationship Id="rId10" Type="http://schemas.openxmlformats.org/officeDocument/2006/relationships/hyperlink" Target="https://doi.org/10.1016/j.jceh.2025.102593" TargetMode="External"/><Relationship Id="rId31" Type="http://schemas.openxmlformats.org/officeDocument/2006/relationships/hyperlink" Target="https://doi.org/10.1002/hep.32049" TargetMode="External"/><Relationship Id="rId44" Type="http://schemas.openxmlformats.org/officeDocument/2006/relationships/hyperlink" Target="https://doi.org/10.1177/19322968241232686" TargetMode="External"/><Relationship Id="rId52" Type="http://schemas.openxmlformats.org/officeDocument/2006/relationships/hyperlink" Target="https://doi.org/10.1016/j.cgh.2023.06.004" TargetMode="External"/><Relationship Id="rId6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doi.org/10.1186/s41073-019-006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26</Pages>
  <Words>16861</Words>
  <Characters>96114</Characters>
  <Application>Microsoft Office Word</Application>
  <DocSecurity>0</DocSecurity>
  <Lines>800</Lines>
  <Paragraphs>225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112750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Current Concepts and Therapeutic Advances in the Management of Diabetes in Liver Cirrhosis: A Critical Narrative Review</dc:title>
  <dc:subject>Critical narrative review of diabetes management in liver cirrhosis</dc:subject>
  <dc:creator/>
  <cp:keywords>diabetes; cirrhosis; hepatogenous diabetes; glucose-lowering therapy</cp:keywords>
  <dc:description>generated by python-docx</dc:description>
  <cp:lastModifiedBy>Editor-90</cp:lastModifiedBy>
  <cp:revision>5</cp:revision>
  <dcterms:created xsi:type="dcterms:W3CDTF">2013-12-23T23:15:00Z</dcterms:created>
  <dcterms:modified xsi:type="dcterms:W3CDTF">2026-09-19T07:18:00Z</dcterms:modified>
  <cp:category/>
</cp:coreProperties>
</file>