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57F1" w14:textId="77777777" w:rsidR="00B06F56" w:rsidRPr="00B06F56" w:rsidRDefault="00B06F56">
      <w:pPr>
        <w:pStyle w:val="Title"/>
        <w:jc w:val="center"/>
        <w:rPr>
          <w:color w:val="auto"/>
        </w:rPr>
      </w:pPr>
      <w:r w:rsidRPr="00B06F56">
        <w:rPr>
          <w:color w:val="auto"/>
        </w:rPr>
        <w:t>Impact of Polypharmacy on Hospitalization and Health-Related Quality of Life in Geriatric Patients</w:t>
      </w:r>
    </w:p>
    <w:p w14:paraId="01F99FF5" w14:textId="77777777" w:rsidR="005C7368" w:rsidRPr="00B06F56" w:rsidRDefault="00000000">
      <w:pPr>
        <w:spacing w:after="80"/>
      </w:pPr>
      <w:r w:rsidRPr="00B06F56">
        <w:rPr>
          <w:b/>
          <w:sz w:val="24"/>
        </w:rPr>
        <w:t>Abstract</w:t>
      </w:r>
    </w:p>
    <w:p w14:paraId="607A2097" w14:textId="77777777" w:rsidR="005C7368" w:rsidRPr="00B06F56" w:rsidRDefault="00000000">
      <w:pPr>
        <w:pStyle w:val="AbstractText"/>
        <w:jc w:val="both"/>
      </w:pPr>
      <w:r w:rsidRPr="00B06F56">
        <w:t>Polypharmacy is common in later life because multimorbidity, guideline-concordant disease management and transitions between care settings accumulate medicines over time. Yet medication count is an imperfect proxy for medication-related harm: some multidrug regimens are appropriate and beneficial, whereas a smaller regimen can still be hazardous when it contains high-risk, interacting or poorly indicated medicines. This critical narrative review examines how polypharmacy relates to hospitalisation and health-related quality of life (HRQoL) in older adults, and whether medication optimisation can modify those outcomes. Literature published from 2000 to 17 July 2026 was identified through major open scholarly databases and citation searching, with older foundational evidence retained when conceptually necessary. The evidence consistently shows that higher medication burden is associated with greater hospital use, but the magnitude of association varies substantially with multimorbidity, frailty, prescribing appropriateness, anticholinergic and sedative burden, medication complexity and the definition of polypharmacy. Observational studies support dose-response relationships, yet residual confounding and confounding by indication make simple causal interpretations unsafe. The HRQoL literature is smaller and methodologically more heterogeneous. Persistent or incident polypharmacy, hyperpolypharmacy and medication complexity are generally associated with poorer physical or global HRQoL, but disease burden, function, mood and social vulnerability often explain more variation than medicine count alone. Intervention trials reliably reduce potentially inappropriate prescribing and medicine numbers, whereas effects on hospitalisation and HRQoL are smaller, inconsistent and sensitive to setting, outcome instrument, follow-up duration and implementation fidelity. The most defensible synthesis is therefore that problematic polypharmacy, rather than polypharmacy per se, is the clinically relevant exposure. Geriatric medication management should prioritise indication, benefit-harm balance, treatment burden, patient goals and transition safety rather than numerical deprescribing targets. Future studies need longitudinal, patient-centred designs that integrate appropriateness, medication burden, frailty and repeated HRQoL measurement while using hospital outcomes that distinguish drug-related from all-cause events.</w:t>
      </w:r>
    </w:p>
    <w:p w14:paraId="48412F9A" w14:textId="77777777" w:rsidR="005C7368" w:rsidRPr="00B06F56" w:rsidRDefault="00000000">
      <w:pPr>
        <w:spacing w:after="240"/>
      </w:pPr>
      <w:r w:rsidRPr="00B06F56">
        <w:rPr>
          <w:b/>
        </w:rPr>
        <w:t xml:space="preserve">Keywords: </w:t>
      </w:r>
      <w:r w:rsidRPr="00B06F56">
        <w:t>aged; deprescribing; geriatric pharmacotherapy; hospital admission; medication review; multimorbidity; polypharmacy; quality of life</w:t>
      </w:r>
    </w:p>
    <w:p w14:paraId="07CC0343" w14:textId="77777777" w:rsidR="005C7368" w:rsidRPr="00B06F56" w:rsidRDefault="00000000">
      <w:pPr>
        <w:pStyle w:val="Heading1"/>
        <w:rPr>
          <w:color w:val="auto"/>
        </w:rPr>
      </w:pPr>
      <w:r w:rsidRPr="00B06F56">
        <w:rPr>
          <w:color w:val="auto"/>
        </w:rPr>
        <w:t>1. Introduction</w:t>
      </w:r>
    </w:p>
    <w:p w14:paraId="38A5CC6D" w14:textId="77777777" w:rsidR="005C7368" w:rsidRPr="00B06F56" w:rsidRDefault="00000000">
      <w:pPr>
        <w:ind w:firstLine="288"/>
        <w:jc w:val="both"/>
      </w:pPr>
      <w:r w:rsidRPr="00B06F56">
        <w:t>Population ageing has changed the clinical meaning of medication use. Older adults increasingly live with several chronic diseases, and evidence-based treatment of each condition can produce long medication lists even when every individual prescription is initially defensible. Polypharmacy is therefore simultaneously a marker of therapeutic success, disease burden and potential iatrogenic risk. Across reviews, the most common numerical definition is the concurrent use of five or more medicines, while hyperpolypharmacy or excessive polypharmacy commonly denotes ten or more. Definitions vary widely, however, and most numerical thresholds do not distinguish justified multidrug treatment from prescribing that is duplicative, non-beneficial, excessively burdensome or hazardous (Masnoon et al., 2017; Pazan &amp; Wehling, 2021). This definitional problem is not semantic: it determines who is labelled exposed, how risk is estimated and whether clinical action is directed at medicine number or at prescribing quality.</w:t>
      </w:r>
    </w:p>
    <w:p w14:paraId="5C479E37" w14:textId="7AE4D4B5" w:rsidR="00B8169D" w:rsidRDefault="00000000" w:rsidP="00062D7A">
      <w:pPr>
        <w:ind w:firstLine="288"/>
        <w:jc w:val="both"/>
      </w:pPr>
      <w:r w:rsidRPr="00B06F56">
        <w:t xml:space="preserve">The epidemiology underscores why the issue is clinically consequential. In a nationwide Swedish cohort, 44.0% of people aged 65 years or older were exposed to five or more drugs and 11.7% to ten or more at baseline; incident polypharmacy remained common during follow-up (Morin et al., 2018). Once established, exposure is often persistent. Among more than 700,000 Swedish older adults with baseline polypharmacy, 74% remained exposed for at least 12 months, although incident episodes were substantially more transient </w:t>
      </w:r>
      <w:r w:rsidRPr="00B06F56">
        <w:lastRenderedPageBreak/>
        <w:t>(Wastesson et al., 2019). These patterns show that medication burden is dynamic rather than a single fixed state. A medicine list at one consultation can represent a stable chronic regimen, a short post-hospital episode or a transitional escalation that later resolves. Studies that measure exposure only once may therefore misclassify both duration and intensity.</w:t>
      </w:r>
      <w:r w:rsidR="00062D7A">
        <w:t xml:space="preserve"> </w:t>
      </w:r>
      <w:r>
        <w:rPr>
          <w:highlight w:val="yellow"/>
        </w:rPr>
        <w:t>Recent systematic reviews further indicate that polypharmacy is widespread among older adults across clinical and community settings, but prevalence estimates vary substantially with population characteristics, care setting and operational definitions (Nicholson et al., 2024; Wang et al., 2024).</w:t>
      </w:r>
    </w:p>
    <w:p w14:paraId="428D94F9" w14:textId="77777777" w:rsidR="005C7368" w:rsidRPr="00B06F56" w:rsidRDefault="00000000">
      <w:pPr>
        <w:ind w:firstLine="288"/>
        <w:jc w:val="both"/>
      </w:pPr>
      <w:r w:rsidRPr="00B06F56">
        <w:t>Hospitalisation is one of the outcomes most consistently linked with polypharmacy. Systematic reviews of observational evidence have found associations with admissions, falls, adverse drug events, functional impairment and mortality, but also substantial inconsistency between studies and concerns about incomplete adjustment for multimorbidity (Davies et al., 2020; Fried et al., 2014; Wastesson et al., 2018). The causal problem is central. Older people who take more medicines usually have more diseases, more severe disease, more healthcare contact and greater frailty. Each of these factors independently raises admission risk. Medication count can therefore behave as a risk marker even when the medicines themselves are not the principal cause of hospitalisation. Payne et al. (2014) illustrated this directly: the association between medication number and unplanned admission was strong among people with few chronic conditions but attenuated substantially as multimorbidity increased. A clinically credible review must therefore separate medication burden as a prognostic indicator from medication-related harm as a modifiable cause.</w:t>
      </w:r>
    </w:p>
    <w:p w14:paraId="4C98EB00" w14:textId="77777777" w:rsidR="005C7368" w:rsidRPr="00B06F56" w:rsidRDefault="00000000">
      <w:pPr>
        <w:ind w:firstLine="288"/>
        <w:jc w:val="both"/>
      </w:pPr>
      <w:r w:rsidRPr="00B06F56">
        <w:t>Health-related quality of life (HRQoL) is equally important but less often treated as a primary endpoint. In geriatric care, survival and avoidance of hospital admission cannot be the only goals because older adults frequently value function, symptom relief, independence, cognitive clarity and manageable treatment burden. Polypharmacy may worsen HRQoL through adverse effects, interactions, regimen complexity, anxiety about medicines, adherence workload and restrictions created by treatment schedules. Conversely, appropriate medicines can improve symptoms, function and survival and thereby improve HRQoL. Cross-sectional studies often show lower HRQoL with higher medication burden, but they cannot determine whether medicines cause poorer health status or whether poorer health status generates more prescriptions. Longitudinal and intervention studies provide stronger leverage, yet remain comparatively sparse (Aljeaidi et al., 2022; Montiel-Luque et al., 2017; Vonderhaar et al., 2025).</w:t>
      </w:r>
    </w:p>
    <w:p w14:paraId="346F8F5C" w14:textId="0827354F" w:rsidR="00B8169D" w:rsidRDefault="00000000" w:rsidP="00062D7A">
      <w:pPr>
        <w:ind w:firstLine="288"/>
        <w:jc w:val="both"/>
      </w:pPr>
      <w:r w:rsidRPr="00B06F56">
        <w:t>The distinction between medicine count and prescribing appropriateness offers a more useful organising framework. Explicit tools such as the American Geriatrics Society Beers Criteria and STOPP/START identify potentially inappropriate medicines, drug-disease problems and prescribing omissions rather than assuming that every additional medicine is harmful (American Geriatrics Society Beers Criteria Update Expert Panel, 2023; O'Mahony et al., 2023). Observational studies also suggest that anticholinergic and sedative burden, high-risk classes, prescribing omissions and regimen complexity can carry information beyond raw counts (Falke et al., 2024; Lu et al., 2015). This suggests that the clinically relevant exposure is not simply polypharmacy, but problematic polypharmacy: treatment in which cumulative risk, burden or lack of benefit outweighs expected value for the individual patient.</w:t>
      </w:r>
      <w:r w:rsidR="00062D7A">
        <w:t xml:space="preserve"> </w:t>
      </w:r>
      <w:r>
        <w:rPr>
          <w:highlight w:val="yellow"/>
        </w:rPr>
        <w:t>Recent geriatric pharmacotherapy literature similarly emphasises that medication optimisation should focus on problematic polypharmacy, including inappropriate prescribing, interactions, prescribing cascades and misalignment with individual treatment goals, rather than medication count alone (Daunt et al., 2024).</w:t>
      </w:r>
    </w:p>
    <w:p w14:paraId="1CEA6A83" w14:textId="2BED9887" w:rsidR="00B8169D" w:rsidRDefault="00000000" w:rsidP="00062D7A">
      <w:pPr>
        <w:ind w:firstLine="288"/>
        <w:jc w:val="both"/>
      </w:pPr>
      <w:r w:rsidRPr="00B06F56">
        <w:t xml:space="preserve">Intervention evidence has matured, but it does not provide a simple answer. Medication reviews and deprescribing programmes generally reduce medicine counts, potentially inappropriate prescribing or both. Translation to major clinical outcomes is less reliable. The OPERAM cluster randomised trial substantially reduced inappropriate prescribing without reducing drug-related hospital admissions (Blum et al., 2021). </w:t>
      </w:r>
      <w:r w:rsidRPr="00B06F56">
        <w:lastRenderedPageBreak/>
        <w:t>Reviews of deprescribing and polypharmacy interventions likewise show inconsistent effects on admissions, mortality and HRQoL, with signals of benefit in some settings but considerable heterogeneity and risk of bias (Cole et al., 2023; Johansson et al., 2016; Omuya et al., 2023; Valz Gris et al., 2026). The gap between better prescribing process measures and harder patient outcomes is one of the most important unresolved questions in the field.</w:t>
      </w:r>
      <w:r w:rsidR="00062D7A">
        <w:t xml:space="preserve"> </w:t>
      </w:r>
      <w:r>
        <w:rPr>
          <w:highlight w:val="yellow"/>
        </w:rPr>
        <w:t>A 2025 systematic review and meta-analysis of community-dwelling older adults found a small reduction in medication count following deprescribing interventions, while the proportion of individuals prescribed at least one potentially inappropriate medicine was not significantly lower (Linsky et al., 2025).</w:t>
      </w:r>
    </w:p>
    <w:p w14:paraId="6804E17A" w14:textId="77777777" w:rsidR="005C7368" w:rsidRPr="00B06F56" w:rsidRDefault="00000000">
      <w:pPr>
        <w:ind w:firstLine="288"/>
        <w:jc w:val="both"/>
      </w:pPr>
      <w:r w:rsidRPr="00B06F56">
        <w:t>A further limitation of previous syntheses is that hospitalisation and HRQoL are frequently reviewed as separate consequences, although they are mechanistically and clinically linked. An adverse drug event may precipitate admission, while admission itself can trigger prescribing changes, functional decline, delirium, medication reconciliation failures and treatment intensification. These transitions can subsequently alter HRQoL. Equally, poor baseline HRQoL and frailty can be markers of vulnerability to both drug harm and hospitalisation. Understanding this bidirectional relationship is necessary for interpreting associations and designing interventions that matter to patients.</w:t>
      </w:r>
    </w:p>
    <w:p w14:paraId="1E4B06E0" w14:textId="77777777" w:rsidR="005C7368" w:rsidRPr="00B06F56" w:rsidRDefault="00000000">
      <w:pPr>
        <w:pStyle w:val="Heading2"/>
        <w:rPr>
          <w:color w:val="auto"/>
        </w:rPr>
      </w:pPr>
      <w:r w:rsidRPr="00B06F56">
        <w:rPr>
          <w:color w:val="auto"/>
        </w:rPr>
        <w:t>1.1 Scope, Research Gap and Objectives</w:t>
      </w:r>
    </w:p>
    <w:p w14:paraId="3F537506" w14:textId="77777777" w:rsidR="005C7368" w:rsidRPr="00B06F56" w:rsidRDefault="00000000">
      <w:pPr>
        <w:ind w:firstLine="288"/>
        <w:jc w:val="both"/>
      </w:pPr>
      <w:r w:rsidRPr="00B06F56">
        <w:t>This review focuses on adults in later life, principally those aged 65 years and older, and examines polypharmacy in community, ambulatory, hospital and long-term care settings. The principal outcomes are all-cause and medication-related hospitalisation, readmission where relevant, and health-related quality of life measured with generic or medication-related instruments. Polypharmacy is considered both as medication count and as a broader construct that includes hyperpolypharmacy, potentially inappropriate prescribing, anticholinergic or sedative burden, regimen complexity and treatment burden. The review does not treat medicine number alone as synonymous with inappropriate care, and it does not attempt to catalogue every drug-specific adverse effect.</w:t>
      </w:r>
    </w:p>
    <w:p w14:paraId="7FBD431D" w14:textId="77777777" w:rsidR="005C7368" w:rsidRPr="00B06F56" w:rsidRDefault="00000000">
      <w:pPr>
        <w:ind w:firstLine="288"/>
        <w:jc w:val="both"/>
      </w:pPr>
      <w:r w:rsidRPr="00B06F56">
        <w:t>The central research gap is the persistent mismatch between strong observational associations and weaker, inconsistent intervention effects. Existing literature establishes that high medication burden identifies a vulnerable population, but it remains uncertain how much of the observed excess hospital use or lower quality of life is directly attributable to modifiable medication exposure rather than underlying multimorbidity, frailty and treatment indication. The review therefore aims to clarify the strength and limitations of evidence linking polypharmacy with hospitalisation and HRQoL, identify mechanisms that plausibly connect these outcomes, distinguish medication count from prescribing quality, evaluate whether medication optimisation improves patient-relevant outcomes, and define research priorities capable of resolving current causal and measurement uncertainties.</w:t>
      </w:r>
    </w:p>
    <w:p w14:paraId="1AC4AADF" w14:textId="77777777" w:rsidR="005C7368" w:rsidRPr="00B06F56" w:rsidRDefault="00000000">
      <w:pPr>
        <w:pStyle w:val="Heading1"/>
        <w:rPr>
          <w:color w:val="auto"/>
        </w:rPr>
      </w:pPr>
      <w:r w:rsidRPr="00B06F56">
        <w:rPr>
          <w:color w:val="auto"/>
        </w:rPr>
        <w:t>2. Methods for Literature Selection</w:t>
      </w:r>
    </w:p>
    <w:p w14:paraId="05DBDFE4" w14:textId="77777777" w:rsidR="005C7368" w:rsidRPr="00B06F56" w:rsidRDefault="00000000">
      <w:pPr>
        <w:ind w:firstLine="288"/>
        <w:jc w:val="both"/>
      </w:pPr>
      <w:r w:rsidRPr="00B06F56">
        <w:t>This article used a critical narrative review design because the question spans heterogeneous exposures, settings and outcome constructs that are not adequately represented by a single intervention-effect estimate. The objective was to integrate epidemiology, observational association studies, measurement research, randomised trials and evidence syntheses while explicitly examining methodological weaknesses and competing interpretations. Narrative synthesis does not remove the need for transparent searching or critical appraisal; the review was structured with attention to the SANRA domains of importance, aims, literature search, referencing, evidence level and endpoint presentation (Baethge et al., 2019).</w:t>
      </w:r>
    </w:p>
    <w:p w14:paraId="5F28EE1D" w14:textId="77777777" w:rsidR="005C7368" w:rsidRPr="00B06F56" w:rsidRDefault="00000000">
      <w:pPr>
        <w:pStyle w:val="Heading2"/>
        <w:rPr>
          <w:color w:val="auto"/>
        </w:rPr>
      </w:pPr>
      <w:r w:rsidRPr="00B06F56">
        <w:rPr>
          <w:color w:val="auto"/>
        </w:rPr>
        <w:lastRenderedPageBreak/>
        <w:t>2.1 Review Design and Rationale</w:t>
      </w:r>
    </w:p>
    <w:p w14:paraId="4043C8E5" w14:textId="77777777" w:rsidR="005C7368" w:rsidRPr="00B06F56" w:rsidRDefault="00000000">
      <w:pPr>
        <w:ind w:firstLine="288"/>
        <w:jc w:val="both"/>
      </w:pPr>
      <w:r w:rsidRPr="00B06F56">
        <w:t>A critical narrative approach was selected rather than a de novo systematic review or meta-analysis because the exposure is not uniform. Studies variously define polypharmacy by counts of four, five, ten or more medicines; by regular versus intermittent use; by prescription-only versus all medicines; and by appropriateness, drug class burden or complexity. Hospital outcomes range from all-cause admission to drug-related admission and readmission, while HRQoL instruments differ in domains and responsiveness. Pooling such studies without a tightly prespecified homogeneous question could create a statistically precise but conceptually misleading summary. The review therefore emphasised triangulation across study designs and gave greater weight to evidence that addressed confounding, temporal sequence, medication appropriateness and clinically relevant outcomes.</w:t>
      </w:r>
    </w:p>
    <w:p w14:paraId="037EC46C" w14:textId="77777777" w:rsidR="005C7368" w:rsidRPr="00B06F56" w:rsidRDefault="00000000">
      <w:pPr>
        <w:pStyle w:val="Heading2"/>
        <w:rPr>
          <w:color w:val="auto"/>
        </w:rPr>
      </w:pPr>
      <w:r w:rsidRPr="00B06F56">
        <w:rPr>
          <w:color w:val="auto"/>
        </w:rPr>
        <w:t>2.2 Information Sources</w:t>
      </w:r>
    </w:p>
    <w:p w14:paraId="314224CC" w14:textId="77777777" w:rsidR="005C7368" w:rsidRPr="00B06F56" w:rsidRDefault="00000000">
      <w:pPr>
        <w:ind w:firstLine="288"/>
        <w:jc w:val="both"/>
      </w:pPr>
      <w:r w:rsidRPr="00B06F56">
        <w:t>Literature was identified through PubMed, PubMed Central, Europe PMC, OpenAlex, Crossref, DOAJ, Semantic Scholar and Google Scholar. Searches were supplemented by backward citation checking of major systematic reviews and high-quality primary studies, forward citation searching for influential studies, related-article searching, and verification of corrections or errata where these could affect interpretation. DOI and bibliographic metadata were checked against authoritative records, principally PubMed and Crossref-linked metadata. Only sources whose bibliographic identity and relevance to the cited claim could be verified were retained.</w:t>
      </w:r>
    </w:p>
    <w:p w14:paraId="518A7D7A" w14:textId="77777777" w:rsidR="005C7368" w:rsidRPr="00B06F56" w:rsidRDefault="00000000">
      <w:pPr>
        <w:pStyle w:val="Heading2"/>
        <w:rPr>
          <w:color w:val="auto"/>
        </w:rPr>
      </w:pPr>
      <w:r w:rsidRPr="00B06F56">
        <w:rPr>
          <w:color w:val="auto"/>
        </w:rPr>
        <w:t>2.3 Search Strategy and Search Period</w:t>
      </w:r>
    </w:p>
    <w:p w14:paraId="48FC8337" w14:textId="77777777" w:rsidR="005C7368" w:rsidRPr="00B06F56" w:rsidRDefault="00000000">
      <w:pPr>
        <w:ind w:firstLine="288"/>
        <w:jc w:val="both"/>
      </w:pPr>
      <w:r w:rsidRPr="00B06F56">
        <w:t>The main search period was 1 January 2000 to 17 July 2026, chosen to capture contemporary geriatric pharmacotherapy, multimorbidity research, explicit prescribing-appropriateness tools and modern patient-reported outcome measurement. Earlier foundational evidence was eligible when necessary to interpret medication-related hospitalisation or prescribing concepts. Searches combined controlled and free-text concepts for polypharmacy and its clinically important variants with geriatric populations and the two principal outcomes. A representative search logic was: (polypharmacy OR hyperpolypharmacy OR multiple medications OR potentially inappropriate medication* OR potentially inappropriate prescribing OR medication burden OR anticholinergic burden) AND (older adult* OR aged OR elderly OR geriatric) AND (hospitali?ation OR admission OR readmission OR drug-related admission OR adverse drug event OR quality of life OR health-related quality of life OR HRQoL OR EQ-5D OR SF-36 OR SF-12). Additional searches incorporated multimorbidity, frailty, deprescribing, medication review, regimen complexity and STOPP/START where these concepts were required to investigate mechanisms or intervention effects.</w:t>
      </w:r>
    </w:p>
    <w:p w14:paraId="1A42C347" w14:textId="77777777" w:rsidR="005C7368" w:rsidRPr="00B06F56" w:rsidRDefault="00000000">
      <w:pPr>
        <w:pStyle w:val="Heading2"/>
        <w:rPr>
          <w:color w:val="auto"/>
        </w:rPr>
      </w:pPr>
      <w:r w:rsidRPr="00B06F56">
        <w:rPr>
          <w:color w:val="auto"/>
        </w:rPr>
        <w:t>2.4 Eligibility Criteria</w:t>
      </w:r>
    </w:p>
    <w:p w14:paraId="0E4A3CA9" w14:textId="77777777" w:rsidR="005C7368" w:rsidRPr="00B06F56" w:rsidRDefault="00000000">
      <w:pPr>
        <w:ind w:firstLine="288"/>
        <w:jc w:val="both"/>
      </w:pPr>
      <w:r w:rsidRPr="00B06F56">
        <w:t xml:space="preserve">Priority was given to peer-reviewed original studies, systematic reviews, meta-analyses, major evidence-based prescribing criteria and methodological research relevant to adults in later life. Eligible primary studies had to report polypharmacy or a closely related medication-exposure construct and a hospital-use, adverse-drug-event or HRQoL outcome, or evaluate an intervention intended to optimise multidrug treatment. Studies including broader adult populations were considered only when older adults were analysed separately or when the findings materially informed interpretation of geriatric polypharmacy. Both community and institutional settings were eligible because transitions between these settings are central to medication burden. Non-peer-reviewed promotional material, unverifiable reports, articles with incomplete bibliographic identity, retracted evidence, low-information conference abstracts and sources whose results could not </w:t>
      </w:r>
      <w:r w:rsidRPr="00B06F56">
        <w:lastRenderedPageBreak/>
        <w:t>support the claim in question were excluded. No geographical restriction was imposed. English-language sources predominated because they could be appraised reliably within the accessible evidence base.</w:t>
      </w:r>
    </w:p>
    <w:p w14:paraId="5105C5E8" w14:textId="77777777" w:rsidR="005C7368" w:rsidRPr="00B06F56" w:rsidRDefault="00000000">
      <w:pPr>
        <w:pStyle w:val="Heading2"/>
        <w:rPr>
          <w:color w:val="auto"/>
        </w:rPr>
      </w:pPr>
      <w:r w:rsidRPr="00B06F56">
        <w:rPr>
          <w:color w:val="auto"/>
        </w:rPr>
        <w:t>2.5 Screening, Duplicate Handling and Study Selection</w:t>
      </w:r>
    </w:p>
    <w:p w14:paraId="65863D0E" w14:textId="77777777" w:rsidR="005C7368" w:rsidRPr="00B06F56" w:rsidRDefault="00000000">
      <w:pPr>
        <w:ind w:firstLine="288"/>
        <w:jc w:val="both"/>
      </w:pPr>
      <w:r w:rsidRPr="00B06F56">
        <w:t>Titles and abstracts were assessed for direct relevance to the review questions, followed by full-text or sufficiently detailed record review where accessible. Duplicate records across scholarly platforms were identified through DOI, title, author and year matching and were treated as a single publication. Selection was purposive rather than exhaustive: studies were retained when they offered strong design, large or relevant populations, useful adjustment for confounding, validated outcome measurement, evidence on appropriateness or mechanisms, or clear intervention contrasts. Conflicting and null findings were deliberately retained to avoid a one-directional synthesis. No screening counts are reported because the review was not conducted as a record-counted systematic review. Sources that remained inaccessible at a level sufficient to verify the relevant claim were not used for that claim.</w:t>
      </w:r>
    </w:p>
    <w:p w14:paraId="69E131E0" w14:textId="77777777" w:rsidR="005C7368" w:rsidRPr="00B06F56" w:rsidRDefault="00000000">
      <w:pPr>
        <w:pStyle w:val="Heading2"/>
        <w:rPr>
          <w:color w:val="auto"/>
        </w:rPr>
      </w:pPr>
      <w:r w:rsidRPr="00B06F56">
        <w:rPr>
          <w:color w:val="auto"/>
        </w:rPr>
        <w:t>2.6 Critical Appraisal and Evidence Synthesis</w:t>
      </w:r>
    </w:p>
    <w:p w14:paraId="7F435EE0" w14:textId="77777777" w:rsidR="005C7368" w:rsidRPr="00B06F56" w:rsidRDefault="00000000">
      <w:pPr>
        <w:ind w:firstLine="288"/>
        <w:jc w:val="both"/>
      </w:pPr>
      <w:r w:rsidRPr="00B06F56">
        <w:t>Evidence was appraised according to design suitability, representativeness, exposure definition, outcome validity, adjustment for disease burden and frailty, temporal ordering, handling of time-varying medication use, attrition, statistical precision, intervention fidelity and risk of residual confounding. For HRQoL studies, particular attention was paid to whether generic instruments could detect medication-related change, whether baseline function and mood were accounted for, and whether analyses separated physical from mental domains. For hospitalisation studies, all-cause admission was distinguished from medication-related or adverse-drug-event-related admission because the causal proximity differs substantially. Randomised trials and systematic reviews of trials were used to assess modifiability, whereas observational studies were used primarily to characterise association, risk stratification and plausible mechanisms. Themes were developed iteratively around conceptual definitions, hospitalisation, HRQoL, mechanisms, intervention effects and implications for geriatric practice.</w:t>
      </w:r>
    </w:p>
    <w:p w14:paraId="569BA4EB" w14:textId="77777777" w:rsidR="005C7368" w:rsidRPr="00B06F56" w:rsidRDefault="00000000">
      <w:pPr>
        <w:pStyle w:val="Heading1"/>
        <w:rPr>
          <w:color w:val="auto"/>
        </w:rPr>
      </w:pPr>
      <w:r w:rsidRPr="00B06F56">
        <w:rPr>
          <w:color w:val="auto"/>
        </w:rPr>
        <w:t>3. Conceptualising Polypharmacy as a Geriatric Risk State</w:t>
      </w:r>
    </w:p>
    <w:p w14:paraId="2C12BACA" w14:textId="77777777" w:rsidR="005C7368" w:rsidRPr="00B06F56" w:rsidRDefault="00000000">
      <w:pPr>
        <w:ind w:firstLine="288"/>
        <w:jc w:val="both"/>
      </w:pPr>
      <w:r w:rsidRPr="00B06F56">
        <w:t>The numerical definition of polypharmacy is useful for surveillance but inadequate as a clinical diagnosis. Masnoon et al. (2017) identified 138 definitions and found that numerical definitions dominated the literature, with five or more medicines the most frequent threshold. This convention has pragmatic value because risk often rises with medication count and because a threshold allows reproducible case finding. Gnjidic et al. (2012), for example, found that approximately five medicines discriminated risk for several geriatric outcomes in community-dwelling older men. Yet the same study also showed that different outcomes produced different optimal cut-points, undermining the idea of a universal biological threshold. A fifth medicine does not transform a safe regimen into a harmful one; rather, medication count is a coarse indicator of accumulating opportunities for interaction, error and treatment burden.</w:t>
      </w:r>
    </w:p>
    <w:p w14:paraId="6594B50B" w14:textId="77777777" w:rsidR="005C7368" w:rsidRPr="00B06F56" w:rsidRDefault="00000000">
      <w:pPr>
        <w:ind w:firstLine="288"/>
        <w:jc w:val="both"/>
      </w:pPr>
      <w:r w:rsidRPr="00B06F56">
        <w:t xml:space="preserve">A more clinically meaningful framework separates appropriate from problematic polypharmacy. Appropriate polypharmacy describes multiple medicines whose expected benefits remain aligned with the patient's conditions, prognosis and preferences. Problematic polypharmacy arises when one or more medicines lack a current indication, offer little chance of meaningful benefit, duplicate another treatment, interact adversely, impose disproportionate monitoring or adherence burden, or conflict with the patient's goals. This distinction is especially important in multimorbidity, where guideline-concordant care can legitimately require many therapies. Reviews that define exposure only by count can therefore misclassify </w:t>
      </w:r>
      <w:r w:rsidRPr="00B06F56">
        <w:lastRenderedPageBreak/>
        <w:t>high-quality care as hazardous and low-count but high-risk regimens as safe (Davies et al., 2020; Pazan &amp; Wehling, 2021).</w:t>
      </w:r>
    </w:p>
    <w:p w14:paraId="14F242C9" w14:textId="77777777" w:rsidR="005C7368" w:rsidRPr="00B06F56" w:rsidRDefault="00000000">
      <w:pPr>
        <w:ind w:firstLine="288"/>
        <w:jc w:val="both"/>
      </w:pPr>
      <w:r w:rsidRPr="00B06F56">
        <w:t>Hyperpolypharmacy, commonly operationalised as ten or more medicines, often identifies a group with greater physiological and treatment complexity. In a Taiwanese cohort, both five to nine medicines and ten or more were associated with hospital admission outcomes, with larger effect estimates at the higher category (Lu et al., 2015). A recent multinational inpatient analysis found hyperpolypharmacy associated with lower EQ-VAS after adjustment, while high anticholinergic and sedative burden, prescribing omissions and medication complexity also independently signalled worse HRQoL (Falke et al., 2024). These findings imply that count and qualitative burden are complementary rather than competing constructs.</w:t>
      </w:r>
    </w:p>
    <w:p w14:paraId="2CF8E00E" w14:textId="77777777" w:rsidR="005C7368" w:rsidRPr="00B06F56" w:rsidRDefault="00000000">
      <w:pPr>
        <w:ind w:firstLine="288"/>
        <w:jc w:val="both"/>
      </w:pPr>
      <w:r w:rsidRPr="00B06F56">
        <w:t>Duration is another neglected dimension. Wastesson et al. (2019) showed that prevalent polypharmacy often persists, whereas newly incident polypharmacy is more likely to be transient. Short episodes may be appropriate after acute illness, surgery or hospitalisation, while persistent exposure can reflect durable multimorbidity, therapeutic inertia or failure to reassess resolved indications. A one-time medicine count conflates these states. Longitudinal studies that model exposure trajectories, as in Aljeaidi et al. (2022), provide a stronger basis for inference because they can distinguish persistent from incident exposure and relate those patterns to change in health status.</w:t>
      </w:r>
    </w:p>
    <w:p w14:paraId="62B8340D" w14:textId="77777777" w:rsidR="005C7368" w:rsidRPr="00B06F56" w:rsidRDefault="00000000">
      <w:pPr>
        <w:ind w:firstLine="288"/>
        <w:jc w:val="both"/>
      </w:pPr>
      <w:r w:rsidRPr="00B06F56">
        <w:t>Prescribing appropriateness adds another layer. STOPP/START version 3 and the 2023 Beers Criteria identify medicine-specific hazards, drug-disease interactions, drug-drug interactions and omissions that a simple count cannot capture (American Geriatrics Society Beers Criteria Update Expert Panel, 2023; O'Mahony et al., 2023). These tools are not interchangeable and are shaped by setting and regional prescribing practice, but they reinforce a common principle: risk depends on what the medicines are, why they are used and whether expected benefit remains plausible. Hamilton et al. (2011) found that STOPP-defined potentially inappropriate medicines were associated with avoidable adverse drug events contributing to hospitalisation after adjustment for medication count, showing that appropriateness can carry risk information beyond quantity.</w:t>
      </w:r>
    </w:p>
    <w:p w14:paraId="4FB1D50D" w14:textId="77777777" w:rsidR="005C7368" w:rsidRPr="00B06F56" w:rsidRDefault="00000000">
      <w:pPr>
        <w:ind w:firstLine="288"/>
        <w:jc w:val="both"/>
      </w:pPr>
      <w:r w:rsidRPr="00B06F56">
        <w:t>Treatment burden also extends beyond prescriptions. Older adults may take over-the-counter products and supplements, split doses across several daily time points, use devices, follow monitoring schedules and manage medicines across prescribers. Vonderhaar et al. (2025) showed a graded association between prescription pill burden and the physical component of HRQoL, with a smaller but detectable pattern for non-prescription pill burden. The implication is that medicine exposure should sometimes be measured as daily work and complexity rather than only unique drug entities.</w:t>
      </w:r>
    </w:p>
    <w:p w14:paraId="74473700" w14:textId="77777777" w:rsidR="005C7368" w:rsidRPr="00B06F56" w:rsidRDefault="00000000">
      <w:pPr>
        <w:ind w:firstLine="288"/>
        <w:jc w:val="both"/>
      </w:pPr>
      <w:r w:rsidRPr="00B06F56">
        <w:t>The conceptual evidence therefore supports a multidimensional risk state: number of medicines, duration, appropriateness, pharmacological burden, regimen complexity, indication quality and patient-perceived workload. Table 1 summarises the principal constructs and their implications. Its central message is that a numerical threshold is best used as a trigger for review, not as an endpoint for care.</w:t>
      </w:r>
    </w:p>
    <w:p w14:paraId="6B15EEB0" w14:textId="77777777" w:rsidR="005C7368" w:rsidRPr="00B06F56" w:rsidRDefault="00000000">
      <w:pPr>
        <w:keepNext/>
        <w:spacing w:before="160" w:after="80"/>
      </w:pPr>
      <w:r w:rsidRPr="00B06F56">
        <w:rPr>
          <w:b/>
          <w:sz w:val="20"/>
        </w:rPr>
        <w:t>Table 1. Polypharmacy constructs and their relevance to hospitalisation and HRQoL</w:t>
      </w:r>
    </w:p>
    <w:tbl>
      <w:tblPr>
        <w:tblStyle w:val="TableGrid"/>
        <w:tblW w:w="0" w:type="auto"/>
        <w:jc w:val="center"/>
        <w:tblLayout w:type="fixed"/>
        <w:tblLook w:val="04A0" w:firstRow="1" w:lastRow="0" w:firstColumn="1" w:lastColumn="0" w:noHBand="0" w:noVBand="1"/>
      </w:tblPr>
      <w:tblGrid>
        <w:gridCol w:w="2016"/>
        <w:gridCol w:w="2016"/>
        <w:gridCol w:w="2016"/>
        <w:gridCol w:w="2016"/>
        <w:gridCol w:w="2016"/>
      </w:tblGrid>
      <w:tr w:rsidR="00B06F56" w:rsidRPr="00B06F56" w14:paraId="2B312DC5" w14:textId="77777777">
        <w:trPr>
          <w:tblHeader/>
          <w:jc w:val="center"/>
        </w:trPr>
        <w:tc>
          <w:tcPr>
            <w:tcW w:w="2016" w:type="dxa"/>
            <w:shd w:val="clear" w:color="auto" w:fill="D9E2F3"/>
            <w:tcMar>
              <w:top w:w="80" w:type="dxa"/>
              <w:left w:w="100" w:type="dxa"/>
              <w:bottom w:w="80" w:type="dxa"/>
              <w:right w:w="100" w:type="dxa"/>
            </w:tcMar>
            <w:vAlign w:val="center"/>
          </w:tcPr>
          <w:p w14:paraId="4372C129" w14:textId="77777777" w:rsidR="005C7368" w:rsidRPr="00B06F56" w:rsidRDefault="00000000">
            <w:pPr>
              <w:pStyle w:val="TableText"/>
              <w:jc w:val="center"/>
            </w:pPr>
            <w:r w:rsidRPr="00B06F56">
              <w:rPr>
                <w:b/>
              </w:rPr>
              <w:t>Construct</w:t>
            </w:r>
          </w:p>
        </w:tc>
        <w:tc>
          <w:tcPr>
            <w:tcW w:w="2016" w:type="dxa"/>
            <w:shd w:val="clear" w:color="auto" w:fill="D9E2F3"/>
            <w:tcMar>
              <w:top w:w="80" w:type="dxa"/>
              <w:left w:w="100" w:type="dxa"/>
              <w:bottom w:w="80" w:type="dxa"/>
              <w:right w:w="100" w:type="dxa"/>
            </w:tcMar>
            <w:vAlign w:val="center"/>
          </w:tcPr>
          <w:p w14:paraId="2469190A" w14:textId="77777777" w:rsidR="005C7368" w:rsidRPr="00B06F56" w:rsidRDefault="00000000">
            <w:pPr>
              <w:pStyle w:val="TableText"/>
              <w:jc w:val="center"/>
            </w:pPr>
            <w:r w:rsidRPr="00B06F56">
              <w:rPr>
                <w:b/>
              </w:rPr>
              <w:t>Typical operationalisation</w:t>
            </w:r>
          </w:p>
        </w:tc>
        <w:tc>
          <w:tcPr>
            <w:tcW w:w="2016" w:type="dxa"/>
            <w:shd w:val="clear" w:color="auto" w:fill="D9E2F3"/>
            <w:tcMar>
              <w:top w:w="80" w:type="dxa"/>
              <w:left w:w="100" w:type="dxa"/>
              <w:bottom w:w="80" w:type="dxa"/>
              <w:right w:w="100" w:type="dxa"/>
            </w:tcMar>
            <w:vAlign w:val="center"/>
          </w:tcPr>
          <w:p w14:paraId="6EF2519F" w14:textId="77777777" w:rsidR="005C7368" w:rsidRPr="00B06F56" w:rsidRDefault="00000000">
            <w:pPr>
              <w:pStyle w:val="TableText"/>
              <w:jc w:val="center"/>
            </w:pPr>
            <w:r w:rsidRPr="00B06F56">
              <w:rPr>
                <w:b/>
              </w:rPr>
              <w:t>Clinical meaning</w:t>
            </w:r>
          </w:p>
        </w:tc>
        <w:tc>
          <w:tcPr>
            <w:tcW w:w="2016" w:type="dxa"/>
            <w:shd w:val="clear" w:color="auto" w:fill="D9E2F3"/>
            <w:tcMar>
              <w:top w:w="80" w:type="dxa"/>
              <w:left w:w="100" w:type="dxa"/>
              <w:bottom w:w="80" w:type="dxa"/>
              <w:right w:w="100" w:type="dxa"/>
            </w:tcMar>
            <w:vAlign w:val="center"/>
          </w:tcPr>
          <w:p w14:paraId="61323B6B" w14:textId="77777777" w:rsidR="005C7368" w:rsidRPr="00B06F56" w:rsidRDefault="00000000">
            <w:pPr>
              <w:pStyle w:val="TableText"/>
              <w:jc w:val="center"/>
            </w:pPr>
            <w:r w:rsidRPr="00B06F56">
              <w:rPr>
                <w:b/>
              </w:rPr>
              <w:t>Main limitation</w:t>
            </w:r>
          </w:p>
        </w:tc>
        <w:tc>
          <w:tcPr>
            <w:tcW w:w="2016" w:type="dxa"/>
            <w:shd w:val="clear" w:color="auto" w:fill="D9E2F3"/>
            <w:tcMar>
              <w:top w:w="80" w:type="dxa"/>
              <w:left w:w="100" w:type="dxa"/>
              <w:bottom w:w="80" w:type="dxa"/>
              <w:right w:w="100" w:type="dxa"/>
            </w:tcMar>
            <w:vAlign w:val="center"/>
          </w:tcPr>
          <w:p w14:paraId="5F1E5F0C" w14:textId="77777777" w:rsidR="005C7368" w:rsidRPr="00B06F56" w:rsidRDefault="00000000">
            <w:pPr>
              <w:pStyle w:val="TableText"/>
              <w:jc w:val="center"/>
            </w:pPr>
            <w:r w:rsidRPr="00B06F56">
              <w:rPr>
                <w:b/>
              </w:rPr>
              <w:t>Supporting references</w:t>
            </w:r>
          </w:p>
        </w:tc>
      </w:tr>
      <w:tr w:rsidR="00B06F56" w:rsidRPr="00B06F56" w14:paraId="348A47A6" w14:textId="77777777">
        <w:trPr>
          <w:cantSplit/>
          <w:jc w:val="center"/>
        </w:trPr>
        <w:tc>
          <w:tcPr>
            <w:tcW w:w="2016" w:type="dxa"/>
            <w:tcMar>
              <w:top w:w="80" w:type="dxa"/>
              <w:left w:w="100" w:type="dxa"/>
              <w:bottom w:w="80" w:type="dxa"/>
              <w:right w:w="100" w:type="dxa"/>
            </w:tcMar>
            <w:vAlign w:val="center"/>
          </w:tcPr>
          <w:p w14:paraId="18B5B350" w14:textId="77777777" w:rsidR="005C7368" w:rsidRPr="00B06F56" w:rsidRDefault="00000000">
            <w:pPr>
              <w:pStyle w:val="TableText"/>
              <w:jc w:val="center"/>
            </w:pPr>
            <w:r w:rsidRPr="00B06F56">
              <w:t>Polypharmacy</w:t>
            </w:r>
          </w:p>
        </w:tc>
        <w:tc>
          <w:tcPr>
            <w:tcW w:w="2016" w:type="dxa"/>
            <w:tcMar>
              <w:top w:w="80" w:type="dxa"/>
              <w:left w:w="100" w:type="dxa"/>
              <w:bottom w:w="80" w:type="dxa"/>
              <w:right w:w="100" w:type="dxa"/>
            </w:tcMar>
            <w:vAlign w:val="center"/>
          </w:tcPr>
          <w:p w14:paraId="0DACC840" w14:textId="77777777" w:rsidR="005C7368" w:rsidRPr="00B06F56" w:rsidRDefault="00000000">
            <w:pPr>
              <w:pStyle w:val="TableText"/>
            </w:pPr>
            <w:r w:rsidRPr="00B06F56">
              <w:t>Usually ≥5 concurrent medicines</w:t>
            </w:r>
          </w:p>
        </w:tc>
        <w:tc>
          <w:tcPr>
            <w:tcW w:w="2016" w:type="dxa"/>
            <w:tcMar>
              <w:top w:w="80" w:type="dxa"/>
              <w:left w:w="100" w:type="dxa"/>
              <w:bottom w:w="80" w:type="dxa"/>
              <w:right w:w="100" w:type="dxa"/>
            </w:tcMar>
            <w:vAlign w:val="center"/>
          </w:tcPr>
          <w:p w14:paraId="388AFDF7" w14:textId="77777777" w:rsidR="005C7368" w:rsidRPr="00B06F56" w:rsidRDefault="00000000">
            <w:pPr>
              <w:pStyle w:val="TableText"/>
            </w:pPr>
            <w:r w:rsidRPr="00B06F56">
              <w:t>Sensitive marker of treatment complexity and risk; useful for case finding</w:t>
            </w:r>
          </w:p>
        </w:tc>
        <w:tc>
          <w:tcPr>
            <w:tcW w:w="2016" w:type="dxa"/>
            <w:tcMar>
              <w:top w:w="80" w:type="dxa"/>
              <w:left w:w="100" w:type="dxa"/>
              <w:bottom w:w="80" w:type="dxa"/>
              <w:right w:w="100" w:type="dxa"/>
            </w:tcMar>
            <w:vAlign w:val="center"/>
          </w:tcPr>
          <w:p w14:paraId="473DC7D8" w14:textId="77777777" w:rsidR="005C7368" w:rsidRPr="00B06F56" w:rsidRDefault="00000000">
            <w:pPr>
              <w:pStyle w:val="TableText"/>
            </w:pPr>
            <w:r w:rsidRPr="00B06F56">
              <w:t>Does not distinguish appropriate from inappropriate treatment</w:t>
            </w:r>
          </w:p>
        </w:tc>
        <w:tc>
          <w:tcPr>
            <w:tcW w:w="2016" w:type="dxa"/>
            <w:tcMar>
              <w:top w:w="80" w:type="dxa"/>
              <w:left w:w="100" w:type="dxa"/>
              <w:bottom w:w="80" w:type="dxa"/>
              <w:right w:w="100" w:type="dxa"/>
            </w:tcMar>
            <w:vAlign w:val="center"/>
          </w:tcPr>
          <w:p w14:paraId="28287E84" w14:textId="77777777" w:rsidR="005C7368" w:rsidRPr="00B06F56" w:rsidRDefault="00000000">
            <w:pPr>
              <w:pStyle w:val="TableText"/>
            </w:pPr>
            <w:r w:rsidRPr="00B06F56">
              <w:t>Masnoon et al. (2017); Gnjidic et al. (2012)</w:t>
            </w:r>
          </w:p>
        </w:tc>
      </w:tr>
      <w:tr w:rsidR="00B06F56" w:rsidRPr="00B06F56" w14:paraId="305D18CF" w14:textId="77777777">
        <w:trPr>
          <w:cantSplit/>
          <w:jc w:val="center"/>
        </w:trPr>
        <w:tc>
          <w:tcPr>
            <w:tcW w:w="2016" w:type="dxa"/>
            <w:tcMar>
              <w:top w:w="80" w:type="dxa"/>
              <w:left w:w="100" w:type="dxa"/>
              <w:bottom w:w="80" w:type="dxa"/>
              <w:right w:w="100" w:type="dxa"/>
            </w:tcMar>
            <w:vAlign w:val="center"/>
          </w:tcPr>
          <w:p w14:paraId="37EB7FE6" w14:textId="77777777" w:rsidR="005C7368" w:rsidRPr="00B06F56" w:rsidRDefault="00000000">
            <w:pPr>
              <w:pStyle w:val="TableText"/>
              <w:jc w:val="center"/>
            </w:pPr>
            <w:r w:rsidRPr="00B06F56">
              <w:lastRenderedPageBreak/>
              <w:t>Hyperpolypharmacy</w:t>
            </w:r>
          </w:p>
        </w:tc>
        <w:tc>
          <w:tcPr>
            <w:tcW w:w="2016" w:type="dxa"/>
            <w:tcMar>
              <w:top w:w="80" w:type="dxa"/>
              <w:left w:w="100" w:type="dxa"/>
              <w:bottom w:w="80" w:type="dxa"/>
              <w:right w:w="100" w:type="dxa"/>
            </w:tcMar>
            <w:vAlign w:val="center"/>
          </w:tcPr>
          <w:p w14:paraId="6096772A" w14:textId="77777777" w:rsidR="005C7368" w:rsidRPr="00B06F56" w:rsidRDefault="00000000">
            <w:pPr>
              <w:pStyle w:val="TableText"/>
            </w:pPr>
            <w:r w:rsidRPr="00B06F56">
              <w:t>Usually ≥10 concurrent medicines</w:t>
            </w:r>
          </w:p>
        </w:tc>
        <w:tc>
          <w:tcPr>
            <w:tcW w:w="2016" w:type="dxa"/>
            <w:tcMar>
              <w:top w:w="80" w:type="dxa"/>
              <w:left w:w="100" w:type="dxa"/>
              <w:bottom w:w="80" w:type="dxa"/>
              <w:right w:w="100" w:type="dxa"/>
            </w:tcMar>
            <w:vAlign w:val="center"/>
          </w:tcPr>
          <w:p w14:paraId="07667395" w14:textId="77777777" w:rsidR="005C7368" w:rsidRPr="00B06F56" w:rsidRDefault="00000000">
            <w:pPr>
              <w:pStyle w:val="TableText"/>
            </w:pPr>
            <w:r w:rsidRPr="00B06F56">
              <w:t>Identifies a subgroup with greater disease and treatment burden</w:t>
            </w:r>
          </w:p>
        </w:tc>
        <w:tc>
          <w:tcPr>
            <w:tcW w:w="2016" w:type="dxa"/>
            <w:tcMar>
              <w:top w:w="80" w:type="dxa"/>
              <w:left w:w="100" w:type="dxa"/>
              <w:bottom w:w="80" w:type="dxa"/>
              <w:right w:w="100" w:type="dxa"/>
            </w:tcMar>
            <w:vAlign w:val="center"/>
          </w:tcPr>
          <w:p w14:paraId="006CCF22" w14:textId="77777777" w:rsidR="005C7368" w:rsidRPr="00B06F56" w:rsidRDefault="00000000">
            <w:pPr>
              <w:pStyle w:val="TableText"/>
            </w:pPr>
            <w:r w:rsidRPr="00B06F56">
              <w:t>Threshold remains arbitrary and strongly confounded by multimorbidity</w:t>
            </w:r>
          </w:p>
        </w:tc>
        <w:tc>
          <w:tcPr>
            <w:tcW w:w="2016" w:type="dxa"/>
            <w:tcMar>
              <w:top w:w="80" w:type="dxa"/>
              <w:left w:w="100" w:type="dxa"/>
              <w:bottom w:w="80" w:type="dxa"/>
              <w:right w:w="100" w:type="dxa"/>
            </w:tcMar>
            <w:vAlign w:val="center"/>
          </w:tcPr>
          <w:p w14:paraId="69530113" w14:textId="77777777" w:rsidR="005C7368" w:rsidRPr="00B06F56" w:rsidRDefault="00000000">
            <w:pPr>
              <w:pStyle w:val="TableText"/>
            </w:pPr>
            <w:r w:rsidRPr="00B06F56">
              <w:t>Lu et al. (2015); Falke et al. (2024)</w:t>
            </w:r>
          </w:p>
        </w:tc>
      </w:tr>
      <w:tr w:rsidR="00B06F56" w:rsidRPr="00B06F56" w14:paraId="0CA31162" w14:textId="77777777">
        <w:trPr>
          <w:cantSplit/>
          <w:jc w:val="center"/>
        </w:trPr>
        <w:tc>
          <w:tcPr>
            <w:tcW w:w="2016" w:type="dxa"/>
            <w:tcMar>
              <w:top w:w="80" w:type="dxa"/>
              <w:left w:w="100" w:type="dxa"/>
              <w:bottom w:w="80" w:type="dxa"/>
              <w:right w:w="100" w:type="dxa"/>
            </w:tcMar>
            <w:vAlign w:val="center"/>
          </w:tcPr>
          <w:p w14:paraId="7E8D9982" w14:textId="77777777" w:rsidR="005C7368" w:rsidRPr="00B06F56" w:rsidRDefault="00000000">
            <w:pPr>
              <w:pStyle w:val="TableText"/>
              <w:jc w:val="center"/>
            </w:pPr>
            <w:r w:rsidRPr="00B06F56">
              <w:t>Persistent polypharmacy</w:t>
            </w:r>
          </w:p>
        </w:tc>
        <w:tc>
          <w:tcPr>
            <w:tcW w:w="2016" w:type="dxa"/>
            <w:tcMar>
              <w:top w:w="80" w:type="dxa"/>
              <w:left w:w="100" w:type="dxa"/>
              <w:bottom w:w="80" w:type="dxa"/>
              <w:right w:w="100" w:type="dxa"/>
            </w:tcMar>
            <w:vAlign w:val="center"/>
          </w:tcPr>
          <w:p w14:paraId="1947080A" w14:textId="77777777" w:rsidR="005C7368" w:rsidRPr="00B06F56" w:rsidRDefault="00000000">
            <w:pPr>
              <w:pStyle w:val="TableText"/>
            </w:pPr>
            <w:r w:rsidRPr="00B06F56">
              <w:t>Repeated exposure over months or years</w:t>
            </w:r>
          </w:p>
        </w:tc>
        <w:tc>
          <w:tcPr>
            <w:tcW w:w="2016" w:type="dxa"/>
            <w:tcMar>
              <w:top w:w="80" w:type="dxa"/>
              <w:left w:w="100" w:type="dxa"/>
              <w:bottom w:w="80" w:type="dxa"/>
              <w:right w:w="100" w:type="dxa"/>
            </w:tcMar>
            <w:vAlign w:val="center"/>
          </w:tcPr>
          <w:p w14:paraId="550C2C31" w14:textId="77777777" w:rsidR="005C7368" w:rsidRPr="00B06F56" w:rsidRDefault="00000000">
            <w:pPr>
              <w:pStyle w:val="TableText"/>
            </w:pPr>
            <w:r w:rsidRPr="00B06F56">
              <w:t>Suggests durable cumulative burden and need for periodic reassessment</w:t>
            </w:r>
          </w:p>
        </w:tc>
        <w:tc>
          <w:tcPr>
            <w:tcW w:w="2016" w:type="dxa"/>
            <w:tcMar>
              <w:top w:w="80" w:type="dxa"/>
              <w:left w:w="100" w:type="dxa"/>
              <w:bottom w:w="80" w:type="dxa"/>
              <w:right w:w="100" w:type="dxa"/>
            </w:tcMar>
            <w:vAlign w:val="center"/>
          </w:tcPr>
          <w:p w14:paraId="4F08355B" w14:textId="77777777" w:rsidR="005C7368" w:rsidRPr="00B06F56" w:rsidRDefault="00000000">
            <w:pPr>
              <w:pStyle w:val="TableText"/>
            </w:pPr>
            <w:r w:rsidRPr="00B06F56">
              <w:t>May still be fully appropriate in stable multimorbidity</w:t>
            </w:r>
          </w:p>
        </w:tc>
        <w:tc>
          <w:tcPr>
            <w:tcW w:w="2016" w:type="dxa"/>
            <w:tcMar>
              <w:top w:w="80" w:type="dxa"/>
              <w:left w:w="100" w:type="dxa"/>
              <w:bottom w:w="80" w:type="dxa"/>
              <w:right w:w="100" w:type="dxa"/>
            </w:tcMar>
            <w:vAlign w:val="center"/>
          </w:tcPr>
          <w:p w14:paraId="08F3D0EF" w14:textId="77777777" w:rsidR="005C7368" w:rsidRPr="00B06F56" w:rsidRDefault="00000000">
            <w:pPr>
              <w:pStyle w:val="TableText"/>
            </w:pPr>
            <w:r w:rsidRPr="00B06F56">
              <w:t>Wastesson et al. (2019)</w:t>
            </w:r>
          </w:p>
        </w:tc>
      </w:tr>
      <w:tr w:rsidR="00B06F56" w:rsidRPr="00B06F56" w14:paraId="11CE19F5" w14:textId="77777777">
        <w:trPr>
          <w:cantSplit/>
          <w:jc w:val="center"/>
        </w:trPr>
        <w:tc>
          <w:tcPr>
            <w:tcW w:w="2016" w:type="dxa"/>
            <w:tcMar>
              <w:top w:w="80" w:type="dxa"/>
              <w:left w:w="100" w:type="dxa"/>
              <w:bottom w:w="80" w:type="dxa"/>
              <w:right w:w="100" w:type="dxa"/>
            </w:tcMar>
            <w:vAlign w:val="center"/>
          </w:tcPr>
          <w:p w14:paraId="66DE84B0" w14:textId="77777777" w:rsidR="005C7368" w:rsidRPr="00B06F56" w:rsidRDefault="00000000">
            <w:pPr>
              <w:pStyle w:val="TableText"/>
              <w:jc w:val="center"/>
            </w:pPr>
            <w:r w:rsidRPr="00B06F56">
              <w:t>Potentially inappropriate prescribing</w:t>
            </w:r>
          </w:p>
        </w:tc>
        <w:tc>
          <w:tcPr>
            <w:tcW w:w="2016" w:type="dxa"/>
            <w:tcMar>
              <w:top w:w="80" w:type="dxa"/>
              <w:left w:w="100" w:type="dxa"/>
              <w:bottom w:w="80" w:type="dxa"/>
              <w:right w:w="100" w:type="dxa"/>
            </w:tcMar>
            <w:vAlign w:val="center"/>
          </w:tcPr>
          <w:p w14:paraId="01953499" w14:textId="77777777" w:rsidR="005C7368" w:rsidRPr="00B06F56" w:rsidRDefault="00000000">
            <w:pPr>
              <w:pStyle w:val="TableText"/>
            </w:pPr>
            <w:r w:rsidRPr="00B06F56">
              <w:t>Explicit criteria such as STOPP/START or Beers; includes PIMs and omissions</w:t>
            </w:r>
          </w:p>
        </w:tc>
        <w:tc>
          <w:tcPr>
            <w:tcW w:w="2016" w:type="dxa"/>
            <w:tcMar>
              <w:top w:w="80" w:type="dxa"/>
              <w:left w:w="100" w:type="dxa"/>
              <w:bottom w:w="80" w:type="dxa"/>
              <w:right w:w="100" w:type="dxa"/>
            </w:tcMar>
            <w:vAlign w:val="center"/>
          </w:tcPr>
          <w:p w14:paraId="540F9132" w14:textId="77777777" w:rsidR="005C7368" w:rsidRPr="00B06F56" w:rsidRDefault="00000000">
            <w:pPr>
              <w:pStyle w:val="TableText"/>
            </w:pPr>
            <w:r w:rsidRPr="00B06F56">
              <w:t>Targets modifiable prescribing quality rather than count alone</w:t>
            </w:r>
          </w:p>
        </w:tc>
        <w:tc>
          <w:tcPr>
            <w:tcW w:w="2016" w:type="dxa"/>
            <w:tcMar>
              <w:top w:w="80" w:type="dxa"/>
              <w:left w:w="100" w:type="dxa"/>
              <w:bottom w:w="80" w:type="dxa"/>
              <w:right w:w="100" w:type="dxa"/>
            </w:tcMar>
            <w:vAlign w:val="center"/>
          </w:tcPr>
          <w:p w14:paraId="74420D2B" w14:textId="77777777" w:rsidR="005C7368" w:rsidRPr="00B06F56" w:rsidRDefault="00000000">
            <w:pPr>
              <w:pStyle w:val="TableText"/>
            </w:pPr>
            <w:r w:rsidRPr="00B06F56">
              <w:t>Criteria are context dependent and do not replace individual judgement</w:t>
            </w:r>
          </w:p>
        </w:tc>
        <w:tc>
          <w:tcPr>
            <w:tcW w:w="2016" w:type="dxa"/>
            <w:tcMar>
              <w:top w:w="80" w:type="dxa"/>
              <w:left w:w="100" w:type="dxa"/>
              <w:bottom w:w="80" w:type="dxa"/>
              <w:right w:w="100" w:type="dxa"/>
            </w:tcMar>
            <w:vAlign w:val="center"/>
          </w:tcPr>
          <w:p w14:paraId="25002668" w14:textId="77777777" w:rsidR="005C7368" w:rsidRPr="00B06F56" w:rsidRDefault="00000000">
            <w:pPr>
              <w:pStyle w:val="TableText"/>
            </w:pPr>
            <w:r w:rsidRPr="00B06F56">
              <w:t>Hamilton et al. (2011); O'Mahony et al. (2023); American Geriatrics Society Beers Criteria Update Expert Panel (2023)</w:t>
            </w:r>
          </w:p>
        </w:tc>
      </w:tr>
      <w:tr w:rsidR="00B06F56" w:rsidRPr="00B06F56" w14:paraId="5810D31F" w14:textId="77777777">
        <w:trPr>
          <w:cantSplit/>
          <w:jc w:val="center"/>
        </w:trPr>
        <w:tc>
          <w:tcPr>
            <w:tcW w:w="2016" w:type="dxa"/>
            <w:tcMar>
              <w:top w:w="80" w:type="dxa"/>
              <w:left w:w="100" w:type="dxa"/>
              <w:bottom w:w="80" w:type="dxa"/>
              <w:right w:w="100" w:type="dxa"/>
            </w:tcMar>
            <w:vAlign w:val="center"/>
          </w:tcPr>
          <w:p w14:paraId="2AC68BFF" w14:textId="77777777" w:rsidR="005C7368" w:rsidRPr="00B06F56" w:rsidRDefault="00000000">
            <w:pPr>
              <w:pStyle w:val="TableText"/>
              <w:jc w:val="center"/>
            </w:pPr>
            <w:r w:rsidRPr="00B06F56">
              <w:t>Anticholinergic/sedative burden</w:t>
            </w:r>
          </w:p>
        </w:tc>
        <w:tc>
          <w:tcPr>
            <w:tcW w:w="2016" w:type="dxa"/>
            <w:tcMar>
              <w:top w:w="80" w:type="dxa"/>
              <w:left w:w="100" w:type="dxa"/>
              <w:bottom w:w="80" w:type="dxa"/>
              <w:right w:w="100" w:type="dxa"/>
            </w:tcMar>
            <w:vAlign w:val="center"/>
          </w:tcPr>
          <w:p w14:paraId="1DF56DC3" w14:textId="77777777" w:rsidR="005C7368" w:rsidRPr="00B06F56" w:rsidRDefault="00000000">
            <w:pPr>
              <w:pStyle w:val="TableText"/>
            </w:pPr>
            <w:r w:rsidRPr="00B06F56">
              <w:t>Cumulative exposure scores or high-risk classes</w:t>
            </w:r>
          </w:p>
        </w:tc>
        <w:tc>
          <w:tcPr>
            <w:tcW w:w="2016" w:type="dxa"/>
            <w:tcMar>
              <w:top w:w="80" w:type="dxa"/>
              <w:left w:w="100" w:type="dxa"/>
              <w:bottom w:w="80" w:type="dxa"/>
              <w:right w:w="100" w:type="dxa"/>
            </w:tcMar>
            <w:vAlign w:val="center"/>
          </w:tcPr>
          <w:p w14:paraId="6B808730" w14:textId="77777777" w:rsidR="005C7368" w:rsidRPr="00B06F56" w:rsidRDefault="00000000">
            <w:pPr>
              <w:pStyle w:val="TableText"/>
            </w:pPr>
            <w:r w:rsidRPr="00B06F56">
              <w:t>Captures pharmacodynamic vulnerability linked with falls, cognition and function</w:t>
            </w:r>
          </w:p>
        </w:tc>
        <w:tc>
          <w:tcPr>
            <w:tcW w:w="2016" w:type="dxa"/>
            <w:tcMar>
              <w:top w:w="80" w:type="dxa"/>
              <w:left w:w="100" w:type="dxa"/>
              <w:bottom w:w="80" w:type="dxa"/>
              <w:right w:w="100" w:type="dxa"/>
            </w:tcMar>
            <w:vAlign w:val="center"/>
          </w:tcPr>
          <w:p w14:paraId="3CCF22DD" w14:textId="77777777" w:rsidR="005C7368" w:rsidRPr="00B06F56" w:rsidRDefault="00000000">
            <w:pPr>
              <w:pStyle w:val="TableText"/>
            </w:pPr>
            <w:r w:rsidRPr="00B06F56">
              <w:t>Scales differ and dose/exposure assumptions vary</w:t>
            </w:r>
          </w:p>
        </w:tc>
        <w:tc>
          <w:tcPr>
            <w:tcW w:w="2016" w:type="dxa"/>
            <w:tcMar>
              <w:top w:w="80" w:type="dxa"/>
              <w:left w:w="100" w:type="dxa"/>
              <w:bottom w:w="80" w:type="dxa"/>
              <w:right w:w="100" w:type="dxa"/>
            </w:tcMar>
            <w:vAlign w:val="center"/>
          </w:tcPr>
          <w:p w14:paraId="71795DCF" w14:textId="77777777" w:rsidR="005C7368" w:rsidRPr="00B06F56" w:rsidRDefault="00000000">
            <w:pPr>
              <w:pStyle w:val="TableText"/>
            </w:pPr>
            <w:r w:rsidRPr="00B06F56">
              <w:t>Lu et al. (2015); Falke et al. (2024)</w:t>
            </w:r>
          </w:p>
        </w:tc>
      </w:tr>
      <w:tr w:rsidR="00B06F56" w:rsidRPr="00B06F56" w14:paraId="1795AFDA" w14:textId="77777777">
        <w:trPr>
          <w:cantSplit/>
          <w:jc w:val="center"/>
        </w:trPr>
        <w:tc>
          <w:tcPr>
            <w:tcW w:w="2016" w:type="dxa"/>
            <w:tcMar>
              <w:top w:w="80" w:type="dxa"/>
              <w:left w:w="100" w:type="dxa"/>
              <w:bottom w:w="80" w:type="dxa"/>
              <w:right w:w="100" w:type="dxa"/>
            </w:tcMar>
            <w:vAlign w:val="center"/>
          </w:tcPr>
          <w:p w14:paraId="18802F18" w14:textId="77777777" w:rsidR="005C7368" w:rsidRPr="00B06F56" w:rsidRDefault="00000000">
            <w:pPr>
              <w:pStyle w:val="TableText"/>
              <w:jc w:val="center"/>
            </w:pPr>
            <w:r w:rsidRPr="00B06F56">
              <w:t>Medication complexity and pill burden</w:t>
            </w:r>
          </w:p>
        </w:tc>
        <w:tc>
          <w:tcPr>
            <w:tcW w:w="2016" w:type="dxa"/>
            <w:tcMar>
              <w:top w:w="80" w:type="dxa"/>
              <w:left w:w="100" w:type="dxa"/>
              <w:bottom w:w="80" w:type="dxa"/>
              <w:right w:w="100" w:type="dxa"/>
            </w:tcMar>
            <w:vAlign w:val="center"/>
          </w:tcPr>
          <w:p w14:paraId="089B759A" w14:textId="77777777" w:rsidR="005C7368" w:rsidRPr="00B06F56" w:rsidRDefault="00000000">
            <w:pPr>
              <w:pStyle w:val="TableText"/>
            </w:pPr>
            <w:r w:rsidRPr="00B06F56">
              <w:t>Dose frequency, formulation, daily pill count, administration requirements</w:t>
            </w:r>
          </w:p>
        </w:tc>
        <w:tc>
          <w:tcPr>
            <w:tcW w:w="2016" w:type="dxa"/>
            <w:tcMar>
              <w:top w:w="80" w:type="dxa"/>
              <w:left w:w="100" w:type="dxa"/>
              <w:bottom w:w="80" w:type="dxa"/>
              <w:right w:w="100" w:type="dxa"/>
            </w:tcMar>
            <w:vAlign w:val="center"/>
          </w:tcPr>
          <w:p w14:paraId="4EFB4C2B" w14:textId="77777777" w:rsidR="005C7368" w:rsidRPr="00B06F56" w:rsidRDefault="00000000">
            <w:pPr>
              <w:pStyle w:val="TableText"/>
            </w:pPr>
            <w:r w:rsidRPr="00B06F56">
              <w:t>Reflects treatment workload, adherence challenge and patient burden</w:t>
            </w:r>
          </w:p>
        </w:tc>
        <w:tc>
          <w:tcPr>
            <w:tcW w:w="2016" w:type="dxa"/>
            <w:tcMar>
              <w:top w:w="80" w:type="dxa"/>
              <w:left w:w="100" w:type="dxa"/>
              <w:bottom w:w="80" w:type="dxa"/>
              <w:right w:w="100" w:type="dxa"/>
            </w:tcMar>
            <w:vAlign w:val="center"/>
          </w:tcPr>
          <w:p w14:paraId="19A5E271" w14:textId="77777777" w:rsidR="005C7368" w:rsidRPr="00B06F56" w:rsidRDefault="00000000">
            <w:pPr>
              <w:pStyle w:val="TableText"/>
            </w:pPr>
            <w:r w:rsidRPr="00B06F56">
              <w:t>Less consistently measured than drug count</w:t>
            </w:r>
          </w:p>
        </w:tc>
        <w:tc>
          <w:tcPr>
            <w:tcW w:w="2016" w:type="dxa"/>
            <w:tcMar>
              <w:top w:w="80" w:type="dxa"/>
              <w:left w:w="100" w:type="dxa"/>
              <w:bottom w:w="80" w:type="dxa"/>
              <w:right w:w="100" w:type="dxa"/>
            </w:tcMar>
            <w:vAlign w:val="center"/>
          </w:tcPr>
          <w:p w14:paraId="0BECD435" w14:textId="77777777" w:rsidR="005C7368" w:rsidRPr="00B06F56" w:rsidRDefault="00000000">
            <w:pPr>
              <w:pStyle w:val="TableText"/>
            </w:pPr>
            <w:r w:rsidRPr="00B06F56">
              <w:t>Falke et al. (2024); Vonderhaar et al. (2025)</w:t>
            </w:r>
          </w:p>
        </w:tc>
      </w:tr>
    </w:tbl>
    <w:p w14:paraId="6487F351"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4E8E624F" w14:textId="77777777" w:rsidR="005C7368" w:rsidRPr="00B06F56" w:rsidRDefault="00000000">
      <w:pPr>
        <w:pStyle w:val="Heading1"/>
        <w:rPr>
          <w:color w:val="auto"/>
        </w:rPr>
      </w:pPr>
      <w:r w:rsidRPr="00B06F56">
        <w:rPr>
          <w:color w:val="auto"/>
        </w:rPr>
        <w:t>4. Polypharmacy and Hospitalisation</w:t>
      </w:r>
    </w:p>
    <w:p w14:paraId="475E6284" w14:textId="77777777" w:rsidR="005C7368" w:rsidRPr="00B06F56" w:rsidRDefault="00000000">
      <w:pPr>
        <w:ind w:firstLine="288"/>
        <w:jc w:val="both"/>
      </w:pPr>
      <w:r w:rsidRPr="00B06F56">
        <w:t>Hospitalisation is the adverse outcome for which the association with polypharmacy is most consistent, but the literature encompasses several different causal questions. An all-cause admission can be related to disease progression, social circumstances or an adverse drug event; a drug-related admission is more proximal to medication exposure; and a readmission may reflect unresolved illness, transitional care or medication problems. Treating these endpoints as equivalent inflates apparent consistency and obscures modifiability. The strongest inference comes from examining them separately.</w:t>
      </w:r>
    </w:p>
    <w:p w14:paraId="0AF6386D" w14:textId="77777777" w:rsidR="005C7368" w:rsidRPr="00B06F56" w:rsidRDefault="00000000">
      <w:pPr>
        <w:ind w:firstLine="288"/>
        <w:jc w:val="both"/>
      </w:pPr>
      <w:r w:rsidRPr="00B06F56">
        <w:t>Large observational cohorts show a dose-response relationship between medication count and subsequent hospital use. Chang et al. (2020) analysed more than three million older adults in a nationwide cohort and found progressively higher hospitalisation risk with increasing numbers of prescribed medicines; polypharmacy was associated with an adjusted hazard ratio of approximately 1.18 for hospitalisation. The scale and dose-response pattern make random error unlikely. Nevertheless, the study cannot fully separate medication effects from the severity and number of treated conditions. A medication count can function as a summary of latent morbidity even after conventional adjustment.</w:t>
      </w:r>
    </w:p>
    <w:p w14:paraId="22DF523D" w14:textId="77777777" w:rsidR="005C7368" w:rsidRPr="00B06F56" w:rsidRDefault="00000000">
      <w:pPr>
        <w:ind w:firstLine="288"/>
        <w:jc w:val="both"/>
      </w:pPr>
      <w:r w:rsidRPr="00B06F56">
        <w:t xml:space="preserve">Payne et al. (2014) provides one of the clearest demonstrations of effect modification by multimorbidity. Among people with one long-term condition, ten or more medicines were associated with markedly higher odds of unplanned admission compared with one to three medicines. Among those with six or more conditions, the corresponding excess was much smaller. The finding is counterintuitive if medication number is treated as an inherently toxic exposure but coherent if medicines partly reflect therapeutic need. It suggests that the incremental risk attributable to an additional medicine depends on the clinical context in which it is </w:t>
      </w:r>
      <w:r w:rsidRPr="00B06F56">
        <w:lastRenderedPageBreak/>
        <w:t>prescribed. Studies that adjust only for a comorbidity count, rather than disease severity and treatment indication, may therefore still leave substantial confounding.</w:t>
      </w:r>
    </w:p>
    <w:p w14:paraId="6C62C12E" w14:textId="77777777" w:rsidR="005C7368" w:rsidRPr="00B06F56" w:rsidRDefault="00000000">
      <w:pPr>
        <w:ind w:firstLine="288"/>
        <w:jc w:val="both"/>
      </w:pPr>
      <w:r w:rsidRPr="00B06F56">
        <w:t>Other cohorts strengthen the argument that qualitative medication characteristics matter. Lu et al. (2015) found that polypharmacy, potentially inappropriate medicines and anticholinergic burden were each associated with hospital admission in older adults, while fracture-related admission showed dose-response relationships with both medicine count and anticholinergic burden. The simultaneous presence of these associations makes it implausible that a single mechanism explains all risk. Some of the effect likely reflects multimorbidity; some plausibly arises from dizziness, orthostatic hypotension, sedation, cognitive impairment or falls; and some may result from prescribing cascades or interactions. The clinical implication is to investigate the composition of the regimen rather than responding to count alone.</w:t>
      </w:r>
    </w:p>
    <w:p w14:paraId="2399E571" w14:textId="77777777" w:rsidR="005C7368" w:rsidRPr="00B06F56" w:rsidRDefault="00000000">
      <w:pPr>
        <w:ind w:firstLine="288"/>
        <w:jc w:val="both"/>
      </w:pPr>
      <w:r w:rsidRPr="00B06F56">
        <w:t>The Moli-sani cohort adds a more recent perspective by distinguishing chronic and non-chronic polypharmacy. Compared with no polypharmacy, both patterns were associated with higher hazards of hospitalisation, with a larger estimate for chronic exposure. Potentially inappropriate prescribing mediated only a small portion of the association, approximately 6% for hospitalisation (Costanzo et al., 2024). This is an important corrective to a simplistic model in which all excess hospitalisation is caused by inappropriate prescribing. It is more plausible that polypharmacy marks a mixture of disease burden, necessary therapy and avoidable medication risk, with inappropriate prescriptions contributing to but not fully explaining the observed association.</w:t>
      </w:r>
    </w:p>
    <w:p w14:paraId="6203F0E6" w14:textId="77777777" w:rsidR="005C7368" w:rsidRPr="00B06F56" w:rsidRDefault="00000000">
      <w:pPr>
        <w:ind w:firstLine="288"/>
        <w:jc w:val="both"/>
      </w:pPr>
      <w:r w:rsidRPr="00B06F56">
        <w:t>Medication-related admissions provide closer causal proximity. In the Dutch HARM study, 5.6% of nearly 13,000 unplanned admissions screened were medication related, and almost half of those were considered potentially preventable. Polypharmacy, impaired cognition, multiple comorbidities, impaired renal function, non-adherence and dependent living were among the determinants of potentially preventable medication-related admission (Leendertse et al., 2008). These risk factors illuminate geriatric vulnerability: medication harm is not generated by drug exposure in isolation but by the interaction of regimen complexity with reduced physiological reserve, cognitive capacity and self-management resources.</w:t>
      </w:r>
    </w:p>
    <w:p w14:paraId="4C3D8105" w14:textId="77777777" w:rsidR="005C7368" w:rsidRPr="00B06F56" w:rsidRDefault="00000000">
      <w:pPr>
        <w:ind w:firstLine="288"/>
        <w:jc w:val="both"/>
      </w:pPr>
      <w:r w:rsidRPr="00B06F56">
        <w:t>Potentially inappropriate prescribing further refines this link. In 600 acutely admitted older adults, Hamilton et al. (2011) found STOPP-defined potentially inappropriate medicines were independently associated with serious avoidable adverse drug events causal or contributory to admission, whereas Beers-defined exposure was not significantly associated after adjustment. The difference does not establish superiority of one tool in all settings, but it shows that outcome associations depend on how inappropriate prescribing is defined. A criterion set closely aligned with the medicines and clinical problems encountered in a specific healthcare environment may predict harm better than a generic list.</w:t>
      </w:r>
    </w:p>
    <w:p w14:paraId="6E8B7202" w14:textId="77777777" w:rsidR="005C7368" w:rsidRPr="00B06F56" w:rsidRDefault="00000000">
      <w:pPr>
        <w:ind w:firstLine="288"/>
        <w:jc w:val="both"/>
      </w:pPr>
      <w:r w:rsidRPr="00B06F56">
        <w:t>Systematic review evidence is consistent with this nuanced interpretation. Davies et al. (2020), reviewing reviews, found hospitalisation and inappropriate prescribing among the outcomes with the most consistent association with polypharmacy, while evidence for several other outcomes remained conflicting. Fried et al. (2014) similarly concluded that many well-adjusted community studies linked higher medication counts with hospitalisation and other adverse outcomes, but not uniformly. Mekonnen et al. (2021) found potentially inappropriate prescribing associated with adverse-drug-event-related admissions and functional decline, while pooled associations with all-cause readmission and mortality were not significant. The gradient of consistency from medication-proximal outcomes to broad all-cause outcomes is exactly what would be expected if medication harm is real but constitutes only one pathway to hospital use.</w:t>
      </w:r>
    </w:p>
    <w:p w14:paraId="76A1A4B8" w14:textId="77777777" w:rsidR="005C7368" w:rsidRPr="00B06F56" w:rsidRDefault="00000000">
      <w:pPr>
        <w:ind w:firstLine="288"/>
        <w:jc w:val="both"/>
      </w:pPr>
      <w:r w:rsidRPr="00B06F56">
        <w:t xml:space="preserve">Randomised evidence tests whether the association is modifiable. Structured medication review can reduce adverse drug reactions during hospitalisation. O'Connor et al. (2016) found that applying </w:t>
      </w:r>
      <w:r w:rsidRPr="00B06F56">
        <w:lastRenderedPageBreak/>
        <w:t>STOPP/START criteria reduced hospital-acquired adverse drug reactions from 21.0% to 11.7%, although length of stay was unchanged. A related software-supported pharmacist intervention also reduced adverse drug reactions without improving hospital mortality or length of stay (O'Sullivan et al., 2016). These trials support the biological and clinical relevance of prescribing optimisation but also show that preventing medication harm does not automatically translate to shorter admissions or fewer subsequent admissions.</w:t>
      </w:r>
    </w:p>
    <w:p w14:paraId="3239198F" w14:textId="77777777" w:rsidR="005C7368" w:rsidRPr="00B06F56" w:rsidRDefault="00000000">
      <w:pPr>
        <w:ind w:firstLine="288"/>
        <w:jc w:val="both"/>
      </w:pPr>
      <w:r w:rsidRPr="00B06F56">
        <w:t>The distinction becomes sharper in trials using hospitalisation itself as the primary endpoint. In OPERAM, 2,008 multimorbid adults aged at least 70 years with polypharmacy received structured pharmacotherapy optimisation or usual care. Inappropriate prescribing was common and recommendations were frequently implemented, but first drug-related hospital admission did not differ significantly between groups over 12 months (Blum et al., 2021). The result is particularly informative because the intervention successfully changed prescribing process measures. Failure to shift the hospital endpoint may reflect incomplete implementation, competing non-medication causes of admission, insufficient power for a heterogeneous outcome, or genuinely modest causal effects of medication optimisation on admissions.</w:t>
      </w:r>
    </w:p>
    <w:p w14:paraId="53966062" w14:textId="77777777" w:rsidR="005C7368" w:rsidRPr="00B06F56" w:rsidRDefault="00000000">
      <w:pPr>
        <w:ind w:firstLine="288"/>
        <w:jc w:val="both"/>
      </w:pPr>
      <w:r w:rsidRPr="00B06F56">
        <w:t>A similar pattern is visible in primary care. The PHARM study showed fewer medication-related hospital admissions in the intervention group, but the difference was not statistically significant and the study was underpowered; a post hoc signal in those with very high comorbidity burden requires replication (Leendertse et al., 2013). In systematic review, Johansson et al. (2016) found no convincing overall evidence that strategies to reduce polypharmacy lowered hospitalisation, although individual studies reported benefit. More recent inpatient meta-analysis suggests a small reduction in readmission after medication review and deprescribing, but most included studies had high risk of bias, limiting certainty (Carollo et al., 2024).</w:t>
      </w:r>
    </w:p>
    <w:p w14:paraId="4AFC7CD9" w14:textId="77777777" w:rsidR="005C7368" w:rsidRPr="00B06F56" w:rsidRDefault="00000000">
      <w:pPr>
        <w:ind w:firstLine="288"/>
        <w:jc w:val="both"/>
      </w:pPr>
      <w:r w:rsidRPr="00B06F56">
        <w:t>Readmission deserves separate consideration because it occurs at the intersection of illness severity, discharge quality and medication management. An intervention may prevent a medication-related return to hospital yet have little effect on readmissions caused by infection, heart failure progression or social instability. Conversely, an apparently medication-neutral readmission can still follow a prescribing change if withdrawal, non-adherence or inadequate monitoring destabilises a chronic condition. This endpoint ambiguity helps explain why trials that improve prescribing quality can remain neutral for all-cause readmission. Meta-analytic evidence of a small readmission reduction after inpatient medication review is therefore clinically plausible, but the signal should be interpreted alongside the high risk of bias and variable adjudication in the underlying studies (Carollo et al., 2024). Future work needs clearer separation of preventable medication-related readmission from unavoidable disease-related utilisation.</w:t>
      </w:r>
    </w:p>
    <w:p w14:paraId="534E643A" w14:textId="77777777" w:rsidR="005C7368" w:rsidRPr="00B06F56" w:rsidRDefault="00000000">
      <w:pPr>
        <w:ind w:firstLine="288"/>
        <w:jc w:val="both"/>
      </w:pPr>
      <w:r w:rsidRPr="00B06F56">
        <w:t>Reverse causation is another important threat to observational inference. Hospitalisation can itself initiate or intensify polypharmacy through new diagnoses, prophylaxis, symptom treatment and specialist recommendations, so a medicine count recorded shortly after discharge may partly be an effect of the hospital episode rather than its cause. The same problem applies when worsening illness increases both medication exposure and impending admission risk. Repeated pre-event medication measurements and lagged analyses are therefore preferable to single cross-sectional counts. The epidemiological literature consistently identifies polypharmacy as a marker of adverse outcomes, but reviews of its determinants also emphasise multimorbidity, healthcare contact and prescribing context, reinforcing the need to distinguish risk prediction from causal attribution (Khezrian et al., 2020; Wastesson et al., 2018).</w:t>
      </w:r>
    </w:p>
    <w:p w14:paraId="0167E548" w14:textId="77777777" w:rsidR="005C7368" w:rsidRPr="00B06F56" w:rsidRDefault="00000000">
      <w:pPr>
        <w:ind w:firstLine="288"/>
        <w:jc w:val="both"/>
      </w:pPr>
      <w:r w:rsidRPr="00B06F56">
        <w:t xml:space="preserve">Thus, hospitalisation evidence supports three levels of inference. First, medication count is a reliable risk marker. Second, potentially inappropriate prescribing and pharmacological burden can contribute causally to drug-related harm and some admissions. Third, broad all-cause hospitalisation is difficult to modify through medication review alone because it is a distal outcome with many competing causes. Table 2 summarises </w:t>
      </w:r>
      <w:r w:rsidRPr="00B06F56">
        <w:lastRenderedPageBreak/>
        <w:t>representative evidence and highlights why the most impressive observational effect sizes should not be interpreted as fully medication-caused.</w:t>
      </w:r>
    </w:p>
    <w:p w14:paraId="09D3B754" w14:textId="77777777" w:rsidR="005C7368" w:rsidRPr="00B06F56" w:rsidRDefault="00000000">
      <w:pPr>
        <w:keepNext/>
        <w:spacing w:before="160" w:after="80"/>
      </w:pPr>
      <w:r w:rsidRPr="00B06F56">
        <w:rPr>
          <w:b/>
          <w:sz w:val="20"/>
        </w:rPr>
        <w:t>Table 2. Representative evidence linking polypharmacy-related exposures with hospital outcomes</w:t>
      </w:r>
    </w:p>
    <w:tbl>
      <w:tblPr>
        <w:tblStyle w:val="TableGrid"/>
        <w:tblW w:w="5000" w:type="pct"/>
        <w:jc w:val="center"/>
        <w:tblLook w:val="04A0" w:firstRow="1" w:lastRow="0" w:firstColumn="1" w:lastColumn="0" w:noHBand="0" w:noVBand="1"/>
      </w:tblPr>
      <w:tblGrid>
        <w:gridCol w:w="1292"/>
        <w:gridCol w:w="1507"/>
        <w:gridCol w:w="1721"/>
        <w:gridCol w:w="1777"/>
        <w:gridCol w:w="1991"/>
        <w:gridCol w:w="1560"/>
      </w:tblGrid>
      <w:tr w:rsidR="00B06F56" w:rsidRPr="00B06F56" w14:paraId="68F6CFCF" w14:textId="77777777" w:rsidTr="0013103D">
        <w:trPr>
          <w:tblHeader/>
          <w:jc w:val="center"/>
        </w:trPr>
        <w:tc>
          <w:tcPr>
            <w:tcW w:w="656" w:type="pct"/>
            <w:shd w:val="clear" w:color="auto" w:fill="D9E2F3"/>
            <w:tcMar>
              <w:top w:w="80" w:type="dxa"/>
              <w:left w:w="100" w:type="dxa"/>
              <w:bottom w:w="80" w:type="dxa"/>
              <w:right w:w="100" w:type="dxa"/>
            </w:tcMar>
            <w:vAlign w:val="center"/>
          </w:tcPr>
          <w:p w14:paraId="1A2CBF87" w14:textId="77777777" w:rsidR="005C7368" w:rsidRPr="00B06F56" w:rsidRDefault="00000000">
            <w:pPr>
              <w:pStyle w:val="TableText"/>
              <w:jc w:val="center"/>
            </w:pPr>
            <w:r w:rsidRPr="00B06F56">
              <w:rPr>
                <w:b/>
              </w:rPr>
              <w:t>Study</w:t>
            </w:r>
          </w:p>
        </w:tc>
        <w:tc>
          <w:tcPr>
            <w:tcW w:w="765" w:type="pct"/>
            <w:shd w:val="clear" w:color="auto" w:fill="D9E2F3"/>
            <w:tcMar>
              <w:top w:w="80" w:type="dxa"/>
              <w:left w:w="100" w:type="dxa"/>
              <w:bottom w:w="80" w:type="dxa"/>
              <w:right w:w="100" w:type="dxa"/>
            </w:tcMar>
            <w:vAlign w:val="center"/>
          </w:tcPr>
          <w:p w14:paraId="41BC4AE3" w14:textId="77777777" w:rsidR="005C7368" w:rsidRPr="00B06F56" w:rsidRDefault="00000000">
            <w:pPr>
              <w:pStyle w:val="TableText"/>
              <w:jc w:val="center"/>
            </w:pPr>
            <w:r w:rsidRPr="00B06F56">
              <w:rPr>
                <w:b/>
              </w:rPr>
              <w:t>Design / setting</w:t>
            </w:r>
          </w:p>
        </w:tc>
        <w:tc>
          <w:tcPr>
            <w:tcW w:w="874" w:type="pct"/>
            <w:shd w:val="clear" w:color="auto" w:fill="D9E2F3"/>
            <w:tcMar>
              <w:top w:w="80" w:type="dxa"/>
              <w:left w:w="100" w:type="dxa"/>
              <w:bottom w:w="80" w:type="dxa"/>
              <w:right w:w="100" w:type="dxa"/>
            </w:tcMar>
            <w:vAlign w:val="center"/>
          </w:tcPr>
          <w:p w14:paraId="6F91C86E" w14:textId="77777777" w:rsidR="005C7368" w:rsidRPr="00B06F56" w:rsidRDefault="00000000">
            <w:pPr>
              <w:pStyle w:val="TableText"/>
              <w:jc w:val="center"/>
            </w:pPr>
            <w:r w:rsidRPr="00B06F56">
              <w:rPr>
                <w:b/>
              </w:rPr>
              <w:t>Exposure or intervention</w:t>
            </w:r>
          </w:p>
        </w:tc>
        <w:tc>
          <w:tcPr>
            <w:tcW w:w="902" w:type="pct"/>
            <w:shd w:val="clear" w:color="auto" w:fill="D9E2F3"/>
            <w:tcMar>
              <w:top w:w="80" w:type="dxa"/>
              <w:left w:w="100" w:type="dxa"/>
              <w:bottom w:w="80" w:type="dxa"/>
              <w:right w:w="100" w:type="dxa"/>
            </w:tcMar>
            <w:vAlign w:val="center"/>
          </w:tcPr>
          <w:p w14:paraId="46C323F0" w14:textId="77777777" w:rsidR="005C7368" w:rsidRPr="00B06F56" w:rsidRDefault="00000000">
            <w:pPr>
              <w:pStyle w:val="TableText"/>
              <w:jc w:val="center"/>
            </w:pPr>
            <w:r w:rsidRPr="00B06F56">
              <w:rPr>
                <w:b/>
              </w:rPr>
              <w:t>Hospital-related finding</w:t>
            </w:r>
          </w:p>
        </w:tc>
        <w:tc>
          <w:tcPr>
            <w:tcW w:w="1011" w:type="pct"/>
            <w:shd w:val="clear" w:color="auto" w:fill="D9E2F3"/>
            <w:tcMar>
              <w:top w:w="80" w:type="dxa"/>
              <w:left w:w="100" w:type="dxa"/>
              <w:bottom w:w="80" w:type="dxa"/>
              <w:right w:w="100" w:type="dxa"/>
            </w:tcMar>
            <w:vAlign w:val="center"/>
          </w:tcPr>
          <w:p w14:paraId="47469151" w14:textId="77777777" w:rsidR="005C7368" w:rsidRPr="00B06F56" w:rsidRDefault="00000000">
            <w:pPr>
              <w:pStyle w:val="TableText"/>
              <w:jc w:val="center"/>
            </w:pPr>
            <w:r w:rsidRPr="00B06F56">
              <w:rPr>
                <w:b/>
              </w:rPr>
              <w:t>Critical interpretation</w:t>
            </w:r>
          </w:p>
        </w:tc>
        <w:tc>
          <w:tcPr>
            <w:tcW w:w="792" w:type="pct"/>
            <w:shd w:val="clear" w:color="auto" w:fill="D9E2F3"/>
            <w:tcMar>
              <w:top w:w="80" w:type="dxa"/>
              <w:left w:w="100" w:type="dxa"/>
              <w:bottom w:w="80" w:type="dxa"/>
              <w:right w:w="100" w:type="dxa"/>
            </w:tcMar>
            <w:vAlign w:val="center"/>
          </w:tcPr>
          <w:p w14:paraId="7941B62D" w14:textId="77777777" w:rsidR="005C7368" w:rsidRPr="00B06F56" w:rsidRDefault="00000000">
            <w:pPr>
              <w:pStyle w:val="TableText"/>
              <w:jc w:val="center"/>
            </w:pPr>
            <w:r w:rsidRPr="00B06F56">
              <w:rPr>
                <w:b/>
              </w:rPr>
              <w:t>Supporting references</w:t>
            </w:r>
          </w:p>
        </w:tc>
      </w:tr>
      <w:tr w:rsidR="00B06F56" w:rsidRPr="00B06F56" w14:paraId="226BB334" w14:textId="77777777" w:rsidTr="0013103D">
        <w:trPr>
          <w:cantSplit/>
          <w:jc w:val="center"/>
        </w:trPr>
        <w:tc>
          <w:tcPr>
            <w:tcW w:w="656" w:type="pct"/>
            <w:tcMar>
              <w:top w:w="80" w:type="dxa"/>
              <w:left w:w="100" w:type="dxa"/>
              <w:bottom w:w="80" w:type="dxa"/>
              <w:right w:w="100" w:type="dxa"/>
            </w:tcMar>
            <w:vAlign w:val="center"/>
          </w:tcPr>
          <w:p w14:paraId="5F8F34F4" w14:textId="77777777" w:rsidR="005C7368" w:rsidRPr="00B06F56" w:rsidRDefault="00000000">
            <w:pPr>
              <w:pStyle w:val="TableText"/>
              <w:jc w:val="center"/>
            </w:pPr>
            <w:r w:rsidRPr="00B06F56">
              <w:t>HARM study</w:t>
            </w:r>
          </w:p>
        </w:tc>
        <w:tc>
          <w:tcPr>
            <w:tcW w:w="765" w:type="pct"/>
            <w:tcMar>
              <w:top w:w="80" w:type="dxa"/>
              <w:left w:w="100" w:type="dxa"/>
              <w:bottom w:w="80" w:type="dxa"/>
              <w:right w:w="100" w:type="dxa"/>
            </w:tcMar>
            <w:vAlign w:val="center"/>
          </w:tcPr>
          <w:p w14:paraId="13EF5F0B" w14:textId="77777777" w:rsidR="005C7368" w:rsidRPr="00B06F56" w:rsidRDefault="00000000">
            <w:pPr>
              <w:pStyle w:val="TableText"/>
            </w:pPr>
            <w:r w:rsidRPr="00B06F56">
              <w:t>Prospective multicentre hospital study</w:t>
            </w:r>
          </w:p>
        </w:tc>
        <w:tc>
          <w:tcPr>
            <w:tcW w:w="874" w:type="pct"/>
            <w:tcMar>
              <w:top w:w="80" w:type="dxa"/>
              <w:left w:w="100" w:type="dxa"/>
              <w:bottom w:w="80" w:type="dxa"/>
              <w:right w:w="100" w:type="dxa"/>
            </w:tcMar>
            <w:vAlign w:val="center"/>
          </w:tcPr>
          <w:p w14:paraId="611DD9C6" w14:textId="77777777" w:rsidR="005C7368" w:rsidRPr="00B06F56" w:rsidRDefault="00000000">
            <w:pPr>
              <w:pStyle w:val="TableText"/>
            </w:pPr>
            <w:r w:rsidRPr="00B06F56">
              <w:t>Medication-related admission risk factors</w:t>
            </w:r>
          </w:p>
        </w:tc>
        <w:tc>
          <w:tcPr>
            <w:tcW w:w="902" w:type="pct"/>
            <w:tcMar>
              <w:top w:w="80" w:type="dxa"/>
              <w:left w:w="100" w:type="dxa"/>
              <w:bottom w:w="80" w:type="dxa"/>
              <w:right w:w="100" w:type="dxa"/>
            </w:tcMar>
            <w:vAlign w:val="center"/>
          </w:tcPr>
          <w:p w14:paraId="51386449" w14:textId="77777777" w:rsidR="005C7368" w:rsidRPr="00B06F56" w:rsidRDefault="00000000">
            <w:pPr>
              <w:pStyle w:val="TableText"/>
            </w:pPr>
            <w:r w:rsidRPr="00B06F56">
              <w:t>5.6% of unplanned admissions were medication related; nearly half were potentially preventable; polypharmacy was a risk factor</w:t>
            </w:r>
          </w:p>
        </w:tc>
        <w:tc>
          <w:tcPr>
            <w:tcW w:w="1011" w:type="pct"/>
            <w:tcMar>
              <w:top w:w="80" w:type="dxa"/>
              <w:left w:w="100" w:type="dxa"/>
              <w:bottom w:w="80" w:type="dxa"/>
              <w:right w:w="100" w:type="dxa"/>
            </w:tcMar>
            <w:vAlign w:val="center"/>
          </w:tcPr>
          <w:p w14:paraId="7B6C18D0" w14:textId="77777777" w:rsidR="005C7368" w:rsidRPr="00B06F56" w:rsidRDefault="00000000">
            <w:pPr>
              <w:pStyle w:val="TableText"/>
            </w:pPr>
            <w:r w:rsidRPr="00B06F56">
              <w:t>Supports medication causality for a subset of admissions, but vulnerability factors co-cluster</w:t>
            </w:r>
          </w:p>
        </w:tc>
        <w:tc>
          <w:tcPr>
            <w:tcW w:w="792" w:type="pct"/>
            <w:tcMar>
              <w:top w:w="80" w:type="dxa"/>
              <w:left w:w="100" w:type="dxa"/>
              <w:bottom w:w="80" w:type="dxa"/>
              <w:right w:w="100" w:type="dxa"/>
            </w:tcMar>
            <w:vAlign w:val="center"/>
          </w:tcPr>
          <w:p w14:paraId="7D00CAA9" w14:textId="77777777" w:rsidR="005C7368" w:rsidRPr="00B06F56" w:rsidRDefault="00000000">
            <w:pPr>
              <w:pStyle w:val="TableText"/>
            </w:pPr>
            <w:r w:rsidRPr="00B06F56">
              <w:t>Leendertse et al. (2008)</w:t>
            </w:r>
          </w:p>
        </w:tc>
      </w:tr>
      <w:tr w:rsidR="00B06F56" w:rsidRPr="00B06F56" w14:paraId="506F6C92" w14:textId="77777777" w:rsidTr="0013103D">
        <w:trPr>
          <w:cantSplit/>
          <w:jc w:val="center"/>
        </w:trPr>
        <w:tc>
          <w:tcPr>
            <w:tcW w:w="656" w:type="pct"/>
            <w:tcMar>
              <w:top w:w="80" w:type="dxa"/>
              <w:left w:w="100" w:type="dxa"/>
              <w:bottom w:w="80" w:type="dxa"/>
              <w:right w:w="100" w:type="dxa"/>
            </w:tcMar>
            <w:vAlign w:val="center"/>
          </w:tcPr>
          <w:p w14:paraId="18C68478" w14:textId="77777777" w:rsidR="005C7368" w:rsidRPr="00B06F56" w:rsidRDefault="00000000">
            <w:pPr>
              <w:pStyle w:val="TableText"/>
              <w:jc w:val="center"/>
            </w:pPr>
            <w:r w:rsidRPr="00B06F56">
              <w:t>Payne et al.</w:t>
            </w:r>
          </w:p>
        </w:tc>
        <w:tc>
          <w:tcPr>
            <w:tcW w:w="765" w:type="pct"/>
            <w:tcMar>
              <w:top w:w="80" w:type="dxa"/>
              <w:left w:w="100" w:type="dxa"/>
              <w:bottom w:w="80" w:type="dxa"/>
              <w:right w:w="100" w:type="dxa"/>
            </w:tcMar>
            <w:vAlign w:val="center"/>
          </w:tcPr>
          <w:p w14:paraId="12D4BA60" w14:textId="77777777" w:rsidR="005C7368" w:rsidRPr="00B06F56" w:rsidRDefault="00000000">
            <w:pPr>
              <w:pStyle w:val="TableText"/>
            </w:pPr>
            <w:r w:rsidRPr="00B06F56">
              <w:t>Linked-record retrospective cohort</w:t>
            </w:r>
          </w:p>
        </w:tc>
        <w:tc>
          <w:tcPr>
            <w:tcW w:w="874" w:type="pct"/>
            <w:tcMar>
              <w:top w:w="80" w:type="dxa"/>
              <w:left w:w="100" w:type="dxa"/>
              <w:bottom w:w="80" w:type="dxa"/>
              <w:right w:w="100" w:type="dxa"/>
            </w:tcMar>
            <w:vAlign w:val="center"/>
          </w:tcPr>
          <w:p w14:paraId="05FEB2FF" w14:textId="77777777" w:rsidR="005C7368" w:rsidRPr="00B06F56" w:rsidRDefault="00000000">
            <w:pPr>
              <w:pStyle w:val="TableText"/>
            </w:pPr>
            <w:r w:rsidRPr="00B06F56">
              <w:t>Medication count by multimorbidity</w:t>
            </w:r>
          </w:p>
        </w:tc>
        <w:tc>
          <w:tcPr>
            <w:tcW w:w="902" w:type="pct"/>
            <w:tcMar>
              <w:top w:w="80" w:type="dxa"/>
              <w:left w:w="100" w:type="dxa"/>
              <w:bottom w:w="80" w:type="dxa"/>
              <w:right w:w="100" w:type="dxa"/>
            </w:tcMar>
            <w:vAlign w:val="center"/>
          </w:tcPr>
          <w:p w14:paraId="17258401" w14:textId="77777777" w:rsidR="005C7368" w:rsidRPr="00B06F56" w:rsidRDefault="00000000">
            <w:pPr>
              <w:pStyle w:val="TableText"/>
            </w:pPr>
            <w:r w:rsidRPr="00B06F56">
              <w:t>Association between high medicine count and unplanned admission attenuated with greater multimorbidity</w:t>
            </w:r>
          </w:p>
        </w:tc>
        <w:tc>
          <w:tcPr>
            <w:tcW w:w="1011" w:type="pct"/>
            <w:tcMar>
              <w:top w:w="80" w:type="dxa"/>
              <w:left w:w="100" w:type="dxa"/>
              <w:bottom w:w="80" w:type="dxa"/>
              <w:right w:w="100" w:type="dxa"/>
            </w:tcMar>
            <w:vAlign w:val="center"/>
          </w:tcPr>
          <w:p w14:paraId="1545EA04" w14:textId="77777777" w:rsidR="005C7368" w:rsidRPr="00B06F56" w:rsidRDefault="00000000">
            <w:pPr>
              <w:pStyle w:val="TableText"/>
            </w:pPr>
            <w:r w:rsidRPr="00B06F56">
              <w:t>Strong evidence that confounding by therapeutic need modifies apparent risk</w:t>
            </w:r>
          </w:p>
        </w:tc>
        <w:tc>
          <w:tcPr>
            <w:tcW w:w="792" w:type="pct"/>
            <w:tcMar>
              <w:top w:w="80" w:type="dxa"/>
              <w:left w:w="100" w:type="dxa"/>
              <w:bottom w:w="80" w:type="dxa"/>
              <w:right w:w="100" w:type="dxa"/>
            </w:tcMar>
            <w:vAlign w:val="center"/>
          </w:tcPr>
          <w:p w14:paraId="362F5227" w14:textId="77777777" w:rsidR="005C7368" w:rsidRPr="00B06F56" w:rsidRDefault="00000000">
            <w:pPr>
              <w:pStyle w:val="TableText"/>
            </w:pPr>
            <w:r w:rsidRPr="00B06F56">
              <w:t>Payne et al. (2014)</w:t>
            </w:r>
          </w:p>
        </w:tc>
      </w:tr>
      <w:tr w:rsidR="00B06F56" w:rsidRPr="00B06F56" w14:paraId="46BCE86A" w14:textId="77777777" w:rsidTr="0013103D">
        <w:trPr>
          <w:cantSplit/>
          <w:jc w:val="center"/>
        </w:trPr>
        <w:tc>
          <w:tcPr>
            <w:tcW w:w="656" w:type="pct"/>
            <w:tcMar>
              <w:top w:w="80" w:type="dxa"/>
              <w:left w:w="100" w:type="dxa"/>
              <w:bottom w:w="80" w:type="dxa"/>
              <w:right w:w="100" w:type="dxa"/>
            </w:tcMar>
            <w:vAlign w:val="center"/>
          </w:tcPr>
          <w:p w14:paraId="5DA5050A" w14:textId="77777777" w:rsidR="005C7368" w:rsidRPr="00B06F56" w:rsidRDefault="00000000">
            <w:pPr>
              <w:pStyle w:val="TableText"/>
              <w:jc w:val="center"/>
            </w:pPr>
            <w:r w:rsidRPr="00B06F56">
              <w:t>Lu et al.</w:t>
            </w:r>
          </w:p>
        </w:tc>
        <w:tc>
          <w:tcPr>
            <w:tcW w:w="765" w:type="pct"/>
            <w:tcMar>
              <w:top w:w="80" w:type="dxa"/>
              <w:left w:w="100" w:type="dxa"/>
              <w:bottom w:w="80" w:type="dxa"/>
              <w:right w:w="100" w:type="dxa"/>
            </w:tcMar>
            <w:vAlign w:val="center"/>
          </w:tcPr>
          <w:p w14:paraId="1EBF2EF8" w14:textId="77777777" w:rsidR="005C7368" w:rsidRPr="00B06F56" w:rsidRDefault="00000000">
            <w:pPr>
              <w:pStyle w:val="TableText"/>
            </w:pPr>
            <w:r w:rsidRPr="00B06F56">
              <w:t>Longitudinal administrative cohort</w:t>
            </w:r>
          </w:p>
        </w:tc>
        <w:tc>
          <w:tcPr>
            <w:tcW w:w="874" w:type="pct"/>
            <w:tcMar>
              <w:top w:w="80" w:type="dxa"/>
              <w:left w:w="100" w:type="dxa"/>
              <w:bottom w:w="80" w:type="dxa"/>
              <w:right w:w="100" w:type="dxa"/>
            </w:tcMar>
            <w:vAlign w:val="center"/>
          </w:tcPr>
          <w:p w14:paraId="2779ADDF" w14:textId="77777777" w:rsidR="005C7368" w:rsidRPr="00B06F56" w:rsidRDefault="00000000">
            <w:pPr>
              <w:pStyle w:val="TableText"/>
            </w:pPr>
            <w:r w:rsidRPr="00B06F56">
              <w:t>Polypharmacy, PIMs, anticholinergic burden</w:t>
            </w:r>
          </w:p>
        </w:tc>
        <w:tc>
          <w:tcPr>
            <w:tcW w:w="902" w:type="pct"/>
            <w:tcMar>
              <w:top w:w="80" w:type="dxa"/>
              <w:left w:w="100" w:type="dxa"/>
              <w:bottom w:w="80" w:type="dxa"/>
              <w:right w:w="100" w:type="dxa"/>
            </w:tcMar>
            <w:vAlign w:val="center"/>
          </w:tcPr>
          <w:p w14:paraId="02100C52" w14:textId="77777777" w:rsidR="005C7368" w:rsidRPr="00B06F56" w:rsidRDefault="00000000">
            <w:pPr>
              <w:pStyle w:val="TableText"/>
            </w:pPr>
            <w:r w:rsidRPr="00B06F56">
              <w:t>Each was associated with admission; dose-response patterns were observed for fracture-related admission</w:t>
            </w:r>
          </w:p>
        </w:tc>
        <w:tc>
          <w:tcPr>
            <w:tcW w:w="1011" w:type="pct"/>
            <w:tcMar>
              <w:top w:w="80" w:type="dxa"/>
              <w:left w:w="100" w:type="dxa"/>
              <w:bottom w:w="80" w:type="dxa"/>
              <w:right w:w="100" w:type="dxa"/>
            </w:tcMar>
            <w:vAlign w:val="center"/>
          </w:tcPr>
          <w:p w14:paraId="3CB56421" w14:textId="77777777" w:rsidR="005C7368" w:rsidRPr="00B06F56" w:rsidRDefault="00000000">
            <w:pPr>
              <w:pStyle w:val="TableText"/>
            </w:pPr>
            <w:r w:rsidRPr="00B06F56">
              <w:t>Composition and pharmacological burden add information beyond count</w:t>
            </w:r>
          </w:p>
        </w:tc>
        <w:tc>
          <w:tcPr>
            <w:tcW w:w="792" w:type="pct"/>
            <w:tcMar>
              <w:top w:w="80" w:type="dxa"/>
              <w:left w:w="100" w:type="dxa"/>
              <w:bottom w:w="80" w:type="dxa"/>
              <w:right w:w="100" w:type="dxa"/>
            </w:tcMar>
            <w:vAlign w:val="center"/>
          </w:tcPr>
          <w:p w14:paraId="15CF24A1" w14:textId="77777777" w:rsidR="005C7368" w:rsidRPr="00B06F56" w:rsidRDefault="00000000">
            <w:pPr>
              <w:pStyle w:val="TableText"/>
            </w:pPr>
            <w:r w:rsidRPr="00B06F56">
              <w:t>Lu et al. (2015)</w:t>
            </w:r>
          </w:p>
        </w:tc>
      </w:tr>
      <w:tr w:rsidR="00B06F56" w:rsidRPr="00B06F56" w14:paraId="3FE27B35" w14:textId="77777777" w:rsidTr="0013103D">
        <w:trPr>
          <w:cantSplit/>
          <w:jc w:val="center"/>
        </w:trPr>
        <w:tc>
          <w:tcPr>
            <w:tcW w:w="656" w:type="pct"/>
            <w:tcMar>
              <w:top w:w="80" w:type="dxa"/>
              <w:left w:w="100" w:type="dxa"/>
              <w:bottom w:w="80" w:type="dxa"/>
              <w:right w:w="100" w:type="dxa"/>
            </w:tcMar>
            <w:vAlign w:val="center"/>
          </w:tcPr>
          <w:p w14:paraId="582CFFA0" w14:textId="77777777" w:rsidR="005C7368" w:rsidRPr="00B06F56" w:rsidRDefault="00000000">
            <w:pPr>
              <w:pStyle w:val="TableText"/>
              <w:jc w:val="center"/>
            </w:pPr>
            <w:r w:rsidRPr="00B06F56">
              <w:t>Chang et al.</w:t>
            </w:r>
          </w:p>
        </w:tc>
        <w:tc>
          <w:tcPr>
            <w:tcW w:w="765" w:type="pct"/>
            <w:tcMar>
              <w:top w:w="80" w:type="dxa"/>
              <w:left w:w="100" w:type="dxa"/>
              <w:bottom w:w="80" w:type="dxa"/>
              <w:right w:w="100" w:type="dxa"/>
            </w:tcMar>
            <w:vAlign w:val="center"/>
          </w:tcPr>
          <w:p w14:paraId="51578427" w14:textId="77777777" w:rsidR="005C7368" w:rsidRPr="00B06F56" w:rsidRDefault="00000000">
            <w:pPr>
              <w:pStyle w:val="TableText"/>
            </w:pPr>
            <w:r w:rsidRPr="00B06F56">
              <w:t>Nationwide cohort</w:t>
            </w:r>
          </w:p>
        </w:tc>
        <w:tc>
          <w:tcPr>
            <w:tcW w:w="874" w:type="pct"/>
            <w:tcMar>
              <w:top w:w="80" w:type="dxa"/>
              <w:left w:w="100" w:type="dxa"/>
              <w:bottom w:w="80" w:type="dxa"/>
              <w:right w:w="100" w:type="dxa"/>
            </w:tcMar>
            <w:vAlign w:val="center"/>
          </w:tcPr>
          <w:p w14:paraId="25759CA5" w14:textId="77777777" w:rsidR="005C7368" w:rsidRPr="00B06F56" w:rsidRDefault="00000000">
            <w:pPr>
              <w:pStyle w:val="TableText"/>
            </w:pPr>
            <w:r w:rsidRPr="00B06F56">
              <w:t>Number of daily medicines</w:t>
            </w:r>
          </w:p>
        </w:tc>
        <w:tc>
          <w:tcPr>
            <w:tcW w:w="902" w:type="pct"/>
            <w:tcMar>
              <w:top w:w="80" w:type="dxa"/>
              <w:left w:w="100" w:type="dxa"/>
              <w:bottom w:w="80" w:type="dxa"/>
              <w:right w:w="100" w:type="dxa"/>
            </w:tcMar>
            <w:vAlign w:val="center"/>
          </w:tcPr>
          <w:p w14:paraId="2C071C91" w14:textId="77777777" w:rsidR="005C7368" w:rsidRPr="00B06F56" w:rsidRDefault="00000000">
            <w:pPr>
              <w:pStyle w:val="TableText"/>
            </w:pPr>
            <w:r w:rsidRPr="00B06F56">
              <w:t>Progressively higher medication count was associated with hospitalisation</w:t>
            </w:r>
          </w:p>
        </w:tc>
        <w:tc>
          <w:tcPr>
            <w:tcW w:w="1011" w:type="pct"/>
            <w:tcMar>
              <w:top w:w="80" w:type="dxa"/>
              <w:left w:w="100" w:type="dxa"/>
              <w:bottom w:w="80" w:type="dxa"/>
              <w:right w:w="100" w:type="dxa"/>
            </w:tcMar>
            <w:vAlign w:val="center"/>
          </w:tcPr>
          <w:p w14:paraId="27DFAA1D" w14:textId="77777777" w:rsidR="005C7368" w:rsidRPr="00B06F56" w:rsidRDefault="00000000">
            <w:pPr>
              <w:pStyle w:val="TableText"/>
            </w:pPr>
            <w:r w:rsidRPr="00B06F56">
              <w:t>Large scale and gradient support prognostic value, but residual confounding remains</w:t>
            </w:r>
          </w:p>
        </w:tc>
        <w:tc>
          <w:tcPr>
            <w:tcW w:w="792" w:type="pct"/>
            <w:tcMar>
              <w:top w:w="80" w:type="dxa"/>
              <w:left w:w="100" w:type="dxa"/>
              <w:bottom w:w="80" w:type="dxa"/>
              <w:right w:w="100" w:type="dxa"/>
            </w:tcMar>
            <w:vAlign w:val="center"/>
          </w:tcPr>
          <w:p w14:paraId="4A8DE04B" w14:textId="77777777" w:rsidR="005C7368" w:rsidRPr="00B06F56" w:rsidRDefault="00000000">
            <w:pPr>
              <w:pStyle w:val="TableText"/>
            </w:pPr>
            <w:r w:rsidRPr="00B06F56">
              <w:t>Chang et al. (2020)</w:t>
            </w:r>
          </w:p>
        </w:tc>
      </w:tr>
      <w:tr w:rsidR="00B06F56" w:rsidRPr="00B06F56" w14:paraId="2BA1E2FC" w14:textId="77777777" w:rsidTr="0013103D">
        <w:trPr>
          <w:cantSplit/>
          <w:jc w:val="center"/>
        </w:trPr>
        <w:tc>
          <w:tcPr>
            <w:tcW w:w="656" w:type="pct"/>
            <w:tcMar>
              <w:top w:w="80" w:type="dxa"/>
              <w:left w:w="100" w:type="dxa"/>
              <w:bottom w:w="80" w:type="dxa"/>
              <w:right w:w="100" w:type="dxa"/>
            </w:tcMar>
            <w:vAlign w:val="center"/>
          </w:tcPr>
          <w:p w14:paraId="6E9D718C" w14:textId="77777777" w:rsidR="005C7368" w:rsidRPr="00B06F56" w:rsidRDefault="00000000">
            <w:pPr>
              <w:pStyle w:val="TableText"/>
              <w:jc w:val="center"/>
            </w:pPr>
            <w:r w:rsidRPr="00B06F56">
              <w:t>OPERAM</w:t>
            </w:r>
          </w:p>
        </w:tc>
        <w:tc>
          <w:tcPr>
            <w:tcW w:w="765" w:type="pct"/>
            <w:tcMar>
              <w:top w:w="80" w:type="dxa"/>
              <w:left w:w="100" w:type="dxa"/>
              <w:bottom w:w="80" w:type="dxa"/>
              <w:right w:w="100" w:type="dxa"/>
            </w:tcMar>
            <w:vAlign w:val="center"/>
          </w:tcPr>
          <w:p w14:paraId="291A0B23" w14:textId="77777777" w:rsidR="005C7368" w:rsidRPr="00B06F56" w:rsidRDefault="00000000">
            <w:pPr>
              <w:pStyle w:val="TableText"/>
            </w:pPr>
            <w:r w:rsidRPr="00B06F56">
              <w:t>Cluster randomised trial, hospitalised multimorbid adults</w:t>
            </w:r>
          </w:p>
        </w:tc>
        <w:tc>
          <w:tcPr>
            <w:tcW w:w="874" w:type="pct"/>
            <w:tcMar>
              <w:top w:w="80" w:type="dxa"/>
              <w:left w:w="100" w:type="dxa"/>
              <w:bottom w:w="80" w:type="dxa"/>
              <w:right w:w="100" w:type="dxa"/>
            </w:tcMar>
            <w:vAlign w:val="center"/>
          </w:tcPr>
          <w:p w14:paraId="6729FA2E" w14:textId="77777777" w:rsidR="005C7368" w:rsidRPr="00B06F56" w:rsidRDefault="00000000">
            <w:pPr>
              <w:pStyle w:val="TableText"/>
            </w:pPr>
            <w:r w:rsidRPr="00B06F56">
              <w:t>Structured pharmacotherapy optimisation</w:t>
            </w:r>
          </w:p>
        </w:tc>
        <w:tc>
          <w:tcPr>
            <w:tcW w:w="902" w:type="pct"/>
            <w:tcMar>
              <w:top w:w="80" w:type="dxa"/>
              <w:left w:w="100" w:type="dxa"/>
              <w:bottom w:w="80" w:type="dxa"/>
              <w:right w:w="100" w:type="dxa"/>
            </w:tcMar>
            <w:vAlign w:val="center"/>
          </w:tcPr>
          <w:p w14:paraId="506FA6F4" w14:textId="77777777" w:rsidR="005C7368" w:rsidRPr="00B06F56" w:rsidRDefault="00000000">
            <w:pPr>
              <w:pStyle w:val="TableText"/>
            </w:pPr>
            <w:r w:rsidRPr="00B06F56">
              <w:t>No significant reduction in first drug-related hospital admission despite less inappropriate prescribing</w:t>
            </w:r>
          </w:p>
        </w:tc>
        <w:tc>
          <w:tcPr>
            <w:tcW w:w="1011" w:type="pct"/>
            <w:tcMar>
              <w:top w:w="80" w:type="dxa"/>
              <w:left w:w="100" w:type="dxa"/>
              <w:bottom w:w="80" w:type="dxa"/>
              <w:right w:w="100" w:type="dxa"/>
            </w:tcMar>
            <w:vAlign w:val="center"/>
          </w:tcPr>
          <w:p w14:paraId="6664BC39" w14:textId="77777777" w:rsidR="005C7368" w:rsidRPr="00B06F56" w:rsidRDefault="00000000">
            <w:pPr>
              <w:pStyle w:val="TableText"/>
            </w:pPr>
            <w:r w:rsidRPr="00B06F56">
              <w:t>Process improvement does not guarantee change in distal clinical outcomes</w:t>
            </w:r>
          </w:p>
        </w:tc>
        <w:tc>
          <w:tcPr>
            <w:tcW w:w="792" w:type="pct"/>
            <w:tcMar>
              <w:top w:w="80" w:type="dxa"/>
              <w:left w:w="100" w:type="dxa"/>
              <w:bottom w:w="80" w:type="dxa"/>
              <w:right w:w="100" w:type="dxa"/>
            </w:tcMar>
            <w:vAlign w:val="center"/>
          </w:tcPr>
          <w:p w14:paraId="4195D1E4" w14:textId="77777777" w:rsidR="005C7368" w:rsidRPr="00B06F56" w:rsidRDefault="00000000">
            <w:pPr>
              <w:pStyle w:val="TableText"/>
            </w:pPr>
            <w:r w:rsidRPr="00B06F56">
              <w:t>Blum et al. (2021)</w:t>
            </w:r>
          </w:p>
        </w:tc>
      </w:tr>
      <w:tr w:rsidR="00B06F56" w:rsidRPr="00B06F56" w14:paraId="2EED37E0" w14:textId="77777777" w:rsidTr="0013103D">
        <w:trPr>
          <w:cantSplit/>
          <w:jc w:val="center"/>
        </w:trPr>
        <w:tc>
          <w:tcPr>
            <w:tcW w:w="656" w:type="pct"/>
            <w:tcMar>
              <w:top w:w="80" w:type="dxa"/>
              <w:left w:w="100" w:type="dxa"/>
              <w:bottom w:w="80" w:type="dxa"/>
              <w:right w:w="100" w:type="dxa"/>
            </w:tcMar>
            <w:vAlign w:val="center"/>
          </w:tcPr>
          <w:p w14:paraId="7C8D9823" w14:textId="77777777" w:rsidR="005C7368" w:rsidRPr="00B06F56" w:rsidRDefault="00000000">
            <w:pPr>
              <w:pStyle w:val="TableText"/>
              <w:jc w:val="center"/>
            </w:pPr>
            <w:r w:rsidRPr="00B06F56">
              <w:t>Moli-sani</w:t>
            </w:r>
          </w:p>
        </w:tc>
        <w:tc>
          <w:tcPr>
            <w:tcW w:w="765" w:type="pct"/>
            <w:tcMar>
              <w:top w:w="80" w:type="dxa"/>
              <w:left w:w="100" w:type="dxa"/>
              <w:bottom w:w="80" w:type="dxa"/>
              <w:right w:w="100" w:type="dxa"/>
            </w:tcMar>
            <w:vAlign w:val="center"/>
          </w:tcPr>
          <w:p w14:paraId="5F127890" w14:textId="77777777" w:rsidR="005C7368" w:rsidRPr="00B06F56" w:rsidRDefault="00000000">
            <w:pPr>
              <w:pStyle w:val="TableText"/>
            </w:pPr>
            <w:r w:rsidRPr="00B06F56">
              <w:t>Prospective community cohort</w:t>
            </w:r>
          </w:p>
        </w:tc>
        <w:tc>
          <w:tcPr>
            <w:tcW w:w="874" w:type="pct"/>
            <w:tcMar>
              <w:top w:w="80" w:type="dxa"/>
              <w:left w:w="100" w:type="dxa"/>
              <w:bottom w:w="80" w:type="dxa"/>
              <w:right w:w="100" w:type="dxa"/>
            </w:tcMar>
            <w:vAlign w:val="center"/>
          </w:tcPr>
          <w:p w14:paraId="62A82445" w14:textId="77777777" w:rsidR="005C7368" w:rsidRPr="00B06F56" w:rsidRDefault="00000000">
            <w:pPr>
              <w:pStyle w:val="TableText"/>
            </w:pPr>
            <w:r w:rsidRPr="00B06F56">
              <w:t>Chronic/non-chronic polypharmacy and PIP</w:t>
            </w:r>
          </w:p>
        </w:tc>
        <w:tc>
          <w:tcPr>
            <w:tcW w:w="902" w:type="pct"/>
            <w:tcMar>
              <w:top w:w="80" w:type="dxa"/>
              <w:left w:w="100" w:type="dxa"/>
              <w:bottom w:w="80" w:type="dxa"/>
              <w:right w:w="100" w:type="dxa"/>
            </w:tcMar>
            <w:vAlign w:val="center"/>
          </w:tcPr>
          <w:p w14:paraId="678463D9" w14:textId="77777777" w:rsidR="005C7368" w:rsidRPr="00B06F56" w:rsidRDefault="00000000">
            <w:pPr>
              <w:pStyle w:val="TableText"/>
            </w:pPr>
            <w:r w:rsidRPr="00B06F56">
              <w:t>Higher hospitalisation hazards with both polypharmacy patterns; PIP mediated a small proportion</w:t>
            </w:r>
          </w:p>
        </w:tc>
        <w:tc>
          <w:tcPr>
            <w:tcW w:w="1011" w:type="pct"/>
            <w:tcMar>
              <w:top w:w="80" w:type="dxa"/>
              <w:left w:w="100" w:type="dxa"/>
              <w:bottom w:w="80" w:type="dxa"/>
              <w:right w:w="100" w:type="dxa"/>
            </w:tcMar>
            <w:vAlign w:val="center"/>
          </w:tcPr>
          <w:p w14:paraId="5CF7748A" w14:textId="77777777" w:rsidR="005C7368" w:rsidRPr="00B06F56" w:rsidRDefault="00000000">
            <w:pPr>
              <w:pStyle w:val="TableText"/>
            </w:pPr>
            <w:r w:rsidRPr="00B06F56">
              <w:t>Suggests mixed causal pathways rather than a single inappropriate-prescribing mechanism</w:t>
            </w:r>
          </w:p>
        </w:tc>
        <w:tc>
          <w:tcPr>
            <w:tcW w:w="792" w:type="pct"/>
            <w:tcMar>
              <w:top w:w="80" w:type="dxa"/>
              <w:left w:w="100" w:type="dxa"/>
              <w:bottom w:w="80" w:type="dxa"/>
              <w:right w:w="100" w:type="dxa"/>
            </w:tcMar>
            <w:vAlign w:val="center"/>
          </w:tcPr>
          <w:p w14:paraId="1C3EC3E0" w14:textId="77777777" w:rsidR="005C7368" w:rsidRPr="00B06F56" w:rsidRDefault="00000000">
            <w:pPr>
              <w:pStyle w:val="TableText"/>
            </w:pPr>
            <w:r w:rsidRPr="00B06F56">
              <w:t>Costanzo et al. (2024)</w:t>
            </w:r>
          </w:p>
        </w:tc>
      </w:tr>
      <w:tr w:rsidR="00B06F56" w:rsidRPr="00B06F56" w14:paraId="4D28C76B" w14:textId="77777777" w:rsidTr="0013103D">
        <w:trPr>
          <w:cantSplit/>
          <w:jc w:val="center"/>
        </w:trPr>
        <w:tc>
          <w:tcPr>
            <w:tcW w:w="656" w:type="pct"/>
            <w:tcMar>
              <w:top w:w="80" w:type="dxa"/>
              <w:left w:w="100" w:type="dxa"/>
              <w:bottom w:w="80" w:type="dxa"/>
              <w:right w:w="100" w:type="dxa"/>
            </w:tcMar>
            <w:vAlign w:val="center"/>
          </w:tcPr>
          <w:p w14:paraId="5D855B7F" w14:textId="77777777" w:rsidR="005C7368" w:rsidRPr="00B06F56" w:rsidRDefault="00000000">
            <w:pPr>
              <w:pStyle w:val="TableText"/>
              <w:jc w:val="center"/>
            </w:pPr>
            <w:r w:rsidRPr="00B06F56">
              <w:t>Inpatient evidence synthesis</w:t>
            </w:r>
          </w:p>
        </w:tc>
        <w:tc>
          <w:tcPr>
            <w:tcW w:w="765" w:type="pct"/>
            <w:tcMar>
              <w:top w:w="80" w:type="dxa"/>
              <w:left w:w="100" w:type="dxa"/>
              <w:bottom w:w="80" w:type="dxa"/>
              <w:right w:w="100" w:type="dxa"/>
            </w:tcMar>
            <w:vAlign w:val="center"/>
          </w:tcPr>
          <w:p w14:paraId="60141025" w14:textId="77777777" w:rsidR="005C7368" w:rsidRPr="00B06F56" w:rsidRDefault="00000000">
            <w:pPr>
              <w:pStyle w:val="TableText"/>
            </w:pPr>
            <w:r w:rsidRPr="00B06F56">
              <w:t>Systematic review/meta-analysis</w:t>
            </w:r>
          </w:p>
        </w:tc>
        <w:tc>
          <w:tcPr>
            <w:tcW w:w="874" w:type="pct"/>
            <w:tcMar>
              <w:top w:w="80" w:type="dxa"/>
              <w:left w:w="100" w:type="dxa"/>
              <w:bottom w:w="80" w:type="dxa"/>
              <w:right w:w="100" w:type="dxa"/>
            </w:tcMar>
            <w:vAlign w:val="center"/>
          </w:tcPr>
          <w:p w14:paraId="7CBC42B0" w14:textId="77777777" w:rsidR="005C7368" w:rsidRPr="00B06F56" w:rsidRDefault="00000000">
            <w:pPr>
              <w:pStyle w:val="TableText"/>
            </w:pPr>
            <w:r w:rsidRPr="00B06F56">
              <w:t>Medication review and deprescribing</w:t>
            </w:r>
          </w:p>
        </w:tc>
        <w:tc>
          <w:tcPr>
            <w:tcW w:w="902" w:type="pct"/>
            <w:tcMar>
              <w:top w:w="80" w:type="dxa"/>
              <w:left w:w="100" w:type="dxa"/>
              <w:bottom w:w="80" w:type="dxa"/>
              <w:right w:w="100" w:type="dxa"/>
            </w:tcMar>
            <w:vAlign w:val="center"/>
          </w:tcPr>
          <w:p w14:paraId="5D5765AD" w14:textId="77777777" w:rsidR="005C7368" w:rsidRPr="00B06F56" w:rsidRDefault="00000000">
            <w:pPr>
              <w:pStyle w:val="TableText"/>
            </w:pPr>
            <w:r w:rsidRPr="00B06F56">
              <w:t>Small reduction in readmission, no clear mortality benefit; most studies had high risk of bias</w:t>
            </w:r>
          </w:p>
        </w:tc>
        <w:tc>
          <w:tcPr>
            <w:tcW w:w="1011" w:type="pct"/>
            <w:tcMar>
              <w:top w:w="80" w:type="dxa"/>
              <w:left w:w="100" w:type="dxa"/>
              <w:bottom w:w="80" w:type="dxa"/>
              <w:right w:w="100" w:type="dxa"/>
            </w:tcMar>
            <w:vAlign w:val="center"/>
          </w:tcPr>
          <w:p w14:paraId="7CE494E8" w14:textId="77777777" w:rsidR="005C7368" w:rsidRPr="00B06F56" w:rsidRDefault="00000000">
            <w:pPr>
              <w:pStyle w:val="TableText"/>
            </w:pPr>
            <w:r w:rsidRPr="00B06F56">
              <w:t>Possible modest benefit, but certainty is limited by design quality and heterogeneity</w:t>
            </w:r>
          </w:p>
        </w:tc>
        <w:tc>
          <w:tcPr>
            <w:tcW w:w="792" w:type="pct"/>
            <w:tcMar>
              <w:top w:w="80" w:type="dxa"/>
              <w:left w:w="100" w:type="dxa"/>
              <w:bottom w:w="80" w:type="dxa"/>
              <w:right w:w="100" w:type="dxa"/>
            </w:tcMar>
            <w:vAlign w:val="center"/>
          </w:tcPr>
          <w:p w14:paraId="68317A2C" w14:textId="77777777" w:rsidR="005C7368" w:rsidRPr="00B06F56" w:rsidRDefault="00000000">
            <w:pPr>
              <w:pStyle w:val="TableText"/>
            </w:pPr>
            <w:r w:rsidRPr="00B06F56">
              <w:t>Carollo et al. (2024)</w:t>
            </w:r>
          </w:p>
        </w:tc>
      </w:tr>
    </w:tbl>
    <w:p w14:paraId="3077411E"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6A09EF4B" w14:textId="77777777" w:rsidR="005C7368" w:rsidRPr="00B06F56" w:rsidRDefault="00000000">
      <w:pPr>
        <w:pStyle w:val="Heading1"/>
        <w:rPr>
          <w:color w:val="auto"/>
        </w:rPr>
      </w:pPr>
      <w:r w:rsidRPr="00B06F56">
        <w:rPr>
          <w:color w:val="auto"/>
        </w:rPr>
        <w:lastRenderedPageBreak/>
        <w:t>5. Polypharmacy and Health-Related Quality of Life</w:t>
      </w:r>
    </w:p>
    <w:p w14:paraId="1A2DF075" w14:textId="77777777" w:rsidR="005C7368" w:rsidRPr="00B06F56" w:rsidRDefault="00000000">
      <w:pPr>
        <w:ind w:firstLine="288"/>
        <w:jc w:val="both"/>
      </w:pPr>
      <w:r w:rsidRPr="00B06F56">
        <w:t>The HRQoL evidence base is smaller than the hospitalisation literature and more sensitive to measurement choice. Generic HRQoL instruments capture mobility, self-care, usual activities, pain, mood or broader physical and mental functioning. Medication-related quality-of-life measures instead attempt to capture burden specifically attributable to medicine use. The two approaches answer different questions. A generic instrument may detect whether a patient feels and functions better overall but can be insensitive to a change in treatment workload; a medication-specific measure may detect burden while missing broader improvements in disease control. This distinction helps explain why intervention trials can produce discordant results across HRQoL measures.</w:t>
      </w:r>
    </w:p>
    <w:p w14:paraId="6F6E74AB" w14:textId="77777777" w:rsidR="005C7368" w:rsidRPr="00B06F56" w:rsidRDefault="00000000">
      <w:pPr>
        <w:ind w:firstLine="288"/>
        <w:jc w:val="both"/>
      </w:pPr>
      <w:r w:rsidRPr="00B06F56">
        <w:t>Cross-sectional evidence generally supports an inverse association between medication burden and HRQoL, but with important caveats. Montiel-Luque et al. (2017) studied 375 adults older than 65 years with polypharmacy. Use of more than ten medicines was independently associated with a lower EQ-5D visual analogue score, yet functional independence, depression, social risk and literacy had larger associations. The study therefore does not support medicine count as the dominant determinant of quality of life. Rather, polypharmacy sits within a broader geriatric context in which function and psychosocial factors may explain more of the patient's lived experience.</w:t>
      </w:r>
    </w:p>
    <w:p w14:paraId="7B7EBEDA" w14:textId="77777777" w:rsidR="005C7368" w:rsidRPr="00B06F56" w:rsidRDefault="00000000">
      <w:pPr>
        <w:ind w:firstLine="288"/>
        <w:jc w:val="both"/>
      </w:pPr>
      <w:r w:rsidRPr="00B06F56">
        <w:t>Falke et al. (2024) extended this reasoning in hospitalised multimorbid older adults with polypharmacy. Hyperpolypharmacy was associated with lower EQ-VAS, but several medication-specific characteristics also mattered: high anticholinergic and sedative burden, multiple prescribing omissions, opioids, benzodiazepines and high medication complexity were associated with lower HRQoL domains. These cross-sectional data remain vulnerable to confounding by indication; for example, opioid use may mark severe pain rather than independently causing poor HRQoL. Nonetheless, the pattern argues against using medication count as the only exposure. Regimen content and complexity provide clinically actionable hypotheses.</w:t>
      </w:r>
    </w:p>
    <w:p w14:paraId="486C9F6A" w14:textId="77777777" w:rsidR="005C7368" w:rsidRPr="00B06F56" w:rsidRDefault="00000000">
      <w:pPr>
        <w:ind w:firstLine="288"/>
        <w:jc w:val="both"/>
      </w:pPr>
      <w:r w:rsidRPr="00B06F56">
        <w:t>A large 2025 analysis of older adults provides another dimension by quantifying pill burden. Vonderhaar et al. (2025) found progressively lower physical component scores of the SF-12 as prescription pill burden increased, even after adjustment for covariates, whereas mental component scores showed no significant association. Non-prescription pill burden showed a weaker but similar physical pattern. The domain-specific result is important. If medicine burden primarily affects fatigue, mobility, side effects and daily functioning, a global or mental HRQoL score may dilute the signal. Studies that report only a composite index can therefore miss clinically meaningful domain effects.</w:t>
      </w:r>
    </w:p>
    <w:p w14:paraId="0A2C86D8" w14:textId="77777777" w:rsidR="005C7368" w:rsidRPr="00B06F56" w:rsidRDefault="00000000">
      <w:pPr>
        <w:ind w:firstLine="288"/>
        <w:jc w:val="both"/>
      </w:pPr>
      <w:r w:rsidRPr="00B06F56">
        <w:t>Longitudinal evidence strengthens temporal interpretation. Aljeaidi et al. (2022) followed 2,181 community-dwelling older adults and modelled HRQoL trajectories according to polypharmacy status. Persistent polypharmacy was associated with the lowest HRQoL levels, while incident polypharmacy was associated with the steepest decline in physical and mental component scores after adjustment for comorbidity change and other covariates. This does not prove that initiating multiple medicines caused the decline, because incident polypharmacy can be a response to worsening illness. It does, however, identify a clinically useful transition point: the development of polypharmacy may signal an episode of health deterioration in which medicine burden and patient goals merit reassessment.</w:t>
      </w:r>
    </w:p>
    <w:p w14:paraId="693DBE12" w14:textId="77777777" w:rsidR="005C7368" w:rsidRPr="00B06F56" w:rsidRDefault="00000000">
      <w:pPr>
        <w:ind w:firstLine="288"/>
        <w:jc w:val="both"/>
      </w:pPr>
      <w:r w:rsidRPr="00B06F56">
        <w:t xml:space="preserve">Earlier cohort work linked medication quality, rather than count alone, with HRQoL. Nordin Olsson et al. (2011) followed older adults discharged from hospital who were taking at least five medicines and found poorer medication appropriateness associated with lower EQ-5D and EQ-VAS over 12 months. Because medication appropriateness is itself influenced by disease complexity and clinician judgement, residual </w:t>
      </w:r>
      <w:r w:rsidRPr="00B06F56">
        <w:lastRenderedPageBreak/>
        <w:t>confounding remains possible. Yet the result is conceptually aligned with the view that the clinical quality of the regimen may be more relevant to lived health than the mere presence of polypharmacy.</w:t>
      </w:r>
    </w:p>
    <w:p w14:paraId="00B19BD3" w14:textId="77777777" w:rsidR="005C7368" w:rsidRPr="00B06F56" w:rsidRDefault="00000000">
      <w:pPr>
        <w:ind w:firstLine="288"/>
        <w:jc w:val="both"/>
      </w:pPr>
      <w:r w:rsidRPr="00B06F56">
        <w:t>Recent evidence from hospitalised older adults in South India illustrates both external relevance and interpretive caution. Syed et al. (2026) found polypharmacy associated with lower HRQoL in unadjusted analyses, while multivariable models emphasised comorbidity burden, length of stay and sarcopenia. The cross-sectional design precludes causal claims, but the findings reinforce the same hierarchy seen elsewhere: medication burden matters within a network of frailty, multimorbidity and functional impairment, not independently of them. This is particularly relevant when extrapolating evidence across health systems, where disease profiles, prescribing cultures and access to follow-up differ.</w:t>
      </w:r>
    </w:p>
    <w:p w14:paraId="38B3949E" w14:textId="77777777" w:rsidR="005C7368" w:rsidRPr="00B06F56" w:rsidRDefault="00000000">
      <w:pPr>
        <w:ind w:firstLine="288"/>
        <w:jc w:val="both"/>
      </w:pPr>
      <w:r w:rsidRPr="00B06F56">
        <w:t>Measurement properties deserve explicit attention. Bhadhuri et al. (2020) compared EQ-5D-3L and EQ-5D-5L in older multimorbid patients with polypharmacy and found both instruments valid and responsive, with lower ceiling effects and greater informativity for the 5-level version in some domains. Even so, generic HRQoL measures may fail to detect medication-specific burden. Jennings et al. (2022) attempted to assess medication-related quality of life in ambulatory older adults with multimorbidity and polypharmacy but found their instrument unsuitable for many geriatric attendees; cognitive exclusions reduced the analytic sample to 27. This is more than a small-study problem. Excluding patients with cognitive impairment, frailty or communication difficulty systematically removes those at greatest risk of problematic polypharmacy and may bias estimates toward healthier older adults.</w:t>
      </w:r>
    </w:p>
    <w:p w14:paraId="5C593642" w14:textId="77777777" w:rsidR="005C7368" w:rsidRPr="00B06F56" w:rsidRDefault="00000000">
      <w:pPr>
        <w:ind w:firstLine="288"/>
        <w:jc w:val="both"/>
      </w:pPr>
      <w:r w:rsidRPr="00B06F56">
        <w:t>Intervention trials further show how measurement choice changes conclusions. In the DREAMeR trial, a patient-centred clinical medication review improved EQ-VAS and reduced health problems affecting daily life over six months but did not improve the EQ-5D-5L index (Verdoorn et al., 2019). The divergence may reflect the responsiveness of a global self-rated health scale to changes that are too small or too diffuse to shift a preference-weighted multi-domain index. It may also capture non-pharmacological effects of the intervention, such as attention, goal setting and improved understanding of medicines. These are not necessarily biases; if an intervention improves patients' perceived health through shared decision-making, that can be a meaningful outcome. But attribution specifically to deprescribing becomes more difficult.</w:t>
      </w:r>
    </w:p>
    <w:p w14:paraId="65836481" w14:textId="77777777" w:rsidR="005C7368" w:rsidRPr="00B06F56" w:rsidRDefault="00000000">
      <w:pPr>
        <w:ind w:firstLine="288"/>
        <w:jc w:val="both"/>
      </w:pPr>
      <w:r w:rsidRPr="00B06F56">
        <w:t>Kornholt et al. (2022) found a short-term improvement in EQ-5D-5L after a comprehensive medication consultation in geriatric outpatients taking at least nine medicines, together with a reduction of about two medicines. The HRQoL difference was no longer significant at 13 months, and admissions did not differ. This transient pattern may indicate that medication optimisation provides short-lived symptom or burden relief, that subsequent prescribing erodes initial gains, or that the trial was not powered for sustained differences. It also warns against interpreting a single follow-up point as proof of durable benefit.</w:t>
      </w:r>
    </w:p>
    <w:p w14:paraId="7CB3A398" w14:textId="77777777" w:rsidR="005C7368" w:rsidRPr="00B06F56" w:rsidRDefault="00000000">
      <w:pPr>
        <w:ind w:firstLine="288"/>
        <w:jc w:val="both"/>
      </w:pPr>
      <w:r w:rsidRPr="00B06F56">
        <w:t>Systematic reviews of deprescribing trials report more positive HRQoL signals than hospitalisation signals, but certainty remains limited. Omuya et al. (2023) found that four of five trials with HRQoL as a primary outcome reported significant effects, and patient-centred components were common among interventions with positive primary outcomes. Yet trials varied in setting, intervention design and outcome measurement. The Cochrane review of interventions to improve appropriate polypharmacy likewise concludes that prescribing appropriateness can improve while evidence for broader patient-important outcomes remains uncertain (Cole et al., 2023). The most defensible inference is not that deprescribing improves HRQoL universally, but that carefully targeted, patient-centred optimisation can improve some patient-reported outcomes in some contexts.</w:t>
      </w:r>
    </w:p>
    <w:p w14:paraId="1297EC4B" w14:textId="77777777" w:rsidR="005C7368" w:rsidRPr="00B06F56" w:rsidRDefault="00000000">
      <w:pPr>
        <w:ind w:firstLine="288"/>
        <w:jc w:val="both"/>
      </w:pPr>
      <w:r w:rsidRPr="00B06F56">
        <w:t xml:space="preserve">An additional challenge is response shift: older adults may recalibrate expectations as illness and disability accumulate, so stable questionnaire scores do not necessarily mean unchanged treatment burden. A </w:t>
      </w:r>
      <w:r w:rsidRPr="00B06F56">
        <w:lastRenderedPageBreak/>
        <w:t>patient may report acceptable global health while spending substantial time organising medicines, attending monitoring visits or tolerating dizziness because these burdens have become normalised. Conversely, deprescribing may initially reduce symptom control or increase anxiety even when long-term burden falls. Generic HRQoL instruments are not designed to isolate these medication-specific trade-offs. This strengthens the case for pairing validated generic measures with treatment-burden, goal-attainment or symptom-specific measures rather than replacing one with another. The divergent EQ-VAS and EQ-5D findings in DREAMeR illustrate how different instruments can capture different aspects of the same clinical change (Verdoorn et al., 2019).</w:t>
      </w:r>
    </w:p>
    <w:p w14:paraId="6950A647" w14:textId="77777777" w:rsidR="005C7368" w:rsidRPr="00B06F56" w:rsidRDefault="00000000">
      <w:pPr>
        <w:ind w:firstLine="288"/>
        <w:jc w:val="both"/>
      </w:pPr>
      <w:r w:rsidRPr="00B06F56">
        <w:t>Selection bias is equally important. Studies that require independent questionnaire completion, exclude cognitive impairment or enrol only clinic attenders can under-represent the people most exposed to medication-management difficulty. Their HRQoL estimates may therefore be most precise for comparatively robust older adults and least informative for those with dementia, sensory loss, caregiver dependence or severe frailty. The very small evaluable sample in the medication-related quality-of-life study by Jennings et al. (2022) demonstrates how an apparently suitable outcome instrument can fail in a geriatric population when feasibility is considered only after recruitment. Proxy responses and supported completion introduce their own measurement issues, but systematic exclusion is unlikely to be a satisfactory solution because it narrows external validity at the point of greatest clinical vulnerability.</w:t>
      </w:r>
    </w:p>
    <w:p w14:paraId="5607D200" w14:textId="77777777" w:rsidR="005C7368" w:rsidRPr="00B06F56" w:rsidRDefault="00000000">
      <w:pPr>
        <w:ind w:firstLine="288"/>
        <w:jc w:val="both"/>
      </w:pPr>
      <w:r w:rsidRPr="00B06F56">
        <w:t>Table 3 summarises representative HRQoL evidence. Across studies, the recurring pattern is that medicine exposure correlates more reliably with physical or global health status than with mental health, and that functional status, mood, frailty and multimorbidity often have larger effects. HRQoL should therefore be treated as an integrated geriatric endpoint rather than a direct pharmacological readout.</w:t>
      </w:r>
    </w:p>
    <w:p w14:paraId="05102C89" w14:textId="77777777" w:rsidR="005C7368" w:rsidRPr="00B06F56" w:rsidRDefault="00000000">
      <w:pPr>
        <w:keepNext/>
        <w:spacing w:before="160" w:after="80"/>
      </w:pPr>
      <w:r w:rsidRPr="00B06F56">
        <w:rPr>
          <w:b/>
          <w:sz w:val="20"/>
        </w:rPr>
        <w:t>Table 3. Representative evidence on polypharmacy and health-related quality of life</w:t>
      </w:r>
    </w:p>
    <w:tbl>
      <w:tblPr>
        <w:tblStyle w:val="TableGrid"/>
        <w:tblW w:w="5000" w:type="pct"/>
        <w:jc w:val="center"/>
        <w:tblLook w:val="04A0" w:firstRow="1" w:lastRow="0" w:firstColumn="1" w:lastColumn="0" w:noHBand="0" w:noVBand="1"/>
      </w:tblPr>
      <w:tblGrid>
        <w:gridCol w:w="1292"/>
        <w:gridCol w:w="1507"/>
        <w:gridCol w:w="1721"/>
        <w:gridCol w:w="1777"/>
        <w:gridCol w:w="1991"/>
        <w:gridCol w:w="1560"/>
      </w:tblGrid>
      <w:tr w:rsidR="00B06F56" w:rsidRPr="00B06F56" w14:paraId="1CECD220" w14:textId="77777777" w:rsidTr="0013103D">
        <w:trPr>
          <w:tblHeader/>
          <w:jc w:val="center"/>
        </w:trPr>
        <w:tc>
          <w:tcPr>
            <w:tcW w:w="656" w:type="pct"/>
            <w:shd w:val="clear" w:color="auto" w:fill="D9E2F3"/>
            <w:tcMar>
              <w:top w:w="80" w:type="dxa"/>
              <w:left w:w="100" w:type="dxa"/>
              <w:bottom w:w="80" w:type="dxa"/>
              <w:right w:w="100" w:type="dxa"/>
            </w:tcMar>
            <w:vAlign w:val="center"/>
          </w:tcPr>
          <w:p w14:paraId="588931C6" w14:textId="77777777" w:rsidR="005C7368" w:rsidRPr="00B06F56" w:rsidRDefault="00000000">
            <w:pPr>
              <w:pStyle w:val="TableText"/>
              <w:jc w:val="center"/>
            </w:pPr>
            <w:r w:rsidRPr="00B06F56">
              <w:rPr>
                <w:b/>
              </w:rPr>
              <w:t>Study</w:t>
            </w:r>
          </w:p>
        </w:tc>
        <w:tc>
          <w:tcPr>
            <w:tcW w:w="765" w:type="pct"/>
            <w:shd w:val="clear" w:color="auto" w:fill="D9E2F3"/>
            <w:tcMar>
              <w:top w:w="80" w:type="dxa"/>
              <w:left w:w="100" w:type="dxa"/>
              <w:bottom w:w="80" w:type="dxa"/>
              <w:right w:w="100" w:type="dxa"/>
            </w:tcMar>
            <w:vAlign w:val="center"/>
          </w:tcPr>
          <w:p w14:paraId="22476700" w14:textId="77777777" w:rsidR="005C7368" w:rsidRPr="00B06F56" w:rsidRDefault="00000000">
            <w:pPr>
              <w:pStyle w:val="TableText"/>
              <w:jc w:val="center"/>
            </w:pPr>
            <w:r w:rsidRPr="00B06F56">
              <w:rPr>
                <w:b/>
              </w:rPr>
              <w:t>Population / design</w:t>
            </w:r>
          </w:p>
        </w:tc>
        <w:tc>
          <w:tcPr>
            <w:tcW w:w="874" w:type="pct"/>
            <w:shd w:val="clear" w:color="auto" w:fill="D9E2F3"/>
            <w:tcMar>
              <w:top w:w="80" w:type="dxa"/>
              <w:left w:w="100" w:type="dxa"/>
              <w:bottom w:w="80" w:type="dxa"/>
              <w:right w:w="100" w:type="dxa"/>
            </w:tcMar>
            <w:vAlign w:val="center"/>
          </w:tcPr>
          <w:p w14:paraId="28473E52" w14:textId="77777777" w:rsidR="005C7368" w:rsidRPr="00B06F56" w:rsidRDefault="00000000">
            <w:pPr>
              <w:pStyle w:val="TableText"/>
              <w:jc w:val="center"/>
            </w:pPr>
            <w:r w:rsidRPr="00B06F56">
              <w:rPr>
                <w:b/>
              </w:rPr>
              <w:t>Medication construct</w:t>
            </w:r>
          </w:p>
        </w:tc>
        <w:tc>
          <w:tcPr>
            <w:tcW w:w="902" w:type="pct"/>
            <w:shd w:val="clear" w:color="auto" w:fill="D9E2F3"/>
            <w:tcMar>
              <w:top w:w="80" w:type="dxa"/>
              <w:left w:w="100" w:type="dxa"/>
              <w:bottom w:w="80" w:type="dxa"/>
              <w:right w:w="100" w:type="dxa"/>
            </w:tcMar>
            <w:vAlign w:val="center"/>
          </w:tcPr>
          <w:p w14:paraId="502EA907" w14:textId="77777777" w:rsidR="005C7368" w:rsidRPr="00B06F56" w:rsidRDefault="00000000">
            <w:pPr>
              <w:pStyle w:val="TableText"/>
              <w:jc w:val="center"/>
            </w:pPr>
            <w:r w:rsidRPr="00B06F56">
              <w:rPr>
                <w:b/>
              </w:rPr>
              <w:t>HRQoL result</w:t>
            </w:r>
          </w:p>
        </w:tc>
        <w:tc>
          <w:tcPr>
            <w:tcW w:w="1011" w:type="pct"/>
            <w:shd w:val="clear" w:color="auto" w:fill="D9E2F3"/>
            <w:tcMar>
              <w:top w:w="80" w:type="dxa"/>
              <w:left w:w="100" w:type="dxa"/>
              <w:bottom w:w="80" w:type="dxa"/>
              <w:right w:w="100" w:type="dxa"/>
            </w:tcMar>
            <w:vAlign w:val="center"/>
          </w:tcPr>
          <w:p w14:paraId="29175832" w14:textId="77777777" w:rsidR="005C7368" w:rsidRPr="00B06F56" w:rsidRDefault="00000000">
            <w:pPr>
              <w:pStyle w:val="TableText"/>
              <w:jc w:val="center"/>
            </w:pPr>
            <w:r w:rsidRPr="00B06F56">
              <w:rPr>
                <w:b/>
              </w:rPr>
              <w:t>Key limitation or implication</w:t>
            </w:r>
          </w:p>
        </w:tc>
        <w:tc>
          <w:tcPr>
            <w:tcW w:w="792" w:type="pct"/>
            <w:shd w:val="clear" w:color="auto" w:fill="D9E2F3"/>
            <w:tcMar>
              <w:top w:w="80" w:type="dxa"/>
              <w:left w:w="100" w:type="dxa"/>
              <w:bottom w:w="80" w:type="dxa"/>
              <w:right w:w="100" w:type="dxa"/>
            </w:tcMar>
            <w:vAlign w:val="center"/>
          </w:tcPr>
          <w:p w14:paraId="7F9F4A28" w14:textId="77777777" w:rsidR="005C7368" w:rsidRPr="00B06F56" w:rsidRDefault="00000000">
            <w:pPr>
              <w:pStyle w:val="TableText"/>
              <w:jc w:val="center"/>
            </w:pPr>
            <w:r w:rsidRPr="00B06F56">
              <w:rPr>
                <w:b/>
              </w:rPr>
              <w:t>Supporting references</w:t>
            </w:r>
          </w:p>
        </w:tc>
      </w:tr>
      <w:tr w:rsidR="00B06F56" w:rsidRPr="00B06F56" w14:paraId="1FC7E8FA" w14:textId="77777777" w:rsidTr="0013103D">
        <w:trPr>
          <w:cantSplit/>
          <w:jc w:val="center"/>
        </w:trPr>
        <w:tc>
          <w:tcPr>
            <w:tcW w:w="656" w:type="pct"/>
            <w:tcMar>
              <w:top w:w="80" w:type="dxa"/>
              <w:left w:w="100" w:type="dxa"/>
              <w:bottom w:w="80" w:type="dxa"/>
              <w:right w:w="100" w:type="dxa"/>
            </w:tcMar>
            <w:vAlign w:val="center"/>
          </w:tcPr>
          <w:p w14:paraId="4445D730" w14:textId="77777777" w:rsidR="005C7368" w:rsidRPr="00B06F56" w:rsidRDefault="00000000">
            <w:pPr>
              <w:pStyle w:val="TableText"/>
              <w:jc w:val="center"/>
            </w:pPr>
            <w:r w:rsidRPr="00B06F56">
              <w:t>Nordin Olsson et al.</w:t>
            </w:r>
          </w:p>
        </w:tc>
        <w:tc>
          <w:tcPr>
            <w:tcW w:w="765" w:type="pct"/>
            <w:tcMar>
              <w:top w:w="80" w:type="dxa"/>
              <w:left w:w="100" w:type="dxa"/>
              <w:bottom w:w="80" w:type="dxa"/>
              <w:right w:w="100" w:type="dxa"/>
            </w:tcMar>
            <w:vAlign w:val="center"/>
          </w:tcPr>
          <w:p w14:paraId="465D23CE" w14:textId="77777777" w:rsidR="005C7368" w:rsidRPr="00B06F56" w:rsidRDefault="00000000">
            <w:pPr>
              <w:pStyle w:val="TableText"/>
            </w:pPr>
            <w:r w:rsidRPr="00B06F56">
              <w:t>Older adults discharged from hospital; cohort</w:t>
            </w:r>
          </w:p>
        </w:tc>
        <w:tc>
          <w:tcPr>
            <w:tcW w:w="874" w:type="pct"/>
            <w:tcMar>
              <w:top w:w="80" w:type="dxa"/>
              <w:left w:w="100" w:type="dxa"/>
              <w:bottom w:w="80" w:type="dxa"/>
              <w:right w:w="100" w:type="dxa"/>
            </w:tcMar>
            <w:vAlign w:val="center"/>
          </w:tcPr>
          <w:p w14:paraId="7E3367BB" w14:textId="77777777" w:rsidR="005C7368" w:rsidRPr="00B06F56" w:rsidRDefault="00000000">
            <w:pPr>
              <w:pStyle w:val="TableText"/>
            </w:pPr>
            <w:r w:rsidRPr="00B06F56">
              <w:t>Medication appropriateness</w:t>
            </w:r>
          </w:p>
        </w:tc>
        <w:tc>
          <w:tcPr>
            <w:tcW w:w="902" w:type="pct"/>
            <w:tcMar>
              <w:top w:w="80" w:type="dxa"/>
              <w:left w:w="100" w:type="dxa"/>
              <w:bottom w:w="80" w:type="dxa"/>
              <w:right w:w="100" w:type="dxa"/>
            </w:tcMar>
            <w:vAlign w:val="center"/>
          </w:tcPr>
          <w:p w14:paraId="151F5F3B" w14:textId="77777777" w:rsidR="005C7368" w:rsidRPr="00B06F56" w:rsidRDefault="00000000">
            <w:pPr>
              <w:pStyle w:val="TableText"/>
            </w:pPr>
            <w:r w:rsidRPr="00B06F56">
              <w:t>Poorer medication quality was associated with lower EQ-5D and EQ-VAS over follow-up</w:t>
            </w:r>
          </w:p>
        </w:tc>
        <w:tc>
          <w:tcPr>
            <w:tcW w:w="1011" w:type="pct"/>
            <w:tcMar>
              <w:top w:w="80" w:type="dxa"/>
              <w:left w:w="100" w:type="dxa"/>
              <w:bottom w:w="80" w:type="dxa"/>
              <w:right w:w="100" w:type="dxa"/>
            </w:tcMar>
            <w:vAlign w:val="center"/>
          </w:tcPr>
          <w:p w14:paraId="6F951C4B" w14:textId="77777777" w:rsidR="005C7368" w:rsidRPr="00B06F56" w:rsidRDefault="00000000">
            <w:pPr>
              <w:pStyle w:val="TableText"/>
            </w:pPr>
            <w:r w:rsidRPr="00B06F56">
              <w:t>Suggests appropriateness matters, but residual confounding is possible</w:t>
            </w:r>
          </w:p>
        </w:tc>
        <w:tc>
          <w:tcPr>
            <w:tcW w:w="792" w:type="pct"/>
            <w:tcMar>
              <w:top w:w="80" w:type="dxa"/>
              <w:left w:w="100" w:type="dxa"/>
              <w:bottom w:w="80" w:type="dxa"/>
              <w:right w:w="100" w:type="dxa"/>
            </w:tcMar>
            <w:vAlign w:val="center"/>
          </w:tcPr>
          <w:p w14:paraId="466B5C7C" w14:textId="77777777" w:rsidR="005C7368" w:rsidRPr="00B06F56" w:rsidRDefault="00000000">
            <w:pPr>
              <w:pStyle w:val="TableText"/>
            </w:pPr>
            <w:r w:rsidRPr="00B06F56">
              <w:t>Nordin Olsson et al. (2011)</w:t>
            </w:r>
          </w:p>
        </w:tc>
      </w:tr>
      <w:tr w:rsidR="00B06F56" w:rsidRPr="00B06F56" w14:paraId="0DE9EC51" w14:textId="77777777" w:rsidTr="0013103D">
        <w:trPr>
          <w:cantSplit/>
          <w:jc w:val="center"/>
        </w:trPr>
        <w:tc>
          <w:tcPr>
            <w:tcW w:w="656" w:type="pct"/>
            <w:tcMar>
              <w:top w:w="80" w:type="dxa"/>
              <w:left w:w="100" w:type="dxa"/>
              <w:bottom w:w="80" w:type="dxa"/>
              <w:right w:w="100" w:type="dxa"/>
            </w:tcMar>
            <w:vAlign w:val="center"/>
          </w:tcPr>
          <w:p w14:paraId="53416FD3" w14:textId="77777777" w:rsidR="005C7368" w:rsidRPr="00B06F56" w:rsidRDefault="00000000">
            <w:pPr>
              <w:pStyle w:val="TableText"/>
              <w:jc w:val="center"/>
            </w:pPr>
            <w:r w:rsidRPr="00B06F56">
              <w:t>Montiel-Luque et al.</w:t>
            </w:r>
          </w:p>
        </w:tc>
        <w:tc>
          <w:tcPr>
            <w:tcW w:w="765" w:type="pct"/>
            <w:tcMar>
              <w:top w:w="80" w:type="dxa"/>
              <w:left w:w="100" w:type="dxa"/>
              <w:bottom w:w="80" w:type="dxa"/>
              <w:right w:w="100" w:type="dxa"/>
            </w:tcMar>
            <w:vAlign w:val="center"/>
          </w:tcPr>
          <w:p w14:paraId="106BC38D" w14:textId="77777777" w:rsidR="005C7368" w:rsidRPr="00B06F56" w:rsidRDefault="00000000">
            <w:pPr>
              <w:pStyle w:val="TableText"/>
            </w:pPr>
            <w:r w:rsidRPr="00B06F56">
              <w:t>Primary care adults &gt;65 with polypharmacy; cross-sectional</w:t>
            </w:r>
          </w:p>
        </w:tc>
        <w:tc>
          <w:tcPr>
            <w:tcW w:w="874" w:type="pct"/>
            <w:tcMar>
              <w:top w:w="80" w:type="dxa"/>
              <w:left w:w="100" w:type="dxa"/>
              <w:bottom w:w="80" w:type="dxa"/>
              <w:right w:w="100" w:type="dxa"/>
            </w:tcMar>
            <w:vAlign w:val="center"/>
          </w:tcPr>
          <w:p w14:paraId="1139C028" w14:textId="77777777" w:rsidR="005C7368" w:rsidRPr="00B06F56" w:rsidRDefault="00000000">
            <w:pPr>
              <w:pStyle w:val="TableText"/>
            </w:pPr>
            <w:r w:rsidRPr="00B06F56">
              <w:t>&gt;10 medicines and medication factors</w:t>
            </w:r>
          </w:p>
        </w:tc>
        <w:tc>
          <w:tcPr>
            <w:tcW w:w="902" w:type="pct"/>
            <w:tcMar>
              <w:top w:w="80" w:type="dxa"/>
              <w:left w:w="100" w:type="dxa"/>
              <w:bottom w:w="80" w:type="dxa"/>
              <w:right w:w="100" w:type="dxa"/>
            </w:tcMar>
            <w:vAlign w:val="center"/>
          </w:tcPr>
          <w:p w14:paraId="6F8D8064" w14:textId="77777777" w:rsidR="005C7368" w:rsidRPr="00B06F56" w:rsidRDefault="00000000">
            <w:pPr>
              <w:pStyle w:val="TableText"/>
            </w:pPr>
            <w:r w:rsidRPr="00B06F56">
              <w:t>Higher medicine count was associated with lower EQ-VAS; function and depression had larger associations</w:t>
            </w:r>
          </w:p>
        </w:tc>
        <w:tc>
          <w:tcPr>
            <w:tcW w:w="1011" w:type="pct"/>
            <w:tcMar>
              <w:top w:w="80" w:type="dxa"/>
              <w:left w:w="100" w:type="dxa"/>
              <w:bottom w:w="80" w:type="dxa"/>
              <w:right w:w="100" w:type="dxa"/>
            </w:tcMar>
            <w:vAlign w:val="center"/>
          </w:tcPr>
          <w:p w14:paraId="22836F92" w14:textId="77777777" w:rsidR="005C7368" w:rsidRPr="00B06F56" w:rsidRDefault="00000000">
            <w:pPr>
              <w:pStyle w:val="TableText"/>
            </w:pPr>
            <w:r w:rsidRPr="00B06F56">
              <w:t>Medicine number is one determinant among stronger geriatric and social factors</w:t>
            </w:r>
          </w:p>
        </w:tc>
        <w:tc>
          <w:tcPr>
            <w:tcW w:w="792" w:type="pct"/>
            <w:tcMar>
              <w:top w:w="80" w:type="dxa"/>
              <w:left w:w="100" w:type="dxa"/>
              <w:bottom w:w="80" w:type="dxa"/>
              <w:right w:w="100" w:type="dxa"/>
            </w:tcMar>
            <w:vAlign w:val="center"/>
          </w:tcPr>
          <w:p w14:paraId="275BF59A" w14:textId="77777777" w:rsidR="005C7368" w:rsidRPr="00B06F56" w:rsidRDefault="00000000">
            <w:pPr>
              <w:pStyle w:val="TableText"/>
            </w:pPr>
            <w:r w:rsidRPr="00B06F56">
              <w:t>Montiel-Luque et al. (2017)</w:t>
            </w:r>
          </w:p>
        </w:tc>
      </w:tr>
      <w:tr w:rsidR="00B06F56" w:rsidRPr="00B06F56" w14:paraId="174B806F" w14:textId="77777777" w:rsidTr="0013103D">
        <w:trPr>
          <w:cantSplit/>
          <w:jc w:val="center"/>
        </w:trPr>
        <w:tc>
          <w:tcPr>
            <w:tcW w:w="656" w:type="pct"/>
            <w:tcMar>
              <w:top w:w="80" w:type="dxa"/>
              <w:left w:w="100" w:type="dxa"/>
              <w:bottom w:w="80" w:type="dxa"/>
              <w:right w:w="100" w:type="dxa"/>
            </w:tcMar>
            <w:vAlign w:val="center"/>
          </w:tcPr>
          <w:p w14:paraId="621B8AF5" w14:textId="77777777" w:rsidR="005C7368" w:rsidRPr="00B06F56" w:rsidRDefault="00000000">
            <w:pPr>
              <w:pStyle w:val="TableText"/>
              <w:jc w:val="center"/>
            </w:pPr>
            <w:r w:rsidRPr="00B06F56">
              <w:t>DREAMeR</w:t>
            </w:r>
          </w:p>
        </w:tc>
        <w:tc>
          <w:tcPr>
            <w:tcW w:w="765" w:type="pct"/>
            <w:tcMar>
              <w:top w:w="80" w:type="dxa"/>
              <w:left w:w="100" w:type="dxa"/>
              <w:bottom w:w="80" w:type="dxa"/>
              <w:right w:w="100" w:type="dxa"/>
            </w:tcMar>
            <w:vAlign w:val="center"/>
          </w:tcPr>
          <w:p w14:paraId="55AEC74C" w14:textId="77777777" w:rsidR="005C7368" w:rsidRPr="00B06F56" w:rsidRDefault="00000000">
            <w:pPr>
              <w:pStyle w:val="TableText"/>
            </w:pPr>
            <w:r w:rsidRPr="00B06F56">
              <w:t>Community-dwelling older adults; randomised trial</w:t>
            </w:r>
          </w:p>
        </w:tc>
        <w:tc>
          <w:tcPr>
            <w:tcW w:w="874" w:type="pct"/>
            <w:tcMar>
              <w:top w:w="80" w:type="dxa"/>
              <w:left w:w="100" w:type="dxa"/>
              <w:bottom w:w="80" w:type="dxa"/>
              <w:right w:w="100" w:type="dxa"/>
            </w:tcMar>
            <w:vAlign w:val="center"/>
          </w:tcPr>
          <w:p w14:paraId="2D2096D6" w14:textId="77777777" w:rsidR="005C7368" w:rsidRPr="00B06F56" w:rsidRDefault="00000000">
            <w:pPr>
              <w:pStyle w:val="TableText"/>
            </w:pPr>
            <w:r w:rsidRPr="00B06F56">
              <w:t>Goal-oriented medication review</w:t>
            </w:r>
          </w:p>
        </w:tc>
        <w:tc>
          <w:tcPr>
            <w:tcW w:w="902" w:type="pct"/>
            <w:tcMar>
              <w:top w:w="80" w:type="dxa"/>
              <w:left w:w="100" w:type="dxa"/>
              <w:bottom w:w="80" w:type="dxa"/>
              <w:right w:w="100" w:type="dxa"/>
            </w:tcMar>
            <w:vAlign w:val="center"/>
          </w:tcPr>
          <w:p w14:paraId="56475C9E" w14:textId="77777777" w:rsidR="005C7368" w:rsidRPr="00B06F56" w:rsidRDefault="00000000">
            <w:pPr>
              <w:pStyle w:val="TableText"/>
            </w:pPr>
            <w:r w:rsidRPr="00B06F56">
              <w:t>Improved EQ-VAS but not EQ-5D-5L index</w:t>
            </w:r>
          </w:p>
        </w:tc>
        <w:tc>
          <w:tcPr>
            <w:tcW w:w="1011" w:type="pct"/>
            <w:tcMar>
              <w:top w:w="80" w:type="dxa"/>
              <w:left w:w="100" w:type="dxa"/>
              <w:bottom w:w="80" w:type="dxa"/>
              <w:right w:w="100" w:type="dxa"/>
            </w:tcMar>
            <w:vAlign w:val="center"/>
          </w:tcPr>
          <w:p w14:paraId="0AB9012D" w14:textId="77777777" w:rsidR="005C7368" w:rsidRPr="00B06F56" w:rsidRDefault="00000000">
            <w:pPr>
              <w:pStyle w:val="TableText"/>
            </w:pPr>
            <w:r w:rsidRPr="00B06F56">
              <w:t>Outcome instrument choice changes the apparent intervention effect</w:t>
            </w:r>
          </w:p>
        </w:tc>
        <w:tc>
          <w:tcPr>
            <w:tcW w:w="792" w:type="pct"/>
            <w:tcMar>
              <w:top w:w="80" w:type="dxa"/>
              <w:left w:w="100" w:type="dxa"/>
              <w:bottom w:w="80" w:type="dxa"/>
              <w:right w:w="100" w:type="dxa"/>
            </w:tcMar>
            <w:vAlign w:val="center"/>
          </w:tcPr>
          <w:p w14:paraId="766EE4C6" w14:textId="77777777" w:rsidR="005C7368" w:rsidRPr="00B06F56" w:rsidRDefault="00000000">
            <w:pPr>
              <w:pStyle w:val="TableText"/>
            </w:pPr>
            <w:r w:rsidRPr="00B06F56">
              <w:t>Verdoorn et al. (2019)</w:t>
            </w:r>
          </w:p>
        </w:tc>
      </w:tr>
      <w:tr w:rsidR="00B06F56" w:rsidRPr="00B06F56" w14:paraId="39FFA20B" w14:textId="77777777" w:rsidTr="0013103D">
        <w:trPr>
          <w:cantSplit/>
          <w:jc w:val="center"/>
        </w:trPr>
        <w:tc>
          <w:tcPr>
            <w:tcW w:w="656" w:type="pct"/>
            <w:tcMar>
              <w:top w:w="80" w:type="dxa"/>
              <w:left w:w="100" w:type="dxa"/>
              <w:bottom w:w="80" w:type="dxa"/>
              <w:right w:w="100" w:type="dxa"/>
            </w:tcMar>
            <w:vAlign w:val="center"/>
          </w:tcPr>
          <w:p w14:paraId="468AE995" w14:textId="77777777" w:rsidR="005C7368" w:rsidRPr="00B06F56" w:rsidRDefault="00000000">
            <w:pPr>
              <w:pStyle w:val="TableText"/>
              <w:jc w:val="center"/>
            </w:pPr>
            <w:r w:rsidRPr="00B06F56">
              <w:t>Aljeaidi et al.</w:t>
            </w:r>
          </w:p>
        </w:tc>
        <w:tc>
          <w:tcPr>
            <w:tcW w:w="765" w:type="pct"/>
            <w:tcMar>
              <w:top w:w="80" w:type="dxa"/>
              <w:left w:w="100" w:type="dxa"/>
              <w:bottom w:w="80" w:type="dxa"/>
              <w:right w:w="100" w:type="dxa"/>
            </w:tcMar>
            <w:vAlign w:val="center"/>
          </w:tcPr>
          <w:p w14:paraId="5A2FC900" w14:textId="77777777" w:rsidR="005C7368" w:rsidRPr="00B06F56" w:rsidRDefault="00000000">
            <w:pPr>
              <w:pStyle w:val="TableText"/>
            </w:pPr>
            <w:r w:rsidRPr="00B06F56">
              <w:t>Community cohort; longitudinal trajectories</w:t>
            </w:r>
          </w:p>
        </w:tc>
        <w:tc>
          <w:tcPr>
            <w:tcW w:w="874" w:type="pct"/>
            <w:tcMar>
              <w:top w:w="80" w:type="dxa"/>
              <w:left w:w="100" w:type="dxa"/>
              <w:bottom w:w="80" w:type="dxa"/>
              <w:right w:w="100" w:type="dxa"/>
            </w:tcMar>
            <w:vAlign w:val="center"/>
          </w:tcPr>
          <w:p w14:paraId="763EF6F7" w14:textId="77777777" w:rsidR="005C7368" w:rsidRPr="00B06F56" w:rsidRDefault="00000000">
            <w:pPr>
              <w:pStyle w:val="TableText"/>
            </w:pPr>
            <w:r w:rsidRPr="00B06F56">
              <w:t>Persistent and incident polypharmacy</w:t>
            </w:r>
          </w:p>
        </w:tc>
        <w:tc>
          <w:tcPr>
            <w:tcW w:w="902" w:type="pct"/>
            <w:tcMar>
              <w:top w:w="80" w:type="dxa"/>
              <w:left w:w="100" w:type="dxa"/>
              <w:bottom w:w="80" w:type="dxa"/>
              <w:right w:w="100" w:type="dxa"/>
            </w:tcMar>
            <w:vAlign w:val="center"/>
          </w:tcPr>
          <w:p w14:paraId="68954622" w14:textId="77777777" w:rsidR="005C7368" w:rsidRPr="00B06F56" w:rsidRDefault="00000000">
            <w:pPr>
              <w:pStyle w:val="TableText"/>
            </w:pPr>
            <w:r w:rsidRPr="00B06F56">
              <w:t>Persistent exposure had lowest HRQoL; incident polypharmacy had steepest decline</w:t>
            </w:r>
          </w:p>
        </w:tc>
        <w:tc>
          <w:tcPr>
            <w:tcW w:w="1011" w:type="pct"/>
            <w:tcMar>
              <w:top w:w="80" w:type="dxa"/>
              <w:left w:w="100" w:type="dxa"/>
              <w:bottom w:w="80" w:type="dxa"/>
              <w:right w:w="100" w:type="dxa"/>
            </w:tcMar>
            <w:vAlign w:val="center"/>
          </w:tcPr>
          <w:p w14:paraId="41B06F7A" w14:textId="77777777" w:rsidR="005C7368" w:rsidRPr="00B06F56" w:rsidRDefault="00000000">
            <w:pPr>
              <w:pStyle w:val="TableText"/>
            </w:pPr>
            <w:r w:rsidRPr="00B06F56">
              <w:t>Temporal association improved, but worsening illness may still drive both exposure and HRQoL</w:t>
            </w:r>
          </w:p>
        </w:tc>
        <w:tc>
          <w:tcPr>
            <w:tcW w:w="792" w:type="pct"/>
            <w:tcMar>
              <w:top w:w="80" w:type="dxa"/>
              <w:left w:w="100" w:type="dxa"/>
              <w:bottom w:w="80" w:type="dxa"/>
              <w:right w:w="100" w:type="dxa"/>
            </w:tcMar>
            <w:vAlign w:val="center"/>
          </w:tcPr>
          <w:p w14:paraId="28B16F18" w14:textId="77777777" w:rsidR="005C7368" w:rsidRPr="00B06F56" w:rsidRDefault="00000000">
            <w:pPr>
              <w:pStyle w:val="TableText"/>
            </w:pPr>
            <w:r w:rsidRPr="00B06F56">
              <w:t>Aljeaidi et al. (2022)</w:t>
            </w:r>
          </w:p>
        </w:tc>
      </w:tr>
      <w:tr w:rsidR="00B06F56" w:rsidRPr="00B06F56" w14:paraId="3D5C55A9" w14:textId="77777777" w:rsidTr="0013103D">
        <w:trPr>
          <w:cantSplit/>
          <w:jc w:val="center"/>
        </w:trPr>
        <w:tc>
          <w:tcPr>
            <w:tcW w:w="656" w:type="pct"/>
            <w:tcMar>
              <w:top w:w="80" w:type="dxa"/>
              <w:left w:w="100" w:type="dxa"/>
              <w:bottom w:w="80" w:type="dxa"/>
              <w:right w:w="100" w:type="dxa"/>
            </w:tcMar>
            <w:vAlign w:val="center"/>
          </w:tcPr>
          <w:p w14:paraId="1EF84DED" w14:textId="77777777" w:rsidR="005C7368" w:rsidRPr="00B06F56" w:rsidRDefault="00000000">
            <w:pPr>
              <w:pStyle w:val="TableText"/>
              <w:jc w:val="center"/>
            </w:pPr>
            <w:r w:rsidRPr="00B06F56">
              <w:t>Kornholt et al.</w:t>
            </w:r>
          </w:p>
        </w:tc>
        <w:tc>
          <w:tcPr>
            <w:tcW w:w="765" w:type="pct"/>
            <w:tcMar>
              <w:top w:w="80" w:type="dxa"/>
              <w:left w:w="100" w:type="dxa"/>
              <w:bottom w:w="80" w:type="dxa"/>
              <w:right w:w="100" w:type="dxa"/>
            </w:tcMar>
            <w:vAlign w:val="center"/>
          </w:tcPr>
          <w:p w14:paraId="36D22CFA" w14:textId="77777777" w:rsidR="005C7368" w:rsidRPr="00B06F56" w:rsidRDefault="00000000">
            <w:pPr>
              <w:pStyle w:val="TableText"/>
            </w:pPr>
            <w:r w:rsidRPr="00B06F56">
              <w:t>Geriatric outpatients; pragmatic randomised trial</w:t>
            </w:r>
          </w:p>
        </w:tc>
        <w:tc>
          <w:tcPr>
            <w:tcW w:w="874" w:type="pct"/>
            <w:tcMar>
              <w:top w:w="80" w:type="dxa"/>
              <w:left w:w="100" w:type="dxa"/>
              <w:bottom w:w="80" w:type="dxa"/>
              <w:right w:w="100" w:type="dxa"/>
            </w:tcMar>
            <w:vAlign w:val="center"/>
          </w:tcPr>
          <w:p w14:paraId="38144F48" w14:textId="77777777" w:rsidR="005C7368" w:rsidRPr="00B06F56" w:rsidRDefault="00000000">
            <w:pPr>
              <w:pStyle w:val="TableText"/>
            </w:pPr>
            <w:r w:rsidRPr="00B06F56">
              <w:t>Comprehensive medication review</w:t>
            </w:r>
          </w:p>
        </w:tc>
        <w:tc>
          <w:tcPr>
            <w:tcW w:w="902" w:type="pct"/>
            <w:tcMar>
              <w:top w:w="80" w:type="dxa"/>
              <w:left w:w="100" w:type="dxa"/>
              <w:bottom w:w="80" w:type="dxa"/>
              <w:right w:w="100" w:type="dxa"/>
            </w:tcMar>
            <w:vAlign w:val="center"/>
          </w:tcPr>
          <w:p w14:paraId="7E325C89" w14:textId="77777777" w:rsidR="005C7368" w:rsidRPr="00B06F56" w:rsidRDefault="00000000">
            <w:pPr>
              <w:pStyle w:val="TableText"/>
            </w:pPr>
            <w:r w:rsidRPr="00B06F56">
              <w:t>Short-term EQ-5D-5L improvement; no sustained 13-month difference</w:t>
            </w:r>
          </w:p>
        </w:tc>
        <w:tc>
          <w:tcPr>
            <w:tcW w:w="1011" w:type="pct"/>
            <w:tcMar>
              <w:top w:w="80" w:type="dxa"/>
              <w:left w:w="100" w:type="dxa"/>
              <w:bottom w:w="80" w:type="dxa"/>
              <w:right w:w="100" w:type="dxa"/>
            </w:tcMar>
            <w:vAlign w:val="center"/>
          </w:tcPr>
          <w:p w14:paraId="6D14FCBC" w14:textId="77777777" w:rsidR="005C7368" w:rsidRPr="00B06F56" w:rsidRDefault="00000000">
            <w:pPr>
              <w:pStyle w:val="TableText"/>
            </w:pPr>
            <w:r w:rsidRPr="00B06F56">
              <w:t>Possible transient benefit and uncertain durability</w:t>
            </w:r>
          </w:p>
        </w:tc>
        <w:tc>
          <w:tcPr>
            <w:tcW w:w="792" w:type="pct"/>
            <w:tcMar>
              <w:top w:w="80" w:type="dxa"/>
              <w:left w:w="100" w:type="dxa"/>
              <w:bottom w:w="80" w:type="dxa"/>
              <w:right w:w="100" w:type="dxa"/>
            </w:tcMar>
            <w:vAlign w:val="center"/>
          </w:tcPr>
          <w:p w14:paraId="5930B9FF" w14:textId="77777777" w:rsidR="005C7368" w:rsidRPr="00B06F56" w:rsidRDefault="00000000">
            <w:pPr>
              <w:pStyle w:val="TableText"/>
            </w:pPr>
            <w:r w:rsidRPr="00B06F56">
              <w:t>Kornholt et al. (2022)</w:t>
            </w:r>
          </w:p>
        </w:tc>
      </w:tr>
      <w:tr w:rsidR="00B06F56" w:rsidRPr="00B06F56" w14:paraId="782C6DCD" w14:textId="77777777" w:rsidTr="0013103D">
        <w:trPr>
          <w:cantSplit/>
          <w:jc w:val="center"/>
        </w:trPr>
        <w:tc>
          <w:tcPr>
            <w:tcW w:w="656" w:type="pct"/>
            <w:tcMar>
              <w:top w:w="80" w:type="dxa"/>
              <w:left w:w="100" w:type="dxa"/>
              <w:bottom w:w="80" w:type="dxa"/>
              <w:right w:w="100" w:type="dxa"/>
            </w:tcMar>
            <w:vAlign w:val="center"/>
          </w:tcPr>
          <w:p w14:paraId="1A4F0F0F" w14:textId="77777777" w:rsidR="005C7368" w:rsidRPr="00B06F56" w:rsidRDefault="00000000">
            <w:pPr>
              <w:pStyle w:val="TableText"/>
              <w:jc w:val="center"/>
            </w:pPr>
            <w:r w:rsidRPr="00B06F56">
              <w:lastRenderedPageBreak/>
              <w:t>Falke et al.</w:t>
            </w:r>
          </w:p>
        </w:tc>
        <w:tc>
          <w:tcPr>
            <w:tcW w:w="765" w:type="pct"/>
            <w:tcMar>
              <w:top w:w="80" w:type="dxa"/>
              <w:left w:w="100" w:type="dxa"/>
              <w:bottom w:w="80" w:type="dxa"/>
              <w:right w:w="100" w:type="dxa"/>
            </w:tcMar>
            <w:vAlign w:val="center"/>
          </w:tcPr>
          <w:p w14:paraId="6601840B" w14:textId="77777777" w:rsidR="005C7368" w:rsidRPr="00B06F56" w:rsidRDefault="00000000">
            <w:pPr>
              <w:pStyle w:val="TableText"/>
            </w:pPr>
            <w:r w:rsidRPr="00B06F56">
              <w:t>Hospitalised multimorbid older adults; cross-sectional</w:t>
            </w:r>
          </w:p>
        </w:tc>
        <w:tc>
          <w:tcPr>
            <w:tcW w:w="874" w:type="pct"/>
            <w:tcMar>
              <w:top w:w="80" w:type="dxa"/>
              <w:left w:w="100" w:type="dxa"/>
              <w:bottom w:w="80" w:type="dxa"/>
              <w:right w:w="100" w:type="dxa"/>
            </w:tcMar>
            <w:vAlign w:val="center"/>
          </w:tcPr>
          <w:p w14:paraId="633392C7" w14:textId="77777777" w:rsidR="005C7368" w:rsidRPr="00B06F56" w:rsidRDefault="00000000">
            <w:pPr>
              <w:pStyle w:val="TableText"/>
            </w:pPr>
            <w:r w:rsidRPr="00B06F56">
              <w:t>Ten or more medicines; burden, complexity, high-risk classes</w:t>
            </w:r>
          </w:p>
        </w:tc>
        <w:tc>
          <w:tcPr>
            <w:tcW w:w="902" w:type="pct"/>
            <w:tcMar>
              <w:top w:w="80" w:type="dxa"/>
              <w:left w:w="100" w:type="dxa"/>
              <w:bottom w:w="80" w:type="dxa"/>
              <w:right w:w="100" w:type="dxa"/>
            </w:tcMar>
            <w:vAlign w:val="center"/>
          </w:tcPr>
          <w:p w14:paraId="4C92D501" w14:textId="77777777" w:rsidR="005C7368" w:rsidRPr="00B06F56" w:rsidRDefault="00000000">
            <w:pPr>
              <w:pStyle w:val="TableText"/>
            </w:pPr>
            <w:r w:rsidRPr="00B06F56">
              <w:t>Several medication-use factors were associated with lower EQ-5D/EQ-VAS</w:t>
            </w:r>
          </w:p>
        </w:tc>
        <w:tc>
          <w:tcPr>
            <w:tcW w:w="1011" w:type="pct"/>
            <w:tcMar>
              <w:top w:w="80" w:type="dxa"/>
              <w:left w:w="100" w:type="dxa"/>
              <w:bottom w:w="80" w:type="dxa"/>
              <w:right w:w="100" w:type="dxa"/>
            </w:tcMar>
            <w:vAlign w:val="center"/>
          </w:tcPr>
          <w:p w14:paraId="380252BE" w14:textId="77777777" w:rsidR="005C7368" w:rsidRPr="00B06F56" w:rsidRDefault="00000000">
            <w:pPr>
              <w:pStyle w:val="TableText"/>
            </w:pPr>
            <w:r w:rsidRPr="00B06F56">
              <w:t>Detailed exposure characterisation improves clinical relevance but cannot establish causality</w:t>
            </w:r>
          </w:p>
        </w:tc>
        <w:tc>
          <w:tcPr>
            <w:tcW w:w="792" w:type="pct"/>
            <w:tcMar>
              <w:top w:w="80" w:type="dxa"/>
              <w:left w:w="100" w:type="dxa"/>
              <w:bottom w:w="80" w:type="dxa"/>
              <w:right w:w="100" w:type="dxa"/>
            </w:tcMar>
            <w:vAlign w:val="center"/>
          </w:tcPr>
          <w:p w14:paraId="4C2D1286" w14:textId="77777777" w:rsidR="005C7368" w:rsidRPr="00B06F56" w:rsidRDefault="00000000">
            <w:pPr>
              <w:pStyle w:val="TableText"/>
            </w:pPr>
            <w:r w:rsidRPr="00B06F56">
              <w:t>Falke et al. (2024)</w:t>
            </w:r>
          </w:p>
        </w:tc>
      </w:tr>
      <w:tr w:rsidR="00B06F56" w:rsidRPr="00B06F56" w14:paraId="5F84669F" w14:textId="77777777" w:rsidTr="0013103D">
        <w:trPr>
          <w:cantSplit/>
          <w:jc w:val="center"/>
        </w:trPr>
        <w:tc>
          <w:tcPr>
            <w:tcW w:w="656" w:type="pct"/>
            <w:tcMar>
              <w:top w:w="80" w:type="dxa"/>
              <w:left w:w="100" w:type="dxa"/>
              <w:bottom w:w="80" w:type="dxa"/>
              <w:right w:w="100" w:type="dxa"/>
            </w:tcMar>
            <w:vAlign w:val="center"/>
          </w:tcPr>
          <w:p w14:paraId="5B7D4A7B" w14:textId="77777777" w:rsidR="005C7368" w:rsidRPr="00B06F56" w:rsidRDefault="00000000">
            <w:pPr>
              <w:pStyle w:val="TableText"/>
              <w:jc w:val="center"/>
            </w:pPr>
            <w:r w:rsidRPr="00B06F56">
              <w:t>Vonderhaar et al.</w:t>
            </w:r>
          </w:p>
        </w:tc>
        <w:tc>
          <w:tcPr>
            <w:tcW w:w="765" w:type="pct"/>
            <w:tcMar>
              <w:top w:w="80" w:type="dxa"/>
              <w:left w:w="100" w:type="dxa"/>
              <w:bottom w:w="80" w:type="dxa"/>
              <w:right w:w="100" w:type="dxa"/>
            </w:tcMar>
            <w:vAlign w:val="center"/>
          </w:tcPr>
          <w:p w14:paraId="709F3802" w14:textId="77777777" w:rsidR="005C7368" w:rsidRPr="00B06F56" w:rsidRDefault="00000000">
            <w:pPr>
              <w:pStyle w:val="TableText"/>
            </w:pPr>
            <w:r w:rsidRPr="00B06F56">
              <w:t>Large older-adult cohort; cross-sectional</w:t>
            </w:r>
          </w:p>
        </w:tc>
        <w:tc>
          <w:tcPr>
            <w:tcW w:w="874" w:type="pct"/>
            <w:tcMar>
              <w:top w:w="80" w:type="dxa"/>
              <w:left w:w="100" w:type="dxa"/>
              <w:bottom w:w="80" w:type="dxa"/>
              <w:right w:w="100" w:type="dxa"/>
            </w:tcMar>
            <w:vAlign w:val="center"/>
          </w:tcPr>
          <w:p w14:paraId="27349113" w14:textId="77777777" w:rsidR="005C7368" w:rsidRPr="00B06F56" w:rsidRDefault="00000000">
            <w:pPr>
              <w:pStyle w:val="TableText"/>
            </w:pPr>
            <w:r w:rsidRPr="00B06F56">
              <w:t>Prescription and non-prescription pill burden</w:t>
            </w:r>
          </w:p>
        </w:tc>
        <w:tc>
          <w:tcPr>
            <w:tcW w:w="902" w:type="pct"/>
            <w:tcMar>
              <w:top w:w="80" w:type="dxa"/>
              <w:left w:w="100" w:type="dxa"/>
              <w:bottom w:w="80" w:type="dxa"/>
              <w:right w:w="100" w:type="dxa"/>
            </w:tcMar>
            <w:vAlign w:val="center"/>
          </w:tcPr>
          <w:p w14:paraId="26AE528E" w14:textId="77777777" w:rsidR="005C7368" w:rsidRPr="00B06F56" w:rsidRDefault="00000000">
            <w:pPr>
              <w:pStyle w:val="TableText"/>
            </w:pPr>
            <w:r w:rsidRPr="00B06F56">
              <w:t>Dose-gradient with poorer physical, not mental, HRQoL</w:t>
            </w:r>
          </w:p>
        </w:tc>
        <w:tc>
          <w:tcPr>
            <w:tcW w:w="1011" w:type="pct"/>
            <w:tcMar>
              <w:top w:w="80" w:type="dxa"/>
              <w:left w:w="100" w:type="dxa"/>
              <w:bottom w:w="80" w:type="dxa"/>
              <w:right w:w="100" w:type="dxa"/>
            </w:tcMar>
            <w:vAlign w:val="center"/>
          </w:tcPr>
          <w:p w14:paraId="08A1E476" w14:textId="77777777" w:rsidR="005C7368" w:rsidRPr="00B06F56" w:rsidRDefault="00000000">
            <w:pPr>
              <w:pStyle w:val="TableText"/>
            </w:pPr>
            <w:r w:rsidRPr="00B06F56">
              <w:t>Shows domain-specific treatment burden; cross-sectional inference remains limited</w:t>
            </w:r>
          </w:p>
        </w:tc>
        <w:tc>
          <w:tcPr>
            <w:tcW w:w="792" w:type="pct"/>
            <w:tcMar>
              <w:top w:w="80" w:type="dxa"/>
              <w:left w:w="100" w:type="dxa"/>
              <w:bottom w:w="80" w:type="dxa"/>
              <w:right w:w="100" w:type="dxa"/>
            </w:tcMar>
            <w:vAlign w:val="center"/>
          </w:tcPr>
          <w:p w14:paraId="45C6324C" w14:textId="77777777" w:rsidR="005C7368" w:rsidRPr="00B06F56" w:rsidRDefault="00000000">
            <w:pPr>
              <w:pStyle w:val="TableText"/>
            </w:pPr>
            <w:r w:rsidRPr="00B06F56">
              <w:t>Vonderhaar et al. (2025)</w:t>
            </w:r>
          </w:p>
        </w:tc>
      </w:tr>
      <w:tr w:rsidR="00B06F56" w:rsidRPr="00B06F56" w14:paraId="03CE676D" w14:textId="77777777" w:rsidTr="0013103D">
        <w:trPr>
          <w:cantSplit/>
          <w:jc w:val="center"/>
        </w:trPr>
        <w:tc>
          <w:tcPr>
            <w:tcW w:w="656" w:type="pct"/>
            <w:tcMar>
              <w:top w:w="80" w:type="dxa"/>
              <w:left w:w="100" w:type="dxa"/>
              <w:bottom w:w="80" w:type="dxa"/>
              <w:right w:w="100" w:type="dxa"/>
            </w:tcMar>
            <w:vAlign w:val="center"/>
          </w:tcPr>
          <w:p w14:paraId="7561D9DE" w14:textId="77777777" w:rsidR="005C7368" w:rsidRPr="00B06F56" w:rsidRDefault="00000000">
            <w:pPr>
              <w:pStyle w:val="TableText"/>
              <w:jc w:val="center"/>
            </w:pPr>
            <w:r w:rsidRPr="00B06F56">
              <w:t>Syed et al.</w:t>
            </w:r>
          </w:p>
        </w:tc>
        <w:tc>
          <w:tcPr>
            <w:tcW w:w="765" w:type="pct"/>
            <w:tcMar>
              <w:top w:w="80" w:type="dxa"/>
              <w:left w:w="100" w:type="dxa"/>
              <w:bottom w:w="80" w:type="dxa"/>
              <w:right w:w="100" w:type="dxa"/>
            </w:tcMar>
            <w:vAlign w:val="center"/>
          </w:tcPr>
          <w:p w14:paraId="45F0205F" w14:textId="77777777" w:rsidR="005C7368" w:rsidRPr="00B06F56" w:rsidRDefault="00000000">
            <w:pPr>
              <w:pStyle w:val="TableText"/>
            </w:pPr>
            <w:r w:rsidRPr="00B06F56">
              <w:t>Hospitalised older adults in South India; cross-sectional</w:t>
            </w:r>
          </w:p>
        </w:tc>
        <w:tc>
          <w:tcPr>
            <w:tcW w:w="874" w:type="pct"/>
            <w:tcMar>
              <w:top w:w="80" w:type="dxa"/>
              <w:left w:w="100" w:type="dxa"/>
              <w:bottom w:w="80" w:type="dxa"/>
              <w:right w:w="100" w:type="dxa"/>
            </w:tcMar>
            <w:vAlign w:val="center"/>
          </w:tcPr>
          <w:p w14:paraId="2816A6C4" w14:textId="77777777" w:rsidR="005C7368" w:rsidRPr="00B06F56" w:rsidRDefault="00000000">
            <w:pPr>
              <w:pStyle w:val="TableText"/>
            </w:pPr>
            <w:r w:rsidRPr="00B06F56">
              <w:t>Polypharmacy in context of geriatric syndromes</w:t>
            </w:r>
          </w:p>
        </w:tc>
        <w:tc>
          <w:tcPr>
            <w:tcW w:w="902" w:type="pct"/>
            <w:tcMar>
              <w:top w:w="80" w:type="dxa"/>
              <w:left w:w="100" w:type="dxa"/>
              <w:bottom w:w="80" w:type="dxa"/>
              <w:right w:w="100" w:type="dxa"/>
            </w:tcMar>
            <w:vAlign w:val="center"/>
          </w:tcPr>
          <w:p w14:paraId="08088745" w14:textId="77777777" w:rsidR="005C7368" w:rsidRPr="00B06F56" w:rsidRDefault="00000000">
            <w:pPr>
              <w:pStyle w:val="TableText"/>
            </w:pPr>
            <w:r w:rsidRPr="00B06F56">
              <w:t>Polypharmacy related to HRQoL, while comorbidity and sarcopenia were major determinants</w:t>
            </w:r>
          </w:p>
        </w:tc>
        <w:tc>
          <w:tcPr>
            <w:tcW w:w="1011" w:type="pct"/>
            <w:tcMar>
              <w:top w:w="80" w:type="dxa"/>
              <w:left w:w="100" w:type="dxa"/>
              <w:bottom w:w="80" w:type="dxa"/>
              <w:right w:w="100" w:type="dxa"/>
            </w:tcMar>
            <w:vAlign w:val="center"/>
          </w:tcPr>
          <w:p w14:paraId="4A3A2248" w14:textId="77777777" w:rsidR="005C7368" w:rsidRPr="00B06F56" w:rsidRDefault="00000000">
            <w:pPr>
              <w:pStyle w:val="TableText"/>
            </w:pPr>
            <w:r w:rsidRPr="00B06F56">
              <w:t>Supports broader geriatric context and cautions against count-only interpretation</w:t>
            </w:r>
          </w:p>
        </w:tc>
        <w:tc>
          <w:tcPr>
            <w:tcW w:w="792" w:type="pct"/>
            <w:tcMar>
              <w:top w:w="80" w:type="dxa"/>
              <w:left w:w="100" w:type="dxa"/>
              <w:bottom w:w="80" w:type="dxa"/>
              <w:right w:w="100" w:type="dxa"/>
            </w:tcMar>
            <w:vAlign w:val="center"/>
          </w:tcPr>
          <w:p w14:paraId="3341F12F" w14:textId="77777777" w:rsidR="005C7368" w:rsidRPr="00B06F56" w:rsidRDefault="00000000">
            <w:pPr>
              <w:pStyle w:val="TableText"/>
            </w:pPr>
            <w:r w:rsidRPr="00B06F56">
              <w:t>Syed et al. (2026)</w:t>
            </w:r>
          </w:p>
        </w:tc>
      </w:tr>
    </w:tbl>
    <w:p w14:paraId="206281CA"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7E19D6E7" w14:textId="77777777" w:rsidR="005C7368" w:rsidRPr="00B06F56" w:rsidRDefault="00000000">
      <w:pPr>
        <w:pStyle w:val="Heading1"/>
        <w:rPr>
          <w:color w:val="auto"/>
        </w:rPr>
      </w:pPr>
      <w:r w:rsidRPr="00B06F56">
        <w:rPr>
          <w:color w:val="auto"/>
        </w:rPr>
        <w:t>6. Mechanisms Linking Polypharmacy, Hospitalisation and HRQoL</w:t>
      </w:r>
    </w:p>
    <w:p w14:paraId="405668C9" w14:textId="77777777" w:rsidR="005C7368" w:rsidRPr="00B06F56" w:rsidRDefault="00000000">
      <w:pPr>
        <w:ind w:firstLine="288"/>
        <w:jc w:val="both"/>
      </w:pPr>
      <w:r w:rsidRPr="00B06F56">
        <w:t>The relationship between polypharmacy, hospitalisation and HRQoL is best understood as a set of interacting pathways rather than a linear chain from 'more drugs' to 'worse outcomes'. At least four mechanism families are plausible: pharmacological vulnerability, regimen and adherence burden, prescribing-quality failures, and disease or frailty confounding. These pathways can operate simultaneously and can amplify one another during transitions of care.</w:t>
      </w:r>
    </w:p>
    <w:p w14:paraId="4DFEAD14" w14:textId="77777777" w:rsidR="005C7368" w:rsidRPr="00B06F56" w:rsidRDefault="00000000">
      <w:pPr>
        <w:ind w:firstLine="288"/>
        <w:jc w:val="both"/>
      </w:pPr>
      <w:r w:rsidRPr="00B06F56">
        <w:t>Pharmacological vulnerability increases with age because renal clearance, hepatic metabolism, body composition, baroreflexes and central nervous system sensitivity change, while homeostatic reserve narrows. The same dose can therefore produce greater hypotension, sedation, bleeding, electrolyte disturbance or cognitive effects in an older person than in a younger adult. When several medicines act on overlapping physiological systems, risk can accumulate non-linearly. Anticholinergic and sedative burden is a practical example: multiple modest exposures may together impair attention, balance, bladder function or mobility. Lu et al. (2015) linked anticholinergic burden with hospital outcomes, and Falke et al. (2024) linked high anticholinergic and sedative burden with lower HRQoL. These associations are biologically credible, although the exact contribution of medicine effects versus the conditions prompting treatment remains difficult to quantify.</w:t>
      </w:r>
    </w:p>
    <w:p w14:paraId="3E42ABBC" w14:textId="77777777" w:rsidR="005C7368" w:rsidRPr="00B06F56" w:rsidRDefault="00000000">
      <w:pPr>
        <w:ind w:firstLine="288"/>
        <w:jc w:val="both"/>
      </w:pPr>
      <w:r w:rsidRPr="00B06F56">
        <w:t>Drug-drug and drug-disease interactions provide a second pathway. As the number of medicines rises, the number of possible pairwise interactions rises faster than the medicine count itself. The clinically important subset depends on dose, exposure duration, organ function and therapeutic index. In multimorbidity, medicines that are beneficial for one condition can worsen another. Explicit criteria such as STOPP/START and Beers are attempts to encode recurrent patterns of such risk, but they remain screening tools rather than substitutes for a patient-specific benefit-harm analysis (American Geriatrics Society Beers Criteria Update Expert Panel, 2023; O'Mahony et al., 2023).</w:t>
      </w:r>
    </w:p>
    <w:p w14:paraId="1EC3327A" w14:textId="77777777" w:rsidR="005C7368" w:rsidRPr="00B06F56" w:rsidRDefault="00000000">
      <w:pPr>
        <w:ind w:firstLine="288"/>
        <w:jc w:val="both"/>
      </w:pPr>
      <w:r w:rsidRPr="00B06F56">
        <w:t xml:space="preserve">Prescribing cascades can transform a single adverse effect into additional polypharmacy. A symptom caused by one medicine may be misinterpreted as a new disease and treated with another medicine, increasing complexity and the opportunity for further adverse effects. The opposite problem, prescribing omission, also matters. Falke et al. (2024) found multiple potential prescribing omissions associated with </w:t>
      </w:r>
      <w:r w:rsidRPr="00B06F56">
        <w:lastRenderedPageBreak/>
        <w:t>lower EQ-5D. This is a critical reminder that medication optimisation is not synonymous with stopping medicines. Removing beneficial therapy can worsen disease control, symptoms and HRQoL; START criteria explicitly address under-treatment alongside potentially inappropriate medicines.</w:t>
      </w:r>
    </w:p>
    <w:p w14:paraId="41742A5E" w14:textId="77777777" w:rsidR="005C7368" w:rsidRPr="00B06F56" w:rsidRDefault="00000000">
      <w:pPr>
        <w:ind w:firstLine="288"/>
        <w:jc w:val="both"/>
      </w:pPr>
      <w:r w:rsidRPr="00B06F56">
        <w:t>Treatment workload links pharmacology to lived experience. Daily dosing schedules, monitoring requirements, formulation difficulties, medication costs, refill logistics and the cognitive work of remembering indications can reduce adherence and autonomy. Higher pill burden was associated with lower physical HRQoL in Vonderhaar et al. (2025), and medication complexity was associated with lower self-rated health in Falke et al. (2024). This pathway may be particularly important for patients with visual impairment, arthritis, cognitive decline or limited caregiver support. A regimen that is pharmacologically appropriate can still be practically unmanageable.</w:t>
      </w:r>
    </w:p>
    <w:p w14:paraId="208A2CE5" w14:textId="77777777" w:rsidR="005C7368" w:rsidRPr="00B06F56" w:rsidRDefault="00000000">
      <w:pPr>
        <w:ind w:firstLine="288"/>
        <w:jc w:val="both"/>
      </w:pPr>
      <w:r w:rsidRPr="00B06F56">
        <w:t>Non-adherence then becomes both a consequence and a mechanism. Complex regimens can lead to omitted doses, duplication, incorrect timing or abrupt discontinuation. The HARM study identified non-adherence as a risk factor for preventable medication-related admission alongside polypharmacy and impaired cognition (Leendertse et al., 2008). Thus, a medicine list that appears appropriate on paper can produce harm if it exceeds the patient's capacity to use it safely. Medication reconciliation that ignores actual use may underestimate this mismatch.</w:t>
      </w:r>
    </w:p>
    <w:p w14:paraId="6FE91160" w14:textId="77777777" w:rsidR="005C7368" w:rsidRPr="00B06F56" w:rsidRDefault="00000000">
      <w:pPr>
        <w:ind w:firstLine="288"/>
        <w:jc w:val="both"/>
      </w:pPr>
      <w:r w:rsidRPr="00B06F56">
        <w:t>Hospitalisation itself feeds back into polypharmacy. Acute illness often prompts temporary medicines, prophylaxis, symptom treatments and changes to chronic therapy. At discharge, not all temporary medicines are stopped and pre-admission medicines may be restarted without resolving duplication. New prescribers may lack the rationale for previous decisions. This creates a transition period in which medication count, uncertainty and adverse-event risk can rise together. Conversely, hospital admission can provide an opportunity for structured medication review and deprescribing. The same event is therefore both an outcome of medication-related harm and a potential cause of subsequent medication burden.</w:t>
      </w:r>
    </w:p>
    <w:p w14:paraId="5B4C74F4" w14:textId="77777777" w:rsidR="005C7368" w:rsidRPr="00B06F56" w:rsidRDefault="00000000">
      <w:pPr>
        <w:ind w:firstLine="288"/>
        <w:jc w:val="both"/>
      </w:pPr>
      <w:r w:rsidRPr="00B06F56">
        <w:t>HRQoL mediates and modifies these pathways. Poor baseline function and frailty increase susceptibility to adverse drug effects, while adverse effects can further reduce mobility and confidence, potentially leading to falls, social withdrawal and hospital use. Depression and social vulnerability can worsen adherence and self-management, while complex treatment can itself become a source of distress. Montiel-Luque et al. (2017) demonstrated that depression and social risk had large associations with HRQoL in people with polypharmacy, highlighting the inadequacy of a purely pharmacological model.</w:t>
      </w:r>
    </w:p>
    <w:p w14:paraId="1F2F8FD5" w14:textId="77777777" w:rsidR="005C7368" w:rsidRPr="00B06F56" w:rsidRDefault="00000000">
      <w:pPr>
        <w:ind w:firstLine="288"/>
        <w:jc w:val="both"/>
      </w:pPr>
      <w:r w:rsidRPr="00B06F56">
        <w:t>Confounding by indication remains the principal alternative explanation. Patients with severe pain receive analgesics; those with heart failure receive several cardiovascular medicines; those with multimorbidity receive more prescriptions and have lower HRQoL and higher admission risk even if treatment is optimal. Payne et al. (2014) showed that the polypharmacy-admission association was modified by multimorbidity, while Aljeaidi et al. (2022) found HRQoL decline around incident polypharmacy despite adjustment for changing comorbidity. Neither design can eliminate unmeasured severity. This is why randomised optimisation trials are essential: if changing medication exposure improves outcomes, causal attribution becomes more credible.</w:t>
      </w:r>
    </w:p>
    <w:p w14:paraId="7EAD9406" w14:textId="77777777" w:rsidR="005C7368" w:rsidRPr="00B06F56" w:rsidRDefault="00000000">
      <w:pPr>
        <w:ind w:firstLine="288"/>
        <w:jc w:val="both"/>
      </w:pPr>
      <w:r w:rsidRPr="00B06F56">
        <w:t xml:space="preserve">The randomised evidence indicates partial causality rather than a universal effect. STOPP/START-based interventions can reduce adverse drug reactions during hospitalisation (O'Connor et al., 2016; O'Sullivan et al., 2016), supporting a medication-caused component. Yet OPERAM did not reduce drug-related admissions (Blum et al., 2021), and multiple reviews find uncertain effects on hospitalisation or HRQoL despite improved prescribing metrics (Cole et al., 2023; Johansson et al., 2016). The likely interpretation is </w:t>
      </w:r>
      <w:r w:rsidRPr="00B06F56">
        <w:lastRenderedPageBreak/>
        <w:t>that medication-related harm is both real and heterogeneous: it is concentrated in particular patients, medicines and transitions, while broad polypharmacy measures dilute these causal subgroups.</w:t>
      </w:r>
    </w:p>
    <w:p w14:paraId="6414AC7A" w14:textId="77777777" w:rsidR="005C7368" w:rsidRPr="00B06F56" w:rsidRDefault="00000000">
      <w:pPr>
        <w:ind w:firstLine="288"/>
        <w:jc w:val="both"/>
      </w:pPr>
      <w:r w:rsidRPr="00B06F56">
        <w:t>Table 4 integrates these pathways and indicates the level of confidence that can reasonably be assigned. The strongest causal evidence concerns adverse drug reactions and specific prescribing problems; evidence is weaker for a direct causal effect of medicine count on all-cause hospitalisation or generic HRQoL.</w:t>
      </w:r>
    </w:p>
    <w:p w14:paraId="0829BFBB" w14:textId="77777777" w:rsidR="005C7368" w:rsidRPr="00B06F56" w:rsidRDefault="00000000">
      <w:pPr>
        <w:keepNext/>
        <w:spacing w:before="160" w:after="80"/>
      </w:pPr>
      <w:r w:rsidRPr="00B06F56">
        <w:rPr>
          <w:b/>
          <w:sz w:val="20"/>
        </w:rPr>
        <w:t>Table 4. Mechanistic pathways connecting polypharmacy with hospitalisation and HRQoL</w:t>
      </w:r>
    </w:p>
    <w:tbl>
      <w:tblPr>
        <w:tblStyle w:val="TableGrid"/>
        <w:tblW w:w="0" w:type="auto"/>
        <w:jc w:val="center"/>
        <w:tblLayout w:type="fixed"/>
        <w:tblLook w:val="04A0" w:firstRow="1" w:lastRow="0" w:firstColumn="1" w:lastColumn="0" w:noHBand="0" w:noVBand="1"/>
      </w:tblPr>
      <w:tblGrid>
        <w:gridCol w:w="2016"/>
        <w:gridCol w:w="2016"/>
        <w:gridCol w:w="2016"/>
        <w:gridCol w:w="2016"/>
        <w:gridCol w:w="2016"/>
      </w:tblGrid>
      <w:tr w:rsidR="00B06F56" w:rsidRPr="00B06F56" w14:paraId="04020F73" w14:textId="77777777">
        <w:trPr>
          <w:tblHeader/>
          <w:jc w:val="center"/>
        </w:trPr>
        <w:tc>
          <w:tcPr>
            <w:tcW w:w="2016" w:type="dxa"/>
            <w:shd w:val="clear" w:color="auto" w:fill="D9E2F3"/>
            <w:tcMar>
              <w:top w:w="80" w:type="dxa"/>
              <w:left w:w="100" w:type="dxa"/>
              <w:bottom w:w="80" w:type="dxa"/>
              <w:right w:w="100" w:type="dxa"/>
            </w:tcMar>
            <w:vAlign w:val="center"/>
          </w:tcPr>
          <w:p w14:paraId="44AD22A1" w14:textId="77777777" w:rsidR="005C7368" w:rsidRPr="00B06F56" w:rsidRDefault="00000000">
            <w:pPr>
              <w:pStyle w:val="TableText"/>
              <w:jc w:val="center"/>
            </w:pPr>
            <w:r w:rsidRPr="00B06F56">
              <w:rPr>
                <w:b/>
              </w:rPr>
              <w:t>Pathway</w:t>
            </w:r>
          </w:p>
        </w:tc>
        <w:tc>
          <w:tcPr>
            <w:tcW w:w="2016" w:type="dxa"/>
            <w:shd w:val="clear" w:color="auto" w:fill="D9E2F3"/>
            <w:tcMar>
              <w:top w:w="80" w:type="dxa"/>
              <w:left w:w="100" w:type="dxa"/>
              <w:bottom w:w="80" w:type="dxa"/>
              <w:right w:w="100" w:type="dxa"/>
            </w:tcMar>
            <w:vAlign w:val="center"/>
          </w:tcPr>
          <w:p w14:paraId="41164F15" w14:textId="77777777" w:rsidR="005C7368" w:rsidRPr="00B06F56" w:rsidRDefault="00000000">
            <w:pPr>
              <w:pStyle w:val="TableText"/>
              <w:jc w:val="center"/>
            </w:pPr>
            <w:r w:rsidRPr="00B06F56">
              <w:rPr>
                <w:b/>
              </w:rPr>
              <w:t>Mechanism</w:t>
            </w:r>
          </w:p>
        </w:tc>
        <w:tc>
          <w:tcPr>
            <w:tcW w:w="2016" w:type="dxa"/>
            <w:shd w:val="clear" w:color="auto" w:fill="D9E2F3"/>
            <w:tcMar>
              <w:top w:w="80" w:type="dxa"/>
              <w:left w:w="100" w:type="dxa"/>
              <w:bottom w:w="80" w:type="dxa"/>
              <w:right w:w="100" w:type="dxa"/>
            </w:tcMar>
            <w:vAlign w:val="center"/>
          </w:tcPr>
          <w:p w14:paraId="0FE4B53E" w14:textId="77777777" w:rsidR="005C7368" w:rsidRPr="00B06F56" w:rsidRDefault="00000000">
            <w:pPr>
              <w:pStyle w:val="TableText"/>
              <w:jc w:val="center"/>
            </w:pPr>
            <w:r w:rsidRPr="00B06F56">
              <w:rPr>
                <w:b/>
              </w:rPr>
              <w:t>Expected outcomes</w:t>
            </w:r>
          </w:p>
        </w:tc>
        <w:tc>
          <w:tcPr>
            <w:tcW w:w="2016" w:type="dxa"/>
            <w:shd w:val="clear" w:color="auto" w:fill="D9E2F3"/>
            <w:tcMar>
              <w:top w:w="80" w:type="dxa"/>
              <w:left w:w="100" w:type="dxa"/>
              <w:bottom w:w="80" w:type="dxa"/>
              <w:right w:w="100" w:type="dxa"/>
            </w:tcMar>
            <w:vAlign w:val="center"/>
          </w:tcPr>
          <w:p w14:paraId="5409D27B" w14:textId="77777777" w:rsidR="005C7368" w:rsidRPr="00B06F56" w:rsidRDefault="00000000">
            <w:pPr>
              <w:pStyle w:val="TableText"/>
              <w:jc w:val="center"/>
            </w:pPr>
            <w:r w:rsidRPr="00B06F56">
              <w:rPr>
                <w:b/>
              </w:rPr>
              <w:t>Evidence appraisal</w:t>
            </w:r>
          </w:p>
        </w:tc>
        <w:tc>
          <w:tcPr>
            <w:tcW w:w="2016" w:type="dxa"/>
            <w:shd w:val="clear" w:color="auto" w:fill="D9E2F3"/>
            <w:tcMar>
              <w:top w:w="80" w:type="dxa"/>
              <w:left w:w="100" w:type="dxa"/>
              <w:bottom w:w="80" w:type="dxa"/>
              <w:right w:w="100" w:type="dxa"/>
            </w:tcMar>
            <w:vAlign w:val="center"/>
          </w:tcPr>
          <w:p w14:paraId="17DC930D" w14:textId="77777777" w:rsidR="005C7368" w:rsidRPr="00B06F56" w:rsidRDefault="00000000">
            <w:pPr>
              <w:pStyle w:val="TableText"/>
              <w:jc w:val="center"/>
            </w:pPr>
            <w:r w:rsidRPr="00B06F56">
              <w:rPr>
                <w:b/>
              </w:rPr>
              <w:t>Supporting references</w:t>
            </w:r>
          </w:p>
        </w:tc>
      </w:tr>
      <w:tr w:rsidR="00B06F56" w:rsidRPr="00B06F56" w14:paraId="26AD46DD" w14:textId="77777777">
        <w:trPr>
          <w:cantSplit/>
          <w:jc w:val="center"/>
        </w:trPr>
        <w:tc>
          <w:tcPr>
            <w:tcW w:w="2016" w:type="dxa"/>
            <w:tcMar>
              <w:top w:w="80" w:type="dxa"/>
              <w:left w:w="100" w:type="dxa"/>
              <w:bottom w:w="80" w:type="dxa"/>
              <w:right w:w="100" w:type="dxa"/>
            </w:tcMar>
            <w:vAlign w:val="center"/>
          </w:tcPr>
          <w:p w14:paraId="5E176B51" w14:textId="77777777" w:rsidR="005C7368" w:rsidRPr="00B06F56" w:rsidRDefault="00000000">
            <w:pPr>
              <w:pStyle w:val="TableText"/>
              <w:jc w:val="center"/>
            </w:pPr>
            <w:r w:rsidRPr="00B06F56">
              <w:t>Cumulative pharmacodynamic burden</w:t>
            </w:r>
          </w:p>
        </w:tc>
        <w:tc>
          <w:tcPr>
            <w:tcW w:w="2016" w:type="dxa"/>
            <w:tcMar>
              <w:top w:w="80" w:type="dxa"/>
              <w:left w:w="100" w:type="dxa"/>
              <w:bottom w:w="80" w:type="dxa"/>
              <w:right w:w="100" w:type="dxa"/>
            </w:tcMar>
            <w:vAlign w:val="center"/>
          </w:tcPr>
          <w:p w14:paraId="437CF9A3" w14:textId="77777777" w:rsidR="005C7368" w:rsidRPr="00B06F56" w:rsidRDefault="00000000">
            <w:pPr>
              <w:pStyle w:val="TableText"/>
            </w:pPr>
            <w:r w:rsidRPr="00B06F56">
              <w:t>Sedation, anticholinergic effects, hypotension and overlapping physiological actions</w:t>
            </w:r>
          </w:p>
        </w:tc>
        <w:tc>
          <w:tcPr>
            <w:tcW w:w="2016" w:type="dxa"/>
            <w:tcMar>
              <w:top w:w="80" w:type="dxa"/>
              <w:left w:w="100" w:type="dxa"/>
              <w:bottom w:w="80" w:type="dxa"/>
              <w:right w:w="100" w:type="dxa"/>
            </w:tcMar>
            <w:vAlign w:val="center"/>
          </w:tcPr>
          <w:p w14:paraId="2C81BBAE" w14:textId="77777777" w:rsidR="005C7368" w:rsidRPr="00B06F56" w:rsidRDefault="00000000">
            <w:pPr>
              <w:pStyle w:val="TableText"/>
            </w:pPr>
            <w:r w:rsidRPr="00B06F56">
              <w:t>Falls, fractures, delirium, functional decline, lower HRQoL, admission</w:t>
            </w:r>
          </w:p>
        </w:tc>
        <w:tc>
          <w:tcPr>
            <w:tcW w:w="2016" w:type="dxa"/>
            <w:tcMar>
              <w:top w:w="80" w:type="dxa"/>
              <w:left w:w="100" w:type="dxa"/>
              <w:bottom w:w="80" w:type="dxa"/>
              <w:right w:w="100" w:type="dxa"/>
            </w:tcMar>
            <w:vAlign w:val="center"/>
          </w:tcPr>
          <w:p w14:paraId="0809D768" w14:textId="77777777" w:rsidR="005C7368" w:rsidRPr="00B06F56" w:rsidRDefault="00000000">
            <w:pPr>
              <w:pStyle w:val="TableText"/>
            </w:pPr>
            <w:r w:rsidRPr="00B06F56">
              <w:t>Biologically strong and supported by observational associations; scale heterogeneity limits quantification</w:t>
            </w:r>
          </w:p>
        </w:tc>
        <w:tc>
          <w:tcPr>
            <w:tcW w:w="2016" w:type="dxa"/>
            <w:tcMar>
              <w:top w:w="80" w:type="dxa"/>
              <w:left w:w="100" w:type="dxa"/>
              <w:bottom w:w="80" w:type="dxa"/>
              <w:right w:w="100" w:type="dxa"/>
            </w:tcMar>
            <w:vAlign w:val="center"/>
          </w:tcPr>
          <w:p w14:paraId="7C997869" w14:textId="77777777" w:rsidR="005C7368" w:rsidRPr="00B06F56" w:rsidRDefault="00000000">
            <w:pPr>
              <w:pStyle w:val="TableText"/>
            </w:pPr>
            <w:r w:rsidRPr="00B06F56">
              <w:t>Lu et al. (2015); Falke et al. (2024)</w:t>
            </w:r>
          </w:p>
        </w:tc>
      </w:tr>
      <w:tr w:rsidR="00B06F56" w:rsidRPr="00B06F56" w14:paraId="4354BC0B" w14:textId="77777777">
        <w:trPr>
          <w:cantSplit/>
          <w:jc w:val="center"/>
        </w:trPr>
        <w:tc>
          <w:tcPr>
            <w:tcW w:w="2016" w:type="dxa"/>
            <w:tcMar>
              <w:top w:w="80" w:type="dxa"/>
              <w:left w:w="100" w:type="dxa"/>
              <w:bottom w:w="80" w:type="dxa"/>
              <w:right w:w="100" w:type="dxa"/>
            </w:tcMar>
            <w:vAlign w:val="center"/>
          </w:tcPr>
          <w:p w14:paraId="6084435B" w14:textId="77777777" w:rsidR="005C7368" w:rsidRPr="00B06F56" w:rsidRDefault="00000000">
            <w:pPr>
              <w:pStyle w:val="TableText"/>
              <w:jc w:val="center"/>
            </w:pPr>
            <w:r w:rsidRPr="00B06F56">
              <w:t>Potentially inappropriate prescribing</w:t>
            </w:r>
          </w:p>
        </w:tc>
        <w:tc>
          <w:tcPr>
            <w:tcW w:w="2016" w:type="dxa"/>
            <w:tcMar>
              <w:top w:w="80" w:type="dxa"/>
              <w:left w:w="100" w:type="dxa"/>
              <w:bottom w:w="80" w:type="dxa"/>
              <w:right w:w="100" w:type="dxa"/>
            </w:tcMar>
            <w:vAlign w:val="center"/>
          </w:tcPr>
          <w:p w14:paraId="4D18E74E" w14:textId="77777777" w:rsidR="005C7368" w:rsidRPr="00B06F56" w:rsidRDefault="00000000">
            <w:pPr>
              <w:pStyle w:val="TableText"/>
            </w:pPr>
            <w:r w:rsidRPr="00B06F56">
              <w:t>Drug-disease mismatch, excessive duration, duplication, high-risk drug use</w:t>
            </w:r>
          </w:p>
        </w:tc>
        <w:tc>
          <w:tcPr>
            <w:tcW w:w="2016" w:type="dxa"/>
            <w:tcMar>
              <w:top w:w="80" w:type="dxa"/>
              <w:left w:w="100" w:type="dxa"/>
              <w:bottom w:w="80" w:type="dxa"/>
              <w:right w:w="100" w:type="dxa"/>
            </w:tcMar>
            <w:vAlign w:val="center"/>
          </w:tcPr>
          <w:p w14:paraId="4F6E6EBB" w14:textId="77777777" w:rsidR="005C7368" w:rsidRPr="00B06F56" w:rsidRDefault="00000000">
            <w:pPr>
              <w:pStyle w:val="TableText"/>
            </w:pPr>
            <w:r w:rsidRPr="00B06F56">
              <w:t>ADEs, drug-related admission, functional decline</w:t>
            </w:r>
          </w:p>
        </w:tc>
        <w:tc>
          <w:tcPr>
            <w:tcW w:w="2016" w:type="dxa"/>
            <w:tcMar>
              <w:top w:w="80" w:type="dxa"/>
              <w:left w:w="100" w:type="dxa"/>
              <w:bottom w:w="80" w:type="dxa"/>
              <w:right w:w="100" w:type="dxa"/>
            </w:tcMar>
            <w:vAlign w:val="center"/>
          </w:tcPr>
          <w:p w14:paraId="5A9ADC24" w14:textId="77777777" w:rsidR="005C7368" w:rsidRPr="00B06F56" w:rsidRDefault="00000000">
            <w:pPr>
              <w:pStyle w:val="TableText"/>
            </w:pPr>
            <w:r w:rsidRPr="00B06F56">
              <w:t>Moderate-to-strong for medication-proximal harms; depends on criterion set and context</w:t>
            </w:r>
          </w:p>
        </w:tc>
        <w:tc>
          <w:tcPr>
            <w:tcW w:w="2016" w:type="dxa"/>
            <w:tcMar>
              <w:top w:w="80" w:type="dxa"/>
              <w:left w:w="100" w:type="dxa"/>
              <w:bottom w:w="80" w:type="dxa"/>
              <w:right w:w="100" w:type="dxa"/>
            </w:tcMar>
            <w:vAlign w:val="center"/>
          </w:tcPr>
          <w:p w14:paraId="01FC339D" w14:textId="77777777" w:rsidR="005C7368" w:rsidRPr="00B06F56" w:rsidRDefault="00000000">
            <w:pPr>
              <w:pStyle w:val="TableText"/>
            </w:pPr>
            <w:r w:rsidRPr="00B06F56">
              <w:t>Hamilton et al. (2011); Mekonnen et al. (2021)</w:t>
            </w:r>
          </w:p>
        </w:tc>
      </w:tr>
      <w:tr w:rsidR="00B06F56" w:rsidRPr="00B06F56" w14:paraId="635AD90B" w14:textId="77777777">
        <w:trPr>
          <w:cantSplit/>
          <w:jc w:val="center"/>
        </w:trPr>
        <w:tc>
          <w:tcPr>
            <w:tcW w:w="2016" w:type="dxa"/>
            <w:tcMar>
              <w:top w:w="80" w:type="dxa"/>
              <w:left w:w="100" w:type="dxa"/>
              <w:bottom w:w="80" w:type="dxa"/>
              <w:right w:w="100" w:type="dxa"/>
            </w:tcMar>
            <w:vAlign w:val="center"/>
          </w:tcPr>
          <w:p w14:paraId="24BEB9B5" w14:textId="77777777" w:rsidR="005C7368" w:rsidRPr="00B06F56" w:rsidRDefault="00000000">
            <w:pPr>
              <w:pStyle w:val="TableText"/>
              <w:jc w:val="center"/>
            </w:pPr>
            <w:r w:rsidRPr="00B06F56">
              <w:t>Regimen complexity and treatment burden</w:t>
            </w:r>
          </w:p>
        </w:tc>
        <w:tc>
          <w:tcPr>
            <w:tcW w:w="2016" w:type="dxa"/>
            <w:tcMar>
              <w:top w:w="80" w:type="dxa"/>
              <w:left w:w="100" w:type="dxa"/>
              <w:bottom w:w="80" w:type="dxa"/>
              <w:right w:w="100" w:type="dxa"/>
            </w:tcMar>
            <w:vAlign w:val="center"/>
          </w:tcPr>
          <w:p w14:paraId="43E718B7" w14:textId="77777777" w:rsidR="005C7368" w:rsidRPr="00B06F56" w:rsidRDefault="00000000">
            <w:pPr>
              <w:pStyle w:val="TableText"/>
            </w:pPr>
            <w:r w:rsidRPr="00B06F56">
              <w:t>Multiple doses, pill burden, monitoring and self-management workload</w:t>
            </w:r>
          </w:p>
        </w:tc>
        <w:tc>
          <w:tcPr>
            <w:tcW w:w="2016" w:type="dxa"/>
            <w:tcMar>
              <w:top w:w="80" w:type="dxa"/>
              <w:left w:w="100" w:type="dxa"/>
              <w:bottom w:w="80" w:type="dxa"/>
              <w:right w:w="100" w:type="dxa"/>
            </w:tcMar>
            <w:vAlign w:val="center"/>
          </w:tcPr>
          <w:p w14:paraId="13ABF4A8" w14:textId="77777777" w:rsidR="005C7368" w:rsidRPr="00B06F56" w:rsidRDefault="00000000">
            <w:pPr>
              <w:pStyle w:val="TableText"/>
            </w:pPr>
            <w:r w:rsidRPr="00B06F56">
              <w:t>Non-adherence, lower physical/global HRQoL, transition errors</w:t>
            </w:r>
          </w:p>
        </w:tc>
        <w:tc>
          <w:tcPr>
            <w:tcW w:w="2016" w:type="dxa"/>
            <w:tcMar>
              <w:top w:w="80" w:type="dxa"/>
              <w:left w:w="100" w:type="dxa"/>
              <w:bottom w:w="80" w:type="dxa"/>
              <w:right w:w="100" w:type="dxa"/>
            </w:tcMar>
            <w:vAlign w:val="center"/>
          </w:tcPr>
          <w:p w14:paraId="46D59225" w14:textId="77777777" w:rsidR="005C7368" w:rsidRPr="00B06F56" w:rsidRDefault="00000000">
            <w:pPr>
              <w:pStyle w:val="TableText"/>
            </w:pPr>
            <w:r w:rsidRPr="00B06F56">
              <w:t>Plausible and increasingly supported, but less consistently measured</w:t>
            </w:r>
          </w:p>
        </w:tc>
        <w:tc>
          <w:tcPr>
            <w:tcW w:w="2016" w:type="dxa"/>
            <w:tcMar>
              <w:top w:w="80" w:type="dxa"/>
              <w:left w:w="100" w:type="dxa"/>
              <w:bottom w:w="80" w:type="dxa"/>
              <w:right w:w="100" w:type="dxa"/>
            </w:tcMar>
            <w:vAlign w:val="center"/>
          </w:tcPr>
          <w:p w14:paraId="0A54695D" w14:textId="77777777" w:rsidR="005C7368" w:rsidRPr="00B06F56" w:rsidRDefault="00000000">
            <w:pPr>
              <w:pStyle w:val="TableText"/>
            </w:pPr>
            <w:r w:rsidRPr="00B06F56">
              <w:t>Vonderhaar et al. (2025); Falke et al. (2024)</w:t>
            </w:r>
          </w:p>
        </w:tc>
      </w:tr>
      <w:tr w:rsidR="00B06F56" w:rsidRPr="00B06F56" w14:paraId="435E2964" w14:textId="77777777">
        <w:trPr>
          <w:cantSplit/>
          <w:jc w:val="center"/>
        </w:trPr>
        <w:tc>
          <w:tcPr>
            <w:tcW w:w="2016" w:type="dxa"/>
            <w:tcMar>
              <w:top w:w="80" w:type="dxa"/>
              <w:left w:w="100" w:type="dxa"/>
              <w:bottom w:w="80" w:type="dxa"/>
              <w:right w:w="100" w:type="dxa"/>
            </w:tcMar>
            <w:vAlign w:val="center"/>
          </w:tcPr>
          <w:p w14:paraId="2F45670B" w14:textId="77777777" w:rsidR="005C7368" w:rsidRPr="00B06F56" w:rsidRDefault="00000000">
            <w:pPr>
              <w:pStyle w:val="TableText"/>
              <w:jc w:val="center"/>
            </w:pPr>
            <w:r w:rsidRPr="00B06F56">
              <w:t>Cognitive/functional vulnerability</w:t>
            </w:r>
          </w:p>
        </w:tc>
        <w:tc>
          <w:tcPr>
            <w:tcW w:w="2016" w:type="dxa"/>
            <w:tcMar>
              <w:top w:w="80" w:type="dxa"/>
              <w:left w:w="100" w:type="dxa"/>
              <w:bottom w:w="80" w:type="dxa"/>
              <w:right w:w="100" w:type="dxa"/>
            </w:tcMar>
            <w:vAlign w:val="center"/>
          </w:tcPr>
          <w:p w14:paraId="148EE7FE" w14:textId="77777777" w:rsidR="005C7368" w:rsidRPr="00B06F56" w:rsidRDefault="00000000">
            <w:pPr>
              <w:pStyle w:val="TableText"/>
            </w:pPr>
            <w:r w:rsidRPr="00B06F56">
              <w:t>Reduced capacity to manage complex treatment and greater sensitivity to adverse effects</w:t>
            </w:r>
          </w:p>
        </w:tc>
        <w:tc>
          <w:tcPr>
            <w:tcW w:w="2016" w:type="dxa"/>
            <w:tcMar>
              <w:top w:w="80" w:type="dxa"/>
              <w:left w:w="100" w:type="dxa"/>
              <w:bottom w:w="80" w:type="dxa"/>
              <w:right w:w="100" w:type="dxa"/>
            </w:tcMar>
            <w:vAlign w:val="center"/>
          </w:tcPr>
          <w:p w14:paraId="4966AA54" w14:textId="77777777" w:rsidR="005C7368" w:rsidRPr="00B06F56" w:rsidRDefault="00000000">
            <w:pPr>
              <w:pStyle w:val="TableText"/>
            </w:pPr>
            <w:r w:rsidRPr="00B06F56">
              <w:t>Medication errors, preventable drug-related admission, lower independence</w:t>
            </w:r>
          </w:p>
        </w:tc>
        <w:tc>
          <w:tcPr>
            <w:tcW w:w="2016" w:type="dxa"/>
            <w:tcMar>
              <w:top w:w="80" w:type="dxa"/>
              <w:left w:w="100" w:type="dxa"/>
              <w:bottom w:w="80" w:type="dxa"/>
              <w:right w:w="100" w:type="dxa"/>
            </w:tcMar>
            <w:vAlign w:val="center"/>
          </w:tcPr>
          <w:p w14:paraId="02A1350E" w14:textId="77777777" w:rsidR="005C7368" w:rsidRPr="00B06F56" w:rsidRDefault="00000000">
            <w:pPr>
              <w:pStyle w:val="TableText"/>
            </w:pPr>
            <w:r w:rsidRPr="00B06F56">
              <w:t>Strong risk-stratification evidence; interaction effects need better longitudinal study</w:t>
            </w:r>
          </w:p>
        </w:tc>
        <w:tc>
          <w:tcPr>
            <w:tcW w:w="2016" w:type="dxa"/>
            <w:tcMar>
              <w:top w:w="80" w:type="dxa"/>
              <w:left w:w="100" w:type="dxa"/>
              <w:bottom w:w="80" w:type="dxa"/>
              <w:right w:w="100" w:type="dxa"/>
            </w:tcMar>
            <w:vAlign w:val="center"/>
          </w:tcPr>
          <w:p w14:paraId="7D7D1A12" w14:textId="77777777" w:rsidR="005C7368" w:rsidRPr="00B06F56" w:rsidRDefault="00000000">
            <w:pPr>
              <w:pStyle w:val="TableText"/>
            </w:pPr>
            <w:r w:rsidRPr="00B06F56">
              <w:t>Leendertse et al. (2008); Montiel-Luque et al. (2017)</w:t>
            </w:r>
          </w:p>
        </w:tc>
      </w:tr>
      <w:tr w:rsidR="00B06F56" w:rsidRPr="00B06F56" w14:paraId="5E3DC4A7" w14:textId="77777777">
        <w:trPr>
          <w:cantSplit/>
          <w:jc w:val="center"/>
        </w:trPr>
        <w:tc>
          <w:tcPr>
            <w:tcW w:w="2016" w:type="dxa"/>
            <w:tcMar>
              <w:top w:w="80" w:type="dxa"/>
              <w:left w:w="100" w:type="dxa"/>
              <w:bottom w:w="80" w:type="dxa"/>
              <w:right w:w="100" w:type="dxa"/>
            </w:tcMar>
            <w:vAlign w:val="center"/>
          </w:tcPr>
          <w:p w14:paraId="0E66ADAF" w14:textId="77777777" w:rsidR="005C7368" w:rsidRPr="00B06F56" w:rsidRDefault="00000000">
            <w:pPr>
              <w:pStyle w:val="TableText"/>
              <w:jc w:val="center"/>
            </w:pPr>
            <w:r w:rsidRPr="00B06F56">
              <w:t>Transitions of care</w:t>
            </w:r>
          </w:p>
        </w:tc>
        <w:tc>
          <w:tcPr>
            <w:tcW w:w="2016" w:type="dxa"/>
            <w:tcMar>
              <w:top w:w="80" w:type="dxa"/>
              <w:left w:w="100" w:type="dxa"/>
              <w:bottom w:w="80" w:type="dxa"/>
              <w:right w:w="100" w:type="dxa"/>
            </w:tcMar>
            <w:vAlign w:val="center"/>
          </w:tcPr>
          <w:p w14:paraId="1421C993" w14:textId="77777777" w:rsidR="005C7368" w:rsidRPr="00B06F56" w:rsidRDefault="00000000">
            <w:pPr>
              <w:pStyle w:val="TableText"/>
            </w:pPr>
            <w:r w:rsidRPr="00B06F56">
              <w:t>Temporary therapies persist, medicines are duplicated or unintentionally omitted after admission/discharge</w:t>
            </w:r>
          </w:p>
        </w:tc>
        <w:tc>
          <w:tcPr>
            <w:tcW w:w="2016" w:type="dxa"/>
            <w:tcMar>
              <w:top w:w="80" w:type="dxa"/>
              <w:left w:w="100" w:type="dxa"/>
              <w:bottom w:w="80" w:type="dxa"/>
              <w:right w:w="100" w:type="dxa"/>
            </w:tcMar>
            <w:vAlign w:val="center"/>
          </w:tcPr>
          <w:p w14:paraId="6F3ECC50" w14:textId="77777777" w:rsidR="005C7368" w:rsidRPr="00B06F56" w:rsidRDefault="00000000">
            <w:pPr>
              <w:pStyle w:val="TableText"/>
            </w:pPr>
            <w:r w:rsidRPr="00B06F56">
              <w:t>Readmission, ADRs, treatment burden</w:t>
            </w:r>
          </w:p>
        </w:tc>
        <w:tc>
          <w:tcPr>
            <w:tcW w:w="2016" w:type="dxa"/>
            <w:tcMar>
              <w:top w:w="80" w:type="dxa"/>
              <w:left w:w="100" w:type="dxa"/>
              <w:bottom w:w="80" w:type="dxa"/>
              <w:right w:w="100" w:type="dxa"/>
            </w:tcMar>
            <w:vAlign w:val="center"/>
          </w:tcPr>
          <w:p w14:paraId="573116F1" w14:textId="77777777" w:rsidR="005C7368" w:rsidRPr="00B06F56" w:rsidRDefault="00000000">
            <w:pPr>
              <w:pStyle w:val="TableText"/>
            </w:pPr>
            <w:r w:rsidRPr="00B06F56">
              <w:t>Clinically plausible; intervention effects depend heavily on implementation and follow-up</w:t>
            </w:r>
          </w:p>
        </w:tc>
        <w:tc>
          <w:tcPr>
            <w:tcW w:w="2016" w:type="dxa"/>
            <w:tcMar>
              <w:top w:w="80" w:type="dxa"/>
              <w:left w:w="100" w:type="dxa"/>
              <w:bottom w:w="80" w:type="dxa"/>
              <w:right w:w="100" w:type="dxa"/>
            </w:tcMar>
            <w:vAlign w:val="center"/>
          </w:tcPr>
          <w:p w14:paraId="1149FB63" w14:textId="77777777" w:rsidR="005C7368" w:rsidRPr="00B06F56" w:rsidRDefault="00000000">
            <w:pPr>
              <w:pStyle w:val="TableText"/>
            </w:pPr>
            <w:r w:rsidRPr="00B06F56">
              <w:t>Blum et al. (2021); Carollo et al. (2024)</w:t>
            </w:r>
          </w:p>
        </w:tc>
      </w:tr>
      <w:tr w:rsidR="00B06F56" w:rsidRPr="00B06F56" w14:paraId="011230E5" w14:textId="77777777">
        <w:trPr>
          <w:cantSplit/>
          <w:jc w:val="center"/>
        </w:trPr>
        <w:tc>
          <w:tcPr>
            <w:tcW w:w="2016" w:type="dxa"/>
            <w:tcMar>
              <w:top w:w="80" w:type="dxa"/>
              <w:left w:w="100" w:type="dxa"/>
              <w:bottom w:w="80" w:type="dxa"/>
              <w:right w:w="100" w:type="dxa"/>
            </w:tcMar>
            <w:vAlign w:val="center"/>
          </w:tcPr>
          <w:p w14:paraId="02AE23A6" w14:textId="77777777" w:rsidR="005C7368" w:rsidRPr="00B06F56" w:rsidRDefault="00000000">
            <w:pPr>
              <w:pStyle w:val="TableText"/>
              <w:jc w:val="center"/>
            </w:pPr>
            <w:r w:rsidRPr="00B06F56">
              <w:t>Confounding by multimorbidity and indication</w:t>
            </w:r>
          </w:p>
        </w:tc>
        <w:tc>
          <w:tcPr>
            <w:tcW w:w="2016" w:type="dxa"/>
            <w:tcMar>
              <w:top w:w="80" w:type="dxa"/>
              <w:left w:w="100" w:type="dxa"/>
              <w:bottom w:w="80" w:type="dxa"/>
              <w:right w:w="100" w:type="dxa"/>
            </w:tcMar>
            <w:vAlign w:val="center"/>
          </w:tcPr>
          <w:p w14:paraId="6D9A36C6" w14:textId="77777777" w:rsidR="005C7368" w:rsidRPr="00B06F56" w:rsidRDefault="00000000">
            <w:pPr>
              <w:pStyle w:val="TableText"/>
            </w:pPr>
            <w:r w:rsidRPr="00B06F56">
              <w:t>Disease severity drives both medicine exposure and poor outcomes</w:t>
            </w:r>
          </w:p>
        </w:tc>
        <w:tc>
          <w:tcPr>
            <w:tcW w:w="2016" w:type="dxa"/>
            <w:tcMar>
              <w:top w:w="80" w:type="dxa"/>
              <w:left w:w="100" w:type="dxa"/>
              <w:bottom w:w="80" w:type="dxa"/>
              <w:right w:w="100" w:type="dxa"/>
            </w:tcMar>
            <w:vAlign w:val="center"/>
          </w:tcPr>
          <w:p w14:paraId="50342EDC" w14:textId="77777777" w:rsidR="005C7368" w:rsidRPr="00B06F56" w:rsidRDefault="00000000">
            <w:pPr>
              <w:pStyle w:val="TableText"/>
            </w:pPr>
            <w:r w:rsidRPr="00B06F56">
              <w:t>Apparent associations with hospitalisation and HRQoL</w:t>
            </w:r>
          </w:p>
        </w:tc>
        <w:tc>
          <w:tcPr>
            <w:tcW w:w="2016" w:type="dxa"/>
            <w:tcMar>
              <w:top w:w="80" w:type="dxa"/>
              <w:left w:w="100" w:type="dxa"/>
              <w:bottom w:w="80" w:type="dxa"/>
              <w:right w:w="100" w:type="dxa"/>
            </w:tcMar>
            <w:vAlign w:val="center"/>
          </w:tcPr>
          <w:p w14:paraId="7CF69219" w14:textId="77777777" w:rsidR="005C7368" w:rsidRPr="00B06F56" w:rsidRDefault="00000000">
            <w:pPr>
              <w:pStyle w:val="TableText"/>
            </w:pPr>
            <w:r w:rsidRPr="00B06F56">
              <w:t>Major threat to causal inference; demonstrated by effect modification and inconsistent RCT translation</w:t>
            </w:r>
          </w:p>
        </w:tc>
        <w:tc>
          <w:tcPr>
            <w:tcW w:w="2016" w:type="dxa"/>
            <w:tcMar>
              <w:top w:w="80" w:type="dxa"/>
              <w:left w:w="100" w:type="dxa"/>
              <w:bottom w:w="80" w:type="dxa"/>
              <w:right w:w="100" w:type="dxa"/>
            </w:tcMar>
            <w:vAlign w:val="center"/>
          </w:tcPr>
          <w:p w14:paraId="1A4FC3AB" w14:textId="77777777" w:rsidR="005C7368" w:rsidRPr="00B06F56" w:rsidRDefault="00000000">
            <w:pPr>
              <w:pStyle w:val="TableText"/>
            </w:pPr>
            <w:r w:rsidRPr="00B06F56">
              <w:t>Payne et al. (2014); Fried et al. (2014); Davies et al. (2020)</w:t>
            </w:r>
          </w:p>
        </w:tc>
      </w:tr>
    </w:tbl>
    <w:p w14:paraId="31EA7664"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0ACCB2D3" w14:textId="77777777" w:rsidR="005C7368" w:rsidRPr="00B06F56" w:rsidRDefault="00000000">
      <w:pPr>
        <w:pStyle w:val="Heading1"/>
        <w:rPr>
          <w:color w:val="auto"/>
        </w:rPr>
      </w:pPr>
      <w:r w:rsidRPr="00B06F56">
        <w:rPr>
          <w:color w:val="auto"/>
        </w:rPr>
        <w:t>7. Does Medication Optimisation Improve Hospital and HRQoL Outcomes?</w:t>
      </w:r>
    </w:p>
    <w:p w14:paraId="69F4F51F" w14:textId="77777777" w:rsidR="005C7368" w:rsidRPr="00B06F56" w:rsidRDefault="00000000">
      <w:pPr>
        <w:ind w:firstLine="288"/>
        <w:jc w:val="both"/>
      </w:pPr>
      <w:r w:rsidRPr="00B06F56">
        <w:t>The practical question is not whether polypharmacy is associated with adverse outcomes, but whether changing medication use improves outcomes that matter. Intervention studies provide mixed answers because 'medication optimisation' encompasses very different strategies. Some interventions aim to reduce medicine number, others to correct potentially inappropriate prescribing, reconcile medicines across care settings, involve pharmacists, support patient goals or simplify regimens. Their targets, intensity and implementation fidelity differ, so null findings cannot be interpreted as proof that deprescribing is ineffective in general.</w:t>
      </w:r>
    </w:p>
    <w:p w14:paraId="756C8BC0" w14:textId="77777777" w:rsidR="005C7368" w:rsidRPr="00B06F56" w:rsidRDefault="00000000">
      <w:pPr>
        <w:ind w:firstLine="288"/>
        <w:jc w:val="both"/>
      </w:pPr>
      <w:r w:rsidRPr="00B06F56">
        <w:lastRenderedPageBreak/>
        <w:t>Deprescribing is best understood as a structured clinical process rather than indiscriminate drug withdrawal. Scott et al. (2015) described a sequence of confirming current medicines and indications, estimating risk of drug-induced harm, comparing benefit with harm and burden, prioritising candidates for discontinuation and monitoring after withdrawal. This approach is inherently patient specific. It recognises that a medicine with little value in one patient may be essential in another and that stopping a medicine can itself cause harm through withdrawal, symptom recurrence or loss of disease control.</w:t>
      </w:r>
    </w:p>
    <w:p w14:paraId="603A330B" w14:textId="77777777" w:rsidR="005C7368" w:rsidRPr="00B06F56" w:rsidRDefault="00000000">
      <w:pPr>
        <w:ind w:firstLine="288"/>
        <w:jc w:val="both"/>
      </w:pPr>
      <w:r w:rsidRPr="00B06F56">
        <w:t>Explicit criteria provide reproducible case finding. STOPP/START version 3 includes potentially inappropriate medicines and potential prescribing omissions, while the Beers Criteria identify drugs that are often best avoided or used cautiously in older adults (American Geriatrics Society Beers Criteria Update Expert Panel, 2023; O'Mahony et al., 2023). Their strength is consistency and teachability; their limitation is that they cannot incorporate every dimension of prognosis, treatment preference or prior treatment failure. The most defensible use is as a prompt for clinical review rather than an automatic stop rule.</w:t>
      </w:r>
    </w:p>
    <w:p w14:paraId="33C51539" w14:textId="77777777" w:rsidR="005C7368" w:rsidRPr="00B06F56" w:rsidRDefault="00000000">
      <w:pPr>
        <w:ind w:firstLine="288"/>
        <w:jc w:val="both"/>
      </w:pPr>
      <w:r w:rsidRPr="00B06F56">
        <w:t>Hospital-based trials show that targeted review can reduce medication-proximal harm. O'Connor et al. (2016) reported fewer hospital-acquired adverse drug reactions after a STOPP/START intervention, and O'Sullivan et al. (2016) found a similar reduction with software-supported structured pharmacist review. These effects are clinically important because adverse drug reactions are direct patient harms. Yet neither intervention shortened hospital stay. This discrepancy shows why process success and endpoint selection matter: preventing an adverse drug reaction may not be large enough to shift a heterogeneous length-of-stay measure dominated by the acute disease that caused admission.</w:t>
      </w:r>
    </w:p>
    <w:p w14:paraId="2ACBF896" w14:textId="77777777" w:rsidR="005C7368" w:rsidRPr="00B06F56" w:rsidRDefault="00000000">
      <w:pPr>
        <w:ind w:firstLine="288"/>
        <w:jc w:val="both"/>
      </w:pPr>
      <w:r w:rsidRPr="00B06F56">
        <w:t>When readmission or drug-related admission is the target, effects become smaller. OPERAM achieved meaningful correction of inappropriate prescribing but did not reduce drug-related hospital admission over 12 months (Blum et al., 2021). Several explanations are plausible. Only a proportion of recommendations were implemented; new prescribing after discharge may have diluted the intervention; drug-related admission adjudication is complex; and competing risks in a highly multimorbid population may overwhelm a modest medication effect. A null primary endpoint in such a trial should temper claims of hospitalisation prevention but not be misrepresented as evidence that prescribing quality is irrelevant.</w:t>
      </w:r>
    </w:p>
    <w:p w14:paraId="6E0C53E7" w14:textId="77777777" w:rsidR="005C7368" w:rsidRPr="00B06F56" w:rsidRDefault="00000000">
      <w:pPr>
        <w:ind w:firstLine="288"/>
        <w:jc w:val="both"/>
      </w:pPr>
      <w:r w:rsidRPr="00B06F56">
        <w:t>Systematic reviews reinforce this pattern. Johansson et al. (2016) found no convincing overall effect of polypharmacy-reduction strategies on hospitalisation or mortality. The updated Cochrane review found that interventions can improve indicators of prescribing appropriateness, while certainty about hospital admissions and other patient-important outcomes remains low or variable (Cole et al., 2023). Omuya et al. (2023) reported that most deprescribing trials reduced medicines or doses and that some improved HRQoL, cost or hospitalisation, especially where patient-centred elements were present. Differences in review eligibility and endpoints help explain the apparently divergent conclusions: a small number of positive trials can coexist with an uncertain pooled effect.</w:t>
      </w:r>
    </w:p>
    <w:p w14:paraId="69FBB4B5" w14:textId="77777777" w:rsidR="005C7368" w:rsidRPr="00B06F56" w:rsidRDefault="00000000">
      <w:pPr>
        <w:ind w:firstLine="288"/>
        <w:jc w:val="both"/>
      </w:pPr>
      <w:r w:rsidRPr="00B06F56">
        <w:t>Recent syntheses suggest modest setting-dependent benefits rather than a universal intervention effect. Carollo et al. (2024) found a small reduction in hospital readmissions after medication review and deprescribing in older inpatients, but most included studies were at high risk of bias. In long-term care facilities, a 2026 systematic review and meta-analysis found that medication review and deprescribing reduced medicine numbers and potentially inappropriate medicines without significant effects on falls, hospitalisation or mortality; methodological heterogeneity and moderate-to-high risk of bias limited confidence (Carollo et al., 2026). The contrast suggests that improving prescribing quality is easier to demonstrate than changing downstream events.</w:t>
      </w:r>
    </w:p>
    <w:p w14:paraId="78508441" w14:textId="77777777" w:rsidR="005C7368" w:rsidRPr="00B06F56" w:rsidRDefault="00000000">
      <w:pPr>
        <w:ind w:firstLine="288"/>
        <w:jc w:val="both"/>
      </w:pPr>
      <w:r w:rsidRPr="00B06F56">
        <w:lastRenderedPageBreak/>
        <w:t>An umbrella review of meta-analyses reached a similar conclusion. Valz Gris et al. (2026) found signals of reduced hospitalisation with behavioural or mixed interventions, particularly in community populations, while hospital medication reviews had modest effects and overall certainty was low because of heterogeneity, small-study effects and publication bias. The result argues for intervention matching: a one-time medication review may be insufficient for chronic, dynamic polypharmacy, whereas repeated behavioural and multidisciplinary support may be more capable of changing adherence, prescribing and follow-up across time.</w:t>
      </w:r>
    </w:p>
    <w:p w14:paraId="43EE9F29" w14:textId="77777777" w:rsidR="005C7368" w:rsidRPr="00B06F56" w:rsidRDefault="00000000">
      <w:pPr>
        <w:ind w:firstLine="288"/>
        <w:jc w:val="both"/>
      </w:pPr>
      <w:r w:rsidRPr="00B06F56">
        <w:t>HRQoL effects may be more responsive to patient-centred interventions than hospital outcomes. DREAMeR improved EQ-VAS but not the EQ-5D index, suggesting that goal setting and resolution of patient-identified health problems may affect self-perceived health even when utility measures remain unchanged (Verdoorn et al., 2019). Kornholt et al. (2022) found a short-term EQ-5D improvement after comprehensive medication review, but the difference was not sustained. These trials show promise without establishing a durable class effect.</w:t>
      </w:r>
    </w:p>
    <w:p w14:paraId="345CB0F3" w14:textId="77777777" w:rsidR="005C7368" w:rsidRPr="00B06F56" w:rsidRDefault="00000000">
      <w:pPr>
        <w:ind w:firstLine="288"/>
        <w:jc w:val="both"/>
      </w:pPr>
      <w:r w:rsidRPr="00B06F56">
        <w:t>The intervention literature also exposes a measurement paradox. If the purpose of deprescribing is to reduce treatment burden and align care with goals, then a trial that measures only medicine count and hospital admission can miss the intended benefit. Conversely, an improvement in self-rated health without a change in clinical outcomes can be difficult to attribute specifically to medication changes in unblinded, relationship-intensive interventions. Both objective and patient-reported outcomes are therefore required, ideally with pre-specified causal pathways.</w:t>
      </w:r>
    </w:p>
    <w:p w14:paraId="62FD37F0" w14:textId="77777777" w:rsidR="005C7368" w:rsidRPr="00B06F56" w:rsidRDefault="00000000">
      <w:pPr>
        <w:ind w:firstLine="288"/>
        <w:jc w:val="both"/>
      </w:pPr>
      <w:r w:rsidRPr="00B06F56">
        <w:t>Outcome standardisation is part of the solution. Rankin et al. (2018) developed a core outcome set for trials of appropriate polypharmacy in primary care in which serious adverse drug reactions, medication appropriateness, falls, regimen complexity, quality of life, mortality and medication side effects ranked among the key outcomes. The set reflects stakeholder recognition that no single endpoint captures successful medication optimisation. Trials designed around this multidimensional framework are more likely to reveal where an intervention works and where it does not.</w:t>
      </w:r>
    </w:p>
    <w:p w14:paraId="2757CDFA" w14:textId="77777777" w:rsidR="005C7368" w:rsidRPr="00B06F56" w:rsidRDefault="00000000">
      <w:pPr>
        <w:ind w:firstLine="288"/>
        <w:jc w:val="both"/>
      </w:pPr>
      <w:r w:rsidRPr="00B06F56">
        <w:t>Table 5 compares representative intervention evidence. The overall conclusion is deliberately calibrated: deprescribing and medication review can improve prescribing quality and can reduce some medication-proximal harms; benefits for hospitalisation and generic HRQoL are possible but inconsistent. The clinical objective should therefore be appropriate, goal-concordant treatment rather than a predetermined reduction in medicine count.</w:t>
      </w:r>
    </w:p>
    <w:p w14:paraId="6E85B6DA" w14:textId="77777777" w:rsidR="005C7368" w:rsidRPr="00B06F56" w:rsidRDefault="00000000">
      <w:pPr>
        <w:keepNext/>
        <w:spacing w:before="160" w:after="80"/>
      </w:pPr>
      <w:r w:rsidRPr="00B06F56">
        <w:rPr>
          <w:b/>
          <w:sz w:val="20"/>
        </w:rPr>
        <w:t>Table 5. Intervention evidence for improving prescribing, hospital outcomes and HRQoL</w:t>
      </w:r>
    </w:p>
    <w:tbl>
      <w:tblPr>
        <w:tblStyle w:val="TableGrid"/>
        <w:tblW w:w="5000" w:type="pct"/>
        <w:jc w:val="center"/>
        <w:tblLook w:val="04A0" w:firstRow="1" w:lastRow="0" w:firstColumn="1" w:lastColumn="0" w:noHBand="0" w:noVBand="1"/>
      </w:tblPr>
      <w:tblGrid>
        <w:gridCol w:w="1361"/>
        <w:gridCol w:w="1493"/>
        <w:gridCol w:w="1707"/>
        <w:gridCol w:w="1763"/>
        <w:gridCol w:w="1977"/>
        <w:gridCol w:w="1547"/>
      </w:tblGrid>
      <w:tr w:rsidR="00B06F56" w:rsidRPr="00B06F56" w14:paraId="37F5E050" w14:textId="77777777" w:rsidTr="0013103D">
        <w:trPr>
          <w:tblHeader/>
          <w:jc w:val="center"/>
        </w:trPr>
        <w:tc>
          <w:tcPr>
            <w:tcW w:w="656" w:type="pct"/>
            <w:shd w:val="clear" w:color="auto" w:fill="D9E2F3"/>
            <w:tcMar>
              <w:top w:w="80" w:type="dxa"/>
              <w:left w:w="100" w:type="dxa"/>
              <w:bottom w:w="80" w:type="dxa"/>
              <w:right w:w="100" w:type="dxa"/>
            </w:tcMar>
            <w:vAlign w:val="center"/>
          </w:tcPr>
          <w:p w14:paraId="1AC4AA88" w14:textId="77777777" w:rsidR="005C7368" w:rsidRPr="00B06F56" w:rsidRDefault="00000000">
            <w:pPr>
              <w:pStyle w:val="TableText"/>
              <w:jc w:val="center"/>
            </w:pPr>
            <w:r w:rsidRPr="00B06F56">
              <w:rPr>
                <w:b/>
              </w:rPr>
              <w:t>Intervention / evidence</w:t>
            </w:r>
          </w:p>
        </w:tc>
        <w:tc>
          <w:tcPr>
            <w:tcW w:w="765" w:type="pct"/>
            <w:shd w:val="clear" w:color="auto" w:fill="D9E2F3"/>
            <w:tcMar>
              <w:top w:w="80" w:type="dxa"/>
              <w:left w:w="100" w:type="dxa"/>
              <w:bottom w:w="80" w:type="dxa"/>
              <w:right w:w="100" w:type="dxa"/>
            </w:tcMar>
            <w:vAlign w:val="center"/>
          </w:tcPr>
          <w:p w14:paraId="05CED516" w14:textId="77777777" w:rsidR="005C7368" w:rsidRPr="00B06F56" w:rsidRDefault="00000000">
            <w:pPr>
              <w:pStyle w:val="TableText"/>
              <w:jc w:val="center"/>
            </w:pPr>
            <w:r w:rsidRPr="00B06F56">
              <w:rPr>
                <w:b/>
              </w:rPr>
              <w:t>Setting</w:t>
            </w:r>
          </w:p>
        </w:tc>
        <w:tc>
          <w:tcPr>
            <w:tcW w:w="874" w:type="pct"/>
            <w:shd w:val="clear" w:color="auto" w:fill="D9E2F3"/>
            <w:tcMar>
              <w:top w:w="80" w:type="dxa"/>
              <w:left w:w="100" w:type="dxa"/>
              <w:bottom w:w="80" w:type="dxa"/>
              <w:right w:w="100" w:type="dxa"/>
            </w:tcMar>
            <w:vAlign w:val="center"/>
          </w:tcPr>
          <w:p w14:paraId="6AD170E0" w14:textId="77777777" w:rsidR="005C7368" w:rsidRPr="00B06F56" w:rsidRDefault="00000000">
            <w:pPr>
              <w:pStyle w:val="TableText"/>
              <w:jc w:val="center"/>
            </w:pPr>
            <w:r w:rsidRPr="00B06F56">
              <w:rPr>
                <w:b/>
              </w:rPr>
              <w:t>Prescribing effect</w:t>
            </w:r>
          </w:p>
        </w:tc>
        <w:tc>
          <w:tcPr>
            <w:tcW w:w="902" w:type="pct"/>
            <w:shd w:val="clear" w:color="auto" w:fill="D9E2F3"/>
            <w:tcMar>
              <w:top w:w="80" w:type="dxa"/>
              <w:left w:w="100" w:type="dxa"/>
              <w:bottom w:w="80" w:type="dxa"/>
              <w:right w:w="100" w:type="dxa"/>
            </w:tcMar>
            <w:vAlign w:val="center"/>
          </w:tcPr>
          <w:p w14:paraId="7FE430F1" w14:textId="77777777" w:rsidR="005C7368" w:rsidRPr="00B06F56" w:rsidRDefault="00000000">
            <w:pPr>
              <w:pStyle w:val="TableText"/>
              <w:jc w:val="center"/>
            </w:pPr>
            <w:r w:rsidRPr="00B06F56">
              <w:rPr>
                <w:b/>
              </w:rPr>
              <w:t>Hospital / HRQoL effect</w:t>
            </w:r>
          </w:p>
        </w:tc>
        <w:tc>
          <w:tcPr>
            <w:tcW w:w="1011" w:type="pct"/>
            <w:shd w:val="clear" w:color="auto" w:fill="D9E2F3"/>
            <w:tcMar>
              <w:top w:w="80" w:type="dxa"/>
              <w:left w:w="100" w:type="dxa"/>
              <w:bottom w:w="80" w:type="dxa"/>
              <w:right w:w="100" w:type="dxa"/>
            </w:tcMar>
            <w:vAlign w:val="center"/>
          </w:tcPr>
          <w:p w14:paraId="70367938" w14:textId="77777777" w:rsidR="005C7368" w:rsidRPr="00B06F56" w:rsidRDefault="00000000">
            <w:pPr>
              <w:pStyle w:val="TableText"/>
              <w:jc w:val="center"/>
            </w:pPr>
            <w:r w:rsidRPr="00B06F56">
              <w:rPr>
                <w:b/>
              </w:rPr>
              <w:t>Interpretation</w:t>
            </w:r>
          </w:p>
        </w:tc>
        <w:tc>
          <w:tcPr>
            <w:tcW w:w="792" w:type="pct"/>
            <w:shd w:val="clear" w:color="auto" w:fill="D9E2F3"/>
            <w:tcMar>
              <w:top w:w="80" w:type="dxa"/>
              <w:left w:w="100" w:type="dxa"/>
              <w:bottom w:w="80" w:type="dxa"/>
              <w:right w:w="100" w:type="dxa"/>
            </w:tcMar>
            <w:vAlign w:val="center"/>
          </w:tcPr>
          <w:p w14:paraId="74D55A4B" w14:textId="77777777" w:rsidR="005C7368" w:rsidRPr="00B06F56" w:rsidRDefault="00000000">
            <w:pPr>
              <w:pStyle w:val="TableText"/>
              <w:jc w:val="center"/>
            </w:pPr>
            <w:r w:rsidRPr="00B06F56">
              <w:rPr>
                <w:b/>
              </w:rPr>
              <w:t>Supporting references</w:t>
            </w:r>
          </w:p>
        </w:tc>
      </w:tr>
      <w:tr w:rsidR="00B06F56" w:rsidRPr="00B06F56" w14:paraId="3B3A7C66" w14:textId="77777777" w:rsidTr="0013103D">
        <w:trPr>
          <w:cantSplit/>
          <w:jc w:val="center"/>
        </w:trPr>
        <w:tc>
          <w:tcPr>
            <w:tcW w:w="656" w:type="pct"/>
            <w:tcMar>
              <w:top w:w="80" w:type="dxa"/>
              <w:left w:w="100" w:type="dxa"/>
              <w:bottom w:w="80" w:type="dxa"/>
              <w:right w:w="100" w:type="dxa"/>
            </w:tcMar>
            <w:vAlign w:val="center"/>
          </w:tcPr>
          <w:p w14:paraId="6EAB3AA5" w14:textId="77777777" w:rsidR="005C7368" w:rsidRPr="00B06F56" w:rsidRDefault="00000000">
            <w:pPr>
              <w:pStyle w:val="TableText"/>
              <w:jc w:val="center"/>
            </w:pPr>
            <w:r w:rsidRPr="00B06F56">
              <w:t>STOPP/START intervention</w:t>
            </w:r>
          </w:p>
        </w:tc>
        <w:tc>
          <w:tcPr>
            <w:tcW w:w="765" w:type="pct"/>
            <w:tcMar>
              <w:top w:w="80" w:type="dxa"/>
              <w:left w:w="100" w:type="dxa"/>
              <w:bottom w:w="80" w:type="dxa"/>
              <w:right w:w="100" w:type="dxa"/>
            </w:tcMar>
            <w:vAlign w:val="center"/>
          </w:tcPr>
          <w:p w14:paraId="39F5C720" w14:textId="77777777" w:rsidR="005C7368" w:rsidRPr="00B06F56" w:rsidRDefault="00000000">
            <w:pPr>
              <w:pStyle w:val="TableText"/>
            </w:pPr>
            <w:r w:rsidRPr="00B06F56">
              <w:t>Acute hospital</w:t>
            </w:r>
          </w:p>
        </w:tc>
        <w:tc>
          <w:tcPr>
            <w:tcW w:w="874" w:type="pct"/>
            <w:tcMar>
              <w:top w:w="80" w:type="dxa"/>
              <w:left w:w="100" w:type="dxa"/>
              <w:bottom w:w="80" w:type="dxa"/>
              <w:right w:w="100" w:type="dxa"/>
            </w:tcMar>
            <w:vAlign w:val="center"/>
          </w:tcPr>
          <w:p w14:paraId="24E4E1C8" w14:textId="77777777" w:rsidR="005C7368" w:rsidRPr="00B06F56" w:rsidRDefault="00000000">
            <w:pPr>
              <w:pStyle w:val="TableText"/>
            </w:pPr>
            <w:r w:rsidRPr="00B06F56">
              <w:t>Reduced inappropriate prescribing</w:t>
            </w:r>
          </w:p>
        </w:tc>
        <w:tc>
          <w:tcPr>
            <w:tcW w:w="902" w:type="pct"/>
            <w:tcMar>
              <w:top w:w="80" w:type="dxa"/>
              <w:left w:w="100" w:type="dxa"/>
              <w:bottom w:w="80" w:type="dxa"/>
              <w:right w:w="100" w:type="dxa"/>
            </w:tcMar>
            <w:vAlign w:val="center"/>
          </w:tcPr>
          <w:p w14:paraId="7BB6703F" w14:textId="77777777" w:rsidR="005C7368" w:rsidRPr="00B06F56" w:rsidRDefault="00000000">
            <w:pPr>
              <w:pStyle w:val="TableText"/>
            </w:pPr>
            <w:r w:rsidRPr="00B06F56">
              <w:t>Reduced hospital-acquired ADRs; no change in length of stay</w:t>
            </w:r>
          </w:p>
        </w:tc>
        <w:tc>
          <w:tcPr>
            <w:tcW w:w="1011" w:type="pct"/>
            <w:tcMar>
              <w:top w:w="80" w:type="dxa"/>
              <w:left w:w="100" w:type="dxa"/>
              <w:bottom w:w="80" w:type="dxa"/>
              <w:right w:w="100" w:type="dxa"/>
            </w:tcMar>
            <w:vAlign w:val="center"/>
          </w:tcPr>
          <w:p w14:paraId="20FD22BD" w14:textId="77777777" w:rsidR="005C7368" w:rsidRPr="00B06F56" w:rsidRDefault="00000000">
            <w:pPr>
              <w:pStyle w:val="TableText"/>
            </w:pPr>
            <w:r w:rsidRPr="00B06F56">
              <w:t>Strongest effects occur on medication-proximal outcomes</w:t>
            </w:r>
          </w:p>
        </w:tc>
        <w:tc>
          <w:tcPr>
            <w:tcW w:w="792" w:type="pct"/>
            <w:tcMar>
              <w:top w:w="80" w:type="dxa"/>
              <w:left w:w="100" w:type="dxa"/>
              <w:bottom w:w="80" w:type="dxa"/>
              <w:right w:w="100" w:type="dxa"/>
            </w:tcMar>
            <w:vAlign w:val="center"/>
          </w:tcPr>
          <w:p w14:paraId="2A2A7E42" w14:textId="77777777" w:rsidR="005C7368" w:rsidRPr="00B06F56" w:rsidRDefault="00000000">
            <w:pPr>
              <w:pStyle w:val="TableText"/>
            </w:pPr>
            <w:r w:rsidRPr="00B06F56">
              <w:t>O'Connor et al. (2016)</w:t>
            </w:r>
          </w:p>
        </w:tc>
      </w:tr>
      <w:tr w:rsidR="00B06F56" w:rsidRPr="00B06F56" w14:paraId="1EDD7D09" w14:textId="77777777" w:rsidTr="0013103D">
        <w:trPr>
          <w:cantSplit/>
          <w:jc w:val="center"/>
        </w:trPr>
        <w:tc>
          <w:tcPr>
            <w:tcW w:w="656" w:type="pct"/>
            <w:tcMar>
              <w:top w:w="80" w:type="dxa"/>
              <w:left w:w="100" w:type="dxa"/>
              <w:bottom w:w="80" w:type="dxa"/>
              <w:right w:w="100" w:type="dxa"/>
            </w:tcMar>
            <w:vAlign w:val="center"/>
          </w:tcPr>
          <w:p w14:paraId="4DC32766" w14:textId="77777777" w:rsidR="005C7368" w:rsidRPr="00B06F56" w:rsidRDefault="00000000">
            <w:pPr>
              <w:pStyle w:val="TableText"/>
              <w:jc w:val="center"/>
            </w:pPr>
            <w:r w:rsidRPr="00B06F56">
              <w:t>Software-supported pharmacist review</w:t>
            </w:r>
          </w:p>
        </w:tc>
        <w:tc>
          <w:tcPr>
            <w:tcW w:w="765" w:type="pct"/>
            <w:tcMar>
              <w:top w:w="80" w:type="dxa"/>
              <w:left w:w="100" w:type="dxa"/>
              <w:bottom w:w="80" w:type="dxa"/>
              <w:right w:w="100" w:type="dxa"/>
            </w:tcMar>
            <w:vAlign w:val="center"/>
          </w:tcPr>
          <w:p w14:paraId="52CB65CC" w14:textId="77777777" w:rsidR="005C7368" w:rsidRPr="00B06F56" w:rsidRDefault="00000000">
            <w:pPr>
              <w:pStyle w:val="TableText"/>
            </w:pPr>
            <w:r w:rsidRPr="00B06F56">
              <w:t>Acute hospital</w:t>
            </w:r>
          </w:p>
        </w:tc>
        <w:tc>
          <w:tcPr>
            <w:tcW w:w="874" w:type="pct"/>
            <w:tcMar>
              <w:top w:w="80" w:type="dxa"/>
              <w:left w:w="100" w:type="dxa"/>
              <w:bottom w:w="80" w:type="dxa"/>
              <w:right w:w="100" w:type="dxa"/>
            </w:tcMar>
            <w:vAlign w:val="center"/>
          </w:tcPr>
          <w:p w14:paraId="600D129B" w14:textId="77777777" w:rsidR="005C7368" w:rsidRPr="00B06F56" w:rsidRDefault="00000000">
            <w:pPr>
              <w:pStyle w:val="TableText"/>
            </w:pPr>
            <w:r w:rsidRPr="00B06F56">
              <w:t>Structured recommendations with clinician implementation</w:t>
            </w:r>
          </w:p>
        </w:tc>
        <w:tc>
          <w:tcPr>
            <w:tcW w:w="902" w:type="pct"/>
            <w:tcMar>
              <w:top w:w="80" w:type="dxa"/>
              <w:left w:w="100" w:type="dxa"/>
              <w:bottom w:w="80" w:type="dxa"/>
              <w:right w:w="100" w:type="dxa"/>
            </w:tcMar>
            <w:vAlign w:val="center"/>
          </w:tcPr>
          <w:p w14:paraId="708FB9CB" w14:textId="77777777" w:rsidR="005C7368" w:rsidRPr="00B06F56" w:rsidRDefault="00000000">
            <w:pPr>
              <w:pStyle w:val="TableText"/>
            </w:pPr>
            <w:r w:rsidRPr="00B06F56">
              <w:t>Reduced ADR incidence; no significant mortality or length-of-stay difference</w:t>
            </w:r>
          </w:p>
        </w:tc>
        <w:tc>
          <w:tcPr>
            <w:tcW w:w="1011" w:type="pct"/>
            <w:tcMar>
              <w:top w:w="80" w:type="dxa"/>
              <w:left w:w="100" w:type="dxa"/>
              <w:bottom w:w="80" w:type="dxa"/>
              <w:right w:w="100" w:type="dxa"/>
            </w:tcMar>
            <w:vAlign w:val="center"/>
          </w:tcPr>
          <w:p w14:paraId="54D799C1" w14:textId="77777777" w:rsidR="005C7368" w:rsidRPr="00B06F56" w:rsidRDefault="00000000">
            <w:pPr>
              <w:pStyle w:val="TableText"/>
            </w:pPr>
            <w:r w:rsidRPr="00B06F56">
              <w:t>Decision support can reduce harm without shifting broad hospital endpoints</w:t>
            </w:r>
          </w:p>
        </w:tc>
        <w:tc>
          <w:tcPr>
            <w:tcW w:w="792" w:type="pct"/>
            <w:tcMar>
              <w:top w:w="80" w:type="dxa"/>
              <w:left w:w="100" w:type="dxa"/>
              <w:bottom w:w="80" w:type="dxa"/>
              <w:right w:w="100" w:type="dxa"/>
            </w:tcMar>
            <w:vAlign w:val="center"/>
          </w:tcPr>
          <w:p w14:paraId="6E326870" w14:textId="77777777" w:rsidR="005C7368" w:rsidRPr="00B06F56" w:rsidRDefault="00000000">
            <w:pPr>
              <w:pStyle w:val="TableText"/>
            </w:pPr>
            <w:r w:rsidRPr="00B06F56">
              <w:t>O'Sullivan et al. (2016)</w:t>
            </w:r>
          </w:p>
        </w:tc>
      </w:tr>
      <w:tr w:rsidR="00B06F56" w:rsidRPr="00B06F56" w14:paraId="7AC2EBCB" w14:textId="77777777" w:rsidTr="0013103D">
        <w:trPr>
          <w:cantSplit/>
          <w:jc w:val="center"/>
        </w:trPr>
        <w:tc>
          <w:tcPr>
            <w:tcW w:w="656" w:type="pct"/>
            <w:tcMar>
              <w:top w:w="80" w:type="dxa"/>
              <w:left w:w="100" w:type="dxa"/>
              <w:bottom w:w="80" w:type="dxa"/>
              <w:right w:w="100" w:type="dxa"/>
            </w:tcMar>
            <w:vAlign w:val="center"/>
          </w:tcPr>
          <w:p w14:paraId="32128EEC" w14:textId="77777777" w:rsidR="005C7368" w:rsidRPr="00B06F56" w:rsidRDefault="00000000">
            <w:pPr>
              <w:pStyle w:val="TableText"/>
              <w:jc w:val="center"/>
            </w:pPr>
            <w:r w:rsidRPr="00B06F56">
              <w:t>DREAMeR goal-oriented review</w:t>
            </w:r>
          </w:p>
        </w:tc>
        <w:tc>
          <w:tcPr>
            <w:tcW w:w="765" w:type="pct"/>
            <w:tcMar>
              <w:top w:w="80" w:type="dxa"/>
              <w:left w:w="100" w:type="dxa"/>
              <w:bottom w:w="80" w:type="dxa"/>
              <w:right w:w="100" w:type="dxa"/>
            </w:tcMar>
            <w:vAlign w:val="center"/>
          </w:tcPr>
          <w:p w14:paraId="0D01C69C" w14:textId="77777777" w:rsidR="005C7368" w:rsidRPr="00B06F56" w:rsidRDefault="00000000">
            <w:pPr>
              <w:pStyle w:val="TableText"/>
            </w:pPr>
            <w:r w:rsidRPr="00B06F56">
              <w:t>Community primary care/pharmacy</w:t>
            </w:r>
          </w:p>
        </w:tc>
        <w:tc>
          <w:tcPr>
            <w:tcW w:w="874" w:type="pct"/>
            <w:tcMar>
              <w:top w:w="80" w:type="dxa"/>
              <w:left w:w="100" w:type="dxa"/>
              <w:bottom w:w="80" w:type="dxa"/>
              <w:right w:w="100" w:type="dxa"/>
            </w:tcMar>
            <w:vAlign w:val="center"/>
          </w:tcPr>
          <w:p w14:paraId="182CFE1B" w14:textId="77777777" w:rsidR="005C7368" w:rsidRPr="00B06F56" w:rsidRDefault="00000000">
            <w:pPr>
              <w:pStyle w:val="TableText"/>
            </w:pPr>
            <w:r w:rsidRPr="00B06F56">
              <w:t>Patient-centred medication changes</w:t>
            </w:r>
          </w:p>
        </w:tc>
        <w:tc>
          <w:tcPr>
            <w:tcW w:w="902" w:type="pct"/>
            <w:tcMar>
              <w:top w:w="80" w:type="dxa"/>
              <w:left w:w="100" w:type="dxa"/>
              <w:bottom w:w="80" w:type="dxa"/>
              <w:right w:w="100" w:type="dxa"/>
            </w:tcMar>
            <w:vAlign w:val="center"/>
          </w:tcPr>
          <w:p w14:paraId="111D0477" w14:textId="77777777" w:rsidR="005C7368" w:rsidRPr="00B06F56" w:rsidRDefault="00000000">
            <w:pPr>
              <w:pStyle w:val="TableText"/>
            </w:pPr>
            <w:r w:rsidRPr="00B06F56">
              <w:t>Improved EQ-VAS but not EQ-5D index</w:t>
            </w:r>
          </w:p>
        </w:tc>
        <w:tc>
          <w:tcPr>
            <w:tcW w:w="1011" w:type="pct"/>
            <w:tcMar>
              <w:top w:w="80" w:type="dxa"/>
              <w:left w:w="100" w:type="dxa"/>
              <w:bottom w:w="80" w:type="dxa"/>
              <w:right w:w="100" w:type="dxa"/>
            </w:tcMar>
            <w:vAlign w:val="center"/>
          </w:tcPr>
          <w:p w14:paraId="2140F49E" w14:textId="77777777" w:rsidR="005C7368" w:rsidRPr="00B06F56" w:rsidRDefault="00000000">
            <w:pPr>
              <w:pStyle w:val="TableText"/>
            </w:pPr>
            <w:r w:rsidRPr="00B06F56">
              <w:t>Patient-reported benefit depends on instrument and intervention content</w:t>
            </w:r>
          </w:p>
        </w:tc>
        <w:tc>
          <w:tcPr>
            <w:tcW w:w="792" w:type="pct"/>
            <w:tcMar>
              <w:top w:w="80" w:type="dxa"/>
              <w:left w:w="100" w:type="dxa"/>
              <w:bottom w:w="80" w:type="dxa"/>
              <w:right w:w="100" w:type="dxa"/>
            </w:tcMar>
            <w:vAlign w:val="center"/>
          </w:tcPr>
          <w:p w14:paraId="53F50B64" w14:textId="77777777" w:rsidR="005C7368" w:rsidRPr="00B06F56" w:rsidRDefault="00000000">
            <w:pPr>
              <w:pStyle w:val="TableText"/>
            </w:pPr>
            <w:r w:rsidRPr="00B06F56">
              <w:t>Verdoorn et al. (2019)</w:t>
            </w:r>
          </w:p>
        </w:tc>
      </w:tr>
      <w:tr w:rsidR="00B06F56" w:rsidRPr="00B06F56" w14:paraId="10B1EDB7" w14:textId="77777777" w:rsidTr="0013103D">
        <w:trPr>
          <w:cantSplit/>
          <w:jc w:val="center"/>
        </w:trPr>
        <w:tc>
          <w:tcPr>
            <w:tcW w:w="656" w:type="pct"/>
            <w:tcMar>
              <w:top w:w="80" w:type="dxa"/>
              <w:left w:w="100" w:type="dxa"/>
              <w:bottom w:w="80" w:type="dxa"/>
              <w:right w:w="100" w:type="dxa"/>
            </w:tcMar>
            <w:vAlign w:val="center"/>
          </w:tcPr>
          <w:p w14:paraId="22DCBD3D" w14:textId="77777777" w:rsidR="005C7368" w:rsidRPr="00B06F56" w:rsidRDefault="00000000">
            <w:pPr>
              <w:pStyle w:val="TableText"/>
              <w:jc w:val="center"/>
            </w:pPr>
            <w:r w:rsidRPr="00B06F56">
              <w:lastRenderedPageBreak/>
              <w:t>OPERAM</w:t>
            </w:r>
          </w:p>
        </w:tc>
        <w:tc>
          <w:tcPr>
            <w:tcW w:w="765" w:type="pct"/>
            <w:tcMar>
              <w:top w:w="80" w:type="dxa"/>
              <w:left w:w="100" w:type="dxa"/>
              <w:bottom w:w="80" w:type="dxa"/>
              <w:right w:w="100" w:type="dxa"/>
            </w:tcMar>
            <w:vAlign w:val="center"/>
          </w:tcPr>
          <w:p w14:paraId="0954959F" w14:textId="77777777" w:rsidR="005C7368" w:rsidRPr="00B06F56" w:rsidRDefault="00000000">
            <w:pPr>
              <w:pStyle w:val="TableText"/>
            </w:pPr>
            <w:r w:rsidRPr="00B06F56">
              <w:t>Hospitalised multimorbid older adults</w:t>
            </w:r>
          </w:p>
        </w:tc>
        <w:tc>
          <w:tcPr>
            <w:tcW w:w="874" w:type="pct"/>
            <w:tcMar>
              <w:top w:w="80" w:type="dxa"/>
              <w:left w:w="100" w:type="dxa"/>
              <w:bottom w:w="80" w:type="dxa"/>
              <w:right w:w="100" w:type="dxa"/>
            </w:tcMar>
            <w:vAlign w:val="center"/>
          </w:tcPr>
          <w:p w14:paraId="0CFC9AAE" w14:textId="77777777" w:rsidR="005C7368" w:rsidRPr="00B06F56" w:rsidRDefault="00000000">
            <w:pPr>
              <w:pStyle w:val="TableText"/>
            </w:pPr>
            <w:r w:rsidRPr="00B06F56">
              <w:t>Reduced inappropriate prescribing</w:t>
            </w:r>
          </w:p>
        </w:tc>
        <w:tc>
          <w:tcPr>
            <w:tcW w:w="902" w:type="pct"/>
            <w:tcMar>
              <w:top w:w="80" w:type="dxa"/>
              <w:left w:w="100" w:type="dxa"/>
              <w:bottom w:w="80" w:type="dxa"/>
              <w:right w:w="100" w:type="dxa"/>
            </w:tcMar>
            <w:vAlign w:val="center"/>
          </w:tcPr>
          <w:p w14:paraId="51C6B53D" w14:textId="77777777" w:rsidR="005C7368" w:rsidRPr="00B06F56" w:rsidRDefault="00000000">
            <w:pPr>
              <w:pStyle w:val="TableText"/>
            </w:pPr>
            <w:r w:rsidRPr="00B06F56">
              <w:t>No significant reduction in drug-related hospital admissions</w:t>
            </w:r>
          </w:p>
        </w:tc>
        <w:tc>
          <w:tcPr>
            <w:tcW w:w="1011" w:type="pct"/>
            <w:tcMar>
              <w:top w:w="80" w:type="dxa"/>
              <w:left w:w="100" w:type="dxa"/>
              <w:bottom w:w="80" w:type="dxa"/>
              <w:right w:w="100" w:type="dxa"/>
            </w:tcMar>
            <w:vAlign w:val="center"/>
          </w:tcPr>
          <w:p w14:paraId="4F23CF8F" w14:textId="77777777" w:rsidR="005C7368" w:rsidRPr="00B06F56" w:rsidRDefault="00000000">
            <w:pPr>
              <w:pStyle w:val="TableText"/>
            </w:pPr>
            <w:r w:rsidRPr="00B06F56">
              <w:t>High-quality evidence against assuming process improvement guarantees admission prevention</w:t>
            </w:r>
          </w:p>
        </w:tc>
        <w:tc>
          <w:tcPr>
            <w:tcW w:w="792" w:type="pct"/>
            <w:tcMar>
              <w:top w:w="80" w:type="dxa"/>
              <w:left w:w="100" w:type="dxa"/>
              <w:bottom w:w="80" w:type="dxa"/>
              <w:right w:w="100" w:type="dxa"/>
            </w:tcMar>
            <w:vAlign w:val="center"/>
          </w:tcPr>
          <w:p w14:paraId="2BDE7818" w14:textId="77777777" w:rsidR="005C7368" w:rsidRPr="00B06F56" w:rsidRDefault="00000000">
            <w:pPr>
              <w:pStyle w:val="TableText"/>
            </w:pPr>
            <w:r w:rsidRPr="00B06F56">
              <w:t>Blum et al. (2021)</w:t>
            </w:r>
          </w:p>
        </w:tc>
      </w:tr>
      <w:tr w:rsidR="00B06F56" w:rsidRPr="00B06F56" w14:paraId="75BCFC9C" w14:textId="77777777" w:rsidTr="0013103D">
        <w:trPr>
          <w:cantSplit/>
          <w:jc w:val="center"/>
        </w:trPr>
        <w:tc>
          <w:tcPr>
            <w:tcW w:w="656" w:type="pct"/>
            <w:tcMar>
              <w:top w:w="80" w:type="dxa"/>
              <w:left w:w="100" w:type="dxa"/>
              <w:bottom w:w="80" w:type="dxa"/>
              <w:right w:w="100" w:type="dxa"/>
            </w:tcMar>
            <w:vAlign w:val="center"/>
          </w:tcPr>
          <w:p w14:paraId="14F9336A" w14:textId="77777777" w:rsidR="005C7368" w:rsidRPr="00B06F56" w:rsidRDefault="00000000">
            <w:pPr>
              <w:pStyle w:val="TableText"/>
              <w:jc w:val="center"/>
            </w:pPr>
            <w:r w:rsidRPr="00B06F56">
              <w:t>Comprehensive outpatient review</w:t>
            </w:r>
          </w:p>
        </w:tc>
        <w:tc>
          <w:tcPr>
            <w:tcW w:w="765" w:type="pct"/>
            <w:tcMar>
              <w:top w:w="80" w:type="dxa"/>
              <w:left w:w="100" w:type="dxa"/>
              <w:bottom w:w="80" w:type="dxa"/>
              <w:right w:w="100" w:type="dxa"/>
            </w:tcMar>
            <w:vAlign w:val="center"/>
          </w:tcPr>
          <w:p w14:paraId="37362A3F" w14:textId="77777777" w:rsidR="005C7368" w:rsidRPr="00B06F56" w:rsidRDefault="00000000">
            <w:pPr>
              <w:pStyle w:val="TableText"/>
            </w:pPr>
            <w:r w:rsidRPr="00B06F56">
              <w:t>Geriatric outpatient care</w:t>
            </w:r>
          </w:p>
        </w:tc>
        <w:tc>
          <w:tcPr>
            <w:tcW w:w="874" w:type="pct"/>
            <w:tcMar>
              <w:top w:w="80" w:type="dxa"/>
              <w:left w:w="100" w:type="dxa"/>
              <w:bottom w:w="80" w:type="dxa"/>
              <w:right w:w="100" w:type="dxa"/>
            </w:tcMar>
            <w:vAlign w:val="center"/>
          </w:tcPr>
          <w:p w14:paraId="33FF8A54" w14:textId="77777777" w:rsidR="005C7368" w:rsidRPr="00B06F56" w:rsidRDefault="00000000">
            <w:pPr>
              <w:pStyle w:val="TableText"/>
            </w:pPr>
            <w:r w:rsidRPr="00B06F56">
              <w:t>Reduced medicine number</w:t>
            </w:r>
          </w:p>
        </w:tc>
        <w:tc>
          <w:tcPr>
            <w:tcW w:w="902" w:type="pct"/>
            <w:tcMar>
              <w:top w:w="80" w:type="dxa"/>
              <w:left w:w="100" w:type="dxa"/>
              <w:bottom w:w="80" w:type="dxa"/>
              <w:right w:w="100" w:type="dxa"/>
            </w:tcMar>
            <w:vAlign w:val="center"/>
          </w:tcPr>
          <w:p w14:paraId="6D6A9161" w14:textId="77777777" w:rsidR="005C7368" w:rsidRPr="00B06F56" w:rsidRDefault="00000000">
            <w:pPr>
              <w:pStyle w:val="TableText"/>
            </w:pPr>
            <w:r w:rsidRPr="00B06F56">
              <w:t>Short-term HRQoL improvement; no sustained difference or admission reduction</w:t>
            </w:r>
          </w:p>
        </w:tc>
        <w:tc>
          <w:tcPr>
            <w:tcW w:w="1011" w:type="pct"/>
            <w:tcMar>
              <w:top w:w="80" w:type="dxa"/>
              <w:left w:w="100" w:type="dxa"/>
              <w:bottom w:w="80" w:type="dxa"/>
              <w:right w:w="100" w:type="dxa"/>
            </w:tcMar>
            <w:vAlign w:val="center"/>
          </w:tcPr>
          <w:p w14:paraId="2C58206A" w14:textId="77777777" w:rsidR="005C7368" w:rsidRPr="00B06F56" w:rsidRDefault="00000000">
            <w:pPr>
              <w:pStyle w:val="TableText"/>
            </w:pPr>
            <w:r w:rsidRPr="00B06F56">
              <w:t>Benefits may be transient and require ongoing optimisation</w:t>
            </w:r>
          </w:p>
        </w:tc>
        <w:tc>
          <w:tcPr>
            <w:tcW w:w="792" w:type="pct"/>
            <w:tcMar>
              <w:top w:w="80" w:type="dxa"/>
              <w:left w:w="100" w:type="dxa"/>
              <w:bottom w:w="80" w:type="dxa"/>
              <w:right w:w="100" w:type="dxa"/>
            </w:tcMar>
            <w:vAlign w:val="center"/>
          </w:tcPr>
          <w:p w14:paraId="4BE044D2" w14:textId="77777777" w:rsidR="005C7368" w:rsidRPr="00B06F56" w:rsidRDefault="00000000">
            <w:pPr>
              <w:pStyle w:val="TableText"/>
            </w:pPr>
            <w:r w:rsidRPr="00B06F56">
              <w:t>Kornholt et al. (2022)</w:t>
            </w:r>
          </w:p>
        </w:tc>
      </w:tr>
      <w:tr w:rsidR="00B06F56" w:rsidRPr="00B06F56" w14:paraId="43162E28" w14:textId="77777777" w:rsidTr="0013103D">
        <w:trPr>
          <w:cantSplit/>
          <w:jc w:val="center"/>
        </w:trPr>
        <w:tc>
          <w:tcPr>
            <w:tcW w:w="656" w:type="pct"/>
            <w:tcMar>
              <w:top w:w="80" w:type="dxa"/>
              <w:left w:w="100" w:type="dxa"/>
              <w:bottom w:w="80" w:type="dxa"/>
              <w:right w:w="100" w:type="dxa"/>
            </w:tcMar>
            <w:vAlign w:val="center"/>
          </w:tcPr>
          <w:p w14:paraId="6E33E215" w14:textId="77777777" w:rsidR="005C7368" w:rsidRPr="00B06F56" w:rsidRDefault="00000000">
            <w:pPr>
              <w:pStyle w:val="TableText"/>
              <w:jc w:val="center"/>
            </w:pPr>
            <w:r w:rsidRPr="00B06F56">
              <w:t>Systematic review of deprescribing RCTs</w:t>
            </w:r>
          </w:p>
        </w:tc>
        <w:tc>
          <w:tcPr>
            <w:tcW w:w="765" w:type="pct"/>
            <w:tcMar>
              <w:top w:w="80" w:type="dxa"/>
              <w:left w:w="100" w:type="dxa"/>
              <w:bottom w:w="80" w:type="dxa"/>
              <w:right w:w="100" w:type="dxa"/>
            </w:tcMar>
            <w:vAlign w:val="center"/>
          </w:tcPr>
          <w:p w14:paraId="577531BE" w14:textId="77777777" w:rsidR="005C7368" w:rsidRPr="00B06F56" w:rsidRDefault="00000000">
            <w:pPr>
              <w:pStyle w:val="TableText"/>
            </w:pPr>
            <w:r w:rsidRPr="00B06F56">
              <w:t>Multiple settings</w:t>
            </w:r>
          </w:p>
        </w:tc>
        <w:tc>
          <w:tcPr>
            <w:tcW w:w="874" w:type="pct"/>
            <w:tcMar>
              <w:top w:w="80" w:type="dxa"/>
              <w:left w:w="100" w:type="dxa"/>
              <w:bottom w:w="80" w:type="dxa"/>
              <w:right w:w="100" w:type="dxa"/>
            </w:tcMar>
            <w:vAlign w:val="center"/>
          </w:tcPr>
          <w:p w14:paraId="46023870" w14:textId="77777777" w:rsidR="005C7368" w:rsidRPr="00B06F56" w:rsidRDefault="00000000">
            <w:pPr>
              <w:pStyle w:val="TableText"/>
            </w:pPr>
            <w:r w:rsidRPr="00B06F56">
              <w:t>Most studies reduced drugs/doses</w:t>
            </w:r>
          </w:p>
        </w:tc>
        <w:tc>
          <w:tcPr>
            <w:tcW w:w="902" w:type="pct"/>
            <w:tcMar>
              <w:top w:w="80" w:type="dxa"/>
              <w:left w:w="100" w:type="dxa"/>
              <w:bottom w:w="80" w:type="dxa"/>
              <w:right w:w="100" w:type="dxa"/>
            </w:tcMar>
            <w:vAlign w:val="center"/>
          </w:tcPr>
          <w:p w14:paraId="5E3C0889" w14:textId="77777777" w:rsidR="005C7368" w:rsidRPr="00B06F56" w:rsidRDefault="00000000">
            <w:pPr>
              <w:pStyle w:val="TableText"/>
            </w:pPr>
            <w:r w:rsidRPr="00B06F56">
              <w:t>Some HRQoL, cost and hospitalisation benefits; marked heterogeneity</w:t>
            </w:r>
          </w:p>
        </w:tc>
        <w:tc>
          <w:tcPr>
            <w:tcW w:w="1011" w:type="pct"/>
            <w:tcMar>
              <w:top w:w="80" w:type="dxa"/>
              <w:left w:w="100" w:type="dxa"/>
              <w:bottom w:w="80" w:type="dxa"/>
              <w:right w:w="100" w:type="dxa"/>
            </w:tcMar>
            <w:vAlign w:val="center"/>
          </w:tcPr>
          <w:p w14:paraId="40206688" w14:textId="77777777" w:rsidR="005C7368" w:rsidRPr="00B06F56" w:rsidRDefault="00000000">
            <w:pPr>
              <w:pStyle w:val="TableText"/>
            </w:pPr>
            <w:r w:rsidRPr="00B06F56">
              <w:t>Patient-centred components may be important but evidence is not uniform</w:t>
            </w:r>
          </w:p>
        </w:tc>
        <w:tc>
          <w:tcPr>
            <w:tcW w:w="792" w:type="pct"/>
            <w:tcMar>
              <w:top w:w="80" w:type="dxa"/>
              <w:left w:w="100" w:type="dxa"/>
              <w:bottom w:w="80" w:type="dxa"/>
              <w:right w:w="100" w:type="dxa"/>
            </w:tcMar>
            <w:vAlign w:val="center"/>
          </w:tcPr>
          <w:p w14:paraId="360A456D" w14:textId="77777777" w:rsidR="005C7368" w:rsidRPr="00B06F56" w:rsidRDefault="00000000">
            <w:pPr>
              <w:pStyle w:val="TableText"/>
            </w:pPr>
            <w:r w:rsidRPr="00B06F56">
              <w:t>Omuya et al. (2023)</w:t>
            </w:r>
          </w:p>
        </w:tc>
      </w:tr>
      <w:tr w:rsidR="00B06F56" w:rsidRPr="00B06F56" w14:paraId="55B5355B" w14:textId="77777777" w:rsidTr="0013103D">
        <w:trPr>
          <w:cantSplit/>
          <w:jc w:val="center"/>
        </w:trPr>
        <w:tc>
          <w:tcPr>
            <w:tcW w:w="656" w:type="pct"/>
            <w:tcMar>
              <w:top w:w="80" w:type="dxa"/>
              <w:left w:w="100" w:type="dxa"/>
              <w:bottom w:w="80" w:type="dxa"/>
              <w:right w:w="100" w:type="dxa"/>
            </w:tcMar>
            <w:vAlign w:val="center"/>
          </w:tcPr>
          <w:p w14:paraId="44F579EA" w14:textId="77777777" w:rsidR="005C7368" w:rsidRPr="00B06F56" w:rsidRDefault="00000000">
            <w:pPr>
              <w:pStyle w:val="TableText"/>
              <w:jc w:val="center"/>
            </w:pPr>
            <w:r w:rsidRPr="00B06F56">
              <w:t>Inpatient meta-analysis</w:t>
            </w:r>
          </w:p>
        </w:tc>
        <w:tc>
          <w:tcPr>
            <w:tcW w:w="765" w:type="pct"/>
            <w:tcMar>
              <w:top w:w="80" w:type="dxa"/>
              <w:left w:w="100" w:type="dxa"/>
              <w:bottom w:w="80" w:type="dxa"/>
              <w:right w:w="100" w:type="dxa"/>
            </w:tcMar>
            <w:vAlign w:val="center"/>
          </w:tcPr>
          <w:p w14:paraId="1852E77E" w14:textId="77777777" w:rsidR="005C7368" w:rsidRPr="00B06F56" w:rsidRDefault="00000000">
            <w:pPr>
              <w:pStyle w:val="TableText"/>
            </w:pPr>
            <w:r w:rsidRPr="00B06F56">
              <w:t>Hospital</w:t>
            </w:r>
          </w:p>
        </w:tc>
        <w:tc>
          <w:tcPr>
            <w:tcW w:w="874" w:type="pct"/>
            <w:tcMar>
              <w:top w:w="80" w:type="dxa"/>
              <w:left w:w="100" w:type="dxa"/>
              <w:bottom w:w="80" w:type="dxa"/>
              <w:right w:w="100" w:type="dxa"/>
            </w:tcMar>
            <w:vAlign w:val="center"/>
          </w:tcPr>
          <w:p w14:paraId="3F878C50" w14:textId="77777777" w:rsidR="005C7368" w:rsidRPr="00B06F56" w:rsidRDefault="00000000">
            <w:pPr>
              <w:pStyle w:val="TableText"/>
            </w:pPr>
            <w:r w:rsidRPr="00B06F56">
              <w:t>Medication review and deprescribing</w:t>
            </w:r>
          </w:p>
        </w:tc>
        <w:tc>
          <w:tcPr>
            <w:tcW w:w="902" w:type="pct"/>
            <w:tcMar>
              <w:top w:w="80" w:type="dxa"/>
              <w:left w:w="100" w:type="dxa"/>
              <w:bottom w:w="80" w:type="dxa"/>
              <w:right w:w="100" w:type="dxa"/>
            </w:tcMar>
            <w:vAlign w:val="center"/>
          </w:tcPr>
          <w:p w14:paraId="4E1EB41A" w14:textId="77777777" w:rsidR="005C7368" w:rsidRPr="00B06F56" w:rsidRDefault="00000000">
            <w:pPr>
              <w:pStyle w:val="TableText"/>
            </w:pPr>
            <w:r w:rsidRPr="00B06F56">
              <w:t>Small readmission reduction; no clear mortality effect; high risk of bias common</w:t>
            </w:r>
          </w:p>
        </w:tc>
        <w:tc>
          <w:tcPr>
            <w:tcW w:w="1011" w:type="pct"/>
            <w:tcMar>
              <w:top w:w="80" w:type="dxa"/>
              <w:left w:w="100" w:type="dxa"/>
              <w:bottom w:w="80" w:type="dxa"/>
              <w:right w:w="100" w:type="dxa"/>
            </w:tcMar>
            <w:vAlign w:val="center"/>
          </w:tcPr>
          <w:p w14:paraId="0AF01786" w14:textId="77777777" w:rsidR="005C7368" w:rsidRPr="00B06F56" w:rsidRDefault="00000000">
            <w:pPr>
              <w:pStyle w:val="TableText"/>
            </w:pPr>
            <w:r w:rsidRPr="00B06F56">
              <w:t>Suggestive but low-certainty evidence for readmission benefit</w:t>
            </w:r>
          </w:p>
        </w:tc>
        <w:tc>
          <w:tcPr>
            <w:tcW w:w="792" w:type="pct"/>
            <w:tcMar>
              <w:top w:w="80" w:type="dxa"/>
              <w:left w:w="100" w:type="dxa"/>
              <w:bottom w:w="80" w:type="dxa"/>
              <w:right w:w="100" w:type="dxa"/>
            </w:tcMar>
            <w:vAlign w:val="center"/>
          </w:tcPr>
          <w:p w14:paraId="37C32D7F" w14:textId="77777777" w:rsidR="005C7368" w:rsidRPr="00B06F56" w:rsidRDefault="00000000">
            <w:pPr>
              <w:pStyle w:val="TableText"/>
            </w:pPr>
            <w:r w:rsidRPr="00B06F56">
              <w:t>Carollo et al. (2024)</w:t>
            </w:r>
          </w:p>
        </w:tc>
      </w:tr>
      <w:tr w:rsidR="00B06F56" w:rsidRPr="00B06F56" w14:paraId="2EC533D8" w14:textId="77777777" w:rsidTr="0013103D">
        <w:trPr>
          <w:cantSplit/>
          <w:jc w:val="center"/>
        </w:trPr>
        <w:tc>
          <w:tcPr>
            <w:tcW w:w="656" w:type="pct"/>
            <w:tcMar>
              <w:top w:w="80" w:type="dxa"/>
              <w:left w:w="100" w:type="dxa"/>
              <w:bottom w:w="80" w:type="dxa"/>
              <w:right w:w="100" w:type="dxa"/>
            </w:tcMar>
            <w:vAlign w:val="center"/>
          </w:tcPr>
          <w:p w14:paraId="23CCC432" w14:textId="77777777" w:rsidR="005C7368" w:rsidRPr="00B06F56" w:rsidRDefault="00000000">
            <w:pPr>
              <w:pStyle w:val="TableText"/>
              <w:jc w:val="center"/>
            </w:pPr>
            <w:r w:rsidRPr="00B06F56">
              <w:t>Long-term-care meta-analysis</w:t>
            </w:r>
          </w:p>
        </w:tc>
        <w:tc>
          <w:tcPr>
            <w:tcW w:w="765" w:type="pct"/>
            <w:tcMar>
              <w:top w:w="80" w:type="dxa"/>
              <w:left w:w="100" w:type="dxa"/>
              <w:bottom w:w="80" w:type="dxa"/>
              <w:right w:w="100" w:type="dxa"/>
            </w:tcMar>
            <w:vAlign w:val="center"/>
          </w:tcPr>
          <w:p w14:paraId="018F675E" w14:textId="77777777" w:rsidR="005C7368" w:rsidRPr="00B06F56" w:rsidRDefault="00000000">
            <w:pPr>
              <w:pStyle w:val="TableText"/>
            </w:pPr>
            <w:r w:rsidRPr="00B06F56">
              <w:t>Long-term care facilities</w:t>
            </w:r>
          </w:p>
        </w:tc>
        <w:tc>
          <w:tcPr>
            <w:tcW w:w="874" w:type="pct"/>
            <w:tcMar>
              <w:top w:w="80" w:type="dxa"/>
              <w:left w:w="100" w:type="dxa"/>
              <w:bottom w:w="80" w:type="dxa"/>
              <w:right w:w="100" w:type="dxa"/>
            </w:tcMar>
            <w:vAlign w:val="center"/>
          </w:tcPr>
          <w:p w14:paraId="757D3346" w14:textId="77777777" w:rsidR="005C7368" w:rsidRPr="00B06F56" w:rsidRDefault="00000000">
            <w:pPr>
              <w:pStyle w:val="TableText"/>
            </w:pPr>
            <w:r w:rsidRPr="00B06F56">
              <w:t>Reduced drug number and PIMs</w:t>
            </w:r>
          </w:p>
        </w:tc>
        <w:tc>
          <w:tcPr>
            <w:tcW w:w="902" w:type="pct"/>
            <w:tcMar>
              <w:top w:w="80" w:type="dxa"/>
              <w:left w:w="100" w:type="dxa"/>
              <w:bottom w:w="80" w:type="dxa"/>
              <w:right w:w="100" w:type="dxa"/>
            </w:tcMar>
            <w:vAlign w:val="center"/>
          </w:tcPr>
          <w:p w14:paraId="5F24F220" w14:textId="77777777" w:rsidR="005C7368" w:rsidRPr="00B06F56" w:rsidRDefault="00000000">
            <w:pPr>
              <w:pStyle w:val="TableText"/>
            </w:pPr>
            <w:r w:rsidRPr="00B06F56">
              <w:t>No significant hospitalisation, fall or mortality benefit</w:t>
            </w:r>
          </w:p>
        </w:tc>
        <w:tc>
          <w:tcPr>
            <w:tcW w:w="1011" w:type="pct"/>
            <w:tcMar>
              <w:top w:w="80" w:type="dxa"/>
              <w:left w:w="100" w:type="dxa"/>
              <w:bottom w:w="80" w:type="dxa"/>
              <w:right w:w="100" w:type="dxa"/>
            </w:tcMar>
            <w:vAlign w:val="center"/>
          </w:tcPr>
          <w:p w14:paraId="27699802" w14:textId="77777777" w:rsidR="005C7368" w:rsidRPr="00B06F56" w:rsidRDefault="00000000">
            <w:pPr>
              <w:pStyle w:val="TableText"/>
            </w:pPr>
            <w:r w:rsidRPr="00B06F56">
              <w:t>Process improvement is more consistent than clinical-event reduction</w:t>
            </w:r>
          </w:p>
        </w:tc>
        <w:tc>
          <w:tcPr>
            <w:tcW w:w="792" w:type="pct"/>
            <w:tcMar>
              <w:top w:w="80" w:type="dxa"/>
              <w:left w:w="100" w:type="dxa"/>
              <w:bottom w:w="80" w:type="dxa"/>
              <w:right w:w="100" w:type="dxa"/>
            </w:tcMar>
            <w:vAlign w:val="center"/>
          </w:tcPr>
          <w:p w14:paraId="18F94B29" w14:textId="77777777" w:rsidR="005C7368" w:rsidRPr="00B06F56" w:rsidRDefault="00000000">
            <w:pPr>
              <w:pStyle w:val="TableText"/>
            </w:pPr>
            <w:r w:rsidRPr="00B06F56">
              <w:t>Carollo et al. (2026)</w:t>
            </w:r>
          </w:p>
        </w:tc>
      </w:tr>
      <w:tr w:rsidR="00B06F56" w:rsidRPr="00B06F56" w14:paraId="541BD7B8" w14:textId="77777777" w:rsidTr="0013103D">
        <w:trPr>
          <w:cantSplit/>
          <w:jc w:val="center"/>
        </w:trPr>
        <w:tc>
          <w:tcPr>
            <w:tcW w:w="656" w:type="pct"/>
            <w:tcMar>
              <w:top w:w="80" w:type="dxa"/>
              <w:left w:w="100" w:type="dxa"/>
              <w:bottom w:w="80" w:type="dxa"/>
              <w:right w:w="100" w:type="dxa"/>
            </w:tcMar>
            <w:vAlign w:val="center"/>
          </w:tcPr>
          <w:p w14:paraId="5E62B80A" w14:textId="77777777" w:rsidR="005C7368" w:rsidRPr="00B06F56" w:rsidRDefault="00000000">
            <w:pPr>
              <w:pStyle w:val="TableText"/>
              <w:jc w:val="center"/>
            </w:pPr>
            <w:r w:rsidRPr="00B06F56">
              <w:t>Umbrella review</w:t>
            </w:r>
          </w:p>
        </w:tc>
        <w:tc>
          <w:tcPr>
            <w:tcW w:w="765" w:type="pct"/>
            <w:tcMar>
              <w:top w:w="80" w:type="dxa"/>
              <w:left w:w="100" w:type="dxa"/>
              <w:bottom w:w="80" w:type="dxa"/>
              <w:right w:w="100" w:type="dxa"/>
            </w:tcMar>
            <w:vAlign w:val="center"/>
          </w:tcPr>
          <w:p w14:paraId="0C3B37EB" w14:textId="77777777" w:rsidR="005C7368" w:rsidRPr="00B06F56" w:rsidRDefault="00000000">
            <w:pPr>
              <w:pStyle w:val="TableText"/>
            </w:pPr>
            <w:r w:rsidRPr="00B06F56">
              <w:t>Across settings</w:t>
            </w:r>
          </w:p>
        </w:tc>
        <w:tc>
          <w:tcPr>
            <w:tcW w:w="874" w:type="pct"/>
            <w:tcMar>
              <w:top w:w="80" w:type="dxa"/>
              <w:left w:w="100" w:type="dxa"/>
              <w:bottom w:w="80" w:type="dxa"/>
              <w:right w:w="100" w:type="dxa"/>
            </w:tcMar>
            <w:vAlign w:val="center"/>
          </w:tcPr>
          <w:p w14:paraId="56DCF581" w14:textId="77777777" w:rsidR="005C7368" w:rsidRPr="00B06F56" w:rsidRDefault="00000000">
            <w:pPr>
              <w:pStyle w:val="TableText"/>
            </w:pPr>
            <w:r w:rsidRPr="00B06F56">
              <w:t>Varied medication-management interventions</w:t>
            </w:r>
          </w:p>
        </w:tc>
        <w:tc>
          <w:tcPr>
            <w:tcW w:w="902" w:type="pct"/>
            <w:tcMar>
              <w:top w:w="80" w:type="dxa"/>
              <w:left w:w="100" w:type="dxa"/>
              <w:bottom w:w="80" w:type="dxa"/>
              <w:right w:w="100" w:type="dxa"/>
            </w:tcMar>
            <w:vAlign w:val="center"/>
          </w:tcPr>
          <w:p w14:paraId="75C34C79" w14:textId="77777777" w:rsidR="005C7368" w:rsidRPr="00B06F56" w:rsidRDefault="00000000">
            <w:pPr>
              <w:pStyle w:val="TableText"/>
            </w:pPr>
            <w:r w:rsidRPr="00B06F56">
              <w:t>Hospitalisation signals strongest for behavioural/mixed community interventions; overall certainty low</w:t>
            </w:r>
          </w:p>
        </w:tc>
        <w:tc>
          <w:tcPr>
            <w:tcW w:w="1011" w:type="pct"/>
            <w:tcMar>
              <w:top w:w="80" w:type="dxa"/>
              <w:left w:w="100" w:type="dxa"/>
              <w:bottom w:w="80" w:type="dxa"/>
              <w:right w:w="100" w:type="dxa"/>
            </w:tcMar>
            <w:vAlign w:val="center"/>
          </w:tcPr>
          <w:p w14:paraId="6059AC66" w14:textId="77777777" w:rsidR="005C7368" w:rsidRPr="00B06F56" w:rsidRDefault="00000000">
            <w:pPr>
              <w:pStyle w:val="TableText"/>
            </w:pPr>
            <w:r w:rsidRPr="00B06F56">
              <w:t>Setting and implementation model probably modify effectiveness</w:t>
            </w:r>
          </w:p>
        </w:tc>
        <w:tc>
          <w:tcPr>
            <w:tcW w:w="792" w:type="pct"/>
            <w:tcMar>
              <w:top w:w="80" w:type="dxa"/>
              <w:left w:w="100" w:type="dxa"/>
              <w:bottom w:w="80" w:type="dxa"/>
              <w:right w:w="100" w:type="dxa"/>
            </w:tcMar>
            <w:vAlign w:val="center"/>
          </w:tcPr>
          <w:p w14:paraId="6B37BB5D" w14:textId="77777777" w:rsidR="005C7368" w:rsidRPr="00B06F56" w:rsidRDefault="00000000">
            <w:pPr>
              <w:pStyle w:val="TableText"/>
            </w:pPr>
            <w:r w:rsidRPr="00B06F56">
              <w:t>Valz Gris et al. (2026)</w:t>
            </w:r>
          </w:p>
        </w:tc>
      </w:tr>
    </w:tbl>
    <w:p w14:paraId="4B2F8E47"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7A720ADD" w14:textId="77777777" w:rsidR="005C7368" w:rsidRPr="00B06F56" w:rsidRDefault="00000000">
      <w:pPr>
        <w:pStyle w:val="Heading1"/>
        <w:rPr>
          <w:color w:val="auto"/>
        </w:rPr>
      </w:pPr>
      <w:r w:rsidRPr="00B06F56">
        <w:rPr>
          <w:color w:val="auto"/>
        </w:rPr>
        <w:t>8. Implications for Geriatric Clinical Practice and Health Systems</w:t>
      </w:r>
    </w:p>
    <w:p w14:paraId="0417AEA9" w14:textId="77777777" w:rsidR="005C7368" w:rsidRPr="00B06F56" w:rsidRDefault="00000000">
      <w:pPr>
        <w:ind w:firstLine="288"/>
        <w:jc w:val="both"/>
      </w:pPr>
      <w:r w:rsidRPr="00B06F56">
        <w:t>The evidence supports using polypharmacy as a trigger for structured assessment, not as an automatic diagnosis of poor care. A patient taking five or ten medicines should prompt review of indication, expected time to benefit, adverse effects, interactions, renal and hepatic function, adherence, administration burden and patient goals. The threshold is therefore operational rather than therapeutic. Numerical deprescribing targets risk removing effective treatment, encouraging superficial medicine-count reduction and ignoring high-risk medicines in patients below the threshold.</w:t>
      </w:r>
    </w:p>
    <w:p w14:paraId="1B942BF0" w14:textId="77777777" w:rsidR="005C7368" w:rsidRPr="00B06F56" w:rsidRDefault="00000000">
      <w:pPr>
        <w:ind w:firstLine="288"/>
        <w:jc w:val="both"/>
      </w:pPr>
      <w:r w:rsidRPr="00B06F56">
        <w:t>Risk stratification should prioritise the intersection of high medication burden with vulnerability. Impaired cognition, renal dysfunction, dependent living, frailty, falls, recent hospitalisation, multiple prescribers and non-adherence all increase the likelihood that a complex regimen becomes unsafe (Leendertse et al., 2008). Patients with these characteristics are more plausible candidates for intensive, repeated review than a robust older adult whose multidrug regimen is stable, well understood and symptomatically beneficial. This targeted approach is also more efficient for health systems than universal comprehensive review of all people crossing an arbitrary count threshold.</w:t>
      </w:r>
    </w:p>
    <w:p w14:paraId="1E6665EA" w14:textId="77777777" w:rsidR="005C7368" w:rsidRPr="00B06F56" w:rsidRDefault="00000000">
      <w:pPr>
        <w:ind w:firstLine="288"/>
        <w:jc w:val="both"/>
      </w:pPr>
      <w:r w:rsidRPr="00B06F56">
        <w:t xml:space="preserve">Medication reconciliation at transitions of care should be treated as a safety intervention rather than clerical documentation. Admission and discharge are periods when temporary medicines, changed doses and </w:t>
      </w:r>
      <w:r w:rsidRPr="00B06F56">
        <w:lastRenderedPageBreak/>
        <w:t>discontinued treatments can be miscommunicated. A useful reconciliation process identifies what the patient was actually taking, why each medicine is being used, what changed during admission, which changes are intended to persist and who will monitor them. Structured review is particularly important when the discharge list is longer than the pre-admission list or when high-risk classes have been added.</w:t>
      </w:r>
    </w:p>
    <w:p w14:paraId="59607FAC" w14:textId="77777777" w:rsidR="005C7368" w:rsidRPr="00B06F56" w:rsidRDefault="00000000">
      <w:pPr>
        <w:ind w:firstLine="288"/>
        <w:jc w:val="both"/>
      </w:pPr>
      <w:r w:rsidRPr="00B06F56">
        <w:t>Explicit criteria can improve consistency but require clinical contextualisation. STOPP/START and Beers criteria are valuable for identifying recurrent prescribing problems, yet neither can encode every competing goal or prior treatment history (American Geriatrics Society Beers Criteria Update Expert Panel, 2023; O'Mahony et al., 2023). A potentially inappropriate medicine may remain justified after shared decision-making, while a medicine not listed by any criterion may still be burdensome or futile for a particular patient. Documentation of rationale is therefore as important as criterion adherence.</w:t>
      </w:r>
    </w:p>
    <w:p w14:paraId="660ED621" w14:textId="77777777" w:rsidR="005C7368" w:rsidRPr="00B06F56" w:rsidRDefault="00000000">
      <w:pPr>
        <w:ind w:firstLine="288"/>
        <w:jc w:val="both"/>
      </w:pPr>
      <w:r w:rsidRPr="00B06F56">
        <w:t>Patient goals should shape outcome selection as well as treatment choice. HRQoL evidence shows that function, mood and social risk can outweigh medicine count in explaining how older adults perceive health (Montiel-Luque et al., 2017). Medication review should therefore ask what the patient wants to preserve or improve: walking without dizziness, sleeping without daytime sedation, controlling pain, reducing dosing complexity, avoiding hospitalisation or maintaining cognition. These goals can reveal medication problems that generic appropriateness screens miss.</w:t>
      </w:r>
    </w:p>
    <w:p w14:paraId="6239985D" w14:textId="77777777" w:rsidR="005C7368" w:rsidRPr="00B06F56" w:rsidRDefault="00000000">
      <w:pPr>
        <w:ind w:firstLine="288"/>
        <w:jc w:val="both"/>
      </w:pPr>
      <w:r w:rsidRPr="00B06F56">
        <w:t>Health systems should avoid incentives that equate lower medicine counts with better quality. More defensible indicators include documented medication review after major transitions, resolution of duplicate or non-indicated therapy, reduction of high-risk burden where appropriate, implementation of prescribing omissions when beneficial, and patient-reported treatment burden. The evidence from OPERAM and other trials shows why process metrics should not be overinterpreted as guaranteed clinical benefit, but process quality remains necessary for reducing preventable medication harm (Blum et al., 2021).</w:t>
      </w:r>
    </w:p>
    <w:p w14:paraId="56970299" w14:textId="77777777" w:rsidR="005C7368" w:rsidRPr="00B06F56" w:rsidRDefault="00000000">
      <w:pPr>
        <w:ind w:firstLine="288"/>
        <w:jc w:val="both"/>
      </w:pPr>
      <w:r w:rsidRPr="00B06F56">
        <w:t>The intervention literature also argues for continuity. A one-off medication review can be undone by subsequent disease progression, specialist prescribing, acute illness or patient preference. Persistent polypharmacy is common (Wastesson et al., 2019), and short-term HRQoL gains can fade (Kornholt et al., 2022). Medication optimisation is therefore better conceptualised as longitudinal stewardship: repeated reassessment at clinically meaningful points rather than a single deprescribing event.</w:t>
      </w:r>
    </w:p>
    <w:p w14:paraId="7A4B871D" w14:textId="77777777" w:rsidR="005C7368" w:rsidRPr="00B06F56" w:rsidRDefault="00000000">
      <w:pPr>
        <w:ind w:firstLine="288"/>
        <w:jc w:val="both"/>
      </w:pPr>
      <w:r w:rsidRPr="00B06F56">
        <w:t>Deprescribing decisions also require explicit management of therapeutic trade-offs. Stopping a medicine is an intervention with potential benefits and harms, not the simple removal of an exposure. Withdrawal phenomena, recurrence of symptoms and loss of disease control need to be anticipated, while time to benefit should be considered for preventive therapy in the context of prognosis and patient priorities. Scott et al. (2015) proposed a structured process that begins with medication reconciliation and identification of potentially inappropriate therapy, then prioritises withdrawal and monitoring. That logic remains useful because it makes follow-up part of deprescribing rather than an afterthought. The absence of a universal hospitalisation benefit in large trials further supports cautious, reversible changes with clear monitoring rather than aggressive count reduction (Blum et al., 2021).</w:t>
      </w:r>
    </w:p>
    <w:p w14:paraId="3E8B5414" w14:textId="77777777" w:rsidR="005C7368" w:rsidRPr="00B06F56" w:rsidRDefault="00000000">
      <w:pPr>
        <w:ind w:firstLine="288"/>
        <w:jc w:val="both"/>
      </w:pPr>
      <w:r w:rsidRPr="00B06F56">
        <w:t xml:space="preserve">Caregiver and organisational capacity can determine whether an optimised regimen remains optimised. A simplified plan may fail if different specialists reintroduce medicines without access to the deprescribing rationale, while a complex but necessary regimen may remain safe when a knowledgeable caregiver and coordinated pharmacy support are present. Clinical records should therefore preserve the indication, intended duration and reason for discontinuation or continuation of high-risk medicines. This is particularly important after hospital discharge, when responsibility can shift rapidly between inpatient teams, primary care, community pharmacy, home care and family members. Medication stewardship is consequently a system </w:t>
      </w:r>
      <w:r w:rsidRPr="00B06F56">
        <w:lastRenderedPageBreak/>
        <w:t>property as well as an individual prescribing task; durable benefit depends on communication and accountability across settings, not solely on the quality of one review.</w:t>
      </w:r>
    </w:p>
    <w:p w14:paraId="02255684" w14:textId="77777777" w:rsidR="005C7368" w:rsidRPr="00B06F56" w:rsidRDefault="00000000">
      <w:pPr>
        <w:ind w:firstLine="288"/>
        <w:jc w:val="both"/>
      </w:pPr>
      <w:r w:rsidRPr="00B06F56">
        <w:t>Finally, hospitalisation and HRQoL should be considered together when evaluating care. Preventing an admission at the cost of undertreated symptoms is not necessarily a success, and improving a utility score without reducing dangerous adverse reactions is incomplete. A balanced geriatric medication strategy seeks fewer preventable harms, lower treatment burden and preservation of the benefits that justified treatment in the first place.</w:t>
      </w:r>
    </w:p>
    <w:p w14:paraId="6D74B1DC" w14:textId="77777777" w:rsidR="005C7368" w:rsidRPr="00B06F56" w:rsidRDefault="00000000">
      <w:pPr>
        <w:pStyle w:val="Heading1"/>
        <w:rPr>
          <w:color w:val="auto"/>
        </w:rPr>
      </w:pPr>
      <w:r w:rsidRPr="00B06F56">
        <w:rPr>
          <w:color w:val="auto"/>
        </w:rPr>
        <w:t>9. Future Directions</w:t>
      </w:r>
    </w:p>
    <w:p w14:paraId="30D82FB3" w14:textId="77777777" w:rsidR="005C7368" w:rsidRPr="00B06F56" w:rsidRDefault="00000000">
      <w:pPr>
        <w:ind w:firstLine="288"/>
        <w:jc w:val="both"/>
      </w:pPr>
      <w:r w:rsidRPr="00B06F56">
        <w:t>The first research priority is to replace static medicine counts with longitudinal exposure phenotypes. Studies should distinguish incident, transient, persistent and escalating polypharmacy, while recording dose, duration and therapeutic class. Wastesson et al. (2019) showed that newly incident and prevalent polypharmacy have different persistence patterns, and Aljeaidi et al. (2022) showed that HRQoL trajectories differ by exposure history. Future cohorts should therefore use repeated medication measurements and time-varying models rather than baseline-only categories. Linking these trajectories to dates of hospitalisation and repeated HRQoL assessment would clarify temporal sequence and reduce exposure misclassification.</w:t>
      </w:r>
    </w:p>
    <w:p w14:paraId="70AAAA49" w14:textId="77777777" w:rsidR="005C7368" w:rsidRPr="00B06F56" w:rsidRDefault="00000000">
      <w:pPr>
        <w:ind w:firstLine="288"/>
        <w:jc w:val="both"/>
      </w:pPr>
      <w:r w:rsidRPr="00B06F56">
        <w:t>Second, future studies need more rigorous control of confounding by indication and disease severity. Conventional adjustment for the number of diagnoses is insufficient because two patients with the same disease count can differ markedly in symptom burden, prognosis and treatment necessity. Designs should incorporate validated multimorbidity severity measures, frailty, functional status, prior healthcare use, symptom severity and relevant laboratory markers. Within-person designs, target-trial emulation and active-comparator approaches may reduce some between-person confounding. The effect modification reported by Payne et al. (2014) makes this methodological priority unavoidable.</w:t>
      </w:r>
    </w:p>
    <w:p w14:paraId="5E539E91" w14:textId="77777777" w:rsidR="005C7368" w:rsidRPr="00B06F56" w:rsidRDefault="00000000">
      <w:pPr>
        <w:ind w:firstLine="288"/>
        <w:jc w:val="both"/>
      </w:pPr>
      <w:r w:rsidRPr="00B06F56">
        <w:t>Third, research should treat problematic polypharmacy as a multidimensional exposure. Medication count, potentially inappropriate prescribing, prescribing omissions, anticholinergic and sedative burden, regimen complexity, pill burden, adherence difficulty and patient-perceived burden should be modelled together. The goal is not to construct a single opaque risk score but to determine which components independently predict drug-related admission or HRQoL decline and which are modifiable. Falke et al. (2024) and Vonderhaar et al. (2025) demonstrate the added information available when complexity and pill burden are measured directly.</w:t>
      </w:r>
    </w:p>
    <w:p w14:paraId="48F6F7D1" w14:textId="77777777" w:rsidR="005C7368" w:rsidRPr="00B06F56" w:rsidRDefault="00000000">
      <w:pPr>
        <w:ind w:firstLine="288"/>
        <w:jc w:val="both"/>
      </w:pPr>
      <w:r w:rsidRPr="00B06F56">
        <w:t>Fourth, hospital outcomes should be chosen with causal proximity in mind. All-cause hospitalisation is important to patients and health systems but is too heterogeneous to function as the sole test of a medication intervention. Trials should pre-specify drug-related admission, adverse-drug-event-related admission, emergency visits, readmission and all-cause admission separately, with blinded adjudication where feasible. The contrast between reduced adverse drug reactions in hospital trials and null drug-related admission results in OPERAM illustrates why endpoint architecture matters (Blum et al., 2021; O'Connor et al., 2016).</w:t>
      </w:r>
    </w:p>
    <w:p w14:paraId="458DF048" w14:textId="77777777" w:rsidR="005C7368" w:rsidRPr="00B06F56" w:rsidRDefault="00000000">
      <w:pPr>
        <w:ind w:firstLine="288"/>
        <w:jc w:val="both"/>
      </w:pPr>
      <w:r w:rsidRPr="00B06F56">
        <w:t xml:space="preserve">Fifth, HRQoL measurement needs greater sensitivity to treatment burden without losing comparability. Generic instruments such as EQ-5D remain valuable and have acceptable measurement properties in older multimorbid populations (Bhadhuri et al., 2020), but they should be paired with medication-burden or goal-attainment measures when the intervention explicitly targets treatment workload. Studies should avoid excluding cognitively impaired or frail participants by default; where self-report is not feasible, validated proxy approaches and sensitivity analyses are preferable to systematic removal of the highest-risk </w:t>
      </w:r>
      <w:r w:rsidRPr="00B06F56">
        <w:lastRenderedPageBreak/>
        <w:t>population. The feasibility problem observed by Jennings et al. (2022) should be treated as a measurement-design challenge, not merely a recruitment inconvenience.</w:t>
      </w:r>
    </w:p>
    <w:p w14:paraId="7147CE73" w14:textId="77777777" w:rsidR="005C7368" w:rsidRPr="00B06F56" w:rsidRDefault="00000000">
      <w:pPr>
        <w:ind w:firstLine="288"/>
        <w:jc w:val="both"/>
      </w:pPr>
      <w:r w:rsidRPr="00B06F56">
        <w:t>Sixth, intervention trials should be designed around sustained implementation rather than a single medication review. Effective models are likely to require repeated reassessment, clear responsibility for recommendations, communication across prescribers, patient involvement and follow-up after medicine changes. Implementation outcomes such as recommendation acceptance, persistence of deprescribing, re-initiation, adverse withdrawal events and reasons for non-implementation should be reported alongside clinical outcomes. The modest or inconsistent effects seen in large trials may partly reflect dilution between recommendation and durable exposure change (Blum et al., 2021; Valz Gris et al., 2026).</w:t>
      </w:r>
    </w:p>
    <w:p w14:paraId="6AC7F8E0" w14:textId="77777777" w:rsidR="005C7368" w:rsidRPr="00B06F56" w:rsidRDefault="00000000">
      <w:pPr>
        <w:ind w:firstLine="288"/>
        <w:jc w:val="both"/>
      </w:pPr>
      <w:r w:rsidRPr="00B06F56">
        <w:t>Seventh, trial eligibility should better represent real geriatric complexity. People with cognitive impairment, advanced frailty, sensory limitations or high caregiver dependence are frequently under-represented, yet these characteristics can increase both medication risk and potential benefit from simplification. Pragmatic studies in long-term care, home care and post-acute transitions are particularly important. The 2026 long-term-care meta-analysis found improved prescribing but no clear effect on hospitalisation or mortality, with substantial methodological limitations, leaving an important evidence gap for this high-risk population (Carollo et al., 2026).</w:t>
      </w:r>
    </w:p>
    <w:p w14:paraId="14A3A72F" w14:textId="77777777" w:rsidR="005C7368" w:rsidRPr="00B06F56" w:rsidRDefault="00000000">
      <w:pPr>
        <w:ind w:firstLine="288"/>
        <w:jc w:val="both"/>
      </w:pPr>
      <w:r w:rsidRPr="00B06F56">
        <w:t>Eighth, outcome sets should integrate patient-important and system-important endpoints. Rankin et al. (2018) identified serious adverse drug reactions, appropriateness, falls, regimen complexity, quality of life, mortality and side effects as core outcomes. Future trials should build on this framework while ensuring that hospitalisation is precisely defined and HRQoL is measured repeatedly. A consistent core would improve comparability across trials and reduce selective emphasis on whichever endpoint happens to show significance.</w:t>
      </w:r>
    </w:p>
    <w:p w14:paraId="655168A6" w14:textId="77777777" w:rsidR="005C7368" w:rsidRPr="00B06F56" w:rsidRDefault="00000000">
      <w:pPr>
        <w:ind w:firstLine="288"/>
        <w:jc w:val="both"/>
      </w:pPr>
      <w:r w:rsidRPr="00B06F56">
        <w:t>Ninth, intervention research should explicitly test heterogeneity of treatment effect. Polypharmacy is unlikely to be equally harmful in all older adults. Trials should be powered, where feasible, to examine whether benefits differ by frailty, baseline medication count, PIM burden, cognitive status, renal function, prior hospital use and treatment burden. Predictive enrichment may be especially useful: enrolling people with evidence of problematic polypharmacy rather than count-only polypharmacy should increase the chance that an intervention can alter outcomes.</w:t>
      </w:r>
    </w:p>
    <w:p w14:paraId="7F289971" w14:textId="77777777" w:rsidR="005C7368" w:rsidRPr="00B06F56" w:rsidRDefault="00000000">
      <w:pPr>
        <w:ind w:firstLine="288"/>
        <w:jc w:val="both"/>
      </w:pPr>
      <w:r w:rsidRPr="00B06F56">
        <w:t>Finally, future evidence should be interpreted according to a hierarchy of causal confidence. Reducing a validated high-risk exposure and observing fewer adverse drug reactions provides stronger medication-specific inference than observing a lower all-cause admission rate after an unblinded complex intervention. Conversely, lack of change in all-cause hospitalisation should not invalidate improvements in burden or HRQoL. Research programmes should state the hypothesised causal pathway before the trial and select endpoints at multiple points along that pathway. This would make null and positive findings more informative and help the field move from medicine-count reduction towards precision medication stewardship.</w:t>
      </w:r>
    </w:p>
    <w:p w14:paraId="53938EE4" w14:textId="77777777" w:rsidR="005C7368" w:rsidRPr="00B06F56" w:rsidRDefault="00000000">
      <w:pPr>
        <w:pStyle w:val="Heading1"/>
        <w:rPr>
          <w:color w:val="auto"/>
        </w:rPr>
      </w:pPr>
      <w:r w:rsidRPr="00B06F56">
        <w:rPr>
          <w:color w:val="auto"/>
        </w:rPr>
        <w:t>10. Conclusions</w:t>
      </w:r>
    </w:p>
    <w:p w14:paraId="5EDDB0FF" w14:textId="77777777" w:rsidR="005C7368" w:rsidRPr="00B06F56" w:rsidRDefault="00000000">
      <w:pPr>
        <w:ind w:firstLine="288"/>
        <w:jc w:val="both"/>
      </w:pPr>
      <w:r w:rsidRPr="00B06F56">
        <w:t xml:space="preserve">Polypharmacy is a common and clinically important feature of geriatric care, but medication count alone is not an adequate measure of treatment quality. The evidence most strongly supports polypharmacy as a marker of vulnerability and treatment complexity, with higher medication burden consistently associated with hospital use and generally associated with poorer physical or global health-related quality of life. These associations are partly causal through adverse drug reactions, interactions, pharmacological burden, regimen </w:t>
      </w:r>
      <w:r w:rsidRPr="00B06F56">
        <w:lastRenderedPageBreak/>
        <w:t>complexity and preventable prescribing problems, but they are also substantially shaped by multimorbidity, frailty, functional impairment and treatment indication.</w:t>
      </w:r>
    </w:p>
    <w:p w14:paraId="79DBFD40" w14:textId="77777777" w:rsidR="005C7368" w:rsidRPr="00B06F56" w:rsidRDefault="00000000">
      <w:pPr>
        <w:ind w:firstLine="288"/>
        <w:jc w:val="both"/>
      </w:pPr>
      <w:r w:rsidRPr="00B06F56">
        <w:t>Hospitalisation evidence is strongest for medication-proximal outcomes such as adverse drug events and potentially preventable drug-related admissions. Associations with all-cause hospitalisation are robust at population level but cannot be assumed to represent the effect of medicines themselves. HRQoL evidence similarly indicates that hyperpolypharmacy, persistent exposure and treatment burden can be detrimental, while function, mood, sarcopenia, social vulnerability and disease burden often exert larger effects. The most clinically useful construct is therefore problematic polypharmacy rather than polypharmacy per se.</w:t>
      </w:r>
    </w:p>
    <w:p w14:paraId="078F7F8F" w14:textId="77777777" w:rsidR="005C7368" w:rsidRPr="00B06F56" w:rsidRDefault="00000000">
      <w:pPr>
        <w:ind w:firstLine="288"/>
        <w:jc w:val="both"/>
      </w:pPr>
      <w:r w:rsidRPr="00B06F56">
        <w:t>Medication review and deprescribing reliably improve prescribing process measures and can reduce selected adverse drug reactions. Their effects on hospital admission and generic HRQoL are smaller, heterogeneous and sometimes transient. These findings support repeated, patient-centred medication stewardship focused on indication, benefit-harm balance, regimen burden, prescribing omissions, high-risk medicines and individual goals rather than numerical deprescribing targets. The field will advance most effectively through longitudinal exposure measurement, stronger control of confounding, representative geriatric populations and trials that combine medication-proximal harms with hospital and patient-reported outcomes.</w:t>
      </w:r>
    </w:p>
    <w:p w14:paraId="271D3571" w14:textId="77777777" w:rsidR="005C7368" w:rsidRPr="00B06F56" w:rsidRDefault="00000000">
      <w:pPr>
        <w:pStyle w:val="Heading1"/>
        <w:rPr>
          <w:color w:val="auto"/>
        </w:rPr>
      </w:pPr>
      <w:r w:rsidRPr="00B06F56">
        <w:rPr>
          <w:color w:val="auto"/>
        </w:rPr>
        <w:t>11. Limitations</w:t>
      </w:r>
    </w:p>
    <w:p w14:paraId="2697F523" w14:textId="77777777" w:rsidR="005C7368" w:rsidRPr="00B06F56" w:rsidRDefault="00000000">
      <w:pPr>
        <w:ind w:firstLine="288"/>
        <w:jc w:val="both"/>
      </w:pPr>
      <w:r w:rsidRPr="00B06F56">
        <w:t>This review has the intrinsic limitations of a critical narrative review. Although the search and appraisal approach was explicit and the evidence was examined across multiple scholarly sources, study selection and interpretation remain susceptible to reviewer judgement and selection bias, and the review was not designed to provide exhaustive record counts or a pooled effect estimate. The breadth of the question also required synthesis across heterogeneous definitions of polypharmacy, different healthcare settings and diverse outcome measures, which limits direct comparability between studies.</w:t>
      </w:r>
    </w:p>
    <w:p w14:paraId="2EA40553" w14:textId="77777777" w:rsidR="005C7368" w:rsidRDefault="00000000">
      <w:pPr>
        <w:ind w:firstLine="288"/>
        <w:jc w:val="both"/>
      </w:pPr>
      <w:r w:rsidRPr="00B06F56">
        <w:t>The accessible literature is dominated by observational research, so residual confounding by multimorbidity, disease severity and treatment indication cannot be eliminated. Randomised trials improve causal inference but vary in intervention intensity, implementation fidelity, follow-up and outcome definitions, and many are not powered for hospitalisation or durable quality-of-life effects. English-language evidence predominated, which may under-represent some regional research. Hospitalisation definitions ranged from all-cause to drug-related admission and readmission, while HRQoL instruments differed in domains and responsiveness. These limitations precluded quantitative synthesis and require caution when generalising effect sizes across populations or care systems.</w:t>
      </w:r>
    </w:p>
    <w:p w14:paraId="656D112C" w14:textId="77777777" w:rsidR="0013103D" w:rsidRDefault="0013103D">
      <w:pPr>
        <w:ind w:firstLine="288"/>
        <w:jc w:val="both"/>
      </w:pPr>
    </w:p>
    <w:p w14:paraId="2438C4E4" w14:textId="77777777" w:rsidR="0013103D" w:rsidRPr="0013103D" w:rsidRDefault="0013103D" w:rsidP="0013103D">
      <w:pPr>
        <w:spacing w:after="0" w:line="240" w:lineRule="auto"/>
        <w:rPr>
          <w:rFonts w:ascii="Arial" w:eastAsia="Calibri" w:hAnsi="Arial" w:cs="Arial"/>
          <w:b/>
          <w:sz w:val="20"/>
          <w:szCs w:val="20"/>
        </w:rPr>
      </w:pPr>
      <w:r w:rsidRPr="0013103D">
        <w:rPr>
          <w:rFonts w:ascii="Arial" w:eastAsia="Calibri" w:hAnsi="Arial" w:cs="Arial"/>
          <w:b/>
          <w:sz w:val="20"/>
          <w:szCs w:val="20"/>
        </w:rPr>
        <w:t>Declaration of AI Use</w:t>
      </w:r>
    </w:p>
    <w:p w14:paraId="30E614A1" w14:textId="77777777" w:rsidR="0013103D" w:rsidRPr="0013103D" w:rsidRDefault="0013103D" w:rsidP="0013103D">
      <w:pPr>
        <w:spacing w:after="0" w:line="240" w:lineRule="auto"/>
        <w:rPr>
          <w:rFonts w:ascii="Arial" w:eastAsia="Calibri" w:hAnsi="Arial" w:cs="Arial"/>
          <w:sz w:val="20"/>
          <w:szCs w:val="20"/>
        </w:rPr>
      </w:pPr>
    </w:p>
    <w:p w14:paraId="05B22801" w14:textId="77777777" w:rsidR="0013103D" w:rsidRPr="0013103D" w:rsidRDefault="0013103D" w:rsidP="0013103D">
      <w:pPr>
        <w:spacing w:after="0" w:line="240" w:lineRule="auto"/>
        <w:rPr>
          <w:rFonts w:ascii="Arial" w:eastAsia="Calibri" w:hAnsi="Arial" w:cs="Arial"/>
          <w:sz w:val="20"/>
          <w:szCs w:val="20"/>
        </w:rPr>
      </w:pPr>
      <w:r w:rsidRPr="0013103D">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EB554BB" w14:textId="77777777" w:rsidR="0013103D" w:rsidRPr="0013103D" w:rsidRDefault="0013103D" w:rsidP="0013103D">
      <w:pPr>
        <w:spacing w:after="0" w:line="240" w:lineRule="auto"/>
        <w:jc w:val="both"/>
        <w:rPr>
          <w:rFonts w:eastAsia="Calibri" w:cs="Times New Roman"/>
        </w:rPr>
      </w:pPr>
    </w:p>
    <w:p w14:paraId="2D803D69" w14:textId="77777777" w:rsidR="0013103D" w:rsidRPr="0013103D" w:rsidRDefault="0013103D" w:rsidP="0013103D">
      <w:pPr>
        <w:spacing w:after="0" w:line="240" w:lineRule="auto"/>
        <w:jc w:val="both"/>
        <w:rPr>
          <w:rFonts w:eastAsia="Calibri" w:cs="Times New Roman"/>
        </w:rPr>
      </w:pPr>
    </w:p>
    <w:p w14:paraId="2BC0B6D1" w14:textId="77777777" w:rsidR="0013103D" w:rsidRPr="0013103D" w:rsidRDefault="0013103D" w:rsidP="0013103D">
      <w:pPr>
        <w:spacing w:after="200"/>
        <w:rPr>
          <w:rFonts w:ascii="Cambria" w:eastAsia="Times New Roman" w:hAnsi="Cambria" w:cs="Arial"/>
          <w:b/>
          <w:bCs/>
          <w:lang w:val="en-GB" w:eastAsia="en-GB"/>
        </w:rPr>
      </w:pPr>
      <w:r w:rsidRPr="0013103D">
        <w:rPr>
          <w:rFonts w:ascii="Cambria" w:eastAsia="Times New Roman" w:hAnsi="Cambria" w:cs="Arial"/>
          <w:b/>
          <w:bCs/>
          <w:lang w:val="en-GB" w:eastAsia="en-GB"/>
        </w:rPr>
        <w:t>COMPETING INTERESTS DISCLAIMER:</w:t>
      </w:r>
    </w:p>
    <w:p w14:paraId="1B324951" w14:textId="77777777" w:rsidR="0013103D" w:rsidRPr="0013103D" w:rsidRDefault="0013103D" w:rsidP="0013103D">
      <w:pPr>
        <w:spacing w:after="200"/>
        <w:rPr>
          <w:rFonts w:ascii="Cambria" w:eastAsia="Times New Roman" w:hAnsi="Cambria" w:cs="Times New Roman"/>
          <w:lang w:val="en-GB" w:eastAsia="en-GB"/>
        </w:rPr>
      </w:pPr>
      <w:r w:rsidRPr="0013103D">
        <w:rPr>
          <w:rFonts w:ascii="Cambria" w:eastAsia="Times New Roman" w:hAnsi="Cambria" w:cs="Arial"/>
          <w:lang w:val="en-GB" w:eastAsia="en-GB"/>
        </w:rPr>
        <w:lastRenderedPageBreak/>
        <w:t>Authors have declared that they have no known competing financial interests OR non-financial interests OR personal relationships that could have appeared to influence the work reported in this paper.</w:t>
      </w:r>
    </w:p>
    <w:p w14:paraId="733376A6" w14:textId="77777777" w:rsidR="0013103D" w:rsidRPr="00B06F56" w:rsidRDefault="0013103D">
      <w:pPr>
        <w:ind w:firstLine="288"/>
        <w:jc w:val="both"/>
      </w:pPr>
    </w:p>
    <w:p w14:paraId="185BB06C" w14:textId="77777777" w:rsidR="005C7368" w:rsidRPr="00B06F56" w:rsidRDefault="00000000">
      <w:pPr>
        <w:pStyle w:val="Heading1"/>
        <w:rPr>
          <w:color w:val="auto"/>
        </w:rPr>
      </w:pPr>
      <w:r w:rsidRPr="00B06F56">
        <w:rPr>
          <w:color w:val="auto"/>
        </w:rPr>
        <w:t>References</w:t>
      </w:r>
    </w:p>
    <w:p w14:paraId="108BEB4A" w14:textId="77777777" w:rsidR="00B06F56" w:rsidRPr="00B06F56" w:rsidRDefault="00B06F56" w:rsidP="00B06F56">
      <w:r w:rsidRPr="00B06F56">
        <w:t>Aljeaidi, M. S., Haaksma, M. L., &amp; Tan, E. C. K. (2022). Polypharmacy and trajectories of health-related quality of life in older adults: An Australian cohort study. Quality of Life Research, 31(9), 2663–2671. https://doi.org/10.1007/s11136-022-03136-9</w:t>
      </w:r>
    </w:p>
    <w:p w14:paraId="62CE375E" w14:textId="77777777" w:rsidR="00B06F56" w:rsidRPr="00B06F56" w:rsidRDefault="00B06F56" w:rsidP="00B06F56">
      <w:r w:rsidRPr="00B06F56">
        <w:t>American Geriatrics Society Beers Criteria Update Expert Panel. (2023). American Geriatrics Society 2023 updated AGS Beers Criteria® for potentially inappropriate medication use in older adults. Journal of the American Geriatrics Society, 71(7), 2052–2081. https://doi.org/10.1111/jgs.18372</w:t>
      </w:r>
    </w:p>
    <w:p w14:paraId="1C2F07EA" w14:textId="77777777" w:rsidR="00B06F56" w:rsidRPr="00B06F56" w:rsidRDefault="00B06F56" w:rsidP="00B06F56">
      <w:r w:rsidRPr="00B06F56">
        <w:t>Baethge, C., Goldbeck-Wood, S., &amp; Mertens, S. (2019). SANRA—A scale for the quality assessment of narrative review articles. Research Integrity and Peer Review, 4, 5. https://doi.org/10.1186/s41073-019-0064-8</w:t>
      </w:r>
    </w:p>
    <w:p w14:paraId="534F4BA9" w14:textId="77777777" w:rsidR="00B06F56" w:rsidRPr="00B06F56" w:rsidRDefault="00B06F56" w:rsidP="00B06F56">
      <w:r w:rsidRPr="00B06F56">
        <w:t>Bhadhuri, A., Kind, P., Salari, P., Jungo, K. T., Boland, B., Byrne, S., Hossmann, S., Dalleur, O., Knol, W., Moutzouri, E., O’Mahony, D., Murphy, K. D., Wisselink, L., Rodondi, N., &amp; Schwenkglenks, M. (2020). Measurement properties of EQ-5D-3L and EQ-5D-5L in recording self-reported health status in older patients with substantial multimorbidity and polypharmacy. Health and Quality of Life Outcomes, 18(1), 317. https://doi.org/10.1186/s12955-020-01564-0</w:t>
      </w:r>
    </w:p>
    <w:p w14:paraId="24168051" w14:textId="77777777" w:rsidR="00B06F56" w:rsidRPr="00B06F56" w:rsidRDefault="00B06F56" w:rsidP="00B06F56">
      <w:r w:rsidRPr="00B06F56">
        <w:t>Blum, M. R., Sallevelt, B. T. G. M., Spinewine, A., O’Mahony, D., Moutzouri, E., Feller, M., Baumgartner, C., Roumet, M., Jungo, K. T., Schwab, N., Bretagne, L., Beglinger, S., Aubert, C. E., Wilting, I., Thevelin, S., Murphy, K., Huibers, C. J. A., Drenth-van Maanen, A. C., Boland, B., … Rodondi, N. (2021). Optimizing therapy to prevent avoidable hospital admissions in multimorbid older adults (OPERAM): Cluster randomised controlled trial. BMJ, 374, n1585. https://doi.org/10.1136/bmj.n1585</w:t>
      </w:r>
    </w:p>
    <w:p w14:paraId="0E4568D0" w14:textId="77777777" w:rsidR="00B06F56" w:rsidRPr="00B06F56" w:rsidRDefault="00B06F56" w:rsidP="00B06F56">
      <w:r w:rsidRPr="00B06F56">
        <w:t>Carollo, M., Crisafulli, S., Vitturi, G., Besco, M., Hinek, D., Sartorio, A., Tanara, V., Spadacini, G., Selleri, M., Zanconato, V., Fava, C., Minuz, P., Zamboni, M., &amp; Trifirò, G. (2024). Clinical impact of medication review and deprescribing in older inpatients: A systematic review and meta-analysis. Journal of the American Geriatrics Society, 72(10), 3219–3238. https://doi.org/10.1111/jgs.19035</w:t>
      </w:r>
    </w:p>
    <w:p w14:paraId="17D2AEAF" w14:textId="77777777" w:rsidR="00B06F56" w:rsidRPr="00B06F56" w:rsidRDefault="00B06F56" w:rsidP="00B06F56">
      <w:r w:rsidRPr="00B06F56">
        <w:t>Carollo, M., Cristini, I., Crisafulli, S., Fontana, A., Forti, A., Lanaro, A., Maccarrone, F., Zerio, M., Piccoli, L., Poluzzi, E., Onder, G., &amp; Trifirò, G. (2026). Evaluating the impact of medication review and deprescribing on prescribing appropriateness and clinical outcomes in older people residing in long-term care facilities: A systematic review and meta-analysis. Age and Ageing, 55(4), afag084. https://doi.org/10.1093/ageing/afag084</w:t>
      </w:r>
    </w:p>
    <w:p w14:paraId="08842F1E" w14:textId="77777777" w:rsidR="00B06F56" w:rsidRPr="00B06F56" w:rsidRDefault="00B06F56" w:rsidP="00B06F56">
      <w:r w:rsidRPr="00B06F56">
        <w:t>Chang, T. I., Park, H., Kim, D. W., Jeon, E. K., Rhee, C. M., Kalantar-Zadeh, K., Kang, E. W., Kang, S.-W., &amp; Han, S. H. (2020). Polypharmacy, hospitalization, and mortality risk: A nationwide cohort study. Scientific Reports, 10(1), 18964. https://doi.org/10.1038/s41598-020-75888-8</w:t>
      </w:r>
    </w:p>
    <w:p w14:paraId="52104692" w14:textId="77777777" w:rsidR="00B06F56" w:rsidRPr="00B06F56" w:rsidRDefault="00B06F56" w:rsidP="00B06F56">
      <w:r w:rsidRPr="00B06F56">
        <w:t>Cole, J. A., Gonçalves-Bradley, D. C., Alqahtani, M., Barry, H. E., Cadogan, C. A., Rankin, A., Patterson, S. M., Kerse, N., Cardwell, C. R., Ryan, C., &amp; Hughes, C. M. (2023). Interventions to improve the appropriate use of polypharmacy for older people. Cochrane Database of Systematic Reviews, 10(10), CD008165. https://doi.org/10.1002/14651858.CD008165.pub5</w:t>
      </w:r>
    </w:p>
    <w:p w14:paraId="5570437A" w14:textId="77777777" w:rsidR="00B06F56" w:rsidRPr="00B06F56" w:rsidRDefault="00B06F56" w:rsidP="00B06F56">
      <w:r w:rsidRPr="00B06F56">
        <w:lastRenderedPageBreak/>
        <w:t>Costanzo, S., Di Castelnuovo, A., Panzera, T., De Curtis, A., Falciglia, S., Persichillo, M., Cerletti, C., Donati, M. B., de Gaetano, G., &amp; Iacoviello, L. (2024). Polypharmacy in older adults: The hazard of hospitalization and mortality is mediated by potentially inappropriate prescriptions, findings from the Moli-sani Study. International Journal of Public Health, 69, 1607682. https://doi.org/10.3389/ijph.2024.1607682</w:t>
      </w:r>
    </w:p>
    <w:p w14:paraId="4ED98380" w14:textId="77777777" w:rsidR="00B06F56" w:rsidRPr="00B06F56" w:rsidRDefault="00B06F56" w:rsidP="00B06F56">
      <w:r w:rsidRPr="00B06F56">
        <w:t>Davies, L. E., Spiers, G., Kingston, A., Todd, A., Adamson, J., &amp; Hanratty, B. (2020). Adverse outcomes of polypharmacy in older people: Systematic review of reviews. Journal of the American Medical Directors Association, 21(2), 181–187. https://doi.org/10.1016/j.jamda.2019.10.022</w:t>
      </w:r>
    </w:p>
    <w:p w14:paraId="099699B9" w14:textId="77777777" w:rsidR="00B8169D" w:rsidRDefault="00000000">
      <w:r>
        <w:rPr>
          <w:highlight w:val="yellow"/>
        </w:rPr>
        <w:t>Daunt, R., Curtin, D., &amp; O'Mahony, D. (2024). Optimizing drug therapy for older adults: Shifting away from problematic polypharmacy. Expert Opinion on Pharmacotherapy, 25(9), 1199–1208. https://doi.org/10.1080/14656566.2024.2374048</w:t>
      </w:r>
    </w:p>
    <w:p w14:paraId="719407F9" w14:textId="77777777" w:rsidR="00B06F56" w:rsidRPr="00B06F56" w:rsidRDefault="00B06F56" w:rsidP="00B06F56">
      <w:r w:rsidRPr="00B06F56">
        <w:t>Falke, C., Karapinar, F., Bouvy, M., Emmelot, M., Belitser, S., Boland, B., O’Mahony, D., Murphy, K. D., Haller, M., Salari, P., Schwenkglenks, M., Rodondi, N., Egberts, T., &amp; Knol, W. (2024). The association between medication use and health-related quality of life in multimorbid older patients with polypharmacy. European Geriatric Medicine, 15(6), 1713–1723. https://doi.org/10.1007/s41999-024-01036-4</w:t>
      </w:r>
    </w:p>
    <w:p w14:paraId="5702DD62" w14:textId="77777777" w:rsidR="00B06F56" w:rsidRPr="00B06F56" w:rsidRDefault="00B06F56" w:rsidP="00B06F56">
      <w:r w:rsidRPr="00B06F56">
        <w:t>Fried, T. R., O’Leary, J., Towle, V., Goldstein, M. K., Trentalange, M., &amp; Martin, D. K. (2014). Health outcomes associated with polypharmacy in community-dwelling older adults: A systematic review. Journal of the American Geriatrics Society, 62(12), 2261–2272. https://doi.org/10.1111/jgs.13153</w:t>
      </w:r>
    </w:p>
    <w:p w14:paraId="23F3D13E" w14:textId="77777777" w:rsidR="00B06F56" w:rsidRPr="00B06F56" w:rsidRDefault="00B06F56" w:rsidP="00B06F56">
      <w:r w:rsidRPr="00B06F56">
        <w:t>Gnjidic, D., Hilmer, S. N., Blyth, F. M., Naganathan, V., Waite, L., Seibel, M. J., McLachlan, A. J., Cumming, R. G., Handelsman, D. J., &amp; Le Couteur, D. G. (2012). Polypharmacy cutoff and outcomes: Five or more medicines were used to identify community-dwelling older men at risk of different adverse outcomes. Journal of Clinical Epidemiology, 65(9), 989–995. https://doi.org/10.1016/j.jclinepi.2012.02.018</w:t>
      </w:r>
    </w:p>
    <w:p w14:paraId="5BAF0CCA" w14:textId="77777777" w:rsidR="00B06F56" w:rsidRPr="00B06F56" w:rsidRDefault="00B06F56" w:rsidP="00B06F56">
      <w:r w:rsidRPr="00B06F56">
        <w:t>Hamilton, H., Gallagher, P., Ryan, C., Byrne, S., &amp; O’Mahony, D. (2011). Potentially inappropriate medications defined by STOPP criteria and the risk of adverse drug events in older hospitalized patients. Archives of Internal Medicine, 171(11), 1013–1019. https://doi.org/10.1001/archinternmed.2011.215</w:t>
      </w:r>
    </w:p>
    <w:p w14:paraId="658A9658" w14:textId="77777777" w:rsidR="00B06F56" w:rsidRPr="00B06F56" w:rsidRDefault="00B06F56" w:rsidP="00B06F56">
      <w:r w:rsidRPr="00B06F56">
        <w:t>Jennings, E. L. M., O’Mahony, D., &amp; Gallagher, P. F. (2022). Medication-related quality of life (MRQoL) in ambulatory older adults with multi-morbidity and polypharmacy. European Geriatric Medicine, 13(3), 579–583. https://doi.org/10.1007/s41999-021-00573-6</w:t>
      </w:r>
    </w:p>
    <w:p w14:paraId="10B69C91" w14:textId="77777777" w:rsidR="00B06F56" w:rsidRPr="00B06F56" w:rsidRDefault="00B06F56" w:rsidP="00B06F56">
      <w:r w:rsidRPr="00B06F56">
        <w:t>Johansson, T., Abuzahra, M. E., Keller, S., Mann, E., Faller, B., Sommerauer, C., Höck, J., Löffler, C., Köchling, A., Schuler, J., Flamm, M., &amp; Sönnichsen, A. (2016). Impact of strategies to reduce polypharmacy on clinically relevant endpoints: A systematic review and meta-analysis. British Journal of Clinical Pharmacology, 82(2), 532–548. https://doi.org/10.1111/bcp.12959</w:t>
      </w:r>
    </w:p>
    <w:p w14:paraId="48A11E0C" w14:textId="77777777" w:rsidR="00B06F56" w:rsidRPr="00B06F56" w:rsidRDefault="00B06F56" w:rsidP="00B06F56">
      <w:r w:rsidRPr="00B06F56">
        <w:t>Khezrian, M., McNeil, C. J., Murray, A. D., &amp; Myint, P. K. (2020). An overview of prevalence, determinants and health outcomes of polypharmacy. Therapeutic Advances in Drug Safety, 11, 2042098620933741. https://doi.org/10.1177/2042098620933741</w:t>
      </w:r>
    </w:p>
    <w:p w14:paraId="680A951D" w14:textId="77777777" w:rsidR="00B06F56" w:rsidRPr="00B06F56" w:rsidRDefault="00B06F56" w:rsidP="00B06F56">
      <w:r w:rsidRPr="00B06F56">
        <w:t>Kornholt, J., Feizi, S. T., Hansen, A. S., Laursen, J. T., Reuther, L. Ø., Petersen, T. S., Pressel, E., &amp; Christensen, M. B. (2022). Effects of a comprehensive medication review intervention on health-related quality of life and other clinical outcomes in geriatric outpatients with polypharmacy: A pragmatic randomized clinical trial. British Journal of Clinical Pharmacology, 88(7), 3360–3369. https://doi.org/10.1111/bcp.15287</w:t>
      </w:r>
    </w:p>
    <w:p w14:paraId="790762CE" w14:textId="77777777" w:rsidR="00B06F56" w:rsidRPr="00B06F56" w:rsidRDefault="00B06F56" w:rsidP="00B06F56">
      <w:r w:rsidRPr="00B06F56">
        <w:lastRenderedPageBreak/>
        <w:t>Leendertse, A. J., Egberts, A. C. G., Stoker, L. J., &amp; van den Bemt, P. M. L. A. (2008). Frequency of and risk factors for preventable medication-related hospital admissions in the Netherlands. Archives of Internal Medicine, 168(17), 1890–1896. https://doi.org/10.1001/archinternmed.2008.3</w:t>
      </w:r>
    </w:p>
    <w:p w14:paraId="2B6680E8" w14:textId="77777777" w:rsidR="00B06F56" w:rsidRPr="00B06F56" w:rsidRDefault="00B06F56" w:rsidP="00B06F56">
      <w:r w:rsidRPr="00B06F56">
        <w:t>Leendertse, A. J., de Koning, G. H. P., Goudswaard, A. N., Belitser, S. V., Verhoef, M., de Gier, H. J., Egberts, A. C. G., &amp; van den Bemt, P. M. L. A. (2013). Preventing hospital admissions by reviewing medication (PHARM) in primary care: An open controlled study in an elderly population. Journal of Clinical Pharmacy and Therapeutics, 38(5), 379–387. https://doi.org/10.1111/jcpt.12069</w:t>
      </w:r>
    </w:p>
    <w:p w14:paraId="166C18BA" w14:textId="77777777" w:rsidR="00B8169D" w:rsidRDefault="00000000">
      <w:r>
        <w:rPr>
          <w:highlight w:val="yellow"/>
        </w:rPr>
        <w:t>Linsky, A. M., Motala, A., Booth, M., Lawson, E., &amp; Shekelle, P. G. (2025). Deprescribing in community-dwelling older adults: A systematic review and meta-analysis. JAMA Network Open, 8(5), e259375. https://doi.org/10.1001/jamanetworkopen.2025.9375</w:t>
      </w:r>
    </w:p>
    <w:p w14:paraId="4BFD663F" w14:textId="77777777" w:rsidR="00B06F56" w:rsidRPr="00B06F56" w:rsidRDefault="00B06F56" w:rsidP="00B06F56">
      <w:r w:rsidRPr="00B06F56">
        <w:t>Lu, W.-H., Wen, Y.-W., Chen, L.-K., &amp; Hsiao, F.-Y. (2015). Effect of polypharmacy, potentially inappropriate medications and anticholinergic burden on clinical outcomes: A retrospective cohort study. CMAJ, 187(4), E130–E137. https://doi.org/10.1503/cmaj.141219</w:t>
      </w:r>
    </w:p>
    <w:p w14:paraId="53484E16" w14:textId="77777777" w:rsidR="00B06F56" w:rsidRPr="00B06F56" w:rsidRDefault="00B06F56" w:rsidP="00B06F56">
      <w:r w:rsidRPr="00B06F56">
        <w:t>Masnoon, N., Shakib, S., Kalisch-Ellett, L., &amp; Caughey, G. E. (2017). What is polypharmacy? A systematic review of definitions. BMC Geriatrics, 17(1), 230. https://doi.org/10.1186/s12877-017-0621-2</w:t>
      </w:r>
    </w:p>
    <w:p w14:paraId="17E87B9C" w14:textId="77777777" w:rsidR="00B06F56" w:rsidRPr="00B06F56" w:rsidRDefault="00B06F56" w:rsidP="00B06F56">
      <w:r w:rsidRPr="00B06F56">
        <w:t>Mekonnen, A. B., Redley, B., de Courten, B., &amp; Manias, E. (2021). Potentially inappropriate prescribing and its associations with health-related and system-related outcomes in hospitalised older adults: A systematic review and meta-analysis. British Journal of Clinical Pharmacology, 87(11), 4150–4172. https://doi.org/10.1111/bcp.14870</w:t>
      </w:r>
    </w:p>
    <w:p w14:paraId="4CDACC70" w14:textId="77777777" w:rsidR="00B06F56" w:rsidRPr="00B06F56" w:rsidRDefault="00B06F56" w:rsidP="00B06F56">
      <w:r w:rsidRPr="00B06F56">
        <w:t>Montiel-Luque, A., Núñez-Montenegro, A. J., Martín-Aurioles, E., Canca-Sánchez, J. C., Toro-Toro, M. C., &amp; González-Correa, J. A. (2017). Medication-related factors associated with health-related quality of life in patients older than 65 years with polypharmacy. PLOS ONE, 12(2), e0171320. https://doi.org/10.1371/journal.pone.0171320</w:t>
      </w:r>
    </w:p>
    <w:p w14:paraId="00E1CA72" w14:textId="77777777" w:rsidR="00B06F56" w:rsidRPr="00B06F56" w:rsidRDefault="00B06F56" w:rsidP="00B06F56">
      <w:r w:rsidRPr="00B06F56">
        <w:t>Morin, L., Johnell, K., Laroche, M.-L., Fastbom, J., &amp; Wastesson, J. W. (2018). The epidemiology of polypharmacy in older adults: Register-based prospective cohort study. Clinical Epidemiology, 10, 289–298. https://doi.org/10.2147/CLEP.S153458</w:t>
      </w:r>
    </w:p>
    <w:p w14:paraId="71201E26" w14:textId="77777777" w:rsidR="00B8169D" w:rsidRDefault="00000000">
      <w:r>
        <w:rPr>
          <w:highlight w:val="yellow"/>
        </w:rPr>
        <w:t>Nicholson, K., Liu, W., Fitzpatrick, D., Hardacre, K. A., Roberts, S., Salerno, J., Stranges, S., Fortin, M., &amp; Mangin, D. (2024). Prevalence of multimorbidity and polypharmacy among adults and older adults: A systematic review. The Lancet Healthy Longevity, 5(4), e287–e296. https://doi.org/10.1016/S2666-7568(24)00007-2</w:t>
      </w:r>
    </w:p>
    <w:p w14:paraId="7831947C" w14:textId="77777777" w:rsidR="00B06F56" w:rsidRPr="00B06F56" w:rsidRDefault="00B06F56" w:rsidP="00B06F56">
      <w:r w:rsidRPr="00B06F56">
        <w:t>Nordin Olsson, I., Runnamo, R., &amp; Engfeldt, P. (2011). Medication quality and quality of life in the elderly, a cohort study. Health and Quality of Life Outcomes, 9, 95. https://doi.org/10.1186/1477-7525-9-95</w:t>
      </w:r>
    </w:p>
    <w:p w14:paraId="211A4805" w14:textId="77777777" w:rsidR="00B06F56" w:rsidRPr="00B06F56" w:rsidRDefault="00B06F56" w:rsidP="00B06F56">
      <w:r w:rsidRPr="00B06F56">
        <w:t>O’Connor, M. N., O’Sullivan, D., Gallagher, P. F., Eustace, J., Byrne, S., &amp; O’Mahony, D. (2016). Prevention of hospital-acquired adverse drug reactions in older people using Screening Tool of Older Persons’ Prescriptions and Screening Tool to Alert to Right Treatment criteria: A cluster randomized controlled trial. Journal of the American Geriatrics Society, 64(8), 1558–1566. https://doi.org/10.1111/jgs.14312</w:t>
      </w:r>
    </w:p>
    <w:p w14:paraId="08499BBF" w14:textId="77777777" w:rsidR="00B06F56" w:rsidRPr="00B06F56" w:rsidRDefault="00B06F56" w:rsidP="00B06F56">
      <w:r w:rsidRPr="00B06F56">
        <w:t>O’Mahony, D., Cherubini, A., Renom Guiteras, A., Denkinger, M., Beuscart, J.-B., Onder, G., Gudmundsson, A., Cruz-Jentoft, A. J., Knol, W., Bahat, G., van der Velde, N., Petrovic, M., &amp; Curtin, D. (2023). STOPP/START criteria for potentially inappropriate prescribing in older people: Version 3. European Geriatric Medicine, 14(4), 625–632. https://doi.org/10.1007/s41999-023-00777-y</w:t>
      </w:r>
    </w:p>
    <w:p w14:paraId="0AE89D25" w14:textId="77777777" w:rsidR="00B06F56" w:rsidRPr="00B06F56" w:rsidRDefault="00B06F56" w:rsidP="00B06F56">
      <w:r w:rsidRPr="00B06F56">
        <w:lastRenderedPageBreak/>
        <w:t>O’Sullivan, D., O’Mahony, D., O’Connor, M. N., Gallagher, P., Gallagher, J., Cullinan, S., O’Sullivan, R., Eustace, J., &amp; Byrne, S. (2016). Prevention of adverse drug reactions in hospitalised older patients using a software-supported structured pharmacist intervention: A cluster randomised controlled trial. Drugs &amp; Aging, 33(1), 63–73. https://doi.org/10.1007/s40266-015-0329-y</w:t>
      </w:r>
    </w:p>
    <w:p w14:paraId="18E1551B" w14:textId="77777777" w:rsidR="00B06F56" w:rsidRPr="00B06F56" w:rsidRDefault="00B06F56" w:rsidP="00B06F56">
      <w:r w:rsidRPr="00B06F56">
        <w:t>Omuya, H., Nickel, C., Wilson, P., &amp; Chewning, B. (2023). A systematic review of randomised-controlled trials on deprescribing outcomes in older adults with polypharmacy. International Journal of Pharmacy Practice, 31(4), 349–368. https://doi.org/10.1093/ijpp/riad025</w:t>
      </w:r>
    </w:p>
    <w:p w14:paraId="178ABD49" w14:textId="77777777" w:rsidR="00B06F56" w:rsidRPr="00B06F56" w:rsidRDefault="00B06F56" w:rsidP="00B06F56">
      <w:r w:rsidRPr="00B06F56">
        <w:t>Payne, R. A., Abel, G. A., Avery, A. J., Mercer, S. W., &amp; Roland, M. O. (2014). Is polypharmacy always hazardous? A retrospective cohort analysis using linked electronic health records from primary and secondary care. British Journal of Clinical Pharmacology, 77(6), 1073–1082. https://doi.org/10.1111/bcp.12292</w:t>
      </w:r>
    </w:p>
    <w:p w14:paraId="408C5024" w14:textId="77777777" w:rsidR="00B06F56" w:rsidRPr="00B06F56" w:rsidRDefault="00B06F56" w:rsidP="00B06F56">
      <w:r w:rsidRPr="00B06F56">
        <w:t>Pazan, F., &amp; Wehling, M. (2021). Polypharmacy in older adults: A narrative review of definitions, epidemiology and consequences. European Geriatric Medicine, 12(3), 443–452. https://doi.org/10.1007/s41999-021-00479-3</w:t>
      </w:r>
    </w:p>
    <w:p w14:paraId="61EB5EE0" w14:textId="77777777" w:rsidR="00B06F56" w:rsidRPr="00B06F56" w:rsidRDefault="00B06F56" w:rsidP="00B06F56">
      <w:r w:rsidRPr="00B06F56">
        <w:t>Rankin, A., Cadogan, C. A., Ryan, C., Clyne, B., Smith, S. M., &amp; Hughes, C. M. (2018). Core outcome set for trials aimed at improving the appropriateness of polypharmacy in older people in primary care. Journal of the American Geriatrics Society, 66(6), 1206–1212. https://doi.org/10.1111/jgs.15245</w:t>
      </w:r>
    </w:p>
    <w:p w14:paraId="1DA3A380" w14:textId="77777777" w:rsidR="00B06F56" w:rsidRPr="00B06F56" w:rsidRDefault="00B06F56" w:rsidP="00B06F56">
      <w:r w:rsidRPr="00B06F56">
        <w:t>Scott, I. A., Hilmer, S. N., Reeve, E., Potter, K., Le Couteur, D., Rigby, D., Gnjidic, D., Del Mar, C. B., Roughead, E. E., Page, A., Jansen, J., &amp; Martin, J. H. (2015). Reducing inappropriate polypharmacy: The process of deprescribing. JAMA Internal Medicine, 175(5), 827–834. https://doi.org/10.1001/jamainternmed.2015.0324</w:t>
      </w:r>
    </w:p>
    <w:p w14:paraId="29C41D19" w14:textId="77777777" w:rsidR="00B06F56" w:rsidRPr="00B06F56" w:rsidRDefault="00B06F56" w:rsidP="00B06F56">
      <w:r w:rsidRPr="00B06F56">
        <w:t>Syed, J., Pereira, P., Tejeswini, C. J., Avarebeel, S., Ramesh, K., Undela, K., Ramesh, M., &amp; Chalasani, S. H. (2026). Geriatric syndromes, comorbidities, and polypharmacy: Determinants of health-related quality of life in hospitalized older adults in South India. Geriatric Nursing, 69, 103950. https://doi.org/10.1016/j.gerinurse.2026.103950</w:t>
      </w:r>
    </w:p>
    <w:p w14:paraId="639D1961" w14:textId="77777777" w:rsidR="00B06F56" w:rsidRPr="00B06F56" w:rsidRDefault="00B06F56" w:rsidP="00B06F56">
      <w:r w:rsidRPr="00B06F56">
        <w:t>Valz Gris, A., Farina, S., Porcelli, M., Di Pumpo, M., Farina, A., Ricciardi, W., &amp; Gualano, M. R. (2026). Polypharmacy management interventions in older adults: An umbrella review of meta-analyses of randomized controlled trials. Public Health, 250, 106077. https://doi.org/10.1016/j.puhe.2025.106077</w:t>
      </w:r>
    </w:p>
    <w:p w14:paraId="1CE37B27" w14:textId="77777777" w:rsidR="00B06F56" w:rsidRPr="00B06F56" w:rsidRDefault="00B06F56" w:rsidP="00B06F56">
      <w:r w:rsidRPr="00B06F56">
        <w:t>Verdoorn, S., Kwint, H.-F., Blom, J. W., Gussekloo, J., &amp; Bouvy, M. L. (2019). Effects of a clinical medication review focused on personal goals, quality of life, and health problems in older persons with polypharmacy: A randomised controlled trial (DREAMeR-study). PLOS Medicine, 16(5), e1002798. https://doi.org/10.1371/journal.pmed.1002798</w:t>
      </w:r>
    </w:p>
    <w:p w14:paraId="5DF843A2" w14:textId="77777777" w:rsidR="00B06F56" w:rsidRPr="00B06F56" w:rsidRDefault="00B06F56" w:rsidP="00B06F56">
      <w:r w:rsidRPr="00B06F56">
        <w:t>Vonderhaar, J. M., Ernst, M. E., Fravel, M. A., Orchard, S. G., Owen, A. J., Woods, R. L., Wolfe, R., Stocks, N., &amp; Gilmartin-Thomas, J. (2025). Prescription and non-prescription medication pill burdens and their associations with health-related quality of life in older adults: A cross-sectional study. Drugs &amp; Aging, 42(5), 457–467. https://doi.org/10.1007/s40266-025-01199-0</w:t>
      </w:r>
    </w:p>
    <w:p w14:paraId="18478E19" w14:textId="77777777" w:rsidR="00B8169D" w:rsidRDefault="00000000">
      <w:r>
        <w:rPr>
          <w:highlight w:val="yellow"/>
        </w:rPr>
        <w:t>Wang, Z., Liu, T., Su, Q., Luo, H., Lou, L., Zhao, L., Kang, X., Pan, Y., &amp; Nie, Y. (2024). Prevalence of polypharmacy in elderly population worldwide: A systematic review and meta-analysis. Pharmacoepidemiology and Drug Safety, 33(8), e5880. https://doi.org/10.1002/pds.5880</w:t>
      </w:r>
    </w:p>
    <w:p w14:paraId="0C230C4F" w14:textId="77777777" w:rsidR="00B06F56" w:rsidRPr="00B06F56" w:rsidRDefault="00B06F56" w:rsidP="00B06F56">
      <w:r w:rsidRPr="00B06F56">
        <w:lastRenderedPageBreak/>
        <w:t>Wastesson, J. W., Morin, L., Laroche, M.-L., &amp; Johnell, K. (2019). How chronic is polypharmacy in old age? A longitudinal nationwide cohort study. Journal of the American Geriatrics Society, 67(3), 455–462. https://doi.org/10.1111/jgs.15717</w:t>
      </w:r>
    </w:p>
    <w:p w14:paraId="379BE128" w14:textId="77777777" w:rsidR="00B06F56" w:rsidRPr="00B06F56" w:rsidRDefault="00B06F56" w:rsidP="00B06F56">
      <w:r w:rsidRPr="00B06F56">
        <w:t>Wastesson, J. W., Morin, L., Tan, E. C. K., &amp; Johnell, K. (2018). An update on the clinical consequences of polypharmacy in older adults: A narrative review. Expert Opinion on Drug Safety, 17(12), 1185–1196. https://doi.org/10.1080/14740338.2018.1546841</w:t>
      </w:r>
    </w:p>
    <w:sectPr w:rsidR="00B06F56" w:rsidRPr="00B06F56"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F1C2" w14:textId="77777777" w:rsidR="006A135D" w:rsidRDefault="006A135D">
      <w:pPr>
        <w:spacing w:after="0" w:line="240" w:lineRule="auto"/>
      </w:pPr>
      <w:r>
        <w:separator/>
      </w:r>
    </w:p>
  </w:endnote>
  <w:endnote w:type="continuationSeparator" w:id="0">
    <w:p w14:paraId="3D1E5D5F" w14:textId="77777777" w:rsidR="006A135D" w:rsidRDefault="006A1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60811" w14:textId="77777777" w:rsidR="00EE474B" w:rsidRDefault="00EE4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FA55" w14:textId="77777777" w:rsidR="005C7368" w:rsidRDefault="00000000">
    <w:pPr>
      <w:pStyle w:val="Footer"/>
      <w:jc w:val="center"/>
    </w:pPr>
    <w:r>
      <w:rPr>
        <w:sz w:val="18"/>
      </w:rPr>
      <w:fldChar w:fldCharType="begin"/>
    </w:r>
    <w:r>
      <w:rPr>
        <w:sz w:val="18"/>
      </w:rPr>
      <w:instrText xml:space="preserve"> PAGE </w:instrText>
    </w:r>
    <w:r>
      <w:rPr>
        <w:sz w:val="18"/>
      </w:rPr>
      <w:fldChar w:fldCharType="separate"/>
    </w:r>
    <w:r w:rsidR="00B06F56">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F2ECF" w14:textId="77777777" w:rsidR="00EE474B" w:rsidRDefault="00EE4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8673C" w14:textId="77777777" w:rsidR="006A135D" w:rsidRDefault="006A135D">
      <w:pPr>
        <w:spacing w:after="0" w:line="240" w:lineRule="auto"/>
      </w:pPr>
      <w:r>
        <w:separator/>
      </w:r>
    </w:p>
  </w:footnote>
  <w:footnote w:type="continuationSeparator" w:id="0">
    <w:p w14:paraId="3DEA6CAD" w14:textId="77777777" w:rsidR="006A135D" w:rsidRDefault="006A1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878BA" w14:textId="77777777" w:rsidR="00EE474B" w:rsidRDefault="00000000">
    <w:pPr>
      <w:pStyle w:val="Header"/>
    </w:pPr>
    <w:r>
      <w:rPr>
        <w:noProof/>
      </w:rPr>
      <w:pict w14:anchorId="02BC6C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57001"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DDD9" w14:textId="77777777" w:rsidR="00EE474B" w:rsidRDefault="00000000">
    <w:pPr>
      <w:pStyle w:val="Header"/>
    </w:pPr>
    <w:r>
      <w:rPr>
        <w:noProof/>
      </w:rPr>
      <w:pict w14:anchorId="19193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57002"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FAAF" w14:textId="77777777" w:rsidR="00EE474B" w:rsidRDefault="00000000">
    <w:pPr>
      <w:pStyle w:val="Header"/>
    </w:pPr>
    <w:r>
      <w:rPr>
        <w:noProof/>
      </w:rPr>
      <w:pict w14:anchorId="1E01AB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57000"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8783627">
    <w:abstractNumId w:val="8"/>
  </w:num>
  <w:num w:numId="2" w16cid:durableId="1071267708">
    <w:abstractNumId w:val="6"/>
  </w:num>
  <w:num w:numId="3" w16cid:durableId="562637767">
    <w:abstractNumId w:val="5"/>
  </w:num>
  <w:num w:numId="4" w16cid:durableId="78715315">
    <w:abstractNumId w:val="4"/>
  </w:num>
  <w:num w:numId="5" w16cid:durableId="241257119">
    <w:abstractNumId w:val="7"/>
  </w:num>
  <w:num w:numId="6" w16cid:durableId="2112166729">
    <w:abstractNumId w:val="3"/>
  </w:num>
  <w:num w:numId="7" w16cid:durableId="1107626388">
    <w:abstractNumId w:val="2"/>
  </w:num>
  <w:num w:numId="8" w16cid:durableId="1407801268">
    <w:abstractNumId w:val="1"/>
  </w:num>
  <w:num w:numId="9" w16cid:durableId="129113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D7A"/>
    <w:rsid w:val="0013103D"/>
    <w:rsid w:val="0015074B"/>
    <w:rsid w:val="0017515E"/>
    <w:rsid w:val="0024590B"/>
    <w:rsid w:val="0029639D"/>
    <w:rsid w:val="00326F90"/>
    <w:rsid w:val="003A112F"/>
    <w:rsid w:val="00520E53"/>
    <w:rsid w:val="005C7368"/>
    <w:rsid w:val="00693885"/>
    <w:rsid w:val="006A135D"/>
    <w:rsid w:val="009C5A46"/>
    <w:rsid w:val="00AA1D8D"/>
    <w:rsid w:val="00B06F56"/>
    <w:rsid w:val="00B25096"/>
    <w:rsid w:val="00B47730"/>
    <w:rsid w:val="00B8169D"/>
    <w:rsid w:val="00CB0664"/>
    <w:rsid w:val="00EE47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A690CD"/>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2D3D"/>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E3E4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1F2D3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Text"/>
    <w:pPr>
      <w:spacing w:after="120" w:line="264" w:lineRule="auto"/>
    </w:pPr>
    <w:rPr>
      <w:rFonts w:ascii="Times New Roman" w:hAnsi="Times New Roman"/>
      <w:sz w:val="21"/>
    </w:rPr>
  </w:style>
  <w:style w:type="paragraph" w:customStyle="1" w:styleId="TableText">
    <w:name w:val="TableText"/>
    <w:pPr>
      <w:spacing w:after="0" w:line="240" w:lineRule="auto"/>
    </w:pPr>
    <w:rPr>
      <w:rFonts w:ascii="Times New Roman" w:hAnsi="Times New Roman"/>
      <w:sz w:val="18"/>
    </w:rPr>
  </w:style>
  <w:style w:type="paragraph" w:customStyle="1" w:styleId="Reference">
    <w:name w:val="Reference"/>
    <w:pPr>
      <w:spacing w:after="100" w:line="240" w:lineRule="auto"/>
      <w:ind w:left="432" w:hanging="432"/>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15504</Words>
  <Characters>88377</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PC New 16</cp:lastModifiedBy>
  <cp:revision>5</cp:revision>
  <dcterms:created xsi:type="dcterms:W3CDTF">2013-12-23T23:15:00Z</dcterms:created>
  <dcterms:modified xsi:type="dcterms:W3CDTF">2026-09-21T11:34:00Z</dcterms:modified>
  <cp:category/>
</cp:coreProperties>
</file>