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D8D8A" w14:textId="77777777" w:rsidR="006F2D55" w:rsidRDefault="00000000">
      <w:pPr>
        <w:spacing w:after="320" w:line="340" w:lineRule="auto"/>
        <w:jc w:val="center"/>
      </w:pPr>
      <w:r>
        <w:rPr>
          <w:b/>
          <w:bCs/>
          <w:sz w:val="30"/>
          <w:szCs w:val="30"/>
        </w:rPr>
        <w:t>Calcitonin Gene-Related Peptide-Targeted Therapies in Migraine: A Critical Appraisal of Current Evidence, Clinical Advances and Future Perspectives</w:t>
      </w:r>
    </w:p>
    <w:p w14:paraId="033BE158" w14:textId="77777777" w:rsidR="006F2D55" w:rsidRDefault="00000000">
      <w:pPr>
        <w:pStyle w:val="Heading1"/>
        <w:keepNext/>
        <w:spacing w:before="320" w:after="140" w:line="300" w:lineRule="auto"/>
      </w:pPr>
      <w:r>
        <w:rPr>
          <w:b/>
          <w:bCs/>
          <w:color w:val="000000"/>
          <w:sz w:val="26"/>
          <w:szCs w:val="26"/>
        </w:rPr>
        <w:t>Abstract</w:t>
      </w:r>
    </w:p>
    <w:p w14:paraId="2B40AA43" w14:textId="77777777" w:rsidR="006F2D55" w:rsidRDefault="00000000">
      <w:pPr>
        <w:spacing w:after="160" w:line="360" w:lineRule="auto"/>
        <w:jc w:val="both"/>
      </w:pPr>
      <w:r>
        <w:t>Migraine is among the leading causes of years lived with disability worldwide, yet for several decades its preventive pharmacology was borrowed from cardiology, epilepsy and psychiatry. Therapies directed at calcitonin gene-related peptide and its receptor constitute the first preventive class designed from migraine-specific biology, and eight agents belonging to two structural families, injectable monoclonal antibodies and small-molecule receptor antagonists known as gepants, are now in clinical use. This critical narrative review examines what the accumulated randomised, observational and pharmacovigilance evidence does and does not establish about this class in adults. Literature was identified through structured searching of biomedical and multidisciplinary scholarly databases and indexes, supplemented by backward and forward citation tracking and by examination of professional guidance, with a final search date of 15 July 2026. Studies were appraised for design adequacy, comparator choice, outcome definition, generalisability and consistency, and the evidence was organised thematically rather than study by study. Across pivotal trials the class produces reproducible but numerically modest reductions in monthly migraine days relative to placebo, typically between one and three days, while responder analyses and real-world cohorts identify a substantial subgroup deriving much larger benefit. The most defensible advantage over established oral preventive drugs lies in tolerability, treatment persistence and speed of onset rather than in average efficacy, and head-to-head and network meta-analytic evidence supports this reading. Several uncertainties persist: the biological basis of non-response, the interpretation of circulating peptide concentrations, the durability of benefit after treatment cessation, vascular safety in populations excluded from trials, the near absence of paediatric and pregnancy evidence, and the concentration of both research and access in high-income settings. Confidence in short-term efficacy and tolerability is high, whereas confidence in long-term safety, disease modification and equitable applicability remains limited. Research priorities include mechanistic stratification, pragmatic active-comparator trials, structured discontinuation studies and evidence generation beyond high-income health systems.</w:t>
      </w:r>
    </w:p>
    <w:p w14:paraId="6AD09625" w14:textId="77777777" w:rsidR="006F2D55" w:rsidRDefault="00000000">
      <w:pPr>
        <w:spacing w:after="240" w:line="360" w:lineRule="auto"/>
        <w:jc w:val="both"/>
      </w:pPr>
      <w:r>
        <w:rPr>
          <w:b/>
          <w:bCs/>
        </w:rPr>
        <w:t xml:space="preserve">Keywords: </w:t>
      </w:r>
      <w:r>
        <w:t>Calcitonin gene-related peptide; migraine prevention; monoclonal antibodies; gepants; treatment response; drug safety; health equity</w:t>
      </w:r>
    </w:p>
    <w:p w14:paraId="5F1CF70F" w14:textId="77777777" w:rsidR="006F2D55" w:rsidRDefault="00000000">
      <w:pPr>
        <w:pStyle w:val="Heading1"/>
        <w:keepNext/>
        <w:spacing w:before="320" w:after="140" w:line="300" w:lineRule="auto"/>
      </w:pPr>
      <w:r>
        <w:rPr>
          <w:b/>
          <w:bCs/>
          <w:color w:val="000000"/>
          <w:sz w:val="26"/>
          <w:szCs w:val="26"/>
        </w:rPr>
        <w:lastRenderedPageBreak/>
        <w:t>1. Introduction</w:t>
      </w:r>
    </w:p>
    <w:p w14:paraId="753EF0C2" w14:textId="77777777" w:rsidR="006F2D55" w:rsidRDefault="00000000">
      <w:pPr>
        <w:spacing w:after="160" w:line="360" w:lineRule="auto"/>
        <w:jc w:val="both"/>
      </w:pPr>
      <w:r>
        <w:t>Migraine is a common, episodic and frequently disabling disorder of the brain, characterised by recurrent attacks of moderate to severe headache with sensory hypersensitivity and, in a substantial minority, transient focal neurological aura (Ashina, 2020). It affects a large proportion of the working-age population and is consistently ranked among the leading global causes of years lived with disability. Global Burden of Disease estimates place headache disorders, of which migraine contributes the greater part of the disability burden, among the foremost non-fatal contributors to lost health across almost all world regions (GBD 2023 Headache Collaborators, 2025). Population-based prevalence estimates cluster around one in seven adults, with a marked female preponderance during reproductive years, although methodological heterogeneity between surveys accounts for a considerable part of the variation reported in the literature (Stovner et al., 2022). The public-health consequences extend well beyond the attack itself, encompassing interictal burden, reduced educational and occupational attainment, and systems of care that in most countries remain poorly matched to the scale of need (Ashina et al., 2021; Steiner &amp; Stovner, 2023).</w:t>
      </w:r>
    </w:p>
    <w:p w14:paraId="0AA73B6A" w14:textId="77777777" w:rsidR="006F2D55" w:rsidRDefault="00000000">
      <w:pPr>
        <w:spacing w:after="160" w:line="360" w:lineRule="auto"/>
        <w:jc w:val="both"/>
      </w:pPr>
      <w:r>
        <w:t>Until recently the pharmacological prevention of migraine relied entirely on medicines developed for other indications. Beta-adrenoceptor antagonists, antiseizure medicines, tricyclic antidepressants, candesartan and onabotulinumtoxinA all entered migraine practice through observation rather than design, and each carries a tolerability profile determined by its original pharmacological purpose. The clinical consequence is visible in utilisation data: real-world persistence with conventional oral preventive treatment is poor, with most patients discontinuing within months of initiation, and the reasons combine insufficient efficacy with adverse effects (Überall et al., 2026; Vandervorst et al., 2021). Large observational surveys in the United States describe a population in which only a minority of people who meet criteria for preventive treatment are receiving it, and in which unmet need persists even among those under specialist care (Hutchinson et al., 2026; Lipton et al., 2022).</w:t>
      </w:r>
    </w:p>
    <w:p w14:paraId="4C9F0B94" w14:textId="77777777" w:rsidR="006F2D55" w:rsidRDefault="00000000">
      <w:pPr>
        <w:spacing w:after="160" w:line="360" w:lineRule="auto"/>
        <w:jc w:val="both"/>
      </w:pPr>
      <w:r>
        <w:t xml:space="preserve">The scientific basis for a migraine-specific preventive class emerged from four decades of work on a single neuropeptide. Alternative processing of the primary transcript of the CALCA gene was shown to generate a 37-amino-acid peptide distinct from calcitonin, later designated calcitonin gene-related peptide (Amara et al., 1982). Jugular venous sampling during spontaneous attacks demonstrated elevated concentrations of the peptide in the cranial circulation, implicating trigeminovascular activation in the headache phase (Goadsby et al., 1990). Intravenous infusion of the peptide subsequently provoked delayed migraine-like </w:t>
      </w:r>
      <w:r>
        <w:lastRenderedPageBreak/>
        <w:t>attacks in people with migraine but not in healthy volunteers, supplying the causal link that mechanistic association alone could not provide (Lassen et al., 2002). The translation of these observations into medicines has been described as one of the more direct bench-to-clinic sequences in modern neurology (Edvinsson et al., 2018).</w:t>
      </w:r>
    </w:p>
    <w:p w14:paraId="0C8BFDD7" w14:textId="77777777" w:rsidR="006F2D55" w:rsidRDefault="00000000">
      <w:pPr>
        <w:spacing w:after="160" w:line="360" w:lineRule="auto"/>
        <w:jc w:val="both"/>
      </w:pPr>
      <w:r>
        <w:t>Two structurally distinct approaches reached clinical practice. Monoclonal antibodies directed against the peptide itself, namely eptinezumab, fremanezumab and galcanezumab, or against the canonical receptor, in the case of erenumab, are administered subcutaneously or intravenously at monthly or quarterly intervals and are used exclusively for prevention. Small-molecule receptor antagonists, the gepants, comprise ubrogepant and zavegepant for acute treatment, atogepant for prevention, and rimegepant for both indications. The two families differ substantially in molecular size, elimination half-life, tissue penetration and dosing flexibility, and these differences carry clinical implications that are not always acknowledged when the agents are grouped together as a single class (Al-Hassany et al., 2022; Labastida-Ramírez et al., 2023). Professional bodies have responded at different speeds, with some now positioning these therapies as first-line preventive options and others retaining a requirement for prior failure of conventional treatment (Charles et al., 2024; Sacco et al., 2022).</w:t>
      </w:r>
    </w:p>
    <w:p w14:paraId="7195E91C" w14:textId="77777777" w:rsidR="006F2D55" w:rsidRDefault="00000000">
      <w:pPr>
        <w:spacing w:after="160" w:line="360" w:lineRule="auto"/>
        <w:jc w:val="both"/>
      </w:pPr>
      <w:r>
        <w:t>A considerable review literature already exists. Narrative syntheses have described the pharmacology and clinical development of individual agents, network meta-analyses have compared short-term randomised outcomes across preventive drugs, and disease-oriented reviews have examined the consequences of the class for migraine care as a whole (Buse et al., 2025; Della Pietra &amp; Russo, 2026; Lampl et al., 2023; Russo &amp; Kaiser, 2026). These contributions are valuable but incomplete in specific respects. Quantitative syntheses are constrained to the 12-week to 24-week endpoints reported in registration trials and therefore cannot address durability, discontinuation or sequencing (Damen et al., 2025; Khalili et al., 2026; Messina et al., 2023). Drug-specific reviews rarely confront the discordance between the modest average treatment effects observed in trials and the large individual responses seen in clinics. Mechanistic reviews seldom engage with the health-system and equity questions that determine who actually receives these medicines. Reviews written before 2024 predate the head-to-head tolerability data, the prodromal treatment paradigm, the negative provocation-biomarker studies and the first randomised evidence in medication-overuse headache.</w:t>
      </w:r>
    </w:p>
    <w:p w14:paraId="1F1CC65E" w14:textId="77777777" w:rsidR="006F2D55" w:rsidRDefault="00000000">
      <w:pPr>
        <w:spacing w:after="160" w:line="360" w:lineRule="auto"/>
        <w:jc w:val="both"/>
      </w:pPr>
      <w:r>
        <w:t xml:space="preserve">What is missing is an integrated critical appraisal that treats the discordances in this literature as the object of analysis rather than as noise to be averaged away. Three discordances are </w:t>
      </w:r>
      <w:r>
        <w:lastRenderedPageBreak/>
        <w:t>particularly consequential. The first is between statistical superiority and clinical meaning: reproducible differences of one to three migraine days per month coexist with responder rates that vary from under a third to nearly two-thirds depending on population and definition. The second is between mechanistic confidence and biomarker failure: the causal role of the peptide is well supported experimentally, yet circulating concentrations have not behaved as a usable marker of disease or of treatment response, and the most direct provocation-based prediction strategy has failed. The third is between the maturity of the efficacy evidence and the immaturity of everything surrounding it, including long-term safety in comorbid populations, rational sequencing after failure, structured discontinuation, and availability outside high-income health systems.</w:t>
      </w:r>
    </w:p>
    <w:p w14:paraId="2DF2CCE8" w14:textId="77777777" w:rsidR="006F2D55" w:rsidRDefault="00000000">
      <w:pPr>
        <w:pStyle w:val="Heading2"/>
        <w:keepNext/>
        <w:spacing w:before="240" w:after="140" w:line="300" w:lineRule="auto"/>
      </w:pPr>
      <w:r>
        <w:rPr>
          <w:b/>
          <w:bCs/>
          <w:color w:val="000000"/>
          <w:sz w:val="24"/>
          <w:szCs w:val="24"/>
        </w:rPr>
        <w:t>1.1 Scope, Research Gap and Objectives</w:t>
      </w:r>
    </w:p>
    <w:p w14:paraId="56ABA211" w14:textId="77777777" w:rsidR="006F2D55" w:rsidRDefault="00000000">
      <w:pPr>
        <w:spacing w:after="160" w:line="360" w:lineRule="auto"/>
        <w:jc w:val="both"/>
      </w:pPr>
      <w:r>
        <w:t>This review addresses therapies that act on calcitonin gene-related peptide signalling in the preventive and acute management of migraine in adults. It covers the four monoclonal antibodies and the four small-molecule receptor antagonists that have reached regulatory approval in at least one major jurisdiction, together with the experimental agents directed at pituitary adenylate cyclase-activating polypeptide that represent the most advanced attempt to extend the same logic to a second neuropeptide. The evidence considered spans mechanistic human studies, randomised controlled trials, prospective and retrospective observational cohorts, registry and claims analyses, pharmacovigilance databases, quantitative syntheses and professional guidance.</w:t>
      </w:r>
    </w:p>
    <w:p w14:paraId="11755273" w14:textId="77777777" w:rsidR="009868C4" w:rsidRDefault="00000000">
      <w:pPr>
        <w:spacing w:after="160" w:line="360" w:lineRule="auto"/>
        <w:jc w:val="both"/>
      </w:pPr>
      <w:r>
        <w:rPr>
          <w:highlight w:val="yellow"/>
        </w:rPr>
        <w:t>Recent syntheses of monoclonal antibody evidence continue to support their role in migraine prevention while emphasizing the importance of tolerability and longer-term outcomes (Nicol &amp; Burkett, 2025; Carta et al., 2026). Contemporary reviews of gepants likewise reflect their dual role in acute and preventive treatment and their place within the same CGRP-targeted therapeutic framework (Moriarty &amp; Barch, 2025). Post-marketing evidence has further expanded safety assessment beyond registration trials, reinforcing the need to distinguish individual-agent signals from broader class-level conclusions (Giacon &amp; Terrazzino, 2026).</w:t>
      </w:r>
    </w:p>
    <w:p w14:paraId="5CE8CB4F" w14:textId="77777777" w:rsidR="006F2D55" w:rsidRDefault="00000000">
      <w:pPr>
        <w:spacing w:after="160" w:line="360" w:lineRule="auto"/>
        <w:jc w:val="both"/>
      </w:pPr>
      <w:r>
        <w:rPr>
          <w:highlight w:val="yellow"/>
        </w:rPr>
        <w:t xml:space="preserve">Several areas lie outside the scope. Non-pharmacological and neuromodulation treatments are considered only where they serve as comparators or combination partners. Trigeminal autonomic cephalalgias are discussed solely to illustrate the boundaries of pathway specificity rather than as a treatment indication in their own right. Detailed health-technology-assessment modelling, regulatory decision histories and manufacturing or formulation science are not </w:t>
      </w:r>
      <w:r>
        <w:rPr>
          <w:highlight w:val="yellow"/>
        </w:rPr>
        <w:lastRenderedPageBreak/>
        <w:t>covered. Paediatric practice is discussed as an evidence gap rather than as a body of actionable evidence, because no adequately powered efficacy trial in that population has yet been reported within the period covered by this review.</w:t>
      </w:r>
    </w:p>
    <w:p w14:paraId="69CC851E" w14:textId="77777777" w:rsidR="006F2D55" w:rsidRDefault="00000000">
      <w:pPr>
        <w:spacing w:after="160" w:line="360" w:lineRule="auto"/>
        <w:jc w:val="both"/>
      </w:pPr>
      <w:r>
        <w:t>The specific gap this review addresses is the absence of a synthesis that integrates efficacy, comparative effectiveness, safety, treatment persistence, prediction of response and access into a single critical account, and that distinguishes explicitly between conclusions that the evidence supports with confidence and those that remain conditional. Existing reviews have generally treated these domains separately, with the consequence that the internal tensions between them have not been examined.</w:t>
      </w:r>
    </w:p>
    <w:p w14:paraId="661BAD8F" w14:textId="77777777" w:rsidR="006F2D55" w:rsidRDefault="00000000">
      <w:pPr>
        <w:spacing w:after="160" w:line="360" w:lineRule="auto"/>
        <w:jc w:val="both"/>
      </w:pPr>
      <w:r>
        <w:t>Five objectives follow. The first is to evaluate the strength and the limits of the mechanistic case for targeting this pathway, including the reasons why peripheral peptide measurement has not yielded a clinical biomarker. The second is to appraise the pivotal randomised evidence for prevention and for acute treatment, with attention to comparator selection, endpoint definition, placebo response and the representativeness of enrolled populations. The third is to assess comparative effectiveness against established preventive drugs and to examine why authoritative guidance has diverged on positioning. The fourth is to appraise safety and tolerability, separating signals supported by controlled data from those that rest on mechanistic plausibility or spontaneous reporting. The fifth is to identify the clinical and scientific problems that the class has not solved and to derive prioritised research directions from them.</w:t>
      </w:r>
    </w:p>
    <w:p w14:paraId="4EDE22BC" w14:textId="77777777" w:rsidR="006F2D55" w:rsidRDefault="00000000">
      <w:pPr>
        <w:pStyle w:val="Heading1"/>
        <w:keepNext/>
        <w:spacing w:before="320" w:after="140" w:line="300" w:lineRule="auto"/>
      </w:pPr>
      <w:r>
        <w:rPr>
          <w:b/>
          <w:bCs/>
          <w:color w:val="000000"/>
          <w:sz w:val="26"/>
          <w:szCs w:val="26"/>
        </w:rPr>
        <w:t>2. Methods for Literature Selection</w:t>
      </w:r>
    </w:p>
    <w:p w14:paraId="3AE773B1" w14:textId="77777777" w:rsidR="006F2D55" w:rsidRDefault="00000000">
      <w:pPr>
        <w:pStyle w:val="Heading2"/>
        <w:keepNext/>
        <w:spacing w:before="240" w:after="140" w:line="300" w:lineRule="auto"/>
      </w:pPr>
      <w:r>
        <w:rPr>
          <w:b/>
          <w:bCs/>
          <w:color w:val="000000"/>
          <w:sz w:val="24"/>
          <w:szCs w:val="24"/>
        </w:rPr>
        <w:t>2.1 Review Design and Rationale</w:t>
      </w:r>
    </w:p>
    <w:p w14:paraId="5C4E2EA2" w14:textId="77777777" w:rsidR="006F2D55" w:rsidRDefault="00000000">
      <w:pPr>
        <w:spacing w:after="160" w:line="360" w:lineRule="auto"/>
        <w:jc w:val="both"/>
      </w:pPr>
      <w:r>
        <w:t xml:space="preserve">A critical narrative design was selected rather than a systematic review or meta-analysis because the review question is interpretive rather than estimative. The aim is not to produce a pooled estimate of effect for a single comparison, which several recent quantitative syntheses have already done competently, but to examine why estimates differ across populations, why trial and clinic experience diverge, and which conclusions the combined evidence can bear. The literature relevant to this question is deliberately heterogeneous in design, encompassing experimental provocation studies, registration trials, registry cohorts, claims analyses and pharmacovigilance signals, and forcing such material into a common quantitative framework would suppress precisely the contrasts that require analysis. The argument that narrative synthesis is a legitimate and sometimes superior method for questions of this kind, provided </w:t>
      </w:r>
      <w:r>
        <w:lastRenderedPageBreak/>
        <w:t>that it is conducted transparently, has been made explicitly in the methodological literature (Greenhalgh et al., 2018).</w:t>
      </w:r>
    </w:p>
    <w:p w14:paraId="3E5FD4D1" w14:textId="77777777" w:rsidR="006F2D55" w:rsidRDefault="00000000">
      <w:pPr>
        <w:spacing w:after="160" w:line="360" w:lineRule="auto"/>
        <w:jc w:val="both"/>
      </w:pPr>
      <w:r>
        <w:t>Narrative design does not license selective citation or the omission of critical appraisal. The conduct of this review was guided by the domains of the Scale for the Assessment of Narrative Review Articles, which specifies justification of importance, statement of aims, description of the literature search, referencing of statements, scientific reasoning and appropriate presentation of data (Baethge et al., 2019). Each domain was used prospectively as a design requirement rather than retrospectively as a scoring exercise: the search was specified before selection, every substantive claim was traced to an identified source, conflicting findings were reported rather than reconciled by omission, and the strength attributed to each conclusion was calibrated to the design and consistency of the underlying studies.</w:t>
      </w:r>
    </w:p>
    <w:p w14:paraId="7D743934" w14:textId="77777777" w:rsidR="006F2D55" w:rsidRDefault="00000000">
      <w:pPr>
        <w:pStyle w:val="Heading2"/>
        <w:keepNext/>
        <w:spacing w:before="240" w:after="140" w:line="300" w:lineRule="auto"/>
      </w:pPr>
      <w:r>
        <w:rPr>
          <w:b/>
          <w:bCs/>
          <w:color w:val="000000"/>
          <w:sz w:val="24"/>
          <w:szCs w:val="24"/>
        </w:rPr>
        <w:t>2.2 Information Sources</w:t>
      </w:r>
    </w:p>
    <w:p w14:paraId="6EC37394" w14:textId="77777777" w:rsidR="006F2D55" w:rsidRDefault="00000000">
      <w:pPr>
        <w:spacing w:after="160" w:line="360" w:lineRule="auto"/>
        <w:jc w:val="both"/>
      </w:pPr>
      <w:r>
        <w:t>Bibliographic searching was conducted in PubMed, Europe PMC, PubMed Central, Crossref, the Directory of Open Access Journals, Semantic Scholar and Google Scholar. These sources were selected for their coverage of clinical neurology, clinical pharmacology and public health, and for their inclusion of both subscription and open-access literature. Bibliographic metadata retrieved from any single source were cross-checked against at least one other, and the digital object identifier of every included record was resolved to confirm that it corresponded to the cited article.</w:t>
      </w:r>
    </w:p>
    <w:p w14:paraId="5B35DFFD" w14:textId="77777777" w:rsidR="006F2D55" w:rsidRDefault="00000000">
      <w:pPr>
        <w:spacing w:after="160" w:line="360" w:lineRule="auto"/>
        <w:jc w:val="both"/>
      </w:pPr>
      <w:r>
        <w:t>Database searching was supplemented in four ways. Reference lists of recent narrative reviews, systematic reviews, network meta-analyses and consensus statements were examined for studies not retrieved by the primary searches. Forward citation tracking was applied to the pivotal randomised trials and to the principal mechanistic papers. Related-record functions were used to identify companion publications such as open-label extensions, subgroup analyses and long-term follow-up reports. The websites of headache societies and of national and international professional bodies were consulted for current guidance and position statements. Each included record was additionally checked for corrections, expressions of concern and retraction notices, and no included source was found to be retracted.</w:t>
      </w:r>
    </w:p>
    <w:p w14:paraId="3CDEC40D" w14:textId="77777777" w:rsidR="006F2D55" w:rsidRDefault="00000000">
      <w:pPr>
        <w:pStyle w:val="Heading2"/>
        <w:keepNext/>
        <w:spacing w:before="240" w:after="140" w:line="300" w:lineRule="auto"/>
      </w:pPr>
      <w:r>
        <w:rPr>
          <w:b/>
          <w:bCs/>
          <w:color w:val="000000"/>
          <w:sz w:val="24"/>
          <w:szCs w:val="24"/>
        </w:rPr>
        <w:t>2.3 Search Strategy and Search Period</w:t>
      </w:r>
    </w:p>
    <w:p w14:paraId="49140A14" w14:textId="77777777" w:rsidR="006F2D55" w:rsidRDefault="00000000">
      <w:pPr>
        <w:spacing w:after="160" w:line="360" w:lineRule="auto"/>
        <w:jc w:val="both"/>
      </w:pPr>
      <w:r>
        <w:t xml:space="preserve">Search concepts were constructed around four axes: the molecular target and its pathway, the therapeutic agents and their classes, the clinical condition and its subtypes, and the outcome </w:t>
      </w:r>
      <w:r>
        <w:lastRenderedPageBreak/>
        <w:t>and safety domains of interest. Controlled vocabulary was combined with free-text terms where the indexing of a source permitted it. A representative strategy combined the target and agent axis, expressed as ("calcitonin gene-related peptide" OR CGRP OR erenumab OR fremanezumab OR galcanezumab OR eptinezumab OR gepant OR ubrogepant OR rimegepant OR atogepant OR zavegepant OR telcagepant), with the condition axis, expressed as (migraine OR "chronic migraine" OR "episodic migraine" OR "medication overuse headache" OR "refractory migraine"), and, where a narrower yield was required, with an outcome axis expressed as (efficacy OR effectiveness OR safety OR tolerability OR persistence OR discontinuation OR "cardiovascular" OR pregnancy OR "cost-effectiveness" OR access OR equity). Field restrictions to title and abstract were applied where a broad concept generated unmanageable yield, and publication-type filters were used to isolate randomised controlled trials, systematic reviews, meta-analyses and guidance documents when a specific evidence stratum was being sought.</w:t>
      </w:r>
    </w:p>
    <w:p w14:paraId="20D37590" w14:textId="77777777" w:rsidR="006F2D55" w:rsidRDefault="00000000">
      <w:pPr>
        <w:spacing w:after="160" w:line="360" w:lineRule="auto"/>
        <w:jc w:val="both"/>
      </w:pPr>
      <w:r>
        <w:t>The search period began in 1982, the year in which alternative processing of the calcitonin gene transcript was first described, because that publication marks the origin of the therapeutic concept under review. The final search date was 15 July 2026, and no record with a first publication date after that day was eligible for inclusion. Foundational publications predating the modern therapeutic era were retained where they were necessary to explain the historical development of the field.</w:t>
      </w:r>
    </w:p>
    <w:p w14:paraId="6B51D60C" w14:textId="77777777" w:rsidR="006F2D55" w:rsidRDefault="00000000">
      <w:pPr>
        <w:pStyle w:val="Heading2"/>
        <w:keepNext/>
        <w:spacing w:before="240" w:after="140" w:line="300" w:lineRule="auto"/>
      </w:pPr>
      <w:r>
        <w:rPr>
          <w:b/>
          <w:bCs/>
          <w:color w:val="000000"/>
          <w:sz w:val="24"/>
          <w:szCs w:val="24"/>
        </w:rPr>
        <w:t>2.4 Eligibility Criteria</w:t>
      </w:r>
    </w:p>
    <w:p w14:paraId="3D8D882A" w14:textId="77777777" w:rsidR="006F2D55" w:rsidRDefault="00000000">
      <w:pPr>
        <w:spacing w:after="160" w:line="360" w:lineRule="auto"/>
        <w:jc w:val="both"/>
      </w:pPr>
      <w:r>
        <w:t xml:space="preserve">Eligible publications were peer-reviewed journal articles reporting original research, quantitative or qualitative synthesis, or formal professional guidance relevant to calcitonin gene-related peptide-targeted therapy in migraine. Populations of interest were adults with episodic or chronic migraine, including those with medication-overuse headache, previous preventive treatment failure, or relevant comorbidity; studies in children and adolescents were eligible and were sought specifically in order to characterise the extent of the evidence gap in that population. Eligible study designs included randomised controlled trials and their pre-planned extensions, controlled and uncontrolled observational cohorts, registry and administrative claims analyses, case-control and cross-sectional biomarker studies, human experimental provocation studies, pharmacovigilance database analyses, systematic reviews, network meta-analyses and consensus documents. Outcomes of interest were migraine and headache frequency, responder proportions, acute-medication use, disability and quality-of-life </w:t>
      </w:r>
      <w:r>
        <w:lastRenderedPageBreak/>
        <w:t>measures, treatment persistence and discontinuation, adverse events, vascular and gastrointestinal safety endpoints, immunogenicity, and measures of treatment access and expenditure. Publications in English were included; language restriction is acknowledged in the Limitations section.</w:t>
      </w:r>
    </w:p>
    <w:p w14:paraId="79AD8C32" w14:textId="77777777" w:rsidR="006F2D55" w:rsidRDefault="00000000">
      <w:pPr>
        <w:spacing w:after="160" w:line="360" w:lineRule="auto"/>
        <w:jc w:val="both"/>
      </w:pPr>
      <w:r>
        <w:t>Excluded were publications whose bibliographic identity could not be confirmed, preprints where peer-reviewed evidence on the same question existed, conference abstracts reported without full peer-reviewed publication, commercial promotional material, non-scholarly commentary, and studies in which the therapeutic exposure or the outcome could not be attributed with reasonable confidence. Purely preclinical work was excluded unless it was required to explain a mechanism directly relevant to the interpretation of human data. Patents were not treated as evidence of therapeutic effect.</w:t>
      </w:r>
    </w:p>
    <w:p w14:paraId="11E84B4F" w14:textId="77777777" w:rsidR="006F2D55" w:rsidRDefault="00000000">
      <w:pPr>
        <w:pStyle w:val="Heading2"/>
        <w:keepNext/>
        <w:spacing w:before="240" w:after="140" w:line="300" w:lineRule="auto"/>
      </w:pPr>
      <w:r>
        <w:rPr>
          <w:b/>
          <w:bCs/>
          <w:color w:val="000000"/>
          <w:sz w:val="24"/>
          <w:szCs w:val="24"/>
        </w:rPr>
        <w:t>2.5 Screening, Duplicate Handling and Study Selection</w:t>
      </w:r>
    </w:p>
    <w:p w14:paraId="179DD3F8" w14:textId="77777777" w:rsidR="006F2D55" w:rsidRDefault="00000000">
      <w:pPr>
        <w:spacing w:after="160" w:line="360" w:lineRule="auto"/>
        <w:jc w:val="both"/>
      </w:pPr>
      <w:r>
        <w:t>Records retrieved by each search were screened first by title and abstract against the eligibility criteria, and records passing this stage were assessed against the full text or, where full text was not accessible, against the complete abstract together with verified bibliographic metadata. Records for which neither full text nor a sufficiently detailed abstract could be obtained were not cited. Duplicates arising from overlapping coverage between sources were identified by matching digital object identifiers and, where an identifier was absent, by matching title, first author and journal, and were resolved to a single record. Preprint versions of articles that had subsequently appeared in peer-reviewed journals were replaced by the published version. Where a trial had generated multiple publications, the primary report was treated as the principal source and companion publications were cited only where they contributed information not present in the primary report.</w:t>
      </w:r>
    </w:p>
    <w:p w14:paraId="1CD98266" w14:textId="77777777" w:rsidR="006F2D55" w:rsidRDefault="00000000">
      <w:pPr>
        <w:spacing w:after="160" w:line="360" w:lineRule="auto"/>
        <w:jc w:val="both"/>
      </w:pPr>
      <w:r>
        <w:t>Selection was purposive rather than exhaustive, as is appropriate to a narrative design, and was directed by conceptual contribution rather than by citation count alone. No numerical record counts are reported, because the screening process was not conducted as a documented systematic selection with duplicate independent assessment, and reporting such counts would misrepresent the method. No flow diagram is presented for the same reason.</w:t>
      </w:r>
    </w:p>
    <w:p w14:paraId="5F6C4A76" w14:textId="77777777" w:rsidR="006F2D55" w:rsidRDefault="00000000">
      <w:pPr>
        <w:pStyle w:val="Heading2"/>
        <w:keepNext/>
        <w:spacing w:before="240" w:after="140" w:line="300" w:lineRule="auto"/>
      </w:pPr>
      <w:r>
        <w:rPr>
          <w:b/>
          <w:bCs/>
          <w:color w:val="000000"/>
          <w:sz w:val="24"/>
          <w:szCs w:val="24"/>
        </w:rPr>
        <w:t>2.6 Critical Appraisal and Evidence Synthesis</w:t>
      </w:r>
    </w:p>
    <w:p w14:paraId="58716EAD" w14:textId="77777777" w:rsidR="006F2D55" w:rsidRDefault="00000000">
      <w:pPr>
        <w:spacing w:after="160" w:line="360" w:lineRule="auto"/>
        <w:jc w:val="both"/>
      </w:pPr>
      <w:r>
        <w:t xml:space="preserve">Included studies were appraised against criteria appropriate to their design rather than by a single instrument, and no formal risk-of-bias score was assigned, since applying a validated </w:t>
      </w:r>
      <w:r>
        <w:lastRenderedPageBreak/>
        <w:t>tool retrospectively without duplicate assessment would confer unwarranted precision. For randomised trials, appraisal considered the adequacy of randomisation and masking, the choice of comparator, the definition and clinical meaning of the primary endpoint, the magnitude of the placebo response, the handling of missing data, trial duration relative to the natural history of the disorder, and the representativeness of the enrolled population. For observational studies, appraisal considered the risk of confounding by indication, the completeness and source of outcome ascertainment, the presence and comparability of a control group, attrition, and the extent to which channelling and secular trends had been addressed. For quantitative syntheses, appraisal considered the coherence of the evidence network, the certainty ratings reported by the authors, the extent of industry sponsorship among contributing trials, and the degree to which indirect comparisons carried the conclusions. For pharmacovigilance analyses, appraisal recognised that spontaneous reporting can generate hypotheses but cannot estimate incidence.</w:t>
      </w:r>
    </w:p>
    <w:p w14:paraId="12AFCC93" w14:textId="77777777" w:rsidR="006F2D55" w:rsidRDefault="00000000">
      <w:pPr>
        <w:spacing w:after="160" w:line="360" w:lineRule="auto"/>
        <w:jc w:val="both"/>
      </w:pPr>
      <w:r>
        <w:t>Synthesis proceeded thematically. Studies were grouped by the analytical problem they addressed rather than by agent or by chronology, and within each theme the strongest supporting evidence was set against conflicting or null findings. Where results diverged, the review sought explanations in population selection, endpoint definition, assay methodology, duration of observation or analytic approach before attributing the divergence to true heterogeneity of effect. Confidence in each conclusion was described in the text in proportion to the consistency, design quality and independence of the supporting studies, and claims of causation were reserved for relationships supported by experimental manipulation.</w:t>
      </w:r>
    </w:p>
    <w:p w14:paraId="7D47E230" w14:textId="77777777" w:rsidR="006F2D55" w:rsidRDefault="00000000">
      <w:pPr>
        <w:pStyle w:val="Heading1"/>
        <w:keepNext/>
        <w:spacing w:before="320" w:after="140" w:line="300" w:lineRule="auto"/>
      </w:pPr>
      <w:r>
        <w:rPr>
          <w:b/>
          <w:bCs/>
          <w:color w:val="000000"/>
          <w:sz w:val="26"/>
          <w:szCs w:val="26"/>
        </w:rPr>
        <w:t>3. The Calcitonin Gene-Related Peptide System and the Biological Case for Targeting It</w:t>
      </w:r>
    </w:p>
    <w:p w14:paraId="49BD53E2" w14:textId="77777777" w:rsidR="006F2D55" w:rsidRDefault="00000000">
      <w:pPr>
        <w:pStyle w:val="Heading2"/>
        <w:keepNext/>
        <w:spacing w:before="240" w:after="140" w:line="300" w:lineRule="auto"/>
      </w:pPr>
      <w:r>
        <w:rPr>
          <w:b/>
          <w:bCs/>
          <w:color w:val="000000"/>
          <w:sz w:val="24"/>
          <w:szCs w:val="24"/>
        </w:rPr>
        <w:t>3.1 Peptide, receptors and anatomical organisation</w:t>
      </w:r>
    </w:p>
    <w:p w14:paraId="7F47D618" w14:textId="77777777" w:rsidR="006F2D55" w:rsidRDefault="00000000">
      <w:pPr>
        <w:spacing w:after="160" w:line="360" w:lineRule="auto"/>
        <w:jc w:val="both"/>
      </w:pPr>
      <w:r>
        <w:t xml:space="preserve">Calcitonin gene-related peptide is produced by tissue-specific alternative processing of the primary transcript of the CALCA gene, which yields calcitonin in thyroidal C cells and the 37-amino-acid neuropeptide in neural tissue (Amara et al., 1982). A closely related beta isoform is encoded by a separate gene and is expressed predominantly in the enteric nervous system. The canonical receptor is a heterodimer of the calcitonin receptor-like receptor and receptor activity-modifying protein 1, an arrangement that confers ligand selectivity and that has proved amenable to both antibody and small-molecule antagonism. A second receptor assembly formed by the calcitonin receptor with the same accessory protein also responds to the peptide, </w:t>
      </w:r>
      <w:r>
        <w:lastRenderedPageBreak/>
        <w:t>and its existence is one reason why blocking the ligand and blocking the canonical receptor are not pharmacologically equivalent operations (Al-Hassany et al., 2022; Edvinsson et al., 2018).</w:t>
      </w:r>
    </w:p>
    <w:p w14:paraId="01ED647D" w14:textId="77777777" w:rsidR="006F2D55" w:rsidRDefault="00000000">
      <w:pPr>
        <w:spacing w:after="160" w:line="360" w:lineRule="auto"/>
        <w:jc w:val="both"/>
      </w:pPr>
      <w:r>
        <w:t>Within the trigeminovascular system the peptide is expressed in a large subpopulation of small and medium trigeminal ganglion neurons and is released from perivascular fibres innervating dural and pial vessels. Receptor components are distributed on smooth muscle, on satellite glial cells within the ganglion, on trigeminal Aδ fibres and at central second-order sites in the trigeminocervical complex. This distribution explains the two principal actions attributed to the peptide in migraine: potent and long-lasting cranial vasodilatation, and facilitation of nociceptive transmission through peripheral sensitisation and modulation of synaptic transmission (Edvinsson et al., 2018; Labastida-Ramírez et al., 2023). The peptide also functions widely outside the trigeminal system, contributing to systemic vasoregulation, gastrointestinal motility and secretion, wound repair and immune signalling, which is the anatomical basis for anticipating class effects beyond the intended target (Holzer &amp; Holzer-Petsche, 2022; MaassenVanDenBrink et al., 2016).</w:t>
      </w:r>
    </w:p>
    <w:p w14:paraId="0B34B600" w14:textId="77777777" w:rsidR="006F2D55" w:rsidRDefault="00000000">
      <w:pPr>
        <w:pStyle w:val="Heading2"/>
        <w:keepNext/>
        <w:spacing w:before="240" w:after="140" w:line="300" w:lineRule="auto"/>
      </w:pPr>
      <w:r>
        <w:rPr>
          <w:b/>
          <w:bCs/>
          <w:color w:val="000000"/>
          <w:sz w:val="24"/>
          <w:szCs w:val="24"/>
        </w:rPr>
        <w:t>3.2 The strength of the causal argument</w:t>
      </w:r>
    </w:p>
    <w:p w14:paraId="0036E663" w14:textId="77777777" w:rsidR="006F2D55" w:rsidRDefault="00000000">
      <w:pPr>
        <w:spacing w:after="160" w:line="360" w:lineRule="auto"/>
        <w:jc w:val="both"/>
      </w:pPr>
      <w:r>
        <w:t>Three lines of human evidence support a causal rather than merely associative role. Sampling from the external jugular vein during spontaneous attacks showed elevated peptide concentrations in the cranial venous outflow that fell with successful acute treatment, establishing temporal association with the headache phase (Goadsby et al., 1990). Controlled intravenous infusion in people with migraine reproduced delayed attacks that met diagnostic criteria, and did so at a rate substantially exceeding that seen in controls, establishing sufficiency under experimental conditions (Lassen et al., 2002). Pharmacological blockade at the receptor terminated attacks in a randomised trial of the first intravenous antagonist, establishing that interruption of the pathway alters the clinical course (Olesen et al., 2004). The convergence of association, provocation and blockade is stronger than the evidence available for any earlier migraine target.</w:t>
      </w:r>
    </w:p>
    <w:p w14:paraId="553119E7" w14:textId="77777777" w:rsidR="006F2D55" w:rsidRDefault="00000000">
      <w:pPr>
        <w:spacing w:after="160" w:line="360" w:lineRule="auto"/>
        <w:jc w:val="both"/>
      </w:pPr>
      <w:r>
        <w:t xml:space="preserve">The argument nonetheless has boundaries that are frequently understated. Provocation succeeds in a majority but not all of those tested, blockade is effective in roughly half of treated patients under trial conditions, and the peptide is one of several vasoactive neuropeptides capable of provoking attacks. Pituitary adenylate cyclase-activating polypeptide provokes attacks through a partly distinct signalling route, and interest in it as a second target is a direct acknowledgement that the pathway under review does not account for the whole disorder </w:t>
      </w:r>
      <w:r>
        <w:lastRenderedPageBreak/>
        <w:t>(Della Pietra et al., 2025). The most defensible formulation is that the peptide is a necessary participant in attack generation for a large proportion of patients rather than the single final common mediator for all of them.</w:t>
      </w:r>
    </w:p>
    <w:p w14:paraId="57BB9B79" w14:textId="77777777" w:rsidR="006F2D55" w:rsidRDefault="00000000">
      <w:pPr>
        <w:pStyle w:val="Heading2"/>
        <w:keepNext/>
        <w:spacing w:before="240" w:after="140" w:line="300" w:lineRule="auto"/>
      </w:pPr>
      <w:r>
        <w:rPr>
          <w:b/>
          <w:bCs/>
          <w:color w:val="000000"/>
          <w:sz w:val="24"/>
          <w:szCs w:val="24"/>
        </w:rPr>
        <w:t>3.3 Where the drugs act, and why molecular size matters</w:t>
      </w:r>
    </w:p>
    <w:p w14:paraId="53484926" w14:textId="77777777" w:rsidR="006F2D55" w:rsidRDefault="00000000">
      <w:pPr>
        <w:spacing w:after="160" w:line="360" w:lineRule="auto"/>
        <w:jc w:val="both"/>
      </w:pPr>
      <w:r>
        <w:t>The site of action of these therapies remains incompletely resolved, and the uncertainty has practical consequences. Monoclonal antibodies are large molecules with negligible penetration of an intact blood-brain barrier, and their effect is therefore usually attributed to peripheral sites: the trigeminal ganglion, which lies outside the barrier, the dural vasculature, and perivascular fibres. Gepants are small enough to enter the central nervous system to a limited degree, but the available human data do not establish that central action is required for efficacy, and the comparable effect sizes achieved by antibodies argue that a peripheral site is sufficient (Labastida-Ramírez et al., 2023). Molecular size also determines pharmacokinetics. Antibodies have elimination half-lives measured in weeks, producing sustained receptor occupancy, tolerance of imperfect adherence and slow reversibility. Gepants are cleared within a day, permitting on-demand use, rapid discontinuation and flexible transitions between acute and preventive dosing, at the cost of requiring consistent daily or alternate-day administration for prevention (Al-Hassany et al., 2022).</w:t>
      </w:r>
    </w:p>
    <w:p w14:paraId="172B08A1" w14:textId="77777777" w:rsidR="006F2D55" w:rsidRDefault="00000000">
      <w:pPr>
        <w:spacing w:after="160" w:line="360" w:lineRule="auto"/>
        <w:jc w:val="both"/>
      </w:pPr>
      <w:r>
        <w:t>A further asymmetry lies in what is blocked. Antibodies directed at the ligand neutralise the peptide irrespective of which receptor it would have engaged, whereas erenumab blocks the canonical receptor and leaves signalling through the alternative receptor assembly, and signalling by related peptides such as adrenomedullin and amylin, comparatively unaffected. This distinction is mechanistically real but has not translated into reproducible differences in migraine efficacy across trials, and the clearest clinical correlate is instead found in adverse-effect profiles, particularly the greater prominence of constipation with receptor blockade (Kudrow et al., 2022). Confidence that the two approaches are therapeutically interchangeable is therefore moderate for efficacy and low for tolerability.</w:t>
      </w:r>
    </w:p>
    <w:p w14:paraId="68F6C973" w14:textId="77777777" w:rsidR="006F2D55" w:rsidRDefault="00000000">
      <w:pPr>
        <w:pStyle w:val="Heading2"/>
        <w:keepNext/>
        <w:spacing w:before="240" w:after="140" w:line="300" w:lineRule="auto"/>
      </w:pPr>
      <w:r>
        <w:rPr>
          <w:b/>
          <w:bCs/>
          <w:color w:val="000000"/>
          <w:sz w:val="24"/>
          <w:szCs w:val="24"/>
        </w:rPr>
        <w:t>3.4 Circulating peptide concentrations: an instructive biomarker failure</w:t>
      </w:r>
    </w:p>
    <w:p w14:paraId="5E9B2D1F" w14:textId="77777777" w:rsidR="006F2D55" w:rsidRDefault="00000000">
      <w:pPr>
        <w:spacing w:after="160" w:line="360" w:lineRule="auto"/>
        <w:jc w:val="both"/>
      </w:pPr>
      <w:r>
        <w:t xml:space="preserve">If the peptide drives attacks, its circulating concentration should in principle index disease activity, and a substantial literature has tested this expectation with conflicting results. A well-conducted study in chronic migraine reported that serum alpha isoform concentrations were higher in patients than in matched controls, that they fell progressively during antibody treatment irrespective of whether the ligand or the receptor was targeted, and that the magnitude </w:t>
      </w:r>
      <w:r>
        <w:lastRenderedPageBreak/>
        <w:t>of the fall correlated with the reduction in monthly migraine days and with reversal of analgesic overuse, while the beta isoform showed neither difference nor treatment-related change (Gárate et al., 2023). This pattern is coherent and supports the peptide as a candidate marker of chronic migraine.</w:t>
      </w:r>
    </w:p>
    <w:p w14:paraId="021EF122" w14:textId="77777777" w:rsidR="006F2D55" w:rsidRDefault="00000000">
      <w:pPr>
        <w:spacing w:after="160" w:line="360" w:lineRule="auto"/>
        <w:jc w:val="both"/>
      </w:pPr>
      <w:r>
        <w:t>A considerably larger registry-based study using a validated radioimmunoassay reached the opposite conclusion. Among 588 participants with migraine compared with 147 matched controls, median plasma concentrations were modestly lower rather than higher in migraine, did not differ across migraine subtypes or between ictal and interictal states, and were unrelated to headache frequency; the findings persisted in sensitivity analyses restricted to headache-free participants (Karlsson et al., 2026). Reconciling these results is not straightforward. The studies differ in assay platform, in whether serum or plasma with protease inhibition was sampled, in isoform specificity, in sampling site relative to the cranial circulation, and in the clinical composition of the cohorts, and any of these could account for the discrepancy. What cannot be sustained on current evidence is the assumption, still encountered in the literature, that peripheral venous peptide concentration is an established marker of migraine biology.</w:t>
      </w:r>
    </w:p>
    <w:p w14:paraId="781543EB" w14:textId="77777777" w:rsidR="006F2D55" w:rsidRDefault="00000000">
      <w:pPr>
        <w:spacing w:after="160" w:line="360" w:lineRule="auto"/>
        <w:jc w:val="both"/>
      </w:pPr>
      <w:r>
        <w:t>The most direct attempt to convert the mechanistic model into a predictive test has also failed. In a prospective study, 139 participants underwent controlled infusion of the peptide before starting erenumab, on the hypothesis that experimentally demonstrated hypersensitivity would identify those who would respond. Among participants in whom infusion provoked a migraine attack, 61% achieved at least a 50% reduction in monthly migraine days during weeks 13 to 24, compared with 52% of those in whom it did not, a difference that was not statistically significant (Al-Khazali et al., 2024). The provocation model, which is the closest available human assay of pathway dependence, therefore does not discriminate responders from non-responders. Taken together with the biomarker literature, this indicates that clinical response is determined by factors downstream or independent of measurable peptide handling, and it explains why prediction has so far relied on clinical rather than biological variables. Table 1 summarises the pharmacological characteristics that distinguish the agents in current use and that underlie several of the clinical differences examined in later sections.</w:t>
      </w:r>
    </w:p>
    <w:p w14:paraId="62DB92C5" w14:textId="77777777" w:rsidR="006F2D55" w:rsidRDefault="00000000">
      <w:pPr>
        <w:keepNext/>
        <w:spacing w:before="200" w:after="100" w:line="260" w:lineRule="auto"/>
      </w:pPr>
      <w:r>
        <w:rPr>
          <w:b/>
          <w:bCs/>
          <w:sz w:val="20"/>
          <w:szCs w:val="20"/>
        </w:rPr>
        <w:t>Table 1. Pharmacological and administration characteristics of calcitonin gene-related peptide-targeted therapies in clinical use</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1AED1392" w14:textId="77777777">
        <w:trPr>
          <w:tblHeader/>
        </w:trPr>
        <w:tc>
          <w:tcPr>
            <w:tcW w:w="1500" w:type="dxa"/>
            <w:shd w:val="clear" w:color="auto" w:fill="E8E8E8"/>
            <w:tcMar>
              <w:top w:w="60" w:type="dxa"/>
              <w:left w:w="80" w:type="dxa"/>
              <w:bottom w:w="60" w:type="dxa"/>
              <w:right w:w="80" w:type="dxa"/>
            </w:tcMar>
          </w:tcPr>
          <w:p w14:paraId="1C9A7ED6" w14:textId="77777777" w:rsidR="006F2D55" w:rsidRDefault="00000000">
            <w:r>
              <w:rPr>
                <w:b/>
                <w:bCs/>
                <w:sz w:val="18"/>
                <w:szCs w:val="18"/>
              </w:rPr>
              <w:t>Agent</w:t>
            </w:r>
          </w:p>
        </w:tc>
        <w:tc>
          <w:tcPr>
            <w:tcW w:w="1900" w:type="dxa"/>
            <w:shd w:val="clear" w:color="auto" w:fill="E8E8E8"/>
            <w:tcMar>
              <w:top w:w="60" w:type="dxa"/>
              <w:left w:w="80" w:type="dxa"/>
              <w:bottom w:w="60" w:type="dxa"/>
              <w:right w:w="80" w:type="dxa"/>
            </w:tcMar>
          </w:tcPr>
          <w:p w14:paraId="6E00A777" w14:textId="77777777" w:rsidR="006F2D55" w:rsidRDefault="00000000">
            <w:r>
              <w:rPr>
                <w:b/>
                <w:bCs/>
                <w:sz w:val="18"/>
                <w:szCs w:val="18"/>
              </w:rPr>
              <w:t>Molecular target and class</w:t>
            </w:r>
          </w:p>
        </w:tc>
        <w:tc>
          <w:tcPr>
            <w:tcW w:w="1900" w:type="dxa"/>
            <w:shd w:val="clear" w:color="auto" w:fill="E8E8E8"/>
            <w:tcMar>
              <w:top w:w="60" w:type="dxa"/>
              <w:left w:w="80" w:type="dxa"/>
              <w:bottom w:w="60" w:type="dxa"/>
              <w:right w:w="80" w:type="dxa"/>
            </w:tcMar>
          </w:tcPr>
          <w:p w14:paraId="2A256443" w14:textId="77777777" w:rsidR="006F2D55" w:rsidRDefault="00000000">
            <w:r>
              <w:rPr>
                <w:b/>
                <w:bCs/>
                <w:sz w:val="18"/>
                <w:szCs w:val="18"/>
              </w:rPr>
              <w:t>Route and interval</w:t>
            </w:r>
          </w:p>
        </w:tc>
        <w:tc>
          <w:tcPr>
            <w:tcW w:w="1900" w:type="dxa"/>
            <w:shd w:val="clear" w:color="auto" w:fill="E8E8E8"/>
            <w:tcMar>
              <w:top w:w="60" w:type="dxa"/>
              <w:left w:w="80" w:type="dxa"/>
              <w:bottom w:w="60" w:type="dxa"/>
              <w:right w:w="80" w:type="dxa"/>
            </w:tcMar>
          </w:tcPr>
          <w:p w14:paraId="778424B2" w14:textId="77777777" w:rsidR="006F2D55" w:rsidRDefault="00000000">
            <w:r>
              <w:rPr>
                <w:b/>
                <w:bCs/>
                <w:sz w:val="18"/>
                <w:szCs w:val="18"/>
              </w:rPr>
              <w:t>Principal established indication</w:t>
            </w:r>
          </w:p>
        </w:tc>
        <w:tc>
          <w:tcPr>
            <w:tcW w:w="1826" w:type="dxa"/>
            <w:shd w:val="clear" w:color="auto" w:fill="E8E8E8"/>
            <w:tcMar>
              <w:top w:w="60" w:type="dxa"/>
              <w:left w:w="80" w:type="dxa"/>
              <w:bottom w:w="60" w:type="dxa"/>
              <w:right w:w="80" w:type="dxa"/>
            </w:tcMar>
          </w:tcPr>
          <w:p w14:paraId="2380B002" w14:textId="77777777" w:rsidR="006F2D55" w:rsidRDefault="00000000">
            <w:r>
              <w:rPr>
                <w:b/>
                <w:bCs/>
                <w:sz w:val="18"/>
                <w:szCs w:val="18"/>
              </w:rPr>
              <w:t>Supporting references</w:t>
            </w:r>
          </w:p>
        </w:tc>
      </w:tr>
      <w:tr w:rsidR="006F2D55" w14:paraId="7969E618" w14:textId="77777777">
        <w:tc>
          <w:tcPr>
            <w:tcW w:w="1500" w:type="dxa"/>
            <w:tcMar>
              <w:top w:w="60" w:type="dxa"/>
              <w:left w:w="80" w:type="dxa"/>
              <w:bottom w:w="60" w:type="dxa"/>
              <w:right w:w="80" w:type="dxa"/>
            </w:tcMar>
          </w:tcPr>
          <w:p w14:paraId="14148F86" w14:textId="77777777" w:rsidR="006F2D55" w:rsidRDefault="00000000">
            <w:r>
              <w:rPr>
                <w:sz w:val="18"/>
                <w:szCs w:val="18"/>
              </w:rPr>
              <w:t>Erenumab</w:t>
            </w:r>
          </w:p>
        </w:tc>
        <w:tc>
          <w:tcPr>
            <w:tcW w:w="1900" w:type="dxa"/>
            <w:tcMar>
              <w:top w:w="60" w:type="dxa"/>
              <w:left w:w="80" w:type="dxa"/>
              <w:bottom w:w="60" w:type="dxa"/>
              <w:right w:w="80" w:type="dxa"/>
            </w:tcMar>
          </w:tcPr>
          <w:p w14:paraId="73D2C618" w14:textId="77777777" w:rsidR="006F2D55" w:rsidRDefault="00000000">
            <w:r>
              <w:rPr>
                <w:sz w:val="18"/>
                <w:szCs w:val="18"/>
              </w:rPr>
              <w:t xml:space="preserve">Canonical receptor; fully human </w:t>
            </w:r>
            <w:r>
              <w:rPr>
                <w:sz w:val="18"/>
                <w:szCs w:val="18"/>
              </w:rPr>
              <w:lastRenderedPageBreak/>
              <w:t>immunoglobulin G2 monoclonal antibody</w:t>
            </w:r>
          </w:p>
        </w:tc>
        <w:tc>
          <w:tcPr>
            <w:tcW w:w="1900" w:type="dxa"/>
            <w:tcMar>
              <w:top w:w="60" w:type="dxa"/>
              <w:left w:w="80" w:type="dxa"/>
              <w:bottom w:w="60" w:type="dxa"/>
              <w:right w:w="80" w:type="dxa"/>
            </w:tcMar>
          </w:tcPr>
          <w:p w14:paraId="78066C52" w14:textId="77777777" w:rsidR="006F2D55" w:rsidRDefault="00000000">
            <w:r>
              <w:rPr>
                <w:sz w:val="18"/>
                <w:szCs w:val="18"/>
              </w:rPr>
              <w:lastRenderedPageBreak/>
              <w:t>Subcutaneous, monthly</w:t>
            </w:r>
          </w:p>
        </w:tc>
        <w:tc>
          <w:tcPr>
            <w:tcW w:w="1900" w:type="dxa"/>
            <w:tcMar>
              <w:top w:w="60" w:type="dxa"/>
              <w:left w:w="80" w:type="dxa"/>
              <w:bottom w:w="60" w:type="dxa"/>
              <w:right w:w="80" w:type="dxa"/>
            </w:tcMar>
          </w:tcPr>
          <w:p w14:paraId="29766B52"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3EFFE110" w14:textId="77777777" w:rsidR="006F2D55" w:rsidRDefault="00000000">
            <w:r w:rsidRPr="00F477EC">
              <w:rPr>
                <w:sz w:val="18"/>
                <w:szCs w:val="18"/>
                <w:lang w:val="nl-BE"/>
              </w:rPr>
              <w:t xml:space="preserve">Al-Hassany et al. (2022); Goadsby et al. </w:t>
            </w:r>
            <w:r>
              <w:rPr>
                <w:sz w:val="18"/>
                <w:szCs w:val="18"/>
              </w:rPr>
              <w:lastRenderedPageBreak/>
              <w:t>(2017); Tepper et al. (2020)</w:t>
            </w:r>
          </w:p>
        </w:tc>
      </w:tr>
      <w:tr w:rsidR="006F2D55" w14:paraId="4DBE9DA2" w14:textId="77777777">
        <w:tc>
          <w:tcPr>
            <w:tcW w:w="1500" w:type="dxa"/>
            <w:tcMar>
              <w:top w:w="60" w:type="dxa"/>
              <w:left w:w="80" w:type="dxa"/>
              <w:bottom w:w="60" w:type="dxa"/>
              <w:right w:w="80" w:type="dxa"/>
            </w:tcMar>
          </w:tcPr>
          <w:p w14:paraId="6EAD2B44" w14:textId="77777777" w:rsidR="006F2D55" w:rsidRDefault="00000000">
            <w:r>
              <w:rPr>
                <w:sz w:val="18"/>
                <w:szCs w:val="18"/>
              </w:rPr>
              <w:lastRenderedPageBreak/>
              <w:t>Fremanezumab</w:t>
            </w:r>
          </w:p>
        </w:tc>
        <w:tc>
          <w:tcPr>
            <w:tcW w:w="1900" w:type="dxa"/>
            <w:tcMar>
              <w:top w:w="60" w:type="dxa"/>
              <w:left w:w="80" w:type="dxa"/>
              <w:bottom w:w="60" w:type="dxa"/>
              <w:right w:w="80" w:type="dxa"/>
            </w:tcMar>
          </w:tcPr>
          <w:p w14:paraId="0461B5FC" w14:textId="77777777" w:rsidR="006F2D55" w:rsidRDefault="00000000">
            <w:r>
              <w:rPr>
                <w:sz w:val="18"/>
                <w:szCs w:val="18"/>
              </w:rPr>
              <w:t>Peptide ligand; humanised immunoglobulin G2 monoclonal antibody</w:t>
            </w:r>
          </w:p>
        </w:tc>
        <w:tc>
          <w:tcPr>
            <w:tcW w:w="1900" w:type="dxa"/>
            <w:tcMar>
              <w:top w:w="60" w:type="dxa"/>
              <w:left w:w="80" w:type="dxa"/>
              <w:bottom w:w="60" w:type="dxa"/>
              <w:right w:w="80" w:type="dxa"/>
            </w:tcMar>
          </w:tcPr>
          <w:p w14:paraId="338F35C7" w14:textId="77777777" w:rsidR="006F2D55" w:rsidRDefault="00000000">
            <w:r>
              <w:rPr>
                <w:sz w:val="18"/>
                <w:szCs w:val="18"/>
              </w:rPr>
              <w:t>Subcutaneous, monthly or quarterly</w:t>
            </w:r>
          </w:p>
        </w:tc>
        <w:tc>
          <w:tcPr>
            <w:tcW w:w="1900" w:type="dxa"/>
            <w:tcMar>
              <w:top w:w="60" w:type="dxa"/>
              <w:left w:w="80" w:type="dxa"/>
              <w:bottom w:w="60" w:type="dxa"/>
              <w:right w:w="80" w:type="dxa"/>
            </w:tcMar>
          </w:tcPr>
          <w:p w14:paraId="180ED3BC"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0BDD8EDE" w14:textId="77777777" w:rsidR="006F2D55" w:rsidRDefault="00000000">
            <w:r w:rsidRPr="00F477EC">
              <w:rPr>
                <w:sz w:val="18"/>
                <w:szCs w:val="18"/>
                <w:lang w:val="nl-BE"/>
              </w:rPr>
              <w:t xml:space="preserve">Dodick et al. (2018); Goadsby et al. </w:t>
            </w:r>
            <w:r>
              <w:rPr>
                <w:sz w:val="18"/>
                <w:szCs w:val="18"/>
              </w:rPr>
              <w:t>(2020); Silberstein et al. (2017)</w:t>
            </w:r>
          </w:p>
        </w:tc>
      </w:tr>
      <w:tr w:rsidR="006F2D55" w14:paraId="7350496A" w14:textId="77777777">
        <w:tc>
          <w:tcPr>
            <w:tcW w:w="1500" w:type="dxa"/>
            <w:tcMar>
              <w:top w:w="60" w:type="dxa"/>
              <w:left w:w="80" w:type="dxa"/>
              <w:bottom w:w="60" w:type="dxa"/>
              <w:right w:w="80" w:type="dxa"/>
            </w:tcMar>
          </w:tcPr>
          <w:p w14:paraId="24B23887" w14:textId="77777777" w:rsidR="006F2D55" w:rsidRDefault="00000000">
            <w:r>
              <w:rPr>
                <w:sz w:val="18"/>
                <w:szCs w:val="18"/>
              </w:rPr>
              <w:t>Galcanezumab</w:t>
            </w:r>
          </w:p>
        </w:tc>
        <w:tc>
          <w:tcPr>
            <w:tcW w:w="1900" w:type="dxa"/>
            <w:tcMar>
              <w:top w:w="60" w:type="dxa"/>
              <w:left w:w="80" w:type="dxa"/>
              <w:bottom w:w="60" w:type="dxa"/>
              <w:right w:w="80" w:type="dxa"/>
            </w:tcMar>
          </w:tcPr>
          <w:p w14:paraId="642F635D" w14:textId="77777777" w:rsidR="006F2D55" w:rsidRDefault="00000000">
            <w:r>
              <w:rPr>
                <w:sz w:val="18"/>
                <w:szCs w:val="18"/>
              </w:rPr>
              <w:t>Peptide ligand; humanised immunoglobulin G4 monoclonal antibody</w:t>
            </w:r>
          </w:p>
        </w:tc>
        <w:tc>
          <w:tcPr>
            <w:tcW w:w="1900" w:type="dxa"/>
            <w:tcMar>
              <w:top w:w="60" w:type="dxa"/>
              <w:left w:w="80" w:type="dxa"/>
              <w:bottom w:w="60" w:type="dxa"/>
              <w:right w:w="80" w:type="dxa"/>
            </w:tcMar>
          </w:tcPr>
          <w:p w14:paraId="0903DC34" w14:textId="77777777" w:rsidR="006F2D55" w:rsidRDefault="00000000">
            <w:r>
              <w:rPr>
                <w:sz w:val="18"/>
                <w:szCs w:val="18"/>
              </w:rPr>
              <w:t>Subcutaneous, monthly after loading dose</w:t>
            </w:r>
          </w:p>
        </w:tc>
        <w:tc>
          <w:tcPr>
            <w:tcW w:w="1900" w:type="dxa"/>
            <w:tcMar>
              <w:top w:w="60" w:type="dxa"/>
              <w:left w:w="80" w:type="dxa"/>
              <w:bottom w:w="60" w:type="dxa"/>
              <w:right w:w="80" w:type="dxa"/>
            </w:tcMar>
          </w:tcPr>
          <w:p w14:paraId="74235C34" w14:textId="77777777" w:rsidR="006F2D55" w:rsidRDefault="00000000">
            <w:r>
              <w:rPr>
                <w:sz w:val="18"/>
                <w:szCs w:val="18"/>
              </w:rPr>
              <w:t>Prevention of episodic and chronic migraine; episodic cluster headache</w:t>
            </w:r>
          </w:p>
        </w:tc>
        <w:tc>
          <w:tcPr>
            <w:tcW w:w="1826" w:type="dxa"/>
            <w:tcMar>
              <w:top w:w="60" w:type="dxa"/>
              <w:left w:w="80" w:type="dxa"/>
              <w:bottom w:w="60" w:type="dxa"/>
              <w:right w:w="80" w:type="dxa"/>
            </w:tcMar>
          </w:tcPr>
          <w:p w14:paraId="0B952244" w14:textId="77777777" w:rsidR="006F2D55" w:rsidRDefault="00000000">
            <w:r w:rsidRPr="00F477EC">
              <w:rPr>
                <w:sz w:val="18"/>
                <w:szCs w:val="18"/>
                <w:lang w:val="nl-BE"/>
              </w:rPr>
              <w:t xml:space="preserve">Detke et al. (2018); Goadsby et al. </w:t>
            </w:r>
            <w:r>
              <w:rPr>
                <w:sz w:val="18"/>
                <w:szCs w:val="18"/>
              </w:rPr>
              <w:t>(2019); Stauffer et al. (2018)</w:t>
            </w:r>
          </w:p>
        </w:tc>
      </w:tr>
      <w:tr w:rsidR="006F2D55" w14:paraId="353D11E8" w14:textId="77777777">
        <w:tc>
          <w:tcPr>
            <w:tcW w:w="1500" w:type="dxa"/>
            <w:tcMar>
              <w:top w:w="60" w:type="dxa"/>
              <w:left w:w="80" w:type="dxa"/>
              <w:bottom w:w="60" w:type="dxa"/>
              <w:right w:w="80" w:type="dxa"/>
            </w:tcMar>
          </w:tcPr>
          <w:p w14:paraId="6A1D68FB" w14:textId="77777777" w:rsidR="006F2D55" w:rsidRDefault="00000000">
            <w:r>
              <w:rPr>
                <w:sz w:val="18"/>
                <w:szCs w:val="18"/>
              </w:rPr>
              <w:t>Eptinezumab</w:t>
            </w:r>
          </w:p>
        </w:tc>
        <w:tc>
          <w:tcPr>
            <w:tcW w:w="1900" w:type="dxa"/>
            <w:tcMar>
              <w:top w:w="60" w:type="dxa"/>
              <w:left w:w="80" w:type="dxa"/>
              <w:bottom w:w="60" w:type="dxa"/>
              <w:right w:w="80" w:type="dxa"/>
            </w:tcMar>
          </w:tcPr>
          <w:p w14:paraId="05516098" w14:textId="77777777" w:rsidR="006F2D55" w:rsidRDefault="00000000">
            <w:r>
              <w:rPr>
                <w:sz w:val="18"/>
                <w:szCs w:val="18"/>
              </w:rPr>
              <w:t>Peptide ligand; humanised immunoglobulin G1 monoclonal antibody</w:t>
            </w:r>
          </w:p>
        </w:tc>
        <w:tc>
          <w:tcPr>
            <w:tcW w:w="1900" w:type="dxa"/>
            <w:tcMar>
              <w:top w:w="60" w:type="dxa"/>
              <w:left w:w="80" w:type="dxa"/>
              <w:bottom w:w="60" w:type="dxa"/>
              <w:right w:w="80" w:type="dxa"/>
            </w:tcMar>
          </w:tcPr>
          <w:p w14:paraId="1DF360EA" w14:textId="77777777" w:rsidR="006F2D55" w:rsidRDefault="00000000">
            <w:r>
              <w:rPr>
                <w:sz w:val="18"/>
                <w:szCs w:val="18"/>
              </w:rPr>
              <w:t>Intravenous infusion, quarterly</w:t>
            </w:r>
          </w:p>
        </w:tc>
        <w:tc>
          <w:tcPr>
            <w:tcW w:w="1900" w:type="dxa"/>
            <w:tcMar>
              <w:top w:w="60" w:type="dxa"/>
              <w:left w:w="80" w:type="dxa"/>
              <w:bottom w:w="60" w:type="dxa"/>
              <w:right w:w="80" w:type="dxa"/>
            </w:tcMar>
          </w:tcPr>
          <w:p w14:paraId="1CD9C59B"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697E818E" w14:textId="77777777" w:rsidR="006F2D55" w:rsidRDefault="00000000">
            <w:r w:rsidRPr="00F477EC">
              <w:rPr>
                <w:sz w:val="18"/>
                <w:szCs w:val="18"/>
                <w:lang w:val="nl-BE"/>
              </w:rPr>
              <w:t xml:space="preserve">Ashina et al. (2020); Ashina et al. (2022); Lipton et al. </w:t>
            </w:r>
            <w:r>
              <w:rPr>
                <w:sz w:val="18"/>
                <w:szCs w:val="18"/>
              </w:rPr>
              <w:t>(2020)</w:t>
            </w:r>
          </w:p>
        </w:tc>
      </w:tr>
      <w:tr w:rsidR="006F2D55" w14:paraId="37A5957C" w14:textId="77777777">
        <w:tc>
          <w:tcPr>
            <w:tcW w:w="1500" w:type="dxa"/>
            <w:tcMar>
              <w:top w:w="60" w:type="dxa"/>
              <w:left w:w="80" w:type="dxa"/>
              <w:bottom w:w="60" w:type="dxa"/>
              <w:right w:w="80" w:type="dxa"/>
            </w:tcMar>
          </w:tcPr>
          <w:p w14:paraId="02E4CBA6" w14:textId="77777777" w:rsidR="006F2D55" w:rsidRDefault="00000000">
            <w:r>
              <w:rPr>
                <w:sz w:val="18"/>
                <w:szCs w:val="18"/>
              </w:rPr>
              <w:t>Atogepant</w:t>
            </w:r>
          </w:p>
        </w:tc>
        <w:tc>
          <w:tcPr>
            <w:tcW w:w="1900" w:type="dxa"/>
            <w:tcMar>
              <w:top w:w="60" w:type="dxa"/>
              <w:left w:w="80" w:type="dxa"/>
              <w:bottom w:w="60" w:type="dxa"/>
              <w:right w:w="80" w:type="dxa"/>
            </w:tcMar>
          </w:tcPr>
          <w:p w14:paraId="1E655508"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307BD074" w14:textId="77777777" w:rsidR="006F2D55" w:rsidRDefault="00000000">
            <w:r>
              <w:rPr>
                <w:sz w:val="18"/>
                <w:szCs w:val="18"/>
              </w:rPr>
              <w:t>Oral, once or twice daily</w:t>
            </w:r>
          </w:p>
        </w:tc>
        <w:tc>
          <w:tcPr>
            <w:tcW w:w="1900" w:type="dxa"/>
            <w:tcMar>
              <w:top w:w="60" w:type="dxa"/>
              <w:left w:w="80" w:type="dxa"/>
              <w:bottom w:w="60" w:type="dxa"/>
              <w:right w:w="80" w:type="dxa"/>
            </w:tcMar>
          </w:tcPr>
          <w:p w14:paraId="18F8B3A1"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180FF7E4" w14:textId="77777777" w:rsidR="006F2D55" w:rsidRDefault="00000000">
            <w:r w:rsidRPr="00F477EC">
              <w:rPr>
                <w:sz w:val="18"/>
                <w:szCs w:val="18"/>
                <w:lang w:val="nl-BE"/>
              </w:rPr>
              <w:t xml:space="preserve">Ailani et al. (2021); Pozo-Rosich et al. </w:t>
            </w:r>
            <w:r>
              <w:rPr>
                <w:sz w:val="18"/>
                <w:szCs w:val="18"/>
              </w:rPr>
              <w:t>(2023); Tassorelli et al. (2024)</w:t>
            </w:r>
          </w:p>
        </w:tc>
      </w:tr>
      <w:tr w:rsidR="006F2D55" w14:paraId="6FF2190F" w14:textId="77777777">
        <w:tc>
          <w:tcPr>
            <w:tcW w:w="1500" w:type="dxa"/>
            <w:tcMar>
              <w:top w:w="60" w:type="dxa"/>
              <w:left w:w="80" w:type="dxa"/>
              <w:bottom w:w="60" w:type="dxa"/>
              <w:right w:w="80" w:type="dxa"/>
            </w:tcMar>
          </w:tcPr>
          <w:p w14:paraId="66647D9A" w14:textId="77777777" w:rsidR="006F2D55" w:rsidRDefault="00000000">
            <w:r>
              <w:rPr>
                <w:sz w:val="18"/>
                <w:szCs w:val="18"/>
              </w:rPr>
              <w:t>Rimegepant</w:t>
            </w:r>
          </w:p>
        </w:tc>
        <w:tc>
          <w:tcPr>
            <w:tcW w:w="1900" w:type="dxa"/>
            <w:tcMar>
              <w:top w:w="60" w:type="dxa"/>
              <w:left w:w="80" w:type="dxa"/>
              <w:bottom w:w="60" w:type="dxa"/>
              <w:right w:w="80" w:type="dxa"/>
            </w:tcMar>
          </w:tcPr>
          <w:p w14:paraId="383368B1"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27442FC9" w14:textId="77777777" w:rsidR="006F2D55" w:rsidRDefault="00000000">
            <w:r>
              <w:rPr>
                <w:sz w:val="18"/>
                <w:szCs w:val="18"/>
              </w:rPr>
              <w:t>Oral, as needed for attacks or on alternate days for prevention</w:t>
            </w:r>
          </w:p>
        </w:tc>
        <w:tc>
          <w:tcPr>
            <w:tcW w:w="1900" w:type="dxa"/>
            <w:tcMar>
              <w:top w:w="60" w:type="dxa"/>
              <w:left w:w="80" w:type="dxa"/>
              <w:bottom w:w="60" w:type="dxa"/>
              <w:right w:w="80" w:type="dxa"/>
            </w:tcMar>
          </w:tcPr>
          <w:p w14:paraId="7DE9F18E" w14:textId="77777777" w:rsidR="006F2D55" w:rsidRDefault="00000000">
            <w:r>
              <w:rPr>
                <w:sz w:val="18"/>
                <w:szCs w:val="18"/>
              </w:rPr>
              <w:t>Acute treatment and prevention of migraine</w:t>
            </w:r>
          </w:p>
        </w:tc>
        <w:tc>
          <w:tcPr>
            <w:tcW w:w="1826" w:type="dxa"/>
            <w:tcMar>
              <w:top w:w="60" w:type="dxa"/>
              <w:left w:w="80" w:type="dxa"/>
              <w:bottom w:w="60" w:type="dxa"/>
              <w:right w:w="80" w:type="dxa"/>
            </w:tcMar>
          </w:tcPr>
          <w:p w14:paraId="12E4D5FD" w14:textId="77777777" w:rsidR="006F2D55" w:rsidRDefault="00000000">
            <w:r w:rsidRPr="00F477EC">
              <w:rPr>
                <w:sz w:val="18"/>
                <w:szCs w:val="18"/>
                <w:lang w:val="nl-BE"/>
              </w:rPr>
              <w:t xml:space="preserve">Croop et al. (2019); Croop et al. </w:t>
            </w:r>
            <w:r>
              <w:rPr>
                <w:sz w:val="18"/>
                <w:szCs w:val="18"/>
              </w:rPr>
              <w:t>(2021); Lipton et al. (2019b)</w:t>
            </w:r>
          </w:p>
        </w:tc>
      </w:tr>
      <w:tr w:rsidR="006F2D55" w14:paraId="5940E94A" w14:textId="77777777">
        <w:tc>
          <w:tcPr>
            <w:tcW w:w="1500" w:type="dxa"/>
            <w:tcMar>
              <w:top w:w="60" w:type="dxa"/>
              <w:left w:w="80" w:type="dxa"/>
              <w:bottom w:w="60" w:type="dxa"/>
              <w:right w:w="80" w:type="dxa"/>
            </w:tcMar>
          </w:tcPr>
          <w:p w14:paraId="35B83F99" w14:textId="77777777" w:rsidR="006F2D55" w:rsidRDefault="00000000">
            <w:r>
              <w:rPr>
                <w:sz w:val="18"/>
                <w:szCs w:val="18"/>
              </w:rPr>
              <w:t>Ubrogepant</w:t>
            </w:r>
          </w:p>
        </w:tc>
        <w:tc>
          <w:tcPr>
            <w:tcW w:w="1900" w:type="dxa"/>
            <w:tcMar>
              <w:top w:w="60" w:type="dxa"/>
              <w:left w:w="80" w:type="dxa"/>
              <w:bottom w:w="60" w:type="dxa"/>
              <w:right w:w="80" w:type="dxa"/>
            </w:tcMar>
          </w:tcPr>
          <w:p w14:paraId="786CA0D4"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7A62D375" w14:textId="77777777" w:rsidR="006F2D55" w:rsidRDefault="00000000">
            <w:r>
              <w:rPr>
                <w:sz w:val="18"/>
                <w:szCs w:val="18"/>
              </w:rPr>
              <w:t>Oral, as needed</w:t>
            </w:r>
          </w:p>
        </w:tc>
        <w:tc>
          <w:tcPr>
            <w:tcW w:w="1900" w:type="dxa"/>
            <w:tcMar>
              <w:top w:w="60" w:type="dxa"/>
              <w:left w:w="80" w:type="dxa"/>
              <w:bottom w:w="60" w:type="dxa"/>
              <w:right w:w="80" w:type="dxa"/>
            </w:tcMar>
          </w:tcPr>
          <w:p w14:paraId="3C5725D1" w14:textId="77777777" w:rsidR="006F2D55" w:rsidRDefault="00000000">
            <w:r>
              <w:rPr>
                <w:sz w:val="18"/>
                <w:szCs w:val="18"/>
              </w:rPr>
              <w:t>Acute treatment of migraine, including during the prodrome</w:t>
            </w:r>
          </w:p>
        </w:tc>
        <w:tc>
          <w:tcPr>
            <w:tcW w:w="1826" w:type="dxa"/>
            <w:tcMar>
              <w:top w:w="60" w:type="dxa"/>
              <w:left w:w="80" w:type="dxa"/>
              <w:bottom w:w="60" w:type="dxa"/>
              <w:right w:w="80" w:type="dxa"/>
            </w:tcMar>
          </w:tcPr>
          <w:p w14:paraId="76529592" w14:textId="77777777" w:rsidR="006F2D55" w:rsidRDefault="00000000">
            <w:r w:rsidRPr="00F477EC">
              <w:rPr>
                <w:sz w:val="18"/>
                <w:szCs w:val="18"/>
                <w:lang w:val="nl-BE"/>
              </w:rPr>
              <w:t xml:space="preserve">Dodick et al. (2019); Dodick et al. </w:t>
            </w:r>
            <w:r>
              <w:rPr>
                <w:sz w:val="18"/>
                <w:szCs w:val="18"/>
              </w:rPr>
              <w:t>(2023); Lipton et al. (2019a)</w:t>
            </w:r>
          </w:p>
        </w:tc>
      </w:tr>
      <w:tr w:rsidR="006F2D55" w14:paraId="3E0332AE" w14:textId="77777777">
        <w:tc>
          <w:tcPr>
            <w:tcW w:w="1500" w:type="dxa"/>
            <w:tcMar>
              <w:top w:w="60" w:type="dxa"/>
              <w:left w:w="80" w:type="dxa"/>
              <w:bottom w:w="60" w:type="dxa"/>
              <w:right w:w="80" w:type="dxa"/>
            </w:tcMar>
          </w:tcPr>
          <w:p w14:paraId="2A42A16A" w14:textId="77777777" w:rsidR="006F2D55" w:rsidRDefault="00000000">
            <w:r>
              <w:rPr>
                <w:sz w:val="18"/>
                <w:szCs w:val="18"/>
              </w:rPr>
              <w:t>Zavegepant</w:t>
            </w:r>
          </w:p>
        </w:tc>
        <w:tc>
          <w:tcPr>
            <w:tcW w:w="1900" w:type="dxa"/>
            <w:tcMar>
              <w:top w:w="60" w:type="dxa"/>
              <w:left w:w="80" w:type="dxa"/>
              <w:bottom w:w="60" w:type="dxa"/>
              <w:right w:w="80" w:type="dxa"/>
            </w:tcMar>
          </w:tcPr>
          <w:p w14:paraId="593717B4" w14:textId="77777777" w:rsidR="006F2D55" w:rsidRDefault="00000000">
            <w:r>
              <w:rPr>
                <w:sz w:val="18"/>
                <w:szCs w:val="18"/>
              </w:rPr>
              <w:t>Canonical receptor; small-molecule antagonist formulated for nasal delivery</w:t>
            </w:r>
          </w:p>
        </w:tc>
        <w:tc>
          <w:tcPr>
            <w:tcW w:w="1900" w:type="dxa"/>
            <w:tcMar>
              <w:top w:w="60" w:type="dxa"/>
              <w:left w:w="80" w:type="dxa"/>
              <w:bottom w:w="60" w:type="dxa"/>
              <w:right w:w="80" w:type="dxa"/>
            </w:tcMar>
          </w:tcPr>
          <w:p w14:paraId="31953713" w14:textId="77777777" w:rsidR="006F2D55" w:rsidRDefault="00000000">
            <w:r>
              <w:rPr>
                <w:sz w:val="18"/>
                <w:szCs w:val="18"/>
              </w:rPr>
              <w:t>Intranasal, as needed</w:t>
            </w:r>
          </w:p>
        </w:tc>
        <w:tc>
          <w:tcPr>
            <w:tcW w:w="1900" w:type="dxa"/>
            <w:tcMar>
              <w:top w:w="60" w:type="dxa"/>
              <w:left w:w="80" w:type="dxa"/>
              <w:bottom w:w="60" w:type="dxa"/>
              <w:right w:w="80" w:type="dxa"/>
            </w:tcMar>
          </w:tcPr>
          <w:p w14:paraId="446E8FD8" w14:textId="77777777" w:rsidR="006F2D55" w:rsidRDefault="00000000">
            <w:r>
              <w:rPr>
                <w:sz w:val="18"/>
                <w:szCs w:val="18"/>
              </w:rPr>
              <w:t>Acute treatment of migraine</w:t>
            </w:r>
          </w:p>
        </w:tc>
        <w:tc>
          <w:tcPr>
            <w:tcW w:w="1826" w:type="dxa"/>
            <w:tcMar>
              <w:top w:w="60" w:type="dxa"/>
              <w:left w:w="80" w:type="dxa"/>
              <w:bottom w:w="60" w:type="dxa"/>
              <w:right w:w="80" w:type="dxa"/>
            </w:tcMar>
          </w:tcPr>
          <w:p w14:paraId="6091374B" w14:textId="77777777" w:rsidR="006F2D55" w:rsidRDefault="00000000">
            <w:r w:rsidRPr="00F477EC">
              <w:rPr>
                <w:sz w:val="18"/>
                <w:szCs w:val="18"/>
                <w:lang w:val="nl-BE"/>
              </w:rPr>
              <w:t xml:space="preserve">Lipton et al. (2023); Zhu et al. </w:t>
            </w:r>
            <w:r>
              <w:rPr>
                <w:sz w:val="18"/>
                <w:szCs w:val="18"/>
              </w:rPr>
              <w:t>(2025)</w:t>
            </w:r>
          </w:p>
        </w:tc>
      </w:tr>
      <w:tr w:rsidR="006F2D55" w14:paraId="4A87EF53" w14:textId="77777777">
        <w:tc>
          <w:tcPr>
            <w:tcW w:w="1500" w:type="dxa"/>
            <w:tcMar>
              <w:top w:w="60" w:type="dxa"/>
              <w:left w:w="80" w:type="dxa"/>
              <w:bottom w:w="60" w:type="dxa"/>
              <w:right w:w="80" w:type="dxa"/>
            </w:tcMar>
          </w:tcPr>
          <w:p w14:paraId="1BBC0F69" w14:textId="77777777" w:rsidR="006F2D55" w:rsidRDefault="00000000">
            <w:r>
              <w:rPr>
                <w:sz w:val="18"/>
                <w:szCs w:val="18"/>
              </w:rPr>
              <w:t>Telcagepant (withdrawn)</w:t>
            </w:r>
          </w:p>
        </w:tc>
        <w:tc>
          <w:tcPr>
            <w:tcW w:w="1900" w:type="dxa"/>
            <w:tcMar>
              <w:top w:w="60" w:type="dxa"/>
              <w:left w:w="80" w:type="dxa"/>
              <w:bottom w:w="60" w:type="dxa"/>
              <w:right w:w="80" w:type="dxa"/>
            </w:tcMar>
          </w:tcPr>
          <w:p w14:paraId="18A7EC97"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7D2C0E3B" w14:textId="77777777" w:rsidR="006F2D55" w:rsidRDefault="00000000">
            <w:r>
              <w:rPr>
                <w:sz w:val="18"/>
                <w:szCs w:val="18"/>
              </w:rPr>
              <w:t>Oral, discontinued in development</w:t>
            </w:r>
          </w:p>
        </w:tc>
        <w:tc>
          <w:tcPr>
            <w:tcW w:w="1900" w:type="dxa"/>
            <w:tcMar>
              <w:top w:w="60" w:type="dxa"/>
              <w:left w:w="80" w:type="dxa"/>
              <w:bottom w:w="60" w:type="dxa"/>
              <w:right w:w="80" w:type="dxa"/>
            </w:tcMar>
          </w:tcPr>
          <w:p w14:paraId="1E2AE22D" w14:textId="77777777" w:rsidR="006F2D55" w:rsidRDefault="00000000">
            <w:r>
              <w:rPr>
                <w:sz w:val="18"/>
                <w:szCs w:val="18"/>
              </w:rPr>
              <w:t>Historical comparator; development halted after hepatic signals</w:t>
            </w:r>
          </w:p>
        </w:tc>
        <w:tc>
          <w:tcPr>
            <w:tcW w:w="1826" w:type="dxa"/>
            <w:tcMar>
              <w:top w:w="60" w:type="dxa"/>
              <w:left w:w="80" w:type="dxa"/>
              <w:bottom w:w="60" w:type="dxa"/>
              <w:right w:w="80" w:type="dxa"/>
            </w:tcMar>
          </w:tcPr>
          <w:p w14:paraId="6E338BD2" w14:textId="77777777" w:rsidR="006F2D55" w:rsidRDefault="00000000">
            <w:r w:rsidRPr="00F477EC">
              <w:rPr>
                <w:sz w:val="18"/>
                <w:szCs w:val="18"/>
                <w:lang w:val="nl-BE"/>
              </w:rPr>
              <w:t xml:space="preserve">Ho et al. (2014); Woodhead et al. </w:t>
            </w:r>
            <w:r>
              <w:rPr>
                <w:sz w:val="18"/>
                <w:szCs w:val="18"/>
              </w:rPr>
              <w:t>(2022)</w:t>
            </w:r>
          </w:p>
        </w:tc>
      </w:tr>
    </w:tbl>
    <w:p w14:paraId="5BF51CB1" w14:textId="77777777" w:rsidR="006F2D55" w:rsidRDefault="00000000">
      <w:pPr>
        <w:spacing w:before="90" w:after="260"/>
      </w:pPr>
      <w:r>
        <w:rPr>
          <w:i/>
          <w:iCs/>
          <w:sz w:val="18"/>
          <w:szCs w:val="18"/>
        </w:rPr>
        <w:t>Note. Indications reflect the principal uses supported by the randomised evidence cited and may differ between regulatory jurisdictions. Immunoglobulin subclass is stated because it influences effector function and elimination. The alternative receptor assembly formed by the calcitonin receptor with receptor activity-modifying protein 1 is engaged by ligand-directed but not by receptor-directed agents.</w:t>
      </w:r>
    </w:p>
    <w:p w14:paraId="655A8E76" w14:textId="77777777" w:rsidR="006F2D55" w:rsidRDefault="00000000">
      <w:pPr>
        <w:pStyle w:val="Heading1"/>
        <w:keepNext/>
        <w:spacing w:before="320" w:after="140" w:line="300" w:lineRule="auto"/>
      </w:pPr>
      <w:r>
        <w:rPr>
          <w:b/>
          <w:bCs/>
          <w:color w:val="000000"/>
          <w:sz w:val="26"/>
          <w:szCs w:val="26"/>
        </w:rPr>
        <w:t>4. Preventive Monoclonal Antibodies: What the Pivotal Evidence Establishes and What It Does Not</w:t>
      </w:r>
    </w:p>
    <w:p w14:paraId="5E182EBD" w14:textId="77777777" w:rsidR="006F2D55" w:rsidRDefault="00000000">
      <w:pPr>
        <w:pStyle w:val="Heading2"/>
        <w:keepNext/>
        <w:spacing w:before="240" w:after="140" w:line="300" w:lineRule="auto"/>
      </w:pPr>
      <w:r>
        <w:rPr>
          <w:b/>
          <w:bCs/>
          <w:color w:val="000000"/>
          <w:sz w:val="24"/>
          <w:szCs w:val="24"/>
        </w:rPr>
        <w:t>4.1 Episodic migraine</w:t>
      </w:r>
    </w:p>
    <w:p w14:paraId="60C5FBC0" w14:textId="77777777" w:rsidR="006F2D55" w:rsidRDefault="00000000">
      <w:pPr>
        <w:spacing w:after="160" w:line="360" w:lineRule="auto"/>
        <w:jc w:val="both"/>
      </w:pPr>
      <w:r>
        <w:t xml:space="preserve">The registration programme for episodic migraine was large, methodologically conventional and remarkably consistent. In the STRIVE trial, 955 participants with a baseline of 8.3 monthly migraine days received erenumab 70 mg, erenumab 140 mg or placebo for six months; migraine days fell by 3.2 and 3.7 days respectively against 1.8 days with placebo, and at least half of migraine days were eliminated in 43.3% and 50.0% of participants compared with 26.6% of those receiving placebo (Goadsby et al., 2017). Fremanezumab produced reductions of 1.5 days with monthly dosing and 1.3 days with a single higher quarterly dose relative to </w:t>
      </w:r>
      <w:r>
        <w:lastRenderedPageBreak/>
        <w:t>placebo among 875 participants (Dodick et al., 2018). Galcanezumab reduced monthly migraine headache days by 4.7 and 4.6 days at the two doses tested against 2.8 days with placebo in EVOLVE-1, and by 4.3 and 4.2 days against 2.3 days in EVOLVE-2 (Skljarevski et al., 2018; Stauffer et al., 2018). Eptinezumab, administered intravenously every twelve weeks, reduced migraine days by 3.9 days at 100 mg and 4.3 days at 300 mg against 3.2 days with placebo in PROMISE-1 (Ashina et al., 2020).</w:t>
      </w:r>
    </w:p>
    <w:p w14:paraId="2657CE97" w14:textId="77777777" w:rsidR="006F2D55" w:rsidRDefault="00000000">
      <w:pPr>
        <w:spacing w:after="160" w:line="360" w:lineRule="auto"/>
        <w:jc w:val="both"/>
      </w:pPr>
      <w:r>
        <w:t>Two features of this dataset deserve more critical attention than they usually receive. The first is the size of the placebo response, which reached 2.3 to 3.2 monthly migraine days across the programme and in PROMISE-1 consumed roughly three-quarters of the total improvement observed on active treatment. A placebo response of this magnitude is characteristic of migraine prevention trials and reflects regression to the mean, diary effects, natural fluctuation and expectation, but it means that the incremental pharmacological contribution in unselected episodic migraine is small in absolute terms. The second is the absence of dose-response above the lower approved dose for three of the four antibodies, with the higher doses of galcanezumab and eptinezumab and, in most analyses, of erenumab conferring no clear additional benefit. Flat dose-response is consistent with near-saturation of the target at conventional doses, which in turn implies that non-response is unlikely to be overcome by dose escalation within this class.</w:t>
      </w:r>
    </w:p>
    <w:p w14:paraId="119D4888" w14:textId="77777777" w:rsidR="006F2D55" w:rsidRDefault="00000000">
      <w:pPr>
        <w:pStyle w:val="Heading2"/>
        <w:keepNext/>
        <w:spacing w:before="240" w:after="140" w:line="300" w:lineRule="auto"/>
      </w:pPr>
      <w:r>
        <w:rPr>
          <w:b/>
          <w:bCs/>
          <w:color w:val="000000"/>
          <w:sz w:val="24"/>
          <w:szCs w:val="24"/>
        </w:rPr>
        <w:t>4.2 Chronic migraine</w:t>
      </w:r>
    </w:p>
    <w:p w14:paraId="59F43C6E" w14:textId="77777777" w:rsidR="006F2D55" w:rsidRDefault="00000000">
      <w:pPr>
        <w:spacing w:after="160" w:line="360" w:lineRule="auto"/>
        <w:jc w:val="both"/>
      </w:pPr>
      <w:r>
        <w:t>In chronic migraine the absolute reductions are larger and the placebo-adjusted differences broadly similar. Fremanezumab reduced headache days of at least moderate severity by 4.3 days with quarterly and 4.6 days with monthly dosing against 2.5 days with placebo among 1,130 participants, with at least 50% reduction achieved by 38% and 41% compared with 18% (Silberstein et al., 2017). Galcanezumab in REGAIN reduced monthly migraine headache days by 4.8 and 4.6 days against 2.7 days with placebo from a baseline of 19.4 days (Detke et al., 2018). Eptinezumab in PROMISE-2 reduced migraine days by 7.7 and 8.2 days against 5.6 days with placebo from a baseline of approximately 16.1 days (Lipton et al., 2020). A recurring interpretive error is to compare absolute reductions between episodic and chronic migraine trials and conclude that the drugs work better in chronic disease; the larger absolute change is substantially a function of the higher baseline and of the greater scope for regression to the mean, as the parallel increase in the placebo response demonstrates.</w:t>
      </w:r>
    </w:p>
    <w:p w14:paraId="09BF3C8E" w14:textId="77777777" w:rsidR="006F2D55" w:rsidRDefault="00000000">
      <w:pPr>
        <w:spacing w:after="160" w:line="360" w:lineRule="auto"/>
        <w:jc w:val="both"/>
      </w:pPr>
      <w:r>
        <w:lastRenderedPageBreak/>
        <w:t>A clinically important secondary observation is reversion of chronic to episodic migraine. Post hoc analysis of the erenumab chronic migraine trial and its open-label extension found that a majority of treated participants no longer met chronic migraine criteria during follow-up, with reversion occurring early and being largely sustained (Lipton et al., 2021). Reversion is a meaningful outcome because chronicity carries independent prognostic weight, but post hoc analyses of a categorical threshold derived from a continuous variable are vulnerable to regression artefact, and the absence of a prospectively defined reversion endpoint in the registration programme limits the confidence that can be placed in the magnitude reported.</w:t>
      </w:r>
    </w:p>
    <w:p w14:paraId="0882B8FB" w14:textId="77777777" w:rsidR="006F2D55" w:rsidRDefault="00000000">
      <w:pPr>
        <w:pStyle w:val="Heading2"/>
        <w:keepNext/>
        <w:spacing w:before="240" w:after="140" w:line="300" w:lineRule="auto"/>
      </w:pPr>
      <w:r>
        <w:rPr>
          <w:b/>
          <w:bCs/>
          <w:color w:val="000000"/>
          <w:sz w:val="24"/>
          <w:szCs w:val="24"/>
        </w:rPr>
        <w:t>4.3 Effect size, responder definitions and the meaning of a migraine day</w:t>
      </w:r>
    </w:p>
    <w:p w14:paraId="19FF1ACD" w14:textId="77777777" w:rsidR="006F2D55" w:rsidRDefault="00000000">
      <w:pPr>
        <w:spacing w:after="160" w:line="360" w:lineRule="auto"/>
        <w:jc w:val="both"/>
      </w:pPr>
      <w:r>
        <w:t>The tension between statistical robustness and clinical meaning is the central interpretive problem of this literature. Mean differences of one to three monthly migraine days are reproducible and highly statistically significant in trials of this size, yet a mean difference of that order is close to what many patients would regard as marginal. Responder analyses present a different picture, with roughly half of treated participants achieving at least a halving of migraine days against a quarter to a fifth on placebo. Both descriptions are accurate and they are not contradictory: they indicate a bimodal distribution in which a substantial subgroup derives large benefit and another derives little, with the mean falling between them. The clinical implication is that average effect size is a poor guide to individual prescribing decisions and that the identification of the responsive subgroup, addressed in Section 8, is the more consequential scientific problem.</w:t>
      </w:r>
    </w:p>
    <w:p w14:paraId="6AB3E4FD" w14:textId="77777777" w:rsidR="006F2D55" w:rsidRDefault="00000000">
      <w:pPr>
        <w:spacing w:after="160" w:line="360" w:lineRule="auto"/>
        <w:jc w:val="both"/>
      </w:pPr>
      <w:r>
        <w:t>Outcome definition compounds the difficulty. Trials have used monthly migraine days, monthly headache days, monthly migraine headache days and headache days of at least moderate severity, and these are not interchangeable. Diary-based counting is sensitive to instruction and to the treatment of partially treated or aborted attacks. The International Headache Society has argued that the frequency-based endpoints inherited from an era of modest efficacy set the bar too low for contemporary therapies and has proposed more demanding standards, including sustained high responder rates and freedom from disability, as the appropriate targets for modern prevention (Sacco et al., 2025). Adoption of such standards would reduce the apparent success of the existing evidence base while making it more informative.</w:t>
      </w:r>
    </w:p>
    <w:p w14:paraId="1264B8CC" w14:textId="77777777" w:rsidR="006F2D55" w:rsidRDefault="00000000">
      <w:pPr>
        <w:pStyle w:val="Heading2"/>
        <w:keepNext/>
        <w:spacing w:before="240" w:after="140" w:line="300" w:lineRule="auto"/>
      </w:pPr>
      <w:r>
        <w:rPr>
          <w:b/>
          <w:bCs/>
          <w:color w:val="000000"/>
          <w:sz w:val="24"/>
          <w:szCs w:val="24"/>
        </w:rPr>
        <w:lastRenderedPageBreak/>
        <w:t>4.4 Populations with previous preventive treatment failure</w:t>
      </w:r>
    </w:p>
    <w:p w14:paraId="3D121964" w14:textId="77777777" w:rsidR="006F2D55" w:rsidRDefault="00000000">
      <w:pPr>
        <w:spacing w:after="160" w:line="360" w:lineRule="auto"/>
        <w:jc w:val="both"/>
      </w:pPr>
      <w:r>
        <w:t>The dedicated trials in patients who had not benefited from two to four previous preventive classes are, paradoxically, the most clinically persuasive part of the programme, because their placebo responses are much smaller and their populations resemble specialist practice. In LIBERTY, 30% of participants receiving erenumab achieved at least a 50% reduction in monthly migraine days at week 12 compared with 14% receiving placebo, an odds ratio of 2.7 (Reuter et al., 2018). In FOCUS, fremanezumab reduced monthly migraine days by 3.7 to 4.1 days against 0.6 days with placebo, giving placebo-adjusted differences of 3.1 to 3.5 days, considerably larger than in unselected populations (Ferrari et al., 2019). CONQUER showed a reduction of 4.1 days with galcanezumab against 1.0 day with placebo (Mulleners et al., 2020), and DELIVER showed reductions of 4.8 and 5.3 days with eptinezumab against 2.1 days with placebo (Ashina et al., 2022). Atogepant produced a comparable pattern in ELEVATE, with a reduction of 4.2 days against 1.9 days with placebo (Tassorelli et al., 2024).</w:t>
      </w:r>
    </w:p>
    <w:p w14:paraId="7A64DC67" w14:textId="77777777" w:rsidR="006F2D55" w:rsidRDefault="00000000">
      <w:pPr>
        <w:spacing w:after="160" w:line="360" w:lineRule="auto"/>
        <w:jc w:val="both"/>
      </w:pPr>
      <w:r>
        <w:t>The uniformly suppressed placebo response in these trials is itself informative. It suggests that much of the placebo effect observed in unselected populations reflects expectation and natural fluctuation in people with milder or more variable disease, and that in refractory populations the pharmacological signal is easier to detect. The practical consequence is that trial-derived estimates of incremental benefit are likely to be conservative in exactly the patients for whom these agents are most often reserved by reimbursement policy.</w:t>
      </w:r>
    </w:p>
    <w:p w14:paraId="0A685BC6" w14:textId="77777777" w:rsidR="006F2D55" w:rsidRDefault="00000000">
      <w:pPr>
        <w:spacing w:after="160" w:line="360" w:lineRule="auto"/>
        <w:jc w:val="both"/>
      </w:pPr>
      <w:r>
        <w:t>Durability in this group has been examined over unusually long follow-up. The open-label extension of LIBERTY reported maintained efficacy at 64 weeks, at two years and at three years, with responder proportions rising rather than falling over time (Ferrari et al., 2022; Goadsby et al., 2021; Reuter et al., 2024). These data are encouraging but are uncontrolled beyond the double-blind period and are subject to survivor bias, since participants who did not benefit left the study; the observation that responder rates increase with time in an extension cohort is at least as consistent with selective attrition as with progressive pharmacological benefit. Table 2 sets out the pivotal randomised evidence together with the principal critical observations attaching to each trial.</w:t>
      </w:r>
    </w:p>
    <w:p w14:paraId="60957440" w14:textId="77777777" w:rsidR="006F2D55" w:rsidRDefault="00000000">
      <w:pPr>
        <w:keepNext/>
        <w:spacing w:before="200" w:after="100" w:line="260" w:lineRule="auto"/>
      </w:pPr>
      <w:r>
        <w:rPr>
          <w:b/>
          <w:bCs/>
          <w:sz w:val="20"/>
          <w:szCs w:val="20"/>
        </w:rPr>
        <w:lastRenderedPageBreak/>
        <w:t>Table 2. Pivotal randomised evidence for calcitonin gene-related peptide pathway monoclonal antibodies and its principal limitations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1D06B03C" w14:textId="77777777">
        <w:trPr>
          <w:tblHeader/>
        </w:trPr>
        <w:tc>
          <w:tcPr>
            <w:tcW w:w="1500" w:type="dxa"/>
            <w:shd w:val="clear" w:color="auto" w:fill="E8E8E8"/>
            <w:tcMar>
              <w:top w:w="60" w:type="dxa"/>
              <w:left w:w="80" w:type="dxa"/>
              <w:bottom w:w="60" w:type="dxa"/>
              <w:right w:w="80" w:type="dxa"/>
            </w:tcMar>
          </w:tcPr>
          <w:p w14:paraId="6099935D" w14:textId="77777777" w:rsidR="006F2D55" w:rsidRDefault="00000000">
            <w:r>
              <w:rPr>
                <w:b/>
                <w:bCs/>
                <w:sz w:val="18"/>
                <w:szCs w:val="18"/>
              </w:rPr>
              <w:t>Trial and agent</w:t>
            </w:r>
          </w:p>
        </w:tc>
        <w:tc>
          <w:tcPr>
            <w:tcW w:w="1900" w:type="dxa"/>
            <w:shd w:val="clear" w:color="auto" w:fill="E8E8E8"/>
            <w:tcMar>
              <w:top w:w="60" w:type="dxa"/>
              <w:left w:w="80" w:type="dxa"/>
              <w:bottom w:w="60" w:type="dxa"/>
              <w:right w:w="80" w:type="dxa"/>
            </w:tcMar>
          </w:tcPr>
          <w:p w14:paraId="7EB74800" w14:textId="77777777" w:rsidR="006F2D55" w:rsidRDefault="00000000">
            <w:r>
              <w:rPr>
                <w:b/>
                <w:bCs/>
                <w:sz w:val="18"/>
                <w:szCs w:val="18"/>
              </w:rPr>
              <w:t>Population and randomised sample</w:t>
            </w:r>
          </w:p>
        </w:tc>
        <w:tc>
          <w:tcPr>
            <w:tcW w:w="1900" w:type="dxa"/>
            <w:shd w:val="clear" w:color="auto" w:fill="E8E8E8"/>
            <w:tcMar>
              <w:top w:w="60" w:type="dxa"/>
              <w:left w:w="80" w:type="dxa"/>
              <w:bottom w:w="60" w:type="dxa"/>
              <w:right w:w="80" w:type="dxa"/>
            </w:tcMar>
          </w:tcPr>
          <w:p w14:paraId="58521372" w14:textId="77777777" w:rsidR="006F2D55" w:rsidRDefault="00000000">
            <w:r>
              <w:rPr>
                <w:b/>
                <w:bCs/>
                <w:sz w:val="18"/>
                <w:szCs w:val="18"/>
              </w:rPr>
              <w:t>Primary efficacy result versus placebo</w:t>
            </w:r>
          </w:p>
        </w:tc>
        <w:tc>
          <w:tcPr>
            <w:tcW w:w="1900" w:type="dxa"/>
            <w:shd w:val="clear" w:color="auto" w:fill="E8E8E8"/>
            <w:tcMar>
              <w:top w:w="60" w:type="dxa"/>
              <w:left w:w="80" w:type="dxa"/>
              <w:bottom w:w="60" w:type="dxa"/>
              <w:right w:w="80" w:type="dxa"/>
            </w:tcMar>
          </w:tcPr>
          <w:p w14:paraId="5FC0E889" w14:textId="77777777" w:rsidR="006F2D55" w:rsidRDefault="00000000">
            <w:r>
              <w:rPr>
                <w:b/>
                <w:bCs/>
                <w:sz w:val="18"/>
                <w:szCs w:val="18"/>
              </w:rPr>
              <w:t>Critical observations</w:t>
            </w:r>
          </w:p>
        </w:tc>
        <w:tc>
          <w:tcPr>
            <w:tcW w:w="1826" w:type="dxa"/>
            <w:shd w:val="clear" w:color="auto" w:fill="E8E8E8"/>
            <w:tcMar>
              <w:top w:w="60" w:type="dxa"/>
              <w:left w:w="80" w:type="dxa"/>
              <w:bottom w:w="60" w:type="dxa"/>
              <w:right w:w="80" w:type="dxa"/>
            </w:tcMar>
          </w:tcPr>
          <w:p w14:paraId="06A5ADBC" w14:textId="77777777" w:rsidR="006F2D55" w:rsidRDefault="00000000">
            <w:r>
              <w:rPr>
                <w:b/>
                <w:bCs/>
                <w:sz w:val="18"/>
                <w:szCs w:val="18"/>
              </w:rPr>
              <w:t>Supporting references</w:t>
            </w:r>
          </w:p>
        </w:tc>
      </w:tr>
      <w:tr w:rsidR="006F2D55" w14:paraId="6F3C61F9" w14:textId="77777777">
        <w:tc>
          <w:tcPr>
            <w:tcW w:w="1500" w:type="dxa"/>
            <w:tcMar>
              <w:top w:w="60" w:type="dxa"/>
              <w:left w:w="80" w:type="dxa"/>
              <w:bottom w:w="60" w:type="dxa"/>
              <w:right w:w="80" w:type="dxa"/>
            </w:tcMar>
          </w:tcPr>
          <w:p w14:paraId="24A3A459" w14:textId="77777777" w:rsidR="006F2D55" w:rsidRDefault="00000000">
            <w:r>
              <w:rPr>
                <w:sz w:val="18"/>
                <w:szCs w:val="18"/>
              </w:rPr>
              <w:t>STRIVE (erenumab)</w:t>
            </w:r>
          </w:p>
        </w:tc>
        <w:tc>
          <w:tcPr>
            <w:tcW w:w="1900" w:type="dxa"/>
            <w:tcMar>
              <w:top w:w="60" w:type="dxa"/>
              <w:left w:w="80" w:type="dxa"/>
              <w:bottom w:w="60" w:type="dxa"/>
              <w:right w:w="80" w:type="dxa"/>
            </w:tcMar>
          </w:tcPr>
          <w:p w14:paraId="34E4A6CD" w14:textId="77777777" w:rsidR="006F2D55" w:rsidRDefault="00000000">
            <w:r>
              <w:rPr>
                <w:sz w:val="18"/>
                <w:szCs w:val="18"/>
              </w:rPr>
              <w:t>Episodic migraine; n = 955; baseline 8.3 monthly migraine days</w:t>
            </w:r>
          </w:p>
        </w:tc>
        <w:tc>
          <w:tcPr>
            <w:tcW w:w="1900" w:type="dxa"/>
            <w:tcMar>
              <w:top w:w="60" w:type="dxa"/>
              <w:left w:w="80" w:type="dxa"/>
              <w:bottom w:w="60" w:type="dxa"/>
              <w:right w:w="80" w:type="dxa"/>
            </w:tcMar>
          </w:tcPr>
          <w:p w14:paraId="42DFD05A" w14:textId="77777777" w:rsidR="006F2D55" w:rsidRDefault="00000000">
            <w:r>
              <w:rPr>
                <w:sz w:val="18"/>
                <w:szCs w:val="18"/>
              </w:rPr>
              <w:t>−3.2 days (70 mg) and −3.7 days (140 mg) versus −1.8 days; ≥50% response 43.3% and 50.0% versus 26.6%</w:t>
            </w:r>
          </w:p>
        </w:tc>
        <w:tc>
          <w:tcPr>
            <w:tcW w:w="1900" w:type="dxa"/>
            <w:tcMar>
              <w:top w:w="60" w:type="dxa"/>
              <w:left w:w="80" w:type="dxa"/>
              <w:bottom w:w="60" w:type="dxa"/>
              <w:right w:w="80" w:type="dxa"/>
            </w:tcMar>
          </w:tcPr>
          <w:p w14:paraId="1F48EA48" w14:textId="77777777" w:rsidR="006F2D55" w:rsidRDefault="00000000">
            <w:r>
              <w:rPr>
                <w:sz w:val="18"/>
                <w:szCs w:val="18"/>
              </w:rPr>
              <w:t>Large placebo response; no consistent additional benefit at the higher dose</w:t>
            </w:r>
          </w:p>
        </w:tc>
        <w:tc>
          <w:tcPr>
            <w:tcW w:w="1826" w:type="dxa"/>
            <w:tcMar>
              <w:top w:w="60" w:type="dxa"/>
              <w:left w:w="80" w:type="dxa"/>
              <w:bottom w:w="60" w:type="dxa"/>
              <w:right w:w="80" w:type="dxa"/>
            </w:tcMar>
          </w:tcPr>
          <w:p w14:paraId="4B50A0FA" w14:textId="77777777" w:rsidR="006F2D55" w:rsidRDefault="00000000">
            <w:r>
              <w:rPr>
                <w:sz w:val="18"/>
                <w:szCs w:val="18"/>
              </w:rPr>
              <w:t>Goadsby et al. (2017)</w:t>
            </w:r>
          </w:p>
        </w:tc>
      </w:tr>
      <w:tr w:rsidR="006F2D55" w14:paraId="2CC0F929" w14:textId="77777777">
        <w:tc>
          <w:tcPr>
            <w:tcW w:w="1500" w:type="dxa"/>
            <w:tcMar>
              <w:top w:w="60" w:type="dxa"/>
              <w:left w:w="80" w:type="dxa"/>
              <w:bottom w:w="60" w:type="dxa"/>
              <w:right w:w="80" w:type="dxa"/>
            </w:tcMar>
          </w:tcPr>
          <w:p w14:paraId="7A876E69" w14:textId="77777777" w:rsidR="006F2D55" w:rsidRDefault="00000000">
            <w:r>
              <w:rPr>
                <w:sz w:val="18"/>
                <w:szCs w:val="18"/>
              </w:rPr>
              <w:t>HALO episodic migraine (fremanezumab)</w:t>
            </w:r>
          </w:p>
        </w:tc>
        <w:tc>
          <w:tcPr>
            <w:tcW w:w="1900" w:type="dxa"/>
            <w:tcMar>
              <w:top w:w="60" w:type="dxa"/>
              <w:left w:w="80" w:type="dxa"/>
              <w:bottom w:w="60" w:type="dxa"/>
              <w:right w:w="80" w:type="dxa"/>
            </w:tcMar>
          </w:tcPr>
          <w:p w14:paraId="38A3B425" w14:textId="77777777" w:rsidR="006F2D55" w:rsidRDefault="00000000">
            <w:r>
              <w:rPr>
                <w:sz w:val="18"/>
                <w:szCs w:val="18"/>
              </w:rPr>
              <w:t>Episodic migraine; n = 875</w:t>
            </w:r>
          </w:p>
        </w:tc>
        <w:tc>
          <w:tcPr>
            <w:tcW w:w="1900" w:type="dxa"/>
            <w:tcMar>
              <w:top w:w="60" w:type="dxa"/>
              <w:left w:w="80" w:type="dxa"/>
              <w:bottom w:w="60" w:type="dxa"/>
              <w:right w:w="80" w:type="dxa"/>
            </w:tcMar>
          </w:tcPr>
          <w:p w14:paraId="7B42CEF9" w14:textId="77777777" w:rsidR="006F2D55" w:rsidRDefault="00000000">
            <w:r>
              <w:rPr>
                <w:sz w:val="18"/>
                <w:szCs w:val="18"/>
              </w:rPr>
              <w:t>Placebo-adjusted −1.5 days (monthly) and −1.3 days (quarterly)</w:t>
            </w:r>
          </w:p>
        </w:tc>
        <w:tc>
          <w:tcPr>
            <w:tcW w:w="1900" w:type="dxa"/>
            <w:tcMar>
              <w:top w:w="60" w:type="dxa"/>
              <w:left w:w="80" w:type="dxa"/>
              <w:bottom w:w="60" w:type="dxa"/>
              <w:right w:w="80" w:type="dxa"/>
            </w:tcMar>
          </w:tcPr>
          <w:p w14:paraId="4D0B1700" w14:textId="77777777" w:rsidR="006F2D55" w:rsidRDefault="00000000">
            <w:r>
              <w:rPr>
                <w:sz w:val="18"/>
                <w:szCs w:val="18"/>
              </w:rPr>
              <w:t>Participants with failure of two or more preventive classes were excluded, limiting generalisability to specialist practice</w:t>
            </w:r>
          </w:p>
        </w:tc>
        <w:tc>
          <w:tcPr>
            <w:tcW w:w="1826" w:type="dxa"/>
            <w:tcMar>
              <w:top w:w="60" w:type="dxa"/>
              <w:left w:w="80" w:type="dxa"/>
              <w:bottom w:w="60" w:type="dxa"/>
              <w:right w:w="80" w:type="dxa"/>
            </w:tcMar>
          </w:tcPr>
          <w:p w14:paraId="3D7E2E3F" w14:textId="77777777" w:rsidR="006F2D55" w:rsidRDefault="00000000">
            <w:r>
              <w:rPr>
                <w:sz w:val="18"/>
                <w:szCs w:val="18"/>
              </w:rPr>
              <w:t>Dodick et al. (2018)</w:t>
            </w:r>
          </w:p>
        </w:tc>
      </w:tr>
      <w:tr w:rsidR="006F2D55" w14:paraId="23267E40" w14:textId="77777777">
        <w:tc>
          <w:tcPr>
            <w:tcW w:w="1500" w:type="dxa"/>
            <w:tcMar>
              <w:top w:w="60" w:type="dxa"/>
              <w:left w:w="80" w:type="dxa"/>
              <w:bottom w:w="60" w:type="dxa"/>
              <w:right w:w="80" w:type="dxa"/>
            </w:tcMar>
          </w:tcPr>
          <w:p w14:paraId="02235E4F" w14:textId="77777777" w:rsidR="006F2D55" w:rsidRDefault="00000000">
            <w:r>
              <w:rPr>
                <w:sz w:val="18"/>
                <w:szCs w:val="18"/>
              </w:rPr>
              <w:t>EVOLVE-1 and EVOLVE-2 (galcanezumab)</w:t>
            </w:r>
          </w:p>
        </w:tc>
        <w:tc>
          <w:tcPr>
            <w:tcW w:w="1900" w:type="dxa"/>
            <w:tcMar>
              <w:top w:w="60" w:type="dxa"/>
              <w:left w:w="80" w:type="dxa"/>
              <w:bottom w:w="60" w:type="dxa"/>
              <w:right w:w="80" w:type="dxa"/>
            </w:tcMar>
          </w:tcPr>
          <w:p w14:paraId="21E5A9F5" w14:textId="77777777" w:rsidR="006F2D55" w:rsidRDefault="00000000">
            <w:r>
              <w:rPr>
                <w:sz w:val="18"/>
                <w:szCs w:val="18"/>
              </w:rPr>
              <w:t>Episodic migraine; n = 858 and n = 915</w:t>
            </w:r>
          </w:p>
        </w:tc>
        <w:tc>
          <w:tcPr>
            <w:tcW w:w="1900" w:type="dxa"/>
            <w:tcMar>
              <w:top w:w="60" w:type="dxa"/>
              <w:left w:w="80" w:type="dxa"/>
              <w:bottom w:w="60" w:type="dxa"/>
              <w:right w:w="80" w:type="dxa"/>
            </w:tcMar>
          </w:tcPr>
          <w:p w14:paraId="02B5EAC3" w14:textId="77777777" w:rsidR="006F2D55" w:rsidRDefault="00000000">
            <w:r>
              <w:rPr>
                <w:sz w:val="18"/>
                <w:szCs w:val="18"/>
              </w:rPr>
              <w:t>−4.7 and −4.6 days versus −2.8 days; −4.3 and −4.2 days versus −2.3 days</w:t>
            </w:r>
          </w:p>
        </w:tc>
        <w:tc>
          <w:tcPr>
            <w:tcW w:w="1900" w:type="dxa"/>
            <w:tcMar>
              <w:top w:w="60" w:type="dxa"/>
              <w:left w:w="80" w:type="dxa"/>
              <w:bottom w:w="60" w:type="dxa"/>
              <w:right w:w="80" w:type="dxa"/>
            </w:tcMar>
          </w:tcPr>
          <w:p w14:paraId="17FBDB49" w14:textId="77777777" w:rsidR="006F2D55" w:rsidRDefault="00000000">
            <w:r>
              <w:rPr>
                <w:sz w:val="18"/>
                <w:szCs w:val="18"/>
              </w:rPr>
              <w:t>Flat dose-response; concurrent preventive medication prohibited, unlike routine care</w:t>
            </w:r>
          </w:p>
        </w:tc>
        <w:tc>
          <w:tcPr>
            <w:tcW w:w="1826" w:type="dxa"/>
            <w:tcMar>
              <w:top w:w="60" w:type="dxa"/>
              <w:left w:w="80" w:type="dxa"/>
              <w:bottom w:w="60" w:type="dxa"/>
              <w:right w:w="80" w:type="dxa"/>
            </w:tcMar>
          </w:tcPr>
          <w:p w14:paraId="34184BF3" w14:textId="77777777" w:rsidR="006F2D55" w:rsidRDefault="00000000">
            <w:r w:rsidRPr="00F477EC">
              <w:rPr>
                <w:sz w:val="18"/>
                <w:szCs w:val="18"/>
                <w:lang w:val="nl-BE"/>
              </w:rPr>
              <w:t xml:space="preserve">Skljarevski et al. (2018); Stauffer et al. </w:t>
            </w:r>
            <w:r>
              <w:rPr>
                <w:sz w:val="18"/>
                <w:szCs w:val="18"/>
              </w:rPr>
              <w:t>(2018)</w:t>
            </w:r>
          </w:p>
        </w:tc>
      </w:tr>
      <w:tr w:rsidR="006F2D55" w14:paraId="2B6F6C23" w14:textId="77777777">
        <w:tc>
          <w:tcPr>
            <w:tcW w:w="1500" w:type="dxa"/>
            <w:tcMar>
              <w:top w:w="60" w:type="dxa"/>
              <w:left w:w="80" w:type="dxa"/>
              <w:bottom w:w="60" w:type="dxa"/>
              <w:right w:w="80" w:type="dxa"/>
            </w:tcMar>
          </w:tcPr>
          <w:p w14:paraId="16C60FFB" w14:textId="77777777" w:rsidR="006F2D55" w:rsidRDefault="00000000">
            <w:r>
              <w:rPr>
                <w:sz w:val="18"/>
                <w:szCs w:val="18"/>
              </w:rPr>
              <w:t>PROMISE-1 (eptinezumab)</w:t>
            </w:r>
          </w:p>
        </w:tc>
        <w:tc>
          <w:tcPr>
            <w:tcW w:w="1900" w:type="dxa"/>
            <w:tcMar>
              <w:top w:w="60" w:type="dxa"/>
              <w:left w:w="80" w:type="dxa"/>
              <w:bottom w:w="60" w:type="dxa"/>
              <w:right w:w="80" w:type="dxa"/>
            </w:tcMar>
          </w:tcPr>
          <w:p w14:paraId="475FC289" w14:textId="77777777" w:rsidR="006F2D55" w:rsidRDefault="00000000">
            <w:r>
              <w:rPr>
                <w:sz w:val="18"/>
                <w:szCs w:val="18"/>
              </w:rPr>
              <w:t>Episodic migraine; n = 888; baseline approximately 8.6 days</w:t>
            </w:r>
          </w:p>
        </w:tc>
        <w:tc>
          <w:tcPr>
            <w:tcW w:w="1900" w:type="dxa"/>
            <w:tcMar>
              <w:top w:w="60" w:type="dxa"/>
              <w:left w:w="80" w:type="dxa"/>
              <w:bottom w:w="60" w:type="dxa"/>
              <w:right w:w="80" w:type="dxa"/>
            </w:tcMar>
          </w:tcPr>
          <w:p w14:paraId="3FB6DE02" w14:textId="77777777" w:rsidR="006F2D55" w:rsidRDefault="00000000">
            <w:r>
              <w:rPr>
                <w:sz w:val="18"/>
                <w:szCs w:val="18"/>
              </w:rPr>
              <w:t>−3.9 days (100 mg) and −4.3 days (300 mg) versus −3.2 days</w:t>
            </w:r>
          </w:p>
        </w:tc>
        <w:tc>
          <w:tcPr>
            <w:tcW w:w="1900" w:type="dxa"/>
            <w:tcMar>
              <w:top w:w="60" w:type="dxa"/>
              <w:left w:w="80" w:type="dxa"/>
              <w:bottom w:w="60" w:type="dxa"/>
              <w:right w:w="80" w:type="dxa"/>
            </w:tcMar>
          </w:tcPr>
          <w:p w14:paraId="656FBD34" w14:textId="77777777" w:rsidR="006F2D55" w:rsidRDefault="00000000">
            <w:r>
              <w:rPr>
                <w:sz w:val="18"/>
                <w:szCs w:val="18"/>
              </w:rPr>
              <w:t>Placebo response accounted for most of the observed improvement; 30 mg dose not separated from placebo</w:t>
            </w:r>
          </w:p>
        </w:tc>
        <w:tc>
          <w:tcPr>
            <w:tcW w:w="1826" w:type="dxa"/>
            <w:tcMar>
              <w:top w:w="60" w:type="dxa"/>
              <w:left w:w="80" w:type="dxa"/>
              <w:bottom w:w="60" w:type="dxa"/>
              <w:right w:w="80" w:type="dxa"/>
            </w:tcMar>
          </w:tcPr>
          <w:p w14:paraId="0ABA62DD" w14:textId="77777777" w:rsidR="006F2D55" w:rsidRDefault="00000000">
            <w:r>
              <w:rPr>
                <w:sz w:val="18"/>
                <w:szCs w:val="18"/>
              </w:rPr>
              <w:t>Ashina et al. (2020)</w:t>
            </w:r>
          </w:p>
        </w:tc>
      </w:tr>
      <w:tr w:rsidR="006F2D55" w14:paraId="3F925F77" w14:textId="77777777">
        <w:tc>
          <w:tcPr>
            <w:tcW w:w="1500" w:type="dxa"/>
            <w:tcMar>
              <w:top w:w="60" w:type="dxa"/>
              <w:left w:w="80" w:type="dxa"/>
              <w:bottom w:w="60" w:type="dxa"/>
              <w:right w:w="80" w:type="dxa"/>
            </w:tcMar>
          </w:tcPr>
          <w:p w14:paraId="6C9448DD" w14:textId="77777777" w:rsidR="006F2D55" w:rsidRDefault="00000000">
            <w:r>
              <w:rPr>
                <w:sz w:val="18"/>
                <w:szCs w:val="18"/>
              </w:rPr>
              <w:t>HALO chronic migraine (fremanezumab)</w:t>
            </w:r>
          </w:p>
        </w:tc>
        <w:tc>
          <w:tcPr>
            <w:tcW w:w="1900" w:type="dxa"/>
            <w:tcMar>
              <w:top w:w="60" w:type="dxa"/>
              <w:left w:w="80" w:type="dxa"/>
              <w:bottom w:w="60" w:type="dxa"/>
              <w:right w:w="80" w:type="dxa"/>
            </w:tcMar>
          </w:tcPr>
          <w:p w14:paraId="0FBC3170" w14:textId="77777777" w:rsidR="006F2D55" w:rsidRDefault="00000000">
            <w:r>
              <w:rPr>
                <w:sz w:val="18"/>
                <w:szCs w:val="18"/>
              </w:rPr>
              <w:t>Chronic migraine; n = 1,130</w:t>
            </w:r>
          </w:p>
        </w:tc>
        <w:tc>
          <w:tcPr>
            <w:tcW w:w="1900" w:type="dxa"/>
            <w:tcMar>
              <w:top w:w="60" w:type="dxa"/>
              <w:left w:w="80" w:type="dxa"/>
              <w:bottom w:w="60" w:type="dxa"/>
              <w:right w:w="80" w:type="dxa"/>
            </w:tcMar>
          </w:tcPr>
          <w:p w14:paraId="41C13F93" w14:textId="77777777" w:rsidR="006F2D55" w:rsidRDefault="00000000">
            <w:r>
              <w:rPr>
                <w:sz w:val="18"/>
                <w:szCs w:val="18"/>
              </w:rPr>
              <w:t>−4.3 days (quarterly) and −4.6 days (monthly) versus −2.5 days; ≥50% response 38% and 41% versus 18%</w:t>
            </w:r>
          </w:p>
        </w:tc>
        <w:tc>
          <w:tcPr>
            <w:tcW w:w="1900" w:type="dxa"/>
            <w:tcMar>
              <w:top w:w="60" w:type="dxa"/>
              <w:left w:w="80" w:type="dxa"/>
              <w:bottom w:w="60" w:type="dxa"/>
              <w:right w:w="80" w:type="dxa"/>
            </w:tcMar>
          </w:tcPr>
          <w:p w14:paraId="2DB0B27C" w14:textId="77777777" w:rsidR="006F2D55" w:rsidRDefault="00000000">
            <w:r>
              <w:rPr>
                <w:sz w:val="18"/>
                <w:szCs w:val="18"/>
              </w:rPr>
              <w:t>Endpoint was headache days of at least moderate severity, not migraine days, complicating cross-trial comparison</w:t>
            </w:r>
          </w:p>
        </w:tc>
        <w:tc>
          <w:tcPr>
            <w:tcW w:w="1826" w:type="dxa"/>
            <w:tcMar>
              <w:top w:w="60" w:type="dxa"/>
              <w:left w:w="80" w:type="dxa"/>
              <w:bottom w:w="60" w:type="dxa"/>
              <w:right w:w="80" w:type="dxa"/>
            </w:tcMar>
          </w:tcPr>
          <w:p w14:paraId="6EBC0ED8" w14:textId="77777777" w:rsidR="006F2D55" w:rsidRDefault="00000000">
            <w:r>
              <w:rPr>
                <w:sz w:val="18"/>
                <w:szCs w:val="18"/>
              </w:rPr>
              <w:t>Silberstein et al. (2017)</w:t>
            </w:r>
          </w:p>
        </w:tc>
      </w:tr>
      <w:tr w:rsidR="006F2D55" w14:paraId="03F061BE" w14:textId="77777777">
        <w:tc>
          <w:tcPr>
            <w:tcW w:w="1500" w:type="dxa"/>
            <w:tcMar>
              <w:top w:w="60" w:type="dxa"/>
              <w:left w:w="80" w:type="dxa"/>
              <w:bottom w:w="60" w:type="dxa"/>
              <w:right w:w="80" w:type="dxa"/>
            </w:tcMar>
          </w:tcPr>
          <w:p w14:paraId="6D6540C1" w14:textId="77777777" w:rsidR="006F2D55" w:rsidRDefault="00000000">
            <w:r>
              <w:rPr>
                <w:sz w:val="18"/>
                <w:szCs w:val="18"/>
              </w:rPr>
              <w:t>REGAIN (galcanezumab)</w:t>
            </w:r>
          </w:p>
        </w:tc>
        <w:tc>
          <w:tcPr>
            <w:tcW w:w="1900" w:type="dxa"/>
            <w:tcMar>
              <w:top w:w="60" w:type="dxa"/>
              <w:left w:w="80" w:type="dxa"/>
              <w:bottom w:w="60" w:type="dxa"/>
              <w:right w:w="80" w:type="dxa"/>
            </w:tcMar>
          </w:tcPr>
          <w:p w14:paraId="607214DD" w14:textId="77777777" w:rsidR="006F2D55" w:rsidRDefault="00000000">
            <w:r>
              <w:rPr>
                <w:sz w:val="18"/>
                <w:szCs w:val="18"/>
              </w:rPr>
              <w:t>Chronic migraine; n = 1,113; baseline 19.4 days</w:t>
            </w:r>
          </w:p>
        </w:tc>
        <w:tc>
          <w:tcPr>
            <w:tcW w:w="1900" w:type="dxa"/>
            <w:tcMar>
              <w:top w:w="60" w:type="dxa"/>
              <w:left w:w="80" w:type="dxa"/>
              <w:bottom w:w="60" w:type="dxa"/>
              <w:right w:w="80" w:type="dxa"/>
            </w:tcMar>
          </w:tcPr>
          <w:p w14:paraId="139739BB" w14:textId="77777777" w:rsidR="006F2D55" w:rsidRDefault="00000000">
            <w:r>
              <w:rPr>
                <w:sz w:val="18"/>
                <w:szCs w:val="18"/>
              </w:rPr>
              <w:t>−4.8 and −4.6 days versus −2.7 days</w:t>
            </w:r>
          </w:p>
        </w:tc>
        <w:tc>
          <w:tcPr>
            <w:tcW w:w="1900" w:type="dxa"/>
            <w:tcMar>
              <w:top w:w="60" w:type="dxa"/>
              <w:left w:w="80" w:type="dxa"/>
              <w:bottom w:w="60" w:type="dxa"/>
              <w:right w:w="80" w:type="dxa"/>
            </w:tcMar>
          </w:tcPr>
          <w:p w14:paraId="2B8E6D70" w14:textId="77777777" w:rsidR="006F2D55" w:rsidRDefault="00000000">
            <w:r>
              <w:rPr>
                <w:sz w:val="18"/>
                <w:szCs w:val="18"/>
              </w:rPr>
              <w:t>Three-month double-blind phase only; open-label extension uncontrolled</w:t>
            </w:r>
          </w:p>
        </w:tc>
        <w:tc>
          <w:tcPr>
            <w:tcW w:w="1826" w:type="dxa"/>
            <w:tcMar>
              <w:top w:w="60" w:type="dxa"/>
              <w:left w:w="80" w:type="dxa"/>
              <w:bottom w:w="60" w:type="dxa"/>
              <w:right w:w="80" w:type="dxa"/>
            </w:tcMar>
          </w:tcPr>
          <w:p w14:paraId="12092580" w14:textId="77777777" w:rsidR="006F2D55" w:rsidRDefault="00000000">
            <w:r>
              <w:rPr>
                <w:sz w:val="18"/>
                <w:szCs w:val="18"/>
              </w:rPr>
              <w:t>Detke et al. (2018)</w:t>
            </w:r>
          </w:p>
        </w:tc>
      </w:tr>
      <w:tr w:rsidR="006F2D55" w14:paraId="5E47ED4D" w14:textId="77777777">
        <w:tc>
          <w:tcPr>
            <w:tcW w:w="1500" w:type="dxa"/>
            <w:tcMar>
              <w:top w:w="60" w:type="dxa"/>
              <w:left w:w="80" w:type="dxa"/>
              <w:bottom w:w="60" w:type="dxa"/>
              <w:right w:w="80" w:type="dxa"/>
            </w:tcMar>
          </w:tcPr>
          <w:p w14:paraId="37E25904" w14:textId="77777777" w:rsidR="006F2D55" w:rsidRDefault="00000000">
            <w:r>
              <w:rPr>
                <w:sz w:val="18"/>
                <w:szCs w:val="18"/>
              </w:rPr>
              <w:t>PROMISE-2 (eptinezumab)</w:t>
            </w:r>
          </w:p>
        </w:tc>
        <w:tc>
          <w:tcPr>
            <w:tcW w:w="1900" w:type="dxa"/>
            <w:tcMar>
              <w:top w:w="60" w:type="dxa"/>
              <w:left w:w="80" w:type="dxa"/>
              <w:bottom w:w="60" w:type="dxa"/>
              <w:right w:w="80" w:type="dxa"/>
            </w:tcMar>
          </w:tcPr>
          <w:p w14:paraId="017DC1A1" w14:textId="77777777" w:rsidR="006F2D55" w:rsidRDefault="00000000">
            <w:r>
              <w:rPr>
                <w:sz w:val="18"/>
                <w:szCs w:val="18"/>
              </w:rPr>
              <w:t>Chronic migraine; n = 1,072; baseline approximately 16.1 days</w:t>
            </w:r>
          </w:p>
        </w:tc>
        <w:tc>
          <w:tcPr>
            <w:tcW w:w="1900" w:type="dxa"/>
            <w:tcMar>
              <w:top w:w="60" w:type="dxa"/>
              <w:left w:w="80" w:type="dxa"/>
              <w:bottom w:w="60" w:type="dxa"/>
              <w:right w:w="80" w:type="dxa"/>
            </w:tcMar>
          </w:tcPr>
          <w:p w14:paraId="5079E26D" w14:textId="77777777" w:rsidR="006F2D55" w:rsidRDefault="00000000">
            <w:r>
              <w:rPr>
                <w:sz w:val="18"/>
                <w:szCs w:val="18"/>
              </w:rPr>
              <w:t>−7.7 days (100 mg) and −8.2 days (300 mg) versus −5.6 days</w:t>
            </w:r>
          </w:p>
        </w:tc>
        <w:tc>
          <w:tcPr>
            <w:tcW w:w="1900" w:type="dxa"/>
            <w:tcMar>
              <w:top w:w="60" w:type="dxa"/>
              <w:left w:w="80" w:type="dxa"/>
              <w:bottom w:w="60" w:type="dxa"/>
              <w:right w:w="80" w:type="dxa"/>
            </w:tcMar>
          </w:tcPr>
          <w:p w14:paraId="6EF05E7D" w14:textId="77777777" w:rsidR="006F2D55" w:rsidRDefault="00000000">
            <w:r>
              <w:rPr>
                <w:sz w:val="18"/>
                <w:szCs w:val="18"/>
              </w:rPr>
              <w:t>Large absolute effects partly reflect high baseline and correspondingly large placebo response</w:t>
            </w:r>
          </w:p>
        </w:tc>
        <w:tc>
          <w:tcPr>
            <w:tcW w:w="1826" w:type="dxa"/>
            <w:tcMar>
              <w:top w:w="60" w:type="dxa"/>
              <w:left w:w="80" w:type="dxa"/>
              <w:bottom w:w="60" w:type="dxa"/>
              <w:right w:w="80" w:type="dxa"/>
            </w:tcMar>
          </w:tcPr>
          <w:p w14:paraId="1665E67C" w14:textId="77777777" w:rsidR="006F2D55" w:rsidRDefault="00000000">
            <w:r>
              <w:rPr>
                <w:sz w:val="18"/>
                <w:szCs w:val="18"/>
              </w:rPr>
              <w:t>Lipton et al. (2020)</w:t>
            </w:r>
          </w:p>
        </w:tc>
      </w:tr>
      <w:tr w:rsidR="006F2D55" w14:paraId="23660A4A" w14:textId="77777777">
        <w:tc>
          <w:tcPr>
            <w:tcW w:w="1500" w:type="dxa"/>
            <w:tcMar>
              <w:top w:w="60" w:type="dxa"/>
              <w:left w:w="80" w:type="dxa"/>
              <w:bottom w:w="60" w:type="dxa"/>
              <w:right w:w="80" w:type="dxa"/>
            </w:tcMar>
          </w:tcPr>
          <w:p w14:paraId="08677D0A" w14:textId="77777777" w:rsidR="006F2D55" w:rsidRDefault="00000000">
            <w:r>
              <w:rPr>
                <w:sz w:val="18"/>
                <w:szCs w:val="18"/>
              </w:rPr>
              <w:t>LIBERTY (erenumab)</w:t>
            </w:r>
          </w:p>
        </w:tc>
        <w:tc>
          <w:tcPr>
            <w:tcW w:w="1900" w:type="dxa"/>
            <w:tcMar>
              <w:top w:w="60" w:type="dxa"/>
              <w:left w:w="80" w:type="dxa"/>
              <w:bottom w:w="60" w:type="dxa"/>
              <w:right w:w="80" w:type="dxa"/>
            </w:tcMar>
          </w:tcPr>
          <w:p w14:paraId="0534A8DA" w14:textId="77777777" w:rsidR="006F2D55" w:rsidRDefault="00000000">
            <w:r>
              <w:rPr>
                <w:sz w:val="18"/>
                <w:szCs w:val="18"/>
              </w:rPr>
              <w:t>Episodic migraine with two to four previous preventive failures; n = 246</w:t>
            </w:r>
          </w:p>
        </w:tc>
        <w:tc>
          <w:tcPr>
            <w:tcW w:w="1900" w:type="dxa"/>
            <w:tcMar>
              <w:top w:w="60" w:type="dxa"/>
              <w:left w:w="80" w:type="dxa"/>
              <w:bottom w:w="60" w:type="dxa"/>
              <w:right w:w="80" w:type="dxa"/>
            </w:tcMar>
          </w:tcPr>
          <w:p w14:paraId="503E59DC" w14:textId="77777777" w:rsidR="006F2D55" w:rsidRDefault="00000000">
            <w:r>
              <w:rPr>
                <w:sz w:val="18"/>
                <w:szCs w:val="18"/>
              </w:rPr>
              <w:t>≥50% response 30% versus 14% (odds ratio 2.7)</w:t>
            </w:r>
          </w:p>
        </w:tc>
        <w:tc>
          <w:tcPr>
            <w:tcW w:w="1900" w:type="dxa"/>
            <w:tcMar>
              <w:top w:w="60" w:type="dxa"/>
              <w:left w:w="80" w:type="dxa"/>
              <w:bottom w:w="60" w:type="dxa"/>
              <w:right w:w="80" w:type="dxa"/>
            </w:tcMar>
          </w:tcPr>
          <w:p w14:paraId="030A1C46" w14:textId="77777777" w:rsidR="006F2D55" w:rsidRDefault="00000000">
            <w:r>
              <w:rPr>
                <w:sz w:val="18"/>
                <w:szCs w:val="18"/>
              </w:rPr>
              <w:t>Small sample; long-term extension data uncontrolled and subject to survivor bias</w:t>
            </w:r>
          </w:p>
        </w:tc>
        <w:tc>
          <w:tcPr>
            <w:tcW w:w="1826" w:type="dxa"/>
            <w:tcMar>
              <w:top w:w="60" w:type="dxa"/>
              <w:left w:w="80" w:type="dxa"/>
              <w:bottom w:w="60" w:type="dxa"/>
              <w:right w:w="80" w:type="dxa"/>
            </w:tcMar>
          </w:tcPr>
          <w:p w14:paraId="35EB6A9E" w14:textId="77777777" w:rsidR="006F2D55" w:rsidRDefault="00000000">
            <w:r w:rsidRPr="00F477EC">
              <w:rPr>
                <w:sz w:val="18"/>
                <w:szCs w:val="18"/>
                <w:lang w:val="nl-BE"/>
              </w:rPr>
              <w:t xml:space="preserve">Ferrari et al. (2022); Goadsby et al. (2021); Reuter et al. (2018); Reuter et al. </w:t>
            </w:r>
            <w:r>
              <w:rPr>
                <w:sz w:val="18"/>
                <w:szCs w:val="18"/>
              </w:rPr>
              <w:t>(2024)</w:t>
            </w:r>
          </w:p>
        </w:tc>
      </w:tr>
      <w:tr w:rsidR="006F2D55" w14:paraId="7EC13DA4" w14:textId="77777777">
        <w:tc>
          <w:tcPr>
            <w:tcW w:w="1500" w:type="dxa"/>
            <w:tcMar>
              <w:top w:w="60" w:type="dxa"/>
              <w:left w:w="80" w:type="dxa"/>
              <w:bottom w:w="60" w:type="dxa"/>
              <w:right w:w="80" w:type="dxa"/>
            </w:tcMar>
          </w:tcPr>
          <w:p w14:paraId="1CA59007" w14:textId="77777777" w:rsidR="006F2D55" w:rsidRDefault="00000000">
            <w:r>
              <w:rPr>
                <w:sz w:val="18"/>
                <w:szCs w:val="18"/>
              </w:rPr>
              <w:t>FOCUS (fremanezumab)</w:t>
            </w:r>
          </w:p>
        </w:tc>
        <w:tc>
          <w:tcPr>
            <w:tcW w:w="1900" w:type="dxa"/>
            <w:tcMar>
              <w:top w:w="60" w:type="dxa"/>
              <w:left w:w="80" w:type="dxa"/>
              <w:bottom w:w="60" w:type="dxa"/>
              <w:right w:w="80" w:type="dxa"/>
            </w:tcMar>
          </w:tcPr>
          <w:p w14:paraId="1693198A" w14:textId="77777777" w:rsidR="006F2D55" w:rsidRDefault="00000000">
            <w:r>
              <w:rPr>
                <w:sz w:val="18"/>
                <w:szCs w:val="18"/>
              </w:rPr>
              <w:t>Episodic or chronic migraine with two to four previous failures; n = 838</w:t>
            </w:r>
          </w:p>
        </w:tc>
        <w:tc>
          <w:tcPr>
            <w:tcW w:w="1900" w:type="dxa"/>
            <w:tcMar>
              <w:top w:w="60" w:type="dxa"/>
              <w:left w:w="80" w:type="dxa"/>
              <w:bottom w:w="60" w:type="dxa"/>
              <w:right w:w="80" w:type="dxa"/>
            </w:tcMar>
          </w:tcPr>
          <w:p w14:paraId="24477111" w14:textId="77777777" w:rsidR="006F2D55" w:rsidRDefault="00000000">
            <w:r>
              <w:rPr>
                <w:sz w:val="18"/>
                <w:szCs w:val="18"/>
              </w:rPr>
              <w:t>−3.7 days (quarterly) and −4.1 days (monthly) versus −0.6 days</w:t>
            </w:r>
          </w:p>
        </w:tc>
        <w:tc>
          <w:tcPr>
            <w:tcW w:w="1900" w:type="dxa"/>
            <w:tcMar>
              <w:top w:w="60" w:type="dxa"/>
              <w:left w:w="80" w:type="dxa"/>
              <w:bottom w:w="60" w:type="dxa"/>
              <w:right w:w="80" w:type="dxa"/>
            </w:tcMar>
          </w:tcPr>
          <w:p w14:paraId="63C959E9" w14:textId="77777777" w:rsidR="006F2D55" w:rsidRDefault="00000000">
            <w:r>
              <w:rPr>
                <w:sz w:val="18"/>
                <w:szCs w:val="18"/>
              </w:rPr>
              <w:t>Markedly suppressed placebo response indicates that unselected trials understate incremental benefit in refractory disease</w:t>
            </w:r>
          </w:p>
        </w:tc>
        <w:tc>
          <w:tcPr>
            <w:tcW w:w="1826" w:type="dxa"/>
            <w:tcMar>
              <w:top w:w="60" w:type="dxa"/>
              <w:left w:w="80" w:type="dxa"/>
              <w:bottom w:w="60" w:type="dxa"/>
              <w:right w:w="80" w:type="dxa"/>
            </w:tcMar>
          </w:tcPr>
          <w:p w14:paraId="3E8B3D73" w14:textId="77777777" w:rsidR="006F2D55" w:rsidRDefault="00000000">
            <w:r>
              <w:rPr>
                <w:sz w:val="18"/>
                <w:szCs w:val="18"/>
              </w:rPr>
              <w:t>Ferrari et al. (2019)</w:t>
            </w:r>
          </w:p>
        </w:tc>
      </w:tr>
      <w:tr w:rsidR="006F2D55" w14:paraId="463B9B09" w14:textId="77777777">
        <w:tc>
          <w:tcPr>
            <w:tcW w:w="1500" w:type="dxa"/>
            <w:tcMar>
              <w:top w:w="60" w:type="dxa"/>
              <w:left w:w="80" w:type="dxa"/>
              <w:bottom w:w="60" w:type="dxa"/>
              <w:right w:w="80" w:type="dxa"/>
            </w:tcMar>
          </w:tcPr>
          <w:p w14:paraId="5666A6C0" w14:textId="77777777" w:rsidR="006F2D55" w:rsidRDefault="00000000">
            <w:r>
              <w:rPr>
                <w:sz w:val="18"/>
                <w:szCs w:val="18"/>
              </w:rPr>
              <w:t>CONQUER (galcanezumab)</w:t>
            </w:r>
          </w:p>
        </w:tc>
        <w:tc>
          <w:tcPr>
            <w:tcW w:w="1900" w:type="dxa"/>
            <w:tcMar>
              <w:top w:w="60" w:type="dxa"/>
              <w:left w:w="80" w:type="dxa"/>
              <w:bottom w:w="60" w:type="dxa"/>
              <w:right w:w="80" w:type="dxa"/>
            </w:tcMar>
          </w:tcPr>
          <w:p w14:paraId="3B17FC6D" w14:textId="77777777" w:rsidR="006F2D55" w:rsidRDefault="00000000">
            <w:r>
              <w:rPr>
                <w:sz w:val="18"/>
                <w:szCs w:val="18"/>
              </w:rPr>
              <w:t>Episodic or chronic migraine with two to four previous failures; n = 462</w:t>
            </w:r>
          </w:p>
        </w:tc>
        <w:tc>
          <w:tcPr>
            <w:tcW w:w="1900" w:type="dxa"/>
            <w:tcMar>
              <w:top w:w="60" w:type="dxa"/>
              <w:left w:w="80" w:type="dxa"/>
              <w:bottom w:w="60" w:type="dxa"/>
              <w:right w:w="80" w:type="dxa"/>
            </w:tcMar>
          </w:tcPr>
          <w:p w14:paraId="223BB1EC" w14:textId="77777777" w:rsidR="006F2D55" w:rsidRDefault="00000000">
            <w:r>
              <w:rPr>
                <w:sz w:val="18"/>
                <w:szCs w:val="18"/>
              </w:rPr>
              <w:t>−4.1 days versus −1.0 day</w:t>
            </w:r>
          </w:p>
        </w:tc>
        <w:tc>
          <w:tcPr>
            <w:tcW w:w="1900" w:type="dxa"/>
            <w:tcMar>
              <w:top w:w="60" w:type="dxa"/>
              <w:left w:w="80" w:type="dxa"/>
              <w:bottom w:w="60" w:type="dxa"/>
              <w:right w:w="80" w:type="dxa"/>
            </w:tcMar>
          </w:tcPr>
          <w:p w14:paraId="672579C8" w14:textId="77777777" w:rsidR="006F2D55" w:rsidRDefault="00000000">
            <w:r>
              <w:rPr>
                <w:sz w:val="18"/>
                <w:szCs w:val="18"/>
              </w:rPr>
              <w:t>Three-month duration; heterogeneous mixture of episodic and chronic migraine</w:t>
            </w:r>
          </w:p>
        </w:tc>
        <w:tc>
          <w:tcPr>
            <w:tcW w:w="1826" w:type="dxa"/>
            <w:tcMar>
              <w:top w:w="60" w:type="dxa"/>
              <w:left w:w="80" w:type="dxa"/>
              <w:bottom w:w="60" w:type="dxa"/>
              <w:right w:w="80" w:type="dxa"/>
            </w:tcMar>
          </w:tcPr>
          <w:p w14:paraId="23BDDFB3" w14:textId="77777777" w:rsidR="006F2D55" w:rsidRDefault="00000000">
            <w:r>
              <w:rPr>
                <w:sz w:val="18"/>
                <w:szCs w:val="18"/>
              </w:rPr>
              <w:t>Mulleners et al. (2020)</w:t>
            </w:r>
          </w:p>
        </w:tc>
      </w:tr>
      <w:tr w:rsidR="006F2D55" w14:paraId="27A53A31" w14:textId="77777777">
        <w:tc>
          <w:tcPr>
            <w:tcW w:w="1500" w:type="dxa"/>
            <w:tcMar>
              <w:top w:w="60" w:type="dxa"/>
              <w:left w:w="80" w:type="dxa"/>
              <w:bottom w:w="60" w:type="dxa"/>
              <w:right w:w="80" w:type="dxa"/>
            </w:tcMar>
          </w:tcPr>
          <w:p w14:paraId="77B78D45" w14:textId="77777777" w:rsidR="006F2D55" w:rsidRDefault="00000000">
            <w:r>
              <w:rPr>
                <w:sz w:val="18"/>
                <w:szCs w:val="18"/>
              </w:rPr>
              <w:t>DELIVER (eptinezumab)</w:t>
            </w:r>
          </w:p>
        </w:tc>
        <w:tc>
          <w:tcPr>
            <w:tcW w:w="1900" w:type="dxa"/>
            <w:tcMar>
              <w:top w:w="60" w:type="dxa"/>
              <w:left w:w="80" w:type="dxa"/>
              <w:bottom w:w="60" w:type="dxa"/>
              <w:right w:w="80" w:type="dxa"/>
            </w:tcMar>
          </w:tcPr>
          <w:p w14:paraId="57B38A93" w14:textId="77777777" w:rsidR="006F2D55" w:rsidRDefault="00000000">
            <w:r>
              <w:rPr>
                <w:sz w:val="18"/>
                <w:szCs w:val="18"/>
              </w:rPr>
              <w:t>Episodic or chronic migraine with two to four previous failures; n = 891</w:t>
            </w:r>
          </w:p>
        </w:tc>
        <w:tc>
          <w:tcPr>
            <w:tcW w:w="1900" w:type="dxa"/>
            <w:tcMar>
              <w:top w:w="60" w:type="dxa"/>
              <w:left w:w="80" w:type="dxa"/>
              <w:bottom w:w="60" w:type="dxa"/>
              <w:right w:w="80" w:type="dxa"/>
            </w:tcMar>
          </w:tcPr>
          <w:p w14:paraId="1DD802A5" w14:textId="77777777" w:rsidR="006F2D55" w:rsidRDefault="00000000">
            <w:r>
              <w:rPr>
                <w:sz w:val="18"/>
                <w:szCs w:val="18"/>
              </w:rPr>
              <w:t>−4.8 days (100 mg) and −5.3 days (300 mg) versus −2.1 days</w:t>
            </w:r>
          </w:p>
        </w:tc>
        <w:tc>
          <w:tcPr>
            <w:tcW w:w="1900" w:type="dxa"/>
            <w:tcMar>
              <w:top w:w="60" w:type="dxa"/>
              <w:left w:w="80" w:type="dxa"/>
              <w:bottom w:w="60" w:type="dxa"/>
              <w:right w:w="80" w:type="dxa"/>
            </w:tcMar>
          </w:tcPr>
          <w:p w14:paraId="02EA343C" w14:textId="77777777" w:rsidR="006F2D55" w:rsidRDefault="00000000">
            <w:r>
              <w:rPr>
                <w:sz w:val="18"/>
                <w:szCs w:val="18"/>
              </w:rPr>
              <w:t>Conducted largely during the coronavirus disease 2019 pandemic, which affected adverse-</w:t>
            </w:r>
            <w:r>
              <w:rPr>
                <w:sz w:val="18"/>
                <w:szCs w:val="18"/>
              </w:rPr>
              <w:lastRenderedPageBreak/>
              <w:t>event profiles and attendance</w:t>
            </w:r>
          </w:p>
        </w:tc>
        <w:tc>
          <w:tcPr>
            <w:tcW w:w="1826" w:type="dxa"/>
            <w:tcMar>
              <w:top w:w="60" w:type="dxa"/>
              <w:left w:w="80" w:type="dxa"/>
              <w:bottom w:w="60" w:type="dxa"/>
              <w:right w:w="80" w:type="dxa"/>
            </w:tcMar>
          </w:tcPr>
          <w:p w14:paraId="6DE28F6D" w14:textId="77777777" w:rsidR="006F2D55" w:rsidRDefault="00000000">
            <w:r>
              <w:rPr>
                <w:sz w:val="18"/>
                <w:szCs w:val="18"/>
              </w:rPr>
              <w:lastRenderedPageBreak/>
              <w:t>Ashina et al. (2022)</w:t>
            </w:r>
          </w:p>
        </w:tc>
      </w:tr>
    </w:tbl>
    <w:p w14:paraId="08B64272" w14:textId="77777777" w:rsidR="006F2D55" w:rsidRDefault="00000000">
      <w:pPr>
        <w:spacing w:before="90" w:after="260"/>
      </w:pPr>
      <w:r>
        <w:rPr>
          <w:i/>
          <w:iCs/>
          <w:sz w:val="18"/>
          <w:szCs w:val="18"/>
        </w:rPr>
        <w:t>Note. Values are changes in the trial's primary frequency endpoint over the double-blind period. Sample sizes refer to randomised or treated populations as reported by the trial investigators. Endpoint definitions differ between trials and direct numerical comparison across rows is not appropriate.</w:t>
      </w:r>
    </w:p>
    <w:p w14:paraId="531FBE51" w14:textId="77777777" w:rsidR="006F2D55" w:rsidRDefault="00000000">
      <w:pPr>
        <w:pStyle w:val="Heading1"/>
        <w:keepNext/>
        <w:spacing w:before="320" w:after="140" w:line="300" w:lineRule="auto"/>
      </w:pPr>
      <w:r>
        <w:rPr>
          <w:b/>
          <w:bCs/>
          <w:color w:val="000000"/>
          <w:sz w:val="26"/>
          <w:szCs w:val="26"/>
        </w:rPr>
        <w:t>5. Small-Molecule Receptor Antagonists: Acute Treatment, Prevention and the Erosion of a Boundary</w:t>
      </w:r>
    </w:p>
    <w:p w14:paraId="03D51E65" w14:textId="77777777" w:rsidR="006F2D55" w:rsidRDefault="00000000">
      <w:pPr>
        <w:pStyle w:val="Heading2"/>
        <w:keepNext/>
        <w:spacing w:before="240" w:after="140" w:line="300" w:lineRule="auto"/>
      </w:pPr>
      <w:r>
        <w:rPr>
          <w:b/>
          <w:bCs/>
          <w:color w:val="000000"/>
          <w:sz w:val="24"/>
          <w:szCs w:val="24"/>
        </w:rPr>
        <w:t>5.1 Acute treatment and the comparison with triptans</w:t>
      </w:r>
    </w:p>
    <w:p w14:paraId="21FBAA90" w14:textId="77777777" w:rsidR="006F2D55" w:rsidRDefault="00000000">
      <w:pPr>
        <w:spacing w:after="160" w:line="360" w:lineRule="auto"/>
        <w:jc w:val="both"/>
      </w:pPr>
      <w:r>
        <w:t>Oral receptor antagonists reached the clinic more than a decade after the first proof-of-concept infusion study (Olesen et al., 2004), and their acute efficacy is consistent across programmes. Ubrogepant produced pain freedom at two hours in 19.2% and 21.2% of participants at the 50 mg and 100 mg doses against 11.8% with placebo in ACHIEVE I, and in 21.8% at 50 mg against 14.3% with placebo in ACHIEVE II (Dodick et al., 2019; Lipton et al., 2019a). Rimegepant achieved pain freedom in 19.6% against 12.0% with placebo in its tablet trial and in 21% against 11% in the orally disintegrating formulation trial (Croop et al., 2019; Lipton et al., 2019b). Zavegepant nasal spray produced pain freedom in 24% against 15% with placebo (Lipton et al., 2023). Freedom from the most bothersome associated symptom followed the same pattern, with absolute gains over placebo of roughly 8 to 12 percentage points.</w:t>
      </w:r>
    </w:p>
    <w:p w14:paraId="4ECB0DAF" w14:textId="77777777" w:rsidR="006F2D55" w:rsidRDefault="00000000">
      <w:pPr>
        <w:spacing w:after="160" w:line="360" w:lineRule="auto"/>
        <w:jc w:val="both"/>
      </w:pPr>
      <w:r>
        <w:t>These are genuine but unspectacular effects. No randomised trial has compared a gepant with a triptan in triptan-eligible patients, so any statement about relative acute potency rests on indirect comparison across trials with differing populations and rescue rules and should be treated with caution. The class advantage lies elsewhere. The absence of vasoconstrictor activity removes the cardiovascular contraindications that exclude an appreciable minority of patients from triptan therapy, and medication-overuse headache has not emerged as a consequence of gepant exposure in the randomised programmes or in extended open-label follow-up, although the observation periods remain short relative to a lifelong disorder (Ashina et al., 2025; Charles et al., 2024). Network meta-analysis of the acute agents indicates broad similarity between oral and intranasal antagonists on two-hour endpoints, with the intranasal route offering the earlier onset that may matter most in attacks with early vomiting (Zhu et al., 2025). That synthesis is itself constructed from placebo-controlled trials rather than head-to-head data, and its conclusions inherit the uncertainty of indirect comparison.</w:t>
      </w:r>
    </w:p>
    <w:p w14:paraId="5ED8D554" w14:textId="77777777" w:rsidR="006F2D55" w:rsidRDefault="00000000">
      <w:pPr>
        <w:pStyle w:val="Heading2"/>
        <w:keepNext/>
        <w:spacing w:before="240" w:after="140" w:line="300" w:lineRule="auto"/>
      </w:pPr>
      <w:r>
        <w:rPr>
          <w:b/>
          <w:bCs/>
          <w:color w:val="000000"/>
          <w:sz w:val="24"/>
          <w:szCs w:val="24"/>
        </w:rPr>
        <w:lastRenderedPageBreak/>
        <w:t>5.2 Preventive use and the collapse of the acute-preventive distinction</w:t>
      </w:r>
    </w:p>
    <w:p w14:paraId="3F7CE0CA" w14:textId="77777777" w:rsidR="006F2D55" w:rsidRDefault="00000000">
      <w:pPr>
        <w:spacing w:after="160" w:line="360" w:lineRule="auto"/>
        <w:jc w:val="both"/>
      </w:pPr>
      <w:r>
        <w:t>Atogepant reduced monthly migraine days by 3.7 to 4.2 days across the 10 mg, 30 mg and 60 mg doses against 2.5 days with placebo in episodic migraine, and by 7.5 days with 30 mg twice daily and 6.9 days with 60 mg once daily against 5.1 days with placebo in chronic migraine (Ailani et al., 2021; Pozo-Rosich et al., 2023). Rimegepant taken on alternate days reduced monthly migraine days by 4.3 days against 3.5 days with placebo, a least-squares mean difference of 0.8 days that reached statistical significance at a conventional threshold (Croop et al., 2021). The rimegepant preventive result illustrates the interpretive problem described earlier in an extreme form: a difference of less than one migraine day per month is statistically robust in a trial of 747 participants and is difficult to characterise as clinically substantial at the level of the average patient, even though the responder distribution presumably contains individuals with much larger benefit.</w:t>
      </w:r>
    </w:p>
    <w:p w14:paraId="34C88717" w14:textId="77777777" w:rsidR="006F2D55" w:rsidRDefault="00000000">
      <w:pPr>
        <w:spacing w:after="160" w:line="360" w:lineRule="auto"/>
        <w:jc w:val="both"/>
      </w:pPr>
      <w:r>
        <w:t>The availability of an agent licensed both for attack treatment and for prevention dissolves a distinction that has organised migraine therapeutics for decades and that continues to structure reimbursement rules, trial design and guideline architecture. The dissolution is conceptually coherent, since a drug that interrupts attack generation on the day it is taken will reduce attack frequency if taken often enough, but it creates unresolved practical questions. There is no evidence base for how frequently on-demand dosing may be used before it becomes de facto prevention, no established method for counting acute-medication days in a patient taking an agent that is simultaneously preventive, and no randomised comparison of scheduled against symptom-driven dosing of the same molecule.</w:t>
      </w:r>
    </w:p>
    <w:p w14:paraId="0BF351CE" w14:textId="77777777" w:rsidR="006F2D55" w:rsidRDefault="00000000">
      <w:pPr>
        <w:pStyle w:val="Heading2"/>
        <w:keepNext/>
        <w:spacing w:before="240" w:after="140" w:line="300" w:lineRule="auto"/>
      </w:pPr>
      <w:r>
        <w:rPr>
          <w:b/>
          <w:bCs/>
          <w:color w:val="000000"/>
          <w:sz w:val="24"/>
          <w:szCs w:val="24"/>
        </w:rPr>
        <w:t>5.3 Treatment during the prodrome</w:t>
      </w:r>
    </w:p>
    <w:p w14:paraId="1095F427" w14:textId="77777777" w:rsidR="006F2D55" w:rsidRDefault="00000000">
      <w:pPr>
        <w:spacing w:after="160" w:line="360" w:lineRule="auto"/>
        <w:jc w:val="both"/>
      </w:pPr>
      <w:r>
        <w:t>The most conceptually significant recent development is the demonstration that an acute agent given before headache onset can prevent the headache. In the PRODROME crossover trial, participants treated qualifying prodromal events with ubrogepant 100 mg or placebo; moderate or severe headache was absent within 24 hours after 190 of 418 events treated with ubrogepant (46%) compared with 121 of 423 events treated with placebo (29%), an odds ratio of 2.09 (Dodick et al., 2023). Exploratory analysis indicated improvement in prodromal symptoms themselves, including photophobia, fatigue and neck pain, within hours of dosing (Goadsby et al., 2025).</w:t>
      </w:r>
    </w:p>
    <w:p w14:paraId="63C42501" w14:textId="77777777" w:rsidR="006F2D55" w:rsidRDefault="00000000">
      <w:pPr>
        <w:spacing w:after="160" w:line="360" w:lineRule="auto"/>
        <w:jc w:val="both"/>
      </w:pPr>
      <w:r>
        <w:t xml:space="preserve">Two implications follow, and they should be distinguished by the confidence they warrant. The well-supported implication is practical: for patients who reliably recognise premonitory </w:t>
      </w:r>
      <w:r>
        <w:lastRenderedPageBreak/>
        <w:t>symptoms, a treatment window exists before pain begins, and the therapeutic target in that window is attack abortion rather than pain relief. The more speculative implication is mechanistic: efficacy during the prodrome, a phase attributed to hypothalamic and brainstem activity preceding trigeminovascular activation, suggests either that peptide signalling is engaged earlier than the classical model assumes or that the drug acts at a site accessible during that phase. The trial cannot distinguish these possibilities. Generalisability is also constrained, since the design required participants to identify prodromal symptoms reliably, and the proportion of the wider migraine population able to do so is unknown.</w:t>
      </w:r>
    </w:p>
    <w:p w14:paraId="76CC70F9" w14:textId="77777777" w:rsidR="006F2D55" w:rsidRDefault="00000000">
      <w:pPr>
        <w:pStyle w:val="Heading2"/>
        <w:keepNext/>
        <w:spacing w:before="240" w:after="140" w:line="300" w:lineRule="auto"/>
      </w:pPr>
      <w:r>
        <w:rPr>
          <w:b/>
          <w:bCs/>
          <w:color w:val="000000"/>
          <w:sz w:val="24"/>
          <w:szCs w:val="24"/>
        </w:rPr>
        <w:t>5.4 Hepatic safety and the shadow of telcagepant</w:t>
      </w:r>
    </w:p>
    <w:p w14:paraId="1C1709F4" w14:textId="77777777" w:rsidR="006F2D55" w:rsidRDefault="00000000">
      <w:pPr>
        <w:spacing w:after="160" w:line="360" w:lineRule="auto"/>
        <w:jc w:val="both"/>
      </w:pPr>
      <w:r>
        <w:t>The first oral antagonist to reach late-stage development, telcagepant, was abandoned after aminotransferase elevations emerged during a preventive trial in which the drug was taken twice daily for twelve weeks (Ho et al., 2014). This history is essential context for interpreting the safety of the current agents, and it is frequently reduced to a footnote. Mechanistic investigation using quantitative systems toxicology modelling attributed the telcagepant signal to compound-specific properties, including inhibition of bile-acid transport and formation of reactive metabolites, rather than to receptor antagonism as such, and predicted a markedly lower hepatic liability for the successor molecules (Smith et al., 2020; Woodhead et al., 2022). Randomised data are consistent with that prediction, with hepatic events in the modern trials occurring at rates comparable to placebo.</w:t>
      </w:r>
    </w:p>
    <w:p w14:paraId="3AE5951B" w14:textId="77777777" w:rsidR="006F2D55" w:rsidRDefault="00000000">
      <w:pPr>
        <w:spacing w:after="160" w:line="360" w:lineRule="auto"/>
        <w:jc w:val="both"/>
      </w:pPr>
      <w:r>
        <w:t>Confidence in this reconstruction should nonetheless be qualified. The evidence that the hazard was molecule-specific rather than class-specific rests substantially on in silico modelling supported by clinical trial data of limited duration, and daily preventive exposure to an oral antagonist over years remains the circumstance in which the original signal arose. Long-term open-label extension data for atogepant extending beyond a year report no emergent hepatic signal and no unexpected safety findings (Ashina et al., 2025), which is reassuring but is derived from a self-selected continuing population. The prudent position is that hepatic safety of the current oral agents is well supported over the durations studied and remains an appropriate subject for pharmacovigilance over longer exposures. Table 3 summarises the randomised evidence for the small-molecule antagonists.</w:t>
      </w:r>
    </w:p>
    <w:p w14:paraId="149600E2" w14:textId="77777777" w:rsidR="006F2D55" w:rsidRDefault="00000000">
      <w:pPr>
        <w:keepNext/>
        <w:spacing w:before="200" w:after="100" w:line="260" w:lineRule="auto"/>
      </w:pPr>
      <w:r>
        <w:rPr>
          <w:b/>
          <w:bCs/>
          <w:sz w:val="20"/>
          <w:szCs w:val="20"/>
        </w:rPr>
        <w:lastRenderedPageBreak/>
        <w:t>Table 3. Randomised evidence for small-molecule calcitonin gene-related peptide receptor antagonists in acute and preventive treatment</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4AE0C290" w14:textId="77777777">
        <w:trPr>
          <w:tblHeader/>
        </w:trPr>
        <w:tc>
          <w:tcPr>
            <w:tcW w:w="1500" w:type="dxa"/>
            <w:shd w:val="clear" w:color="auto" w:fill="E8E8E8"/>
            <w:tcMar>
              <w:top w:w="60" w:type="dxa"/>
              <w:left w:w="80" w:type="dxa"/>
              <w:bottom w:w="60" w:type="dxa"/>
              <w:right w:w="80" w:type="dxa"/>
            </w:tcMar>
          </w:tcPr>
          <w:p w14:paraId="59AC89EF" w14:textId="77777777" w:rsidR="006F2D55" w:rsidRDefault="00000000">
            <w:r>
              <w:rPr>
                <w:b/>
                <w:bCs/>
                <w:sz w:val="18"/>
                <w:szCs w:val="18"/>
              </w:rPr>
              <w:t>Trial and agent</w:t>
            </w:r>
          </w:p>
        </w:tc>
        <w:tc>
          <w:tcPr>
            <w:tcW w:w="1900" w:type="dxa"/>
            <w:shd w:val="clear" w:color="auto" w:fill="E8E8E8"/>
            <w:tcMar>
              <w:top w:w="60" w:type="dxa"/>
              <w:left w:w="80" w:type="dxa"/>
              <w:bottom w:w="60" w:type="dxa"/>
              <w:right w:w="80" w:type="dxa"/>
            </w:tcMar>
          </w:tcPr>
          <w:p w14:paraId="4B3479A1" w14:textId="77777777" w:rsidR="006F2D55" w:rsidRDefault="00000000">
            <w:r>
              <w:rPr>
                <w:b/>
                <w:bCs/>
                <w:sz w:val="18"/>
                <w:szCs w:val="18"/>
              </w:rPr>
              <w:t>Setting and randomised sample</w:t>
            </w:r>
          </w:p>
        </w:tc>
        <w:tc>
          <w:tcPr>
            <w:tcW w:w="1900" w:type="dxa"/>
            <w:shd w:val="clear" w:color="auto" w:fill="E8E8E8"/>
            <w:tcMar>
              <w:top w:w="60" w:type="dxa"/>
              <w:left w:w="80" w:type="dxa"/>
              <w:bottom w:w="60" w:type="dxa"/>
              <w:right w:w="80" w:type="dxa"/>
            </w:tcMar>
          </w:tcPr>
          <w:p w14:paraId="372AED3B" w14:textId="77777777" w:rsidR="006F2D55" w:rsidRDefault="00000000">
            <w:r>
              <w:rPr>
                <w:b/>
                <w:bCs/>
                <w:sz w:val="18"/>
                <w:szCs w:val="18"/>
              </w:rPr>
              <w:t>Principal efficacy result</w:t>
            </w:r>
          </w:p>
        </w:tc>
        <w:tc>
          <w:tcPr>
            <w:tcW w:w="1900" w:type="dxa"/>
            <w:shd w:val="clear" w:color="auto" w:fill="E8E8E8"/>
            <w:tcMar>
              <w:top w:w="60" w:type="dxa"/>
              <w:left w:w="80" w:type="dxa"/>
              <w:bottom w:w="60" w:type="dxa"/>
              <w:right w:w="80" w:type="dxa"/>
            </w:tcMar>
          </w:tcPr>
          <w:p w14:paraId="04DBBED0" w14:textId="77777777" w:rsidR="006F2D55" w:rsidRDefault="00000000">
            <w:r>
              <w:rPr>
                <w:b/>
                <w:bCs/>
                <w:sz w:val="18"/>
                <w:szCs w:val="18"/>
              </w:rPr>
              <w:t>Critical observations</w:t>
            </w:r>
          </w:p>
        </w:tc>
        <w:tc>
          <w:tcPr>
            <w:tcW w:w="1826" w:type="dxa"/>
            <w:shd w:val="clear" w:color="auto" w:fill="E8E8E8"/>
            <w:tcMar>
              <w:top w:w="60" w:type="dxa"/>
              <w:left w:w="80" w:type="dxa"/>
              <w:bottom w:w="60" w:type="dxa"/>
              <w:right w:w="80" w:type="dxa"/>
            </w:tcMar>
          </w:tcPr>
          <w:p w14:paraId="7D33E4E3" w14:textId="77777777" w:rsidR="006F2D55" w:rsidRDefault="00000000">
            <w:r>
              <w:rPr>
                <w:b/>
                <w:bCs/>
                <w:sz w:val="18"/>
                <w:szCs w:val="18"/>
              </w:rPr>
              <w:t>Supporting references</w:t>
            </w:r>
          </w:p>
        </w:tc>
      </w:tr>
      <w:tr w:rsidR="006F2D55" w14:paraId="2BC0B362" w14:textId="77777777">
        <w:tc>
          <w:tcPr>
            <w:tcW w:w="1500" w:type="dxa"/>
            <w:tcMar>
              <w:top w:w="60" w:type="dxa"/>
              <w:left w:w="80" w:type="dxa"/>
              <w:bottom w:w="60" w:type="dxa"/>
              <w:right w:w="80" w:type="dxa"/>
            </w:tcMar>
          </w:tcPr>
          <w:p w14:paraId="2B94EFF2" w14:textId="77777777" w:rsidR="006F2D55" w:rsidRDefault="00000000">
            <w:r>
              <w:rPr>
                <w:sz w:val="18"/>
                <w:szCs w:val="18"/>
              </w:rPr>
              <w:t>ACHIEVE I (ubrogepant)</w:t>
            </w:r>
          </w:p>
        </w:tc>
        <w:tc>
          <w:tcPr>
            <w:tcW w:w="1900" w:type="dxa"/>
            <w:tcMar>
              <w:top w:w="60" w:type="dxa"/>
              <w:left w:w="80" w:type="dxa"/>
              <w:bottom w:w="60" w:type="dxa"/>
              <w:right w:w="80" w:type="dxa"/>
            </w:tcMar>
          </w:tcPr>
          <w:p w14:paraId="0BC5E465" w14:textId="77777777" w:rsidR="006F2D55" w:rsidRDefault="00000000">
            <w:r>
              <w:rPr>
                <w:sz w:val="18"/>
                <w:szCs w:val="18"/>
              </w:rPr>
              <w:t>Acute treatment of a single attack; n = 1,672</w:t>
            </w:r>
          </w:p>
        </w:tc>
        <w:tc>
          <w:tcPr>
            <w:tcW w:w="1900" w:type="dxa"/>
            <w:tcMar>
              <w:top w:w="60" w:type="dxa"/>
              <w:left w:w="80" w:type="dxa"/>
              <w:bottom w:w="60" w:type="dxa"/>
              <w:right w:w="80" w:type="dxa"/>
            </w:tcMar>
          </w:tcPr>
          <w:p w14:paraId="41D7A320" w14:textId="77777777" w:rsidR="006F2D55" w:rsidRDefault="00000000">
            <w:r>
              <w:rPr>
                <w:sz w:val="18"/>
                <w:szCs w:val="18"/>
              </w:rPr>
              <w:t>Two-hour pain freedom 19.2% (50 mg) and 21.2% (100 mg) versus 11.8%</w:t>
            </w:r>
          </w:p>
        </w:tc>
        <w:tc>
          <w:tcPr>
            <w:tcW w:w="1900" w:type="dxa"/>
            <w:tcMar>
              <w:top w:w="60" w:type="dxa"/>
              <w:left w:w="80" w:type="dxa"/>
              <w:bottom w:w="60" w:type="dxa"/>
              <w:right w:w="80" w:type="dxa"/>
            </w:tcMar>
          </w:tcPr>
          <w:p w14:paraId="0899D174" w14:textId="77777777" w:rsidR="006F2D55" w:rsidRDefault="00000000">
            <w:r>
              <w:rPr>
                <w:sz w:val="18"/>
                <w:szCs w:val="18"/>
              </w:rPr>
              <w:t>Single-attack design cannot assess consistency across attacks or long-term use</w:t>
            </w:r>
          </w:p>
        </w:tc>
        <w:tc>
          <w:tcPr>
            <w:tcW w:w="1826" w:type="dxa"/>
            <w:tcMar>
              <w:top w:w="60" w:type="dxa"/>
              <w:left w:w="80" w:type="dxa"/>
              <w:bottom w:w="60" w:type="dxa"/>
              <w:right w:w="80" w:type="dxa"/>
            </w:tcMar>
          </w:tcPr>
          <w:p w14:paraId="100505EB" w14:textId="77777777" w:rsidR="006F2D55" w:rsidRDefault="00000000">
            <w:r>
              <w:rPr>
                <w:sz w:val="18"/>
                <w:szCs w:val="18"/>
              </w:rPr>
              <w:t>Dodick et al. (2019)</w:t>
            </w:r>
          </w:p>
        </w:tc>
      </w:tr>
      <w:tr w:rsidR="006F2D55" w14:paraId="39D9DEFC" w14:textId="77777777">
        <w:tc>
          <w:tcPr>
            <w:tcW w:w="1500" w:type="dxa"/>
            <w:tcMar>
              <w:top w:w="60" w:type="dxa"/>
              <w:left w:w="80" w:type="dxa"/>
              <w:bottom w:w="60" w:type="dxa"/>
              <w:right w:w="80" w:type="dxa"/>
            </w:tcMar>
          </w:tcPr>
          <w:p w14:paraId="1AAE741F" w14:textId="77777777" w:rsidR="006F2D55" w:rsidRDefault="00000000">
            <w:r>
              <w:rPr>
                <w:sz w:val="18"/>
                <w:szCs w:val="18"/>
              </w:rPr>
              <w:t>ACHIEVE II (ubrogepant)</w:t>
            </w:r>
          </w:p>
        </w:tc>
        <w:tc>
          <w:tcPr>
            <w:tcW w:w="1900" w:type="dxa"/>
            <w:tcMar>
              <w:top w:w="60" w:type="dxa"/>
              <w:left w:w="80" w:type="dxa"/>
              <w:bottom w:w="60" w:type="dxa"/>
              <w:right w:w="80" w:type="dxa"/>
            </w:tcMar>
          </w:tcPr>
          <w:p w14:paraId="31A9819C" w14:textId="77777777" w:rsidR="006F2D55" w:rsidRDefault="00000000">
            <w:r>
              <w:rPr>
                <w:sz w:val="18"/>
                <w:szCs w:val="18"/>
              </w:rPr>
              <w:t>Acute treatment of a single attack; n = 1,686 randomised</w:t>
            </w:r>
          </w:p>
        </w:tc>
        <w:tc>
          <w:tcPr>
            <w:tcW w:w="1900" w:type="dxa"/>
            <w:tcMar>
              <w:top w:w="60" w:type="dxa"/>
              <w:left w:w="80" w:type="dxa"/>
              <w:bottom w:w="60" w:type="dxa"/>
              <w:right w:w="80" w:type="dxa"/>
            </w:tcMar>
          </w:tcPr>
          <w:p w14:paraId="4EDE07ED" w14:textId="77777777" w:rsidR="006F2D55" w:rsidRDefault="00000000">
            <w:r>
              <w:rPr>
                <w:sz w:val="18"/>
                <w:szCs w:val="18"/>
              </w:rPr>
              <w:t>Two-hour pain freedom 21.8% (50 mg) and 20.7% (25 mg) versus 14.3%</w:t>
            </w:r>
          </w:p>
        </w:tc>
        <w:tc>
          <w:tcPr>
            <w:tcW w:w="1900" w:type="dxa"/>
            <w:tcMar>
              <w:top w:w="60" w:type="dxa"/>
              <w:left w:w="80" w:type="dxa"/>
              <w:bottom w:w="60" w:type="dxa"/>
              <w:right w:w="80" w:type="dxa"/>
            </w:tcMar>
          </w:tcPr>
          <w:p w14:paraId="36E2E92A" w14:textId="77777777" w:rsidR="006F2D55" w:rsidRDefault="00000000">
            <w:r>
              <w:rPr>
                <w:sz w:val="18"/>
                <w:szCs w:val="18"/>
              </w:rPr>
              <w:t>The 25 mg dose did not separate from placebo on the most bothersome symptom endpoint</w:t>
            </w:r>
          </w:p>
        </w:tc>
        <w:tc>
          <w:tcPr>
            <w:tcW w:w="1826" w:type="dxa"/>
            <w:tcMar>
              <w:top w:w="60" w:type="dxa"/>
              <w:left w:w="80" w:type="dxa"/>
              <w:bottom w:w="60" w:type="dxa"/>
              <w:right w:w="80" w:type="dxa"/>
            </w:tcMar>
          </w:tcPr>
          <w:p w14:paraId="3A17B079" w14:textId="77777777" w:rsidR="006F2D55" w:rsidRDefault="00000000">
            <w:r>
              <w:rPr>
                <w:sz w:val="18"/>
                <w:szCs w:val="18"/>
              </w:rPr>
              <w:t>Lipton et al. (2019a)</w:t>
            </w:r>
          </w:p>
        </w:tc>
      </w:tr>
      <w:tr w:rsidR="006F2D55" w14:paraId="426ED4E7" w14:textId="77777777">
        <w:tc>
          <w:tcPr>
            <w:tcW w:w="1500" w:type="dxa"/>
            <w:tcMar>
              <w:top w:w="60" w:type="dxa"/>
              <w:left w:w="80" w:type="dxa"/>
              <w:bottom w:w="60" w:type="dxa"/>
              <w:right w:w="80" w:type="dxa"/>
            </w:tcMar>
          </w:tcPr>
          <w:p w14:paraId="764C38E5" w14:textId="77777777" w:rsidR="006F2D55" w:rsidRDefault="00000000">
            <w:r>
              <w:rPr>
                <w:sz w:val="18"/>
                <w:szCs w:val="18"/>
              </w:rPr>
              <w:t>Rimegepant tablet trial</w:t>
            </w:r>
          </w:p>
        </w:tc>
        <w:tc>
          <w:tcPr>
            <w:tcW w:w="1900" w:type="dxa"/>
            <w:tcMar>
              <w:top w:w="60" w:type="dxa"/>
              <w:left w:w="80" w:type="dxa"/>
              <w:bottom w:w="60" w:type="dxa"/>
              <w:right w:w="80" w:type="dxa"/>
            </w:tcMar>
          </w:tcPr>
          <w:p w14:paraId="652F90BE" w14:textId="77777777" w:rsidR="006F2D55" w:rsidRDefault="00000000">
            <w:r>
              <w:rPr>
                <w:sz w:val="18"/>
                <w:szCs w:val="18"/>
              </w:rPr>
              <w:t>Acute treatment of a single attack; n = 1,186</w:t>
            </w:r>
          </w:p>
        </w:tc>
        <w:tc>
          <w:tcPr>
            <w:tcW w:w="1900" w:type="dxa"/>
            <w:tcMar>
              <w:top w:w="60" w:type="dxa"/>
              <w:left w:w="80" w:type="dxa"/>
              <w:bottom w:w="60" w:type="dxa"/>
              <w:right w:w="80" w:type="dxa"/>
            </w:tcMar>
          </w:tcPr>
          <w:p w14:paraId="6CD0A40F" w14:textId="77777777" w:rsidR="006F2D55" w:rsidRDefault="00000000">
            <w:r>
              <w:rPr>
                <w:sz w:val="18"/>
                <w:szCs w:val="18"/>
              </w:rPr>
              <w:t>Two-hour pain freedom 19.6% versus 12.0%; most bothersome symptom freedom 37.6% versus 25.2%</w:t>
            </w:r>
          </w:p>
        </w:tc>
        <w:tc>
          <w:tcPr>
            <w:tcW w:w="1900" w:type="dxa"/>
            <w:tcMar>
              <w:top w:w="60" w:type="dxa"/>
              <w:left w:w="80" w:type="dxa"/>
              <w:bottom w:w="60" w:type="dxa"/>
              <w:right w:w="80" w:type="dxa"/>
            </w:tcMar>
          </w:tcPr>
          <w:p w14:paraId="1B32C7E4" w14:textId="77777777" w:rsidR="006F2D55" w:rsidRDefault="00000000">
            <w:r>
              <w:rPr>
                <w:sz w:val="18"/>
                <w:szCs w:val="18"/>
              </w:rPr>
              <w:t>Absolute gain over placebo of under 8 percentage points; no active comparator</w:t>
            </w:r>
          </w:p>
        </w:tc>
        <w:tc>
          <w:tcPr>
            <w:tcW w:w="1826" w:type="dxa"/>
            <w:tcMar>
              <w:top w:w="60" w:type="dxa"/>
              <w:left w:w="80" w:type="dxa"/>
              <w:bottom w:w="60" w:type="dxa"/>
              <w:right w:w="80" w:type="dxa"/>
            </w:tcMar>
          </w:tcPr>
          <w:p w14:paraId="062B33CC" w14:textId="77777777" w:rsidR="006F2D55" w:rsidRDefault="00000000">
            <w:r>
              <w:rPr>
                <w:sz w:val="18"/>
                <w:szCs w:val="18"/>
              </w:rPr>
              <w:t>Lipton et al. (2019b)</w:t>
            </w:r>
          </w:p>
        </w:tc>
      </w:tr>
      <w:tr w:rsidR="006F2D55" w14:paraId="5ECC340A" w14:textId="77777777">
        <w:tc>
          <w:tcPr>
            <w:tcW w:w="1500" w:type="dxa"/>
            <w:tcMar>
              <w:top w:w="60" w:type="dxa"/>
              <w:left w:w="80" w:type="dxa"/>
              <w:bottom w:w="60" w:type="dxa"/>
              <w:right w:w="80" w:type="dxa"/>
            </w:tcMar>
          </w:tcPr>
          <w:p w14:paraId="30EA79CF" w14:textId="77777777" w:rsidR="006F2D55" w:rsidRDefault="00000000">
            <w:r>
              <w:rPr>
                <w:sz w:val="18"/>
                <w:szCs w:val="18"/>
              </w:rPr>
              <w:t>Rimegepant orally disintegrating tablet trial</w:t>
            </w:r>
          </w:p>
        </w:tc>
        <w:tc>
          <w:tcPr>
            <w:tcW w:w="1900" w:type="dxa"/>
            <w:tcMar>
              <w:top w:w="60" w:type="dxa"/>
              <w:left w:w="80" w:type="dxa"/>
              <w:bottom w:w="60" w:type="dxa"/>
              <w:right w:w="80" w:type="dxa"/>
            </w:tcMar>
          </w:tcPr>
          <w:p w14:paraId="2E4FD683" w14:textId="77777777" w:rsidR="006F2D55" w:rsidRDefault="00000000">
            <w:r>
              <w:rPr>
                <w:sz w:val="18"/>
                <w:szCs w:val="18"/>
              </w:rPr>
              <w:t>Acute treatment of a single attack; n = 1,466</w:t>
            </w:r>
          </w:p>
        </w:tc>
        <w:tc>
          <w:tcPr>
            <w:tcW w:w="1900" w:type="dxa"/>
            <w:tcMar>
              <w:top w:w="60" w:type="dxa"/>
              <w:left w:w="80" w:type="dxa"/>
              <w:bottom w:w="60" w:type="dxa"/>
              <w:right w:w="80" w:type="dxa"/>
            </w:tcMar>
          </w:tcPr>
          <w:p w14:paraId="47E53109" w14:textId="77777777" w:rsidR="006F2D55" w:rsidRDefault="00000000">
            <w:r>
              <w:rPr>
                <w:sz w:val="18"/>
                <w:szCs w:val="18"/>
              </w:rPr>
              <w:t>Two-hour pain freedom 21% versus 11%; most bothersome symptom freedom 35% versus 27%</w:t>
            </w:r>
          </w:p>
        </w:tc>
        <w:tc>
          <w:tcPr>
            <w:tcW w:w="1900" w:type="dxa"/>
            <w:tcMar>
              <w:top w:w="60" w:type="dxa"/>
              <w:left w:w="80" w:type="dxa"/>
              <w:bottom w:w="60" w:type="dxa"/>
              <w:right w:w="80" w:type="dxa"/>
            </w:tcMar>
          </w:tcPr>
          <w:p w14:paraId="3E97111E" w14:textId="77777777" w:rsidR="006F2D55" w:rsidRDefault="00000000">
            <w:r>
              <w:rPr>
                <w:sz w:val="18"/>
                <w:szCs w:val="18"/>
              </w:rPr>
              <w:t>Formulation advantage not tested against the conventional tablet</w:t>
            </w:r>
          </w:p>
        </w:tc>
        <w:tc>
          <w:tcPr>
            <w:tcW w:w="1826" w:type="dxa"/>
            <w:tcMar>
              <w:top w:w="60" w:type="dxa"/>
              <w:left w:w="80" w:type="dxa"/>
              <w:bottom w:w="60" w:type="dxa"/>
              <w:right w:w="80" w:type="dxa"/>
            </w:tcMar>
          </w:tcPr>
          <w:p w14:paraId="4478867D" w14:textId="77777777" w:rsidR="006F2D55" w:rsidRDefault="00000000">
            <w:r>
              <w:rPr>
                <w:sz w:val="18"/>
                <w:szCs w:val="18"/>
              </w:rPr>
              <w:t>Croop et al. (2019)</w:t>
            </w:r>
          </w:p>
        </w:tc>
      </w:tr>
      <w:tr w:rsidR="006F2D55" w14:paraId="3B353A37" w14:textId="77777777">
        <w:tc>
          <w:tcPr>
            <w:tcW w:w="1500" w:type="dxa"/>
            <w:tcMar>
              <w:top w:w="60" w:type="dxa"/>
              <w:left w:w="80" w:type="dxa"/>
              <w:bottom w:w="60" w:type="dxa"/>
              <w:right w:w="80" w:type="dxa"/>
            </w:tcMar>
          </w:tcPr>
          <w:p w14:paraId="5AF53A2C" w14:textId="77777777" w:rsidR="006F2D55" w:rsidRDefault="00000000">
            <w:r>
              <w:rPr>
                <w:sz w:val="18"/>
                <w:szCs w:val="18"/>
              </w:rPr>
              <w:t>Zavegepant nasal spray trial</w:t>
            </w:r>
          </w:p>
        </w:tc>
        <w:tc>
          <w:tcPr>
            <w:tcW w:w="1900" w:type="dxa"/>
            <w:tcMar>
              <w:top w:w="60" w:type="dxa"/>
              <w:left w:w="80" w:type="dxa"/>
              <w:bottom w:w="60" w:type="dxa"/>
              <w:right w:w="80" w:type="dxa"/>
            </w:tcMar>
          </w:tcPr>
          <w:p w14:paraId="0CC5A253" w14:textId="77777777" w:rsidR="006F2D55" w:rsidRDefault="00000000">
            <w:r>
              <w:rPr>
                <w:sz w:val="18"/>
                <w:szCs w:val="18"/>
              </w:rPr>
              <w:t>Acute treatment of a single attack in the United States; n = 1,405</w:t>
            </w:r>
          </w:p>
        </w:tc>
        <w:tc>
          <w:tcPr>
            <w:tcW w:w="1900" w:type="dxa"/>
            <w:tcMar>
              <w:top w:w="60" w:type="dxa"/>
              <w:left w:w="80" w:type="dxa"/>
              <w:bottom w:w="60" w:type="dxa"/>
              <w:right w:w="80" w:type="dxa"/>
            </w:tcMar>
          </w:tcPr>
          <w:p w14:paraId="14F0F2B1" w14:textId="77777777" w:rsidR="006F2D55" w:rsidRDefault="00000000">
            <w:r>
              <w:rPr>
                <w:sz w:val="18"/>
                <w:szCs w:val="18"/>
              </w:rPr>
              <w:t>Two-hour pain freedom 24% versus 15%; most bothersome symptom freedom 40% versus 31%</w:t>
            </w:r>
          </w:p>
        </w:tc>
        <w:tc>
          <w:tcPr>
            <w:tcW w:w="1900" w:type="dxa"/>
            <w:tcMar>
              <w:top w:w="60" w:type="dxa"/>
              <w:left w:w="80" w:type="dxa"/>
              <w:bottom w:w="60" w:type="dxa"/>
              <w:right w:w="80" w:type="dxa"/>
            </w:tcMar>
          </w:tcPr>
          <w:p w14:paraId="7A9B2E0A" w14:textId="77777777" w:rsidR="006F2D55" w:rsidRDefault="00000000">
            <w:r>
              <w:rPr>
                <w:sz w:val="18"/>
                <w:szCs w:val="18"/>
              </w:rPr>
              <w:t>Single-country enrolment; dysgeusia common and may partially unmask allocation</w:t>
            </w:r>
          </w:p>
        </w:tc>
        <w:tc>
          <w:tcPr>
            <w:tcW w:w="1826" w:type="dxa"/>
            <w:tcMar>
              <w:top w:w="60" w:type="dxa"/>
              <w:left w:w="80" w:type="dxa"/>
              <w:bottom w:w="60" w:type="dxa"/>
              <w:right w:w="80" w:type="dxa"/>
            </w:tcMar>
          </w:tcPr>
          <w:p w14:paraId="2E422940" w14:textId="77777777" w:rsidR="006F2D55" w:rsidRDefault="00000000">
            <w:r w:rsidRPr="00F477EC">
              <w:rPr>
                <w:sz w:val="18"/>
                <w:szCs w:val="18"/>
                <w:lang w:val="nl-BE"/>
              </w:rPr>
              <w:t xml:space="preserve">Lipton et al. (2023); Zhu et al. </w:t>
            </w:r>
            <w:r>
              <w:rPr>
                <w:sz w:val="18"/>
                <w:szCs w:val="18"/>
              </w:rPr>
              <w:t>(2025)</w:t>
            </w:r>
          </w:p>
        </w:tc>
      </w:tr>
      <w:tr w:rsidR="006F2D55" w14:paraId="7DC6E708" w14:textId="77777777">
        <w:tc>
          <w:tcPr>
            <w:tcW w:w="1500" w:type="dxa"/>
            <w:tcMar>
              <w:top w:w="60" w:type="dxa"/>
              <w:left w:w="80" w:type="dxa"/>
              <w:bottom w:w="60" w:type="dxa"/>
              <w:right w:w="80" w:type="dxa"/>
            </w:tcMar>
          </w:tcPr>
          <w:p w14:paraId="04073224" w14:textId="77777777" w:rsidR="006F2D55" w:rsidRDefault="00000000">
            <w:r>
              <w:rPr>
                <w:sz w:val="18"/>
                <w:szCs w:val="18"/>
              </w:rPr>
              <w:t>PRODROME (ubrogepant)</w:t>
            </w:r>
          </w:p>
        </w:tc>
        <w:tc>
          <w:tcPr>
            <w:tcW w:w="1900" w:type="dxa"/>
            <w:tcMar>
              <w:top w:w="60" w:type="dxa"/>
              <w:left w:w="80" w:type="dxa"/>
              <w:bottom w:w="60" w:type="dxa"/>
              <w:right w:w="80" w:type="dxa"/>
            </w:tcMar>
          </w:tcPr>
          <w:p w14:paraId="231B409C" w14:textId="77777777" w:rsidR="006F2D55" w:rsidRDefault="00000000">
            <w:r>
              <w:rPr>
                <w:sz w:val="18"/>
                <w:szCs w:val="18"/>
              </w:rPr>
              <w:t>Treatment during the prodrome; crossover, n = 518 randomised</w:t>
            </w:r>
          </w:p>
        </w:tc>
        <w:tc>
          <w:tcPr>
            <w:tcW w:w="1900" w:type="dxa"/>
            <w:tcMar>
              <w:top w:w="60" w:type="dxa"/>
              <w:left w:w="80" w:type="dxa"/>
              <w:bottom w:w="60" w:type="dxa"/>
              <w:right w:w="80" w:type="dxa"/>
            </w:tcMar>
          </w:tcPr>
          <w:p w14:paraId="678A569E" w14:textId="77777777" w:rsidR="006F2D55" w:rsidRDefault="00000000">
            <w:r>
              <w:rPr>
                <w:sz w:val="18"/>
                <w:szCs w:val="18"/>
              </w:rPr>
              <w:t>Absence of moderate or severe headache within 24 hours after 46% of treated events versus 29% (odds ratio 2.09)</w:t>
            </w:r>
          </w:p>
        </w:tc>
        <w:tc>
          <w:tcPr>
            <w:tcW w:w="1900" w:type="dxa"/>
            <w:tcMar>
              <w:top w:w="60" w:type="dxa"/>
              <w:left w:w="80" w:type="dxa"/>
              <w:bottom w:w="60" w:type="dxa"/>
              <w:right w:w="80" w:type="dxa"/>
            </w:tcMar>
          </w:tcPr>
          <w:p w14:paraId="4129E336" w14:textId="77777777" w:rsidR="006F2D55" w:rsidRDefault="00000000">
            <w:r>
              <w:rPr>
                <w:sz w:val="18"/>
                <w:szCs w:val="18"/>
              </w:rPr>
              <w:t>Requires reliable recognition of prodromal symptoms; proportion of the wider population able to do so is unknown</w:t>
            </w:r>
          </w:p>
        </w:tc>
        <w:tc>
          <w:tcPr>
            <w:tcW w:w="1826" w:type="dxa"/>
            <w:tcMar>
              <w:top w:w="60" w:type="dxa"/>
              <w:left w:w="80" w:type="dxa"/>
              <w:bottom w:w="60" w:type="dxa"/>
              <w:right w:w="80" w:type="dxa"/>
            </w:tcMar>
          </w:tcPr>
          <w:p w14:paraId="7EFE5319" w14:textId="77777777" w:rsidR="006F2D55" w:rsidRDefault="00000000">
            <w:r w:rsidRPr="00F477EC">
              <w:rPr>
                <w:sz w:val="18"/>
                <w:szCs w:val="18"/>
                <w:lang w:val="nl-BE"/>
              </w:rPr>
              <w:t xml:space="preserve">Dodick et al. (2023); Goadsby et al. </w:t>
            </w:r>
            <w:r>
              <w:rPr>
                <w:sz w:val="18"/>
                <w:szCs w:val="18"/>
              </w:rPr>
              <w:t>(2025)</w:t>
            </w:r>
          </w:p>
        </w:tc>
      </w:tr>
      <w:tr w:rsidR="006F2D55" w14:paraId="7D215110" w14:textId="77777777">
        <w:tc>
          <w:tcPr>
            <w:tcW w:w="1500" w:type="dxa"/>
            <w:tcMar>
              <w:top w:w="60" w:type="dxa"/>
              <w:left w:w="80" w:type="dxa"/>
              <w:bottom w:w="60" w:type="dxa"/>
              <w:right w:w="80" w:type="dxa"/>
            </w:tcMar>
          </w:tcPr>
          <w:p w14:paraId="529A0EF9" w14:textId="77777777" w:rsidR="006F2D55" w:rsidRDefault="00000000">
            <w:r>
              <w:rPr>
                <w:sz w:val="18"/>
                <w:szCs w:val="18"/>
              </w:rPr>
              <w:t>ADVANCE (atogepant)</w:t>
            </w:r>
          </w:p>
        </w:tc>
        <w:tc>
          <w:tcPr>
            <w:tcW w:w="1900" w:type="dxa"/>
            <w:tcMar>
              <w:top w:w="60" w:type="dxa"/>
              <w:left w:w="80" w:type="dxa"/>
              <w:bottom w:w="60" w:type="dxa"/>
              <w:right w:w="80" w:type="dxa"/>
            </w:tcMar>
          </w:tcPr>
          <w:p w14:paraId="7B3D440A" w14:textId="77777777" w:rsidR="006F2D55" w:rsidRDefault="00000000">
            <w:r>
              <w:rPr>
                <w:sz w:val="18"/>
                <w:szCs w:val="18"/>
              </w:rPr>
              <w:t>Prevention in episodic migraine; n = 910 enrolled, 873 analysed</w:t>
            </w:r>
          </w:p>
        </w:tc>
        <w:tc>
          <w:tcPr>
            <w:tcW w:w="1900" w:type="dxa"/>
            <w:tcMar>
              <w:top w:w="60" w:type="dxa"/>
              <w:left w:w="80" w:type="dxa"/>
              <w:bottom w:w="60" w:type="dxa"/>
              <w:right w:w="80" w:type="dxa"/>
            </w:tcMar>
          </w:tcPr>
          <w:p w14:paraId="78682ED0" w14:textId="77777777" w:rsidR="006F2D55" w:rsidRDefault="00000000">
            <w:r>
              <w:rPr>
                <w:sz w:val="18"/>
                <w:szCs w:val="18"/>
              </w:rPr>
              <w:t>−3.7 to −4.2 days across doses versus −2.5 days</w:t>
            </w:r>
          </w:p>
        </w:tc>
        <w:tc>
          <w:tcPr>
            <w:tcW w:w="1900" w:type="dxa"/>
            <w:tcMar>
              <w:top w:w="60" w:type="dxa"/>
              <w:left w:w="80" w:type="dxa"/>
              <w:bottom w:w="60" w:type="dxa"/>
              <w:right w:w="80" w:type="dxa"/>
            </w:tcMar>
          </w:tcPr>
          <w:p w14:paraId="4FD8D314" w14:textId="77777777" w:rsidR="006F2D55" w:rsidRDefault="00000000">
            <w:r>
              <w:rPr>
                <w:sz w:val="18"/>
                <w:szCs w:val="18"/>
              </w:rPr>
              <w:t>Constipation and nausea dose-related; twelve-week duration</w:t>
            </w:r>
          </w:p>
        </w:tc>
        <w:tc>
          <w:tcPr>
            <w:tcW w:w="1826" w:type="dxa"/>
            <w:tcMar>
              <w:top w:w="60" w:type="dxa"/>
              <w:left w:w="80" w:type="dxa"/>
              <w:bottom w:w="60" w:type="dxa"/>
              <w:right w:w="80" w:type="dxa"/>
            </w:tcMar>
          </w:tcPr>
          <w:p w14:paraId="4C26874C" w14:textId="77777777" w:rsidR="006F2D55" w:rsidRDefault="00000000">
            <w:r>
              <w:rPr>
                <w:sz w:val="18"/>
                <w:szCs w:val="18"/>
              </w:rPr>
              <w:t>Ailani et al. (2021)</w:t>
            </w:r>
          </w:p>
        </w:tc>
      </w:tr>
      <w:tr w:rsidR="006F2D55" w14:paraId="345A1AEF" w14:textId="77777777">
        <w:tc>
          <w:tcPr>
            <w:tcW w:w="1500" w:type="dxa"/>
            <w:tcMar>
              <w:top w:w="60" w:type="dxa"/>
              <w:left w:w="80" w:type="dxa"/>
              <w:bottom w:w="60" w:type="dxa"/>
              <w:right w:w="80" w:type="dxa"/>
            </w:tcMar>
          </w:tcPr>
          <w:p w14:paraId="022FC695" w14:textId="77777777" w:rsidR="006F2D55" w:rsidRDefault="00000000">
            <w:r>
              <w:rPr>
                <w:sz w:val="18"/>
                <w:szCs w:val="18"/>
              </w:rPr>
              <w:t>PROGRESS (atogepant)</w:t>
            </w:r>
          </w:p>
        </w:tc>
        <w:tc>
          <w:tcPr>
            <w:tcW w:w="1900" w:type="dxa"/>
            <w:tcMar>
              <w:top w:w="60" w:type="dxa"/>
              <w:left w:w="80" w:type="dxa"/>
              <w:bottom w:w="60" w:type="dxa"/>
              <w:right w:w="80" w:type="dxa"/>
            </w:tcMar>
          </w:tcPr>
          <w:p w14:paraId="7DE1E7AA" w14:textId="77777777" w:rsidR="006F2D55" w:rsidRDefault="00000000">
            <w:r>
              <w:rPr>
                <w:sz w:val="18"/>
                <w:szCs w:val="18"/>
              </w:rPr>
              <w:t>Prevention in chronic migraine; n = 778</w:t>
            </w:r>
          </w:p>
        </w:tc>
        <w:tc>
          <w:tcPr>
            <w:tcW w:w="1900" w:type="dxa"/>
            <w:tcMar>
              <w:top w:w="60" w:type="dxa"/>
              <w:left w:w="80" w:type="dxa"/>
              <w:bottom w:w="60" w:type="dxa"/>
              <w:right w:w="80" w:type="dxa"/>
            </w:tcMar>
          </w:tcPr>
          <w:p w14:paraId="5E816509" w14:textId="77777777" w:rsidR="006F2D55" w:rsidRDefault="00000000">
            <w:r>
              <w:rPr>
                <w:sz w:val="18"/>
                <w:szCs w:val="18"/>
              </w:rPr>
              <w:t>−7.5 days (30 mg twice daily) and −6.9 days (60 mg once daily) versus −5.1 days</w:t>
            </w:r>
          </w:p>
        </w:tc>
        <w:tc>
          <w:tcPr>
            <w:tcW w:w="1900" w:type="dxa"/>
            <w:tcMar>
              <w:top w:w="60" w:type="dxa"/>
              <w:left w:w="80" w:type="dxa"/>
              <w:bottom w:w="60" w:type="dxa"/>
              <w:right w:w="80" w:type="dxa"/>
            </w:tcMar>
          </w:tcPr>
          <w:p w14:paraId="250DF9FD" w14:textId="77777777" w:rsidR="006F2D55" w:rsidRDefault="00000000">
            <w:r>
              <w:rPr>
                <w:sz w:val="18"/>
                <w:szCs w:val="18"/>
              </w:rPr>
              <w:t>Constipation in approximately 10% versus 3% with placebo; higher dosing frequency not clearly superior</w:t>
            </w:r>
          </w:p>
        </w:tc>
        <w:tc>
          <w:tcPr>
            <w:tcW w:w="1826" w:type="dxa"/>
            <w:tcMar>
              <w:top w:w="60" w:type="dxa"/>
              <w:left w:w="80" w:type="dxa"/>
              <w:bottom w:w="60" w:type="dxa"/>
              <w:right w:w="80" w:type="dxa"/>
            </w:tcMar>
          </w:tcPr>
          <w:p w14:paraId="243C3215" w14:textId="77777777" w:rsidR="006F2D55" w:rsidRDefault="00000000">
            <w:r>
              <w:rPr>
                <w:sz w:val="18"/>
                <w:szCs w:val="18"/>
              </w:rPr>
              <w:t>Pozo-Rosich et al. (2023)</w:t>
            </w:r>
          </w:p>
        </w:tc>
      </w:tr>
      <w:tr w:rsidR="006F2D55" w14:paraId="733D4733" w14:textId="77777777">
        <w:tc>
          <w:tcPr>
            <w:tcW w:w="1500" w:type="dxa"/>
            <w:tcMar>
              <w:top w:w="60" w:type="dxa"/>
              <w:left w:w="80" w:type="dxa"/>
              <w:bottom w:w="60" w:type="dxa"/>
              <w:right w:w="80" w:type="dxa"/>
            </w:tcMar>
          </w:tcPr>
          <w:p w14:paraId="7FC80B5A" w14:textId="77777777" w:rsidR="006F2D55" w:rsidRDefault="00000000">
            <w:r>
              <w:rPr>
                <w:sz w:val="18"/>
                <w:szCs w:val="18"/>
              </w:rPr>
              <w:t>ELEVATE (atogepant)</w:t>
            </w:r>
          </w:p>
        </w:tc>
        <w:tc>
          <w:tcPr>
            <w:tcW w:w="1900" w:type="dxa"/>
            <w:tcMar>
              <w:top w:w="60" w:type="dxa"/>
              <w:left w:w="80" w:type="dxa"/>
              <w:bottom w:w="60" w:type="dxa"/>
              <w:right w:w="80" w:type="dxa"/>
            </w:tcMar>
          </w:tcPr>
          <w:p w14:paraId="3868754E" w14:textId="77777777" w:rsidR="006F2D55" w:rsidRDefault="00000000">
            <w:r>
              <w:rPr>
                <w:sz w:val="18"/>
                <w:szCs w:val="18"/>
              </w:rPr>
              <w:t>Prevention after failure of two to four oral preventive classes; n = 315 randomised</w:t>
            </w:r>
          </w:p>
        </w:tc>
        <w:tc>
          <w:tcPr>
            <w:tcW w:w="1900" w:type="dxa"/>
            <w:tcMar>
              <w:top w:w="60" w:type="dxa"/>
              <w:left w:w="80" w:type="dxa"/>
              <w:bottom w:w="60" w:type="dxa"/>
              <w:right w:w="80" w:type="dxa"/>
            </w:tcMar>
          </w:tcPr>
          <w:p w14:paraId="1A6903AF" w14:textId="77777777" w:rsidR="006F2D55" w:rsidRDefault="00000000">
            <w:r>
              <w:rPr>
                <w:sz w:val="18"/>
                <w:szCs w:val="18"/>
              </w:rPr>
              <w:t>−4.2 days versus −1.9 days (least-squares mean difference −2.4 days)</w:t>
            </w:r>
          </w:p>
        </w:tc>
        <w:tc>
          <w:tcPr>
            <w:tcW w:w="1900" w:type="dxa"/>
            <w:tcMar>
              <w:top w:w="60" w:type="dxa"/>
              <w:left w:w="80" w:type="dxa"/>
              <w:bottom w:w="60" w:type="dxa"/>
              <w:right w:w="80" w:type="dxa"/>
            </w:tcMar>
          </w:tcPr>
          <w:p w14:paraId="49BF1BF4" w14:textId="77777777" w:rsidR="006F2D55" w:rsidRDefault="00000000">
            <w:r>
              <w:rPr>
                <w:sz w:val="18"/>
                <w:szCs w:val="18"/>
              </w:rPr>
              <w:t>96% of participants were of White ethnicity, constraining generalisability</w:t>
            </w:r>
          </w:p>
        </w:tc>
        <w:tc>
          <w:tcPr>
            <w:tcW w:w="1826" w:type="dxa"/>
            <w:tcMar>
              <w:top w:w="60" w:type="dxa"/>
              <w:left w:w="80" w:type="dxa"/>
              <w:bottom w:w="60" w:type="dxa"/>
              <w:right w:w="80" w:type="dxa"/>
            </w:tcMar>
          </w:tcPr>
          <w:p w14:paraId="43A02F24" w14:textId="77777777" w:rsidR="006F2D55" w:rsidRDefault="00000000">
            <w:r>
              <w:rPr>
                <w:sz w:val="18"/>
                <w:szCs w:val="18"/>
              </w:rPr>
              <w:t>Tassorelli et al. (2024)</w:t>
            </w:r>
          </w:p>
        </w:tc>
      </w:tr>
      <w:tr w:rsidR="006F2D55" w14:paraId="587F797A" w14:textId="77777777">
        <w:tc>
          <w:tcPr>
            <w:tcW w:w="1500" w:type="dxa"/>
            <w:tcMar>
              <w:top w:w="60" w:type="dxa"/>
              <w:left w:w="80" w:type="dxa"/>
              <w:bottom w:w="60" w:type="dxa"/>
              <w:right w:w="80" w:type="dxa"/>
            </w:tcMar>
          </w:tcPr>
          <w:p w14:paraId="10E1688A" w14:textId="77777777" w:rsidR="006F2D55" w:rsidRDefault="00000000">
            <w:r>
              <w:rPr>
                <w:sz w:val="18"/>
                <w:szCs w:val="18"/>
              </w:rPr>
              <w:t>Rimegepant preventive trial</w:t>
            </w:r>
          </w:p>
        </w:tc>
        <w:tc>
          <w:tcPr>
            <w:tcW w:w="1900" w:type="dxa"/>
            <w:tcMar>
              <w:top w:w="60" w:type="dxa"/>
              <w:left w:w="80" w:type="dxa"/>
              <w:bottom w:w="60" w:type="dxa"/>
              <w:right w:w="80" w:type="dxa"/>
            </w:tcMar>
          </w:tcPr>
          <w:p w14:paraId="32743719" w14:textId="77777777" w:rsidR="006F2D55" w:rsidRDefault="00000000">
            <w:r>
              <w:rPr>
                <w:sz w:val="18"/>
                <w:szCs w:val="18"/>
              </w:rPr>
              <w:t>Alternate-day prevention; n = 747 randomised, 695 analysed</w:t>
            </w:r>
          </w:p>
        </w:tc>
        <w:tc>
          <w:tcPr>
            <w:tcW w:w="1900" w:type="dxa"/>
            <w:tcMar>
              <w:top w:w="60" w:type="dxa"/>
              <w:left w:w="80" w:type="dxa"/>
              <w:bottom w:w="60" w:type="dxa"/>
              <w:right w:w="80" w:type="dxa"/>
            </w:tcMar>
          </w:tcPr>
          <w:p w14:paraId="2F728011" w14:textId="77777777" w:rsidR="006F2D55" w:rsidRDefault="00000000">
            <w:r>
              <w:rPr>
                <w:sz w:val="18"/>
                <w:szCs w:val="18"/>
              </w:rPr>
              <w:t>−4.3 days versus −3.5 days (least-squares mean difference −0.8 days)</w:t>
            </w:r>
          </w:p>
        </w:tc>
        <w:tc>
          <w:tcPr>
            <w:tcW w:w="1900" w:type="dxa"/>
            <w:tcMar>
              <w:top w:w="60" w:type="dxa"/>
              <w:left w:w="80" w:type="dxa"/>
              <w:bottom w:w="60" w:type="dxa"/>
              <w:right w:w="80" w:type="dxa"/>
            </w:tcMar>
          </w:tcPr>
          <w:p w14:paraId="56A7D8AD" w14:textId="77777777" w:rsidR="006F2D55" w:rsidRDefault="00000000">
            <w:r>
              <w:rPr>
                <w:sz w:val="18"/>
                <w:szCs w:val="18"/>
              </w:rPr>
              <w:t>Difference of under one migraine day per month; clinical importance uncertain despite statistical significance</w:t>
            </w:r>
          </w:p>
        </w:tc>
        <w:tc>
          <w:tcPr>
            <w:tcW w:w="1826" w:type="dxa"/>
            <w:tcMar>
              <w:top w:w="60" w:type="dxa"/>
              <w:left w:w="80" w:type="dxa"/>
              <w:bottom w:w="60" w:type="dxa"/>
              <w:right w:w="80" w:type="dxa"/>
            </w:tcMar>
          </w:tcPr>
          <w:p w14:paraId="00305026" w14:textId="77777777" w:rsidR="006F2D55" w:rsidRDefault="00000000">
            <w:r>
              <w:rPr>
                <w:sz w:val="18"/>
                <w:szCs w:val="18"/>
              </w:rPr>
              <w:t>Croop et al. (2021)</w:t>
            </w:r>
          </w:p>
        </w:tc>
      </w:tr>
    </w:tbl>
    <w:p w14:paraId="2D641597" w14:textId="77777777" w:rsidR="006F2D55" w:rsidRDefault="00000000">
      <w:pPr>
        <w:spacing w:before="90" w:after="260"/>
      </w:pPr>
      <w:r>
        <w:rPr>
          <w:i/>
          <w:iCs/>
          <w:sz w:val="18"/>
          <w:szCs w:val="18"/>
        </w:rPr>
        <w:t>Note. Acute-treatment results are proportions achieving the coprimary endpoints at two hours after dosing. Preventive results are changes in monthly migraine days over the double-blind period. Most bothersome symptom refers to the participant-designated symptom among photophobia, phonophobia and nausea.</w:t>
      </w:r>
    </w:p>
    <w:p w14:paraId="739D02AA" w14:textId="77777777" w:rsidR="006F2D55" w:rsidRDefault="00000000">
      <w:pPr>
        <w:pStyle w:val="Heading1"/>
        <w:keepNext/>
        <w:spacing w:before="320" w:after="140" w:line="300" w:lineRule="auto"/>
      </w:pPr>
      <w:r>
        <w:rPr>
          <w:b/>
          <w:bCs/>
          <w:color w:val="000000"/>
          <w:sz w:val="26"/>
          <w:szCs w:val="26"/>
        </w:rPr>
        <w:lastRenderedPageBreak/>
        <w:t>6. Comparative Effectiveness, Guideline Divergence and the Question of Positioning</w:t>
      </w:r>
    </w:p>
    <w:p w14:paraId="697C3887" w14:textId="77777777" w:rsidR="006F2D55" w:rsidRDefault="00000000">
      <w:pPr>
        <w:pStyle w:val="Heading2"/>
        <w:keepNext/>
        <w:spacing w:before="240" w:after="140" w:line="300" w:lineRule="auto"/>
      </w:pPr>
      <w:r>
        <w:rPr>
          <w:b/>
          <w:bCs/>
          <w:color w:val="000000"/>
          <w:sz w:val="24"/>
          <w:szCs w:val="24"/>
        </w:rPr>
        <w:t>6.1 Head-to-head and network meta-analytic evidence</w:t>
      </w:r>
    </w:p>
    <w:p w14:paraId="5D918E26" w14:textId="77777777" w:rsidR="006F2D55" w:rsidRDefault="00000000">
      <w:pPr>
        <w:spacing w:after="160" w:line="360" w:lineRule="auto"/>
        <w:jc w:val="both"/>
      </w:pPr>
      <w:r>
        <w:t>Only one adequately powered head-to-head trial has compared a pathway-targeted agent with an established oral preventive drug over a clinically meaningful period. HER-MES randomised 777 preventive-naive adults to erenumab or to individually titrated topiramate for 24 weeks, with discontinuation due to an adverse event as the primary endpoint. Discontinuation occurred in 10.6% of the erenumab group and 38.9% of the topiramate group, an odds ratio of 0.19, and at least a 50% reduction in monthly migraine days was achieved by 55.4% against 31.2% (Reuter et al., 2022). The design deserves attention because the primary endpoint was tolerability rather than efficacy, which is an unusually honest reflection of where the clinically decisive difference between these options lies. Double-dummy masking is nonetheless imperfect when one comparator produces characteristic cognitive and paraesthetic effects, and unmasking would tend to inflate the efficacy difference while leaving the tolerability difference substantially intact.</w:t>
      </w:r>
    </w:p>
    <w:p w14:paraId="3407325B" w14:textId="77777777" w:rsidR="006F2D55" w:rsidRDefault="00000000">
      <w:pPr>
        <w:spacing w:after="160" w:line="360" w:lineRule="auto"/>
        <w:jc w:val="both"/>
      </w:pPr>
      <w:r>
        <w:t>Network meta-analysis extends the comparison beyond the single available trial. A synthesis of 74 randomised trials including 32,990 patients concluded, with high certainty, that pathway-targeted antibodies, gepants and topiramate all increase the proportion of patients achieving at least a 50% reduction in monthly migraine days relative to placebo, and, with moderate to high certainty, that only the pathway-targeted agents do so without increasing discontinuation for adverse events; the authors ranked the antibodies first on combined safety and efficacy, with gepants close behind (Lampl et al., 2023). A separate network meta-analysis of tolerability across 19 phase 3 trials including 14,584 patients found no significant excess of serious adverse events for any agent relative to placebo, with the largest odds of treatment-emergent adverse events attaching to the highest doses of atogepant and galcanezumab (Messina et al., 2023). In patients with previous preventive failure, an 18-trial network including 7,281 participants found that all four antibodies and atogepant increased the likelihood of a 50% response relative to placebo, but rated the certainty of evidence as low to moderate and noted that the network is driven by a small number of industry-sponsored trials (Khalili et al., 2026).</w:t>
      </w:r>
    </w:p>
    <w:p w14:paraId="13238BC7" w14:textId="77777777" w:rsidR="006F2D55" w:rsidRDefault="00000000">
      <w:pPr>
        <w:pStyle w:val="Heading2"/>
        <w:keepNext/>
        <w:spacing w:before="240" w:after="140" w:line="300" w:lineRule="auto"/>
      </w:pPr>
      <w:r>
        <w:rPr>
          <w:b/>
          <w:bCs/>
          <w:color w:val="000000"/>
          <w:sz w:val="24"/>
          <w:szCs w:val="24"/>
        </w:rPr>
        <w:t>6.2 Why authoritative guidance has diverged</w:t>
      </w:r>
    </w:p>
    <w:p w14:paraId="55B6060B" w14:textId="77777777" w:rsidR="006F2D55" w:rsidRDefault="00000000">
      <w:pPr>
        <w:spacing w:after="160" w:line="360" w:lineRule="auto"/>
        <w:jc w:val="both"/>
      </w:pPr>
      <w:r>
        <w:t xml:space="preserve">The most instructive feature of the comparative literature is that two respected bodies reviewing overlapping evidence within a year of each other reached materially different conclusions. The </w:t>
      </w:r>
      <w:r>
        <w:lastRenderedPageBreak/>
        <w:t>American Headache Society position statement update concluded that the evidence for efficacy, tolerability and safety of pathway-targeted therapies exceeds that for any other preventive approach, is corroborated by extensive real-world experience, and justifies their use as first-line prevention without a requirement for prior failure of other classes (Charles et al., 2024). The American College of Physicians clinical guideline, published in 2025 and based on a network meta-analysis of 61 studies including 20,680 patients, issued all three of its recommendations as conditional and rated the supporting certainty as low, concluding that no high-certainty evidence favours any single pharmacological treatment for episodic migraine prevention over another (Damen et al., 2025; Qaseem et al., 2025). European guidance occupies an intermediate position, recommending the antibodies for patients who have failed or cannot tolerate other preventive treatments while acknowledging that this restriction reflects cost as well as evidence (Sacco et al., 2022).</w:t>
      </w:r>
    </w:p>
    <w:p w14:paraId="4312A90A" w14:textId="77777777" w:rsidR="006F2D55" w:rsidRDefault="00000000">
      <w:pPr>
        <w:spacing w:after="160" w:line="360" w:lineRule="auto"/>
        <w:jc w:val="both"/>
      </w:pPr>
      <w:r>
        <w:t>The divergence is not a disagreement about the data but about which comparison matters and how certainty should be graded. A specialist body weighing tolerability, persistence and speed of onset, and applying its judgement to a refractory clinic population, will reach a different conclusion from a general internal medicine body applying a formal certainty framework to head-to-head efficacy evidence that scarcely exists. Both positions are internally coherent. The consequence for practice is that positioning is currently determined less by evidence than by the perspective and the payer environment of the body issuing the guidance, and this should be stated plainly rather than obscured by appeals to consensus.</w:t>
      </w:r>
    </w:p>
    <w:p w14:paraId="3DEBC4B1" w14:textId="77777777" w:rsidR="006F2D55" w:rsidRDefault="00000000">
      <w:pPr>
        <w:pStyle w:val="Heading2"/>
        <w:keepNext/>
        <w:spacing w:before="240" w:after="140" w:line="300" w:lineRule="auto"/>
      </w:pPr>
      <w:r>
        <w:rPr>
          <w:b/>
          <w:bCs/>
          <w:color w:val="000000"/>
          <w:sz w:val="24"/>
          <w:szCs w:val="24"/>
        </w:rPr>
        <w:t>6.3 Persistence as an effectiveness outcome in its own right</w:t>
      </w:r>
    </w:p>
    <w:p w14:paraId="18E58EE6" w14:textId="77777777" w:rsidR="006F2D55" w:rsidRDefault="00000000">
      <w:pPr>
        <w:spacing w:after="160" w:line="360" w:lineRule="auto"/>
        <w:jc w:val="both"/>
      </w:pPr>
      <w:r>
        <w:t>Trials measure efficacy under conditions of enforced adherence, which is precisely the condition that fails in routine care with conventional preventive drugs. Registry data therefore carry information that trials cannot supply. In a large German pain registry analysis, six-month persistence was 89.4% for pathway-targeted antibodies compared with 43.0% for low-evidence and 34.0% for high-evidence conventional oral preventive medicines, with oral treatments discontinued for both adverse reactions and insufficient efficacy (Überall et al., 2026). A managed-access programme in Ireland reported adherence approaching 90% and continuation beyond twelve months in more than three-quarters of a refractory cohort (Smith et al., 2024). These are observational data and are subject to channelling, since patients granted access under restrictive protocols are motivated and closely supervised, but the magnitude of the persistence difference is larger than plausible confounding would generate.</w:t>
      </w:r>
    </w:p>
    <w:p w14:paraId="39A7C3CE" w14:textId="77777777" w:rsidR="006F2D55" w:rsidRDefault="00000000">
      <w:pPr>
        <w:spacing w:after="160" w:line="360" w:lineRule="auto"/>
        <w:jc w:val="both"/>
      </w:pPr>
      <w:r>
        <w:lastRenderedPageBreak/>
        <w:t>Persistence is not merely a proxy for tolerability. If a drug with a modest average effect is taken for a year and a drug with a comparable average effect is abandoned after two months, the cumulative benefit at the population level differs greatly, and conventional efficacy comparisons will not capture this. The argument that the pathway-targeted agents deserve early use rests more securely on this reasoning than on any claim of superior average efficacy, and it is compatible with the American College of Physicians finding that head-to-head efficacy evidence remains insufficient.</w:t>
      </w:r>
    </w:p>
    <w:p w14:paraId="740F7CCA" w14:textId="77777777" w:rsidR="006F2D55" w:rsidRDefault="00000000">
      <w:pPr>
        <w:spacing w:after="160" w:line="360" w:lineRule="auto"/>
        <w:jc w:val="both"/>
      </w:pPr>
      <w:r>
        <w:t>Real-world effectiveness cohorts add a second consideration. In a European multicentre cohort of 5,818 patients, 56.5% achieved at least a 50% reduction and 26.7% at least a 75% reduction in monthly headache days at six months, and higher baseline frequency and greater disability independently predicted a lower likelihood of response, which the investigators interpreted as an argument for earlier rather than later treatment (Caronna et al., 2024). Two-year follow-up of the same cohort found that 60.4% of those still receiving treatment at 24 months maintained at least a 50% reduction, while patients who discontinued for lack of effectiveness had higher baseline headache frequency and more often had aura, depression and obesity (Caronna et al., 2026). The observation that delayed initiation predicts poorer response is clinically important but must be interpreted with care, because baseline severity is confounded with duration of untreated disease and with reimbursement rules that permit access only after failure, so the direction of causation cannot be settled from observational data. Table 4 summarises the comparative and real-world evidence and the limitations that attach to each source.</w:t>
      </w:r>
    </w:p>
    <w:p w14:paraId="1133521D" w14:textId="77777777" w:rsidR="006F2D55" w:rsidRDefault="00000000">
      <w:pPr>
        <w:keepNext/>
        <w:spacing w:before="200" w:after="100" w:line="260" w:lineRule="auto"/>
      </w:pPr>
      <w:r>
        <w:rPr>
          <w:b/>
          <w:bCs/>
          <w:sz w:val="20"/>
          <w:szCs w:val="20"/>
        </w:rPr>
        <w:t>Table 4. Comparative effectiveness, persistence and real-world evidence for calcitonin gene-related peptide-targeted therapies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6C0A06EF" w14:textId="77777777">
        <w:trPr>
          <w:tblHeader/>
        </w:trPr>
        <w:tc>
          <w:tcPr>
            <w:tcW w:w="1500" w:type="dxa"/>
            <w:shd w:val="clear" w:color="auto" w:fill="E8E8E8"/>
            <w:tcMar>
              <w:top w:w="60" w:type="dxa"/>
              <w:left w:w="80" w:type="dxa"/>
              <w:bottom w:w="60" w:type="dxa"/>
              <w:right w:w="80" w:type="dxa"/>
            </w:tcMar>
          </w:tcPr>
          <w:p w14:paraId="78E1D868" w14:textId="77777777" w:rsidR="006F2D55" w:rsidRDefault="00000000">
            <w:r>
              <w:rPr>
                <w:b/>
                <w:bCs/>
                <w:sz w:val="18"/>
                <w:szCs w:val="18"/>
              </w:rPr>
              <w:t>Evidence source and design</w:t>
            </w:r>
          </w:p>
        </w:tc>
        <w:tc>
          <w:tcPr>
            <w:tcW w:w="1900" w:type="dxa"/>
            <w:shd w:val="clear" w:color="auto" w:fill="E8E8E8"/>
            <w:tcMar>
              <w:top w:w="60" w:type="dxa"/>
              <w:left w:w="80" w:type="dxa"/>
              <w:bottom w:w="60" w:type="dxa"/>
              <w:right w:w="80" w:type="dxa"/>
            </w:tcMar>
          </w:tcPr>
          <w:p w14:paraId="0B37FEA0" w14:textId="77777777" w:rsidR="006F2D55" w:rsidRDefault="00000000">
            <w:r>
              <w:rPr>
                <w:b/>
                <w:bCs/>
                <w:sz w:val="18"/>
                <w:szCs w:val="18"/>
              </w:rPr>
              <w:t>Comparison examined</w:t>
            </w:r>
          </w:p>
        </w:tc>
        <w:tc>
          <w:tcPr>
            <w:tcW w:w="1900" w:type="dxa"/>
            <w:shd w:val="clear" w:color="auto" w:fill="E8E8E8"/>
            <w:tcMar>
              <w:top w:w="60" w:type="dxa"/>
              <w:left w:w="80" w:type="dxa"/>
              <w:bottom w:w="60" w:type="dxa"/>
              <w:right w:w="80" w:type="dxa"/>
            </w:tcMar>
          </w:tcPr>
          <w:p w14:paraId="7E3008E0" w14:textId="77777777" w:rsidR="006F2D55" w:rsidRDefault="00000000">
            <w:r>
              <w:rPr>
                <w:b/>
                <w:bCs/>
                <w:sz w:val="18"/>
                <w:szCs w:val="18"/>
              </w:rPr>
              <w:t>Principal finding</w:t>
            </w:r>
          </w:p>
        </w:tc>
        <w:tc>
          <w:tcPr>
            <w:tcW w:w="1900" w:type="dxa"/>
            <w:shd w:val="clear" w:color="auto" w:fill="E8E8E8"/>
            <w:tcMar>
              <w:top w:w="60" w:type="dxa"/>
              <w:left w:w="80" w:type="dxa"/>
              <w:bottom w:w="60" w:type="dxa"/>
              <w:right w:w="80" w:type="dxa"/>
            </w:tcMar>
          </w:tcPr>
          <w:p w14:paraId="13D187E4" w14:textId="77777777" w:rsidR="006F2D55" w:rsidRDefault="00000000">
            <w:r>
              <w:rPr>
                <w:b/>
                <w:bCs/>
                <w:sz w:val="18"/>
                <w:szCs w:val="18"/>
              </w:rPr>
              <w:t>Principal methodological limitation</w:t>
            </w:r>
          </w:p>
        </w:tc>
        <w:tc>
          <w:tcPr>
            <w:tcW w:w="1826" w:type="dxa"/>
            <w:shd w:val="clear" w:color="auto" w:fill="E8E8E8"/>
            <w:tcMar>
              <w:top w:w="60" w:type="dxa"/>
              <w:left w:w="80" w:type="dxa"/>
              <w:bottom w:w="60" w:type="dxa"/>
              <w:right w:w="80" w:type="dxa"/>
            </w:tcMar>
          </w:tcPr>
          <w:p w14:paraId="6856FBE2" w14:textId="77777777" w:rsidR="006F2D55" w:rsidRDefault="00000000">
            <w:r>
              <w:rPr>
                <w:b/>
                <w:bCs/>
                <w:sz w:val="18"/>
                <w:szCs w:val="18"/>
              </w:rPr>
              <w:t>Supporting references</w:t>
            </w:r>
          </w:p>
        </w:tc>
      </w:tr>
      <w:tr w:rsidR="006F2D55" w14:paraId="1DE0BF1B" w14:textId="77777777">
        <w:tc>
          <w:tcPr>
            <w:tcW w:w="1500" w:type="dxa"/>
            <w:tcMar>
              <w:top w:w="60" w:type="dxa"/>
              <w:left w:w="80" w:type="dxa"/>
              <w:bottom w:w="60" w:type="dxa"/>
              <w:right w:w="80" w:type="dxa"/>
            </w:tcMar>
          </w:tcPr>
          <w:p w14:paraId="57B8E600" w14:textId="77777777" w:rsidR="006F2D55" w:rsidRDefault="00000000">
            <w:r>
              <w:rPr>
                <w:sz w:val="18"/>
                <w:szCs w:val="18"/>
              </w:rPr>
              <w:t>HER-MES; randomised, double-dummy, active-controlled phase 4 trial; n = 777</w:t>
            </w:r>
          </w:p>
        </w:tc>
        <w:tc>
          <w:tcPr>
            <w:tcW w:w="1900" w:type="dxa"/>
            <w:tcMar>
              <w:top w:w="60" w:type="dxa"/>
              <w:left w:w="80" w:type="dxa"/>
              <w:bottom w:w="60" w:type="dxa"/>
              <w:right w:w="80" w:type="dxa"/>
            </w:tcMar>
          </w:tcPr>
          <w:p w14:paraId="6B5C6C7B" w14:textId="77777777" w:rsidR="006F2D55" w:rsidRDefault="00000000">
            <w:r>
              <w:rPr>
                <w:sz w:val="18"/>
                <w:szCs w:val="18"/>
              </w:rPr>
              <w:t>Erenumab versus individually titrated topiramate over 24 weeks</w:t>
            </w:r>
          </w:p>
        </w:tc>
        <w:tc>
          <w:tcPr>
            <w:tcW w:w="1900" w:type="dxa"/>
            <w:tcMar>
              <w:top w:w="60" w:type="dxa"/>
              <w:left w:w="80" w:type="dxa"/>
              <w:bottom w:w="60" w:type="dxa"/>
              <w:right w:w="80" w:type="dxa"/>
            </w:tcMar>
          </w:tcPr>
          <w:p w14:paraId="53BAACC2" w14:textId="77777777" w:rsidR="006F2D55" w:rsidRDefault="00000000">
            <w:r>
              <w:rPr>
                <w:sz w:val="18"/>
                <w:szCs w:val="18"/>
              </w:rPr>
              <w:t>Discontinuation for adverse events 10.6% versus 38.9% (odds ratio 0.19); ≥50% response 55.4% versus 31.2%</w:t>
            </w:r>
          </w:p>
        </w:tc>
        <w:tc>
          <w:tcPr>
            <w:tcW w:w="1900" w:type="dxa"/>
            <w:tcMar>
              <w:top w:w="60" w:type="dxa"/>
              <w:left w:w="80" w:type="dxa"/>
              <w:bottom w:w="60" w:type="dxa"/>
              <w:right w:w="80" w:type="dxa"/>
            </w:tcMar>
          </w:tcPr>
          <w:p w14:paraId="3B8274E7" w14:textId="77777777" w:rsidR="006F2D55" w:rsidRDefault="00000000">
            <w:r>
              <w:rPr>
                <w:sz w:val="18"/>
                <w:szCs w:val="18"/>
              </w:rPr>
              <w:t>Masking is imperfect against a comparator with characteristic subjective effects; preventive-naive population only</w:t>
            </w:r>
          </w:p>
        </w:tc>
        <w:tc>
          <w:tcPr>
            <w:tcW w:w="1826" w:type="dxa"/>
            <w:tcMar>
              <w:top w:w="60" w:type="dxa"/>
              <w:left w:w="80" w:type="dxa"/>
              <w:bottom w:w="60" w:type="dxa"/>
              <w:right w:w="80" w:type="dxa"/>
            </w:tcMar>
          </w:tcPr>
          <w:p w14:paraId="16CBA760" w14:textId="77777777" w:rsidR="006F2D55" w:rsidRDefault="00000000">
            <w:r>
              <w:rPr>
                <w:sz w:val="18"/>
                <w:szCs w:val="18"/>
              </w:rPr>
              <w:t>Reuter et al. (2022)</w:t>
            </w:r>
          </w:p>
        </w:tc>
      </w:tr>
      <w:tr w:rsidR="006F2D55" w14:paraId="73328566" w14:textId="77777777">
        <w:tc>
          <w:tcPr>
            <w:tcW w:w="1500" w:type="dxa"/>
            <w:tcMar>
              <w:top w:w="60" w:type="dxa"/>
              <w:left w:w="80" w:type="dxa"/>
              <w:bottom w:w="60" w:type="dxa"/>
              <w:right w:w="80" w:type="dxa"/>
            </w:tcMar>
          </w:tcPr>
          <w:p w14:paraId="52102F3F" w14:textId="77777777" w:rsidR="006F2D55" w:rsidRDefault="00000000">
            <w:r>
              <w:rPr>
                <w:sz w:val="18"/>
                <w:szCs w:val="18"/>
              </w:rPr>
              <w:t>Network meta-analysis of 74 randomised trials; 32,990 patients</w:t>
            </w:r>
          </w:p>
        </w:tc>
        <w:tc>
          <w:tcPr>
            <w:tcW w:w="1900" w:type="dxa"/>
            <w:tcMar>
              <w:top w:w="60" w:type="dxa"/>
              <w:left w:w="80" w:type="dxa"/>
              <w:bottom w:w="60" w:type="dxa"/>
              <w:right w:w="80" w:type="dxa"/>
            </w:tcMar>
          </w:tcPr>
          <w:p w14:paraId="51F165D1" w14:textId="77777777" w:rsidR="006F2D55" w:rsidRDefault="00000000">
            <w:r>
              <w:rPr>
                <w:sz w:val="18"/>
                <w:szCs w:val="18"/>
              </w:rPr>
              <w:t>All pharmacological preventive classes against placebo and each other</w:t>
            </w:r>
          </w:p>
        </w:tc>
        <w:tc>
          <w:tcPr>
            <w:tcW w:w="1900" w:type="dxa"/>
            <w:tcMar>
              <w:top w:w="60" w:type="dxa"/>
              <w:left w:w="80" w:type="dxa"/>
              <w:bottom w:w="60" w:type="dxa"/>
              <w:right w:w="80" w:type="dxa"/>
            </w:tcMar>
          </w:tcPr>
          <w:p w14:paraId="34DBEC47" w14:textId="77777777" w:rsidR="006F2D55" w:rsidRDefault="00000000">
            <w:r>
              <w:rPr>
                <w:sz w:val="18"/>
                <w:szCs w:val="18"/>
              </w:rPr>
              <w:t>High-certainty benefit for pathway-targeted agents and topiramate; only pathway-targeted agents without excess discontinuation</w:t>
            </w:r>
          </w:p>
        </w:tc>
        <w:tc>
          <w:tcPr>
            <w:tcW w:w="1900" w:type="dxa"/>
            <w:tcMar>
              <w:top w:w="60" w:type="dxa"/>
              <w:left w:w="80" w:type="dxa"/>
              <w:bottom w:w="60" w:type="dxa"/>
              <w:right w:w="80" w:type="dxa"/>
            </w:tcMar>
          </w:tcPr>
          <w:p w14:paraId="7404221A" w14:textId="77777777" w:rsidR="006F2D55" w:rsidRDefault="00000000">
            <w:r>
              <w:rPr>
                <w:sz w:val="18"/>
                <w:szCs w:val="18"/>
              </w:rPr>
              <w:t>Almost entirely indirect comparison; short trial durations; predominantly industry-sponsored trials</w:t>
            </w:r>
          </w:p>
        </w:tc>
        <w:tc>
          <w:tcPr>
            <w:tcW w:w="1826" w:type="dxa"/>
            <w:tcMar>
              <w:top w:w="60" w:type="dxa"/>
              <w:left w:w="80" w:type="dxa"/>
              <w:bottom w:w="60" w:type="dxa"/>
              <w:right w:w="80" w:type="dxa"/>
            </w:tcMar>
          </w:tcPr>
          <w:p w14:paraId="5D9D3621" w14:textId="77777777" w:rsidR="006F2D55" w:rsidRDefault="00000000">
            <w:r>
              <w:rPr>
                <w:sz w:val="18"/>
                <w:szCs w:val="18"/>
              </w:rPr>
              <w:t>Lampl et al. (2023)</w:t>
            </w:r>
          </w:p>
        </w:tc>
      </w:tr>
      <w:tr w:rsidR="006F2D55" w14:paraId="4B41D5BB" w14:textId="77777777">
        <w:tc>
          <w:tcPr>
            <w:tcW w:w="1500" w:type="dxa"/>
            <w:tcMar>
              <w:top w:w="60" w:type="dxa"/>
              <w:left w:w="80" w:type="dxa"/>
              <w:bottom w:w="60" w:type="dxa"/>
              <w:right w:w="80" w:type="dxa"/>
            </w:tcMar>
          </w:tcPr>
          <w:p w14:paraId="74348C18" w14:textId="77777777" w:rsidR="006F2D55" w:rsidRDefault="00000000">
            <w:r>
              <w:rPr>
                <w:sz w:val="18"/>
                <w:szCs w:val="18"/>
              </w:rPr>
              <w:t xml:space="preserve">Network meta-analysis for the American College of Physicians; 61 </w:t>
            </w:r>
            <w:r>
              <w:rPr>
                <w:sz w:val="18"/>
                <w:szCs w:val="18"/>
              </w:rPr>
              <w:lastRenderedPageBreak/>
              <w:t>studies; 20,680 patients</w:t>
            </w:r>
          </w:p>
        </w:tc>
        <w:tc>
          <w:tcPr>
            <w:tcW w:w="1900" w:type="dxa"/>
            <w:tcMar>
              <w:top w:w="60" w:type="dxa"/>
              <w:left w:w="80" w:type="dxa"/>
              <w:bottom w:w="60" w:type="dxa"/>
              <w:right w:w="80" w:type="dxa"/>
            </w:tcMar>
          </w:tcPr>
          <w:p w14:paraId="1EEF603E" w14:textId="77777777" w:rsidR="006F2D55" w:rsidRDefault="00000000">
            <w:r>
              <w:rPr>
                <w:sz w:val="18"/>
                <w:szCs w:val="18"/>
              </w:rPr>
              <w:lastRenderedPageBreak/>
              <w:t>Sixteen preventive treatments in episodic migraine</w:t>
            </w:r>
          </w:p>
        </w:tc>
        <w:tc>
          <w:tcPr>
            <w:tcW w:w="1900" w:type="dxa"/>
            <w:tcMar>
              <w:top w:w="60" w:type="dxa"/>
              <w:left w:w="80" w:type="dxa"/>
              <w:bottom w:w="60" w:type="dxa"/>
              <w:right w:w="80" w:type="dxa"/>
            </w:tcMar>
          </w:tcPr>
          <w:p w14:paraId="604BF72C" w14:textId="77777777" w:rsidR="006F2D55" w:rsidRDefault="00000000">
            <w:r>
              <w:rPr>
                <w:sz w:val="18"/>
                <w:szCs w:val="18"/>
              </w:rPr>
              <w:t xml:space="preserve">Fewer discontinuations for adverse events than topiramate (risk difference −16.2%); no </w:t>
            </w:r>
            <w:r>
              <w:rPr>
                <w:sz w:val="18"/>
                <w:szCs w:val="18"/>
              </w:rPr>
              <w:lastRenderedPageBreak/>
              <w:t>high-certainty superiority of any agent</w:t>
            </w:r>
          </w:p>
        </w:tc>
        <w:tc>
          <w:tcPr>
            <w:tcW w:w="1900" w:type="dxa"/>
            <w:tcMar>
              <w:top w:w="60" w:type="dxa"/>
              <w:left w:w="80" w:type="dxa"/>
              <w:bottom w:w="60" w:type="dxa"/>
              <w:right w:w="80" w:type="dxa"/>
            </w:tcMar>
          </w:tcPr>
          <w:p w14:paraId="5D564C38" w14:textId="77777777" w:rsidR="006F2D55" w:rsidRDefault="00000000">
            <w:r>
              <w:rPr>
                <w:sz w:val="18"/>
                <w:szCs w:val="18"/>
              </w:rPr>
              <w:lastRenderedPageBreak/>
              <w:t>Minimal important differences not established; head-to-head comparisons scarce</w:t>
            </w:r>
          </w:p>
        </w:tc>
        <w:tc>
          <w:tcPr>
            <w:tcW w:w="1826" w:type="dxa"/>
            <w:tcMar>
              <w:top w:w="60" w:type="dxa"/>
              <w:left w:w="80" w:type="dxa"/>
              <w:bottom w:w="60" w:type="dxa"/>
              <w:right w:w="80" w:type="dxa"/>
            </w:tcMar>
          </w:tcPr>
          <w:p w14:paraId="52B6D623" w14:textId="77777777" w:rsidR="006F2D55" w:rsidRDefault="00000000">
            <w:r w:rsidRPr="00F477EC">
              <w:rPr>
                <w:sz w:val="18"/>
                <w:szCs w:val="18"/>
                <w:lang w:val="nl-BE"/>
              </w:rPr>
              <w:t xml:space="preserve">Damen et al. (2025); Qaseem et al. </w:t>
            </w:r>
            <w:r>
              <w:rPr>
                <w:sz w:val="18"/>
                <w:szCs w:val="18"/>
              </w:rPr>
              <w:t>(2025)</w:t>
            </w:r>
          </w:p>
        </w:tc>
      </w:tr>
      <w:tr w:rsidR="006F2D55" w14:paraId="59761A6A" w14:textId="77777777">
        <w:tc>
          <w:tcPr>
            <w:tcW w:w="1500" w:type="dxa"/>
            <w:tcMar>
              <w:top w:w="60" w:type="dxa"/>
              <w:left w:w="80" w:type="dxa"/>
              <w:bottom w:w="60" w:type="dxa"/>
              <w:right w:w="80" w:type="dxa"/>
            </w:tcMar>
          </w:tcPr>
          <w:p w14:paraId="37B138AE" w14:textId="77777777" w:rsidR="006F2D55" w:rsidRDefault="00000000">
            <w:r>
              <w:rPr>
                <w:sz w:val="18"/>
                <w:szCs w:val="18"/>
              </w:rPr>
              <w:t>Network meta-analysis of tolerability; 19 phase 3 trials; 14,584 patients</w:t>
            </w:r>
          </w:p>
        </w:tc>
        <w:tc>
          <w:tcPr>
            <w:tcW w:w="1900" w:type="dxa"/>
            <w:tcMar>
              <w:top w:w="60" w:type="dxa"/>
              <w:left w:w="80" w:type="dxa"/>
              <w:bottom w:w="60" w:type="dxa"/>
              <w:right w:w="80" w:type="dxa"/>
            </w:tcMar>
          </w:tcPr>
          <w:p w14:paraId="24D84B92" w14:textId="77777777" w:rsidR="006F2D55" w:rsidRDefault="00000000">
            <w:r>
              <w:rPr>
                <w:sz w:val="18"/>
                <w:szCs w:val="18"/>
              </w:rPr>
              <w:t>Antibodies and gepants against placebo</w:t>
            </w:r>
          </w:p>
        </w:tc>
        <w:tc>
          <w:tcPr>
            <w:tcW w:w="1900" w:type="dxa"/>
            <w:tcMar>
              <w:top w:w="60" w:type="dxa"/>
              <w:left w:w="80" w:type="dxa"/>
              <w:bottom w:w="60" w:type="dxa"/>
              <w:right w:w="80" w:type="dxa"/>
            </w:tcMar>
          </w:tcPr>
          <w:p w14:paraId="18D7EA25" w14:textId="77777777" w:rsidR="006F2D55" w:rsidRDefault="00000000">
            <w:r>
              <w:rPr>
                <w:sz w:val="18"/>
                <w:szCs w:val="18"/>
              </w:rPr>
              <w:t>No significant excess of serious adverse events; highest doses of atogepant and galcanezumab least well tolerated</w:t>
            </w:r>
          </w:p>
        </w:tc>
        <w:tc>
          <w:tcPr>
            <w:tcW w:w="1900" w:type="dxa"/>
            <w:tcMar>
              <w:top w:w="60" w:type="dxa"/>
              <w:left w:w="80" w:type="dxa"/>
              <w:bottom w:w="60" w:type="dxa"/>
              <w:right w:w="80" w:type="dxa"/>
            </w:tcMar>
          </w:tcPr>
          <w:p w14:paraId="2E3E5992" w14:textId="77777777" w:rsidR="006F2D55" w:rsidRDefault="00000000">
            <w:r>
              <w:rPr>
                <w:sz w:val="18"/>
                <w:szCs w:val="18"/>
              </w:rPr>
              <w:t>Registration trials only; adverse-event ascertainment not harmonised between programmes</w:t>
            </w:r>
          </w:p>
        </w:tc>
        <w:tc>
          <w:tcPr>
            <w:tcW w:w="1826" w:type="dxa"/>
            <w:tcMar>
              <w:top w:w="60" w:type="dxa"/>
              <w:left w:w="80" w:type="dxa"/>
              <w:bottom w:w="60" w:type="dxa"/>
              <w:right w:w="80" w:type="dxa"/>
            </w:tcMar>
          </w:tcPr>
          <w:p w14:paraId="28FEFE7F" w14:textId="77777777" w:rsidR="006F2D55" w:rsidRDefault="00000000">
            <w:r>
              <w:rPr>
                <w:sz w:val="18"/>
                <w:szCs w:val="18"/>
              </w:rPr>
              <w:t>Messina et al. (2023)</w:t>
            </w:r>
          </w:p>
        </w:tc>
      </w:tr>
      <w:tr w:rsidR="006F2D55" w14:paraId="600E33C7" w14:textId="77777777">
        <w:tc>
          <w:tcPr>
            <w:tcW w:w="1500" w:type="dxa"/>
            <w:tcMar>
              <w:top w:w="60" w:type="dxa"/>
              <w:left w:w="80" w:type="dxa"/>
              <w:bottom w:w="60" w:type="dxa"/>
              <w:right w:w="80" w:type="dxa"/>
            </w:tcMar>
          </w:tcPr>
          <w:p w14:paraId="22E02AE7" w14:textId="77777777" w:rsidR="006F2D55" w:rsidRDefault="00000000">
            <w:r>
              <w:rPr>
                <w:sz w:val="18"/>
                <w:szCs w:val="18"/>
              </w:rPr>
              <w:t>Network meta-analysis after previous preventive failure; 18 trials; 7,281 participants</w:t>
            </w:r>
          </w:p>
        </w:tc>
        <w:tc>
          <w:tcPr>
            <w:tcW w:w="1900" w:type="dxa"/>
            <w:tcMar>
              <w:top w:w="60" w:type="dxa"/>
              <w:left w:w="80" w:type="dxa"/>
              <w:bottom w:w="60" w:type="dxa"/>
              <w:right w:w="80" w:type="dxa"/>
            </w:tcMar>
          </w:tcPr>
          <w:p w14:paraId="0CDAA3F5" w14:textId="77777777" w:rsidR="006F2D55" w:rsidRDefault="00000000">
            <w:r>
              <w:rPr>
                <w:sz w:val="18"/>
                <w:szCs w:val="18"/>
              </w:rPr>
              <w:t>Preventive agents in patients with prior treatment failure</w:t>
            </w:r>
          </w:p>
        </w:tc>
        <w:tc>
          <w:tcPr>
            <w:tcW w:w="1900" w:type="dxa"/>
            <w:tcMar>
              <w:top w:w="60" w:type="dxa"/>
              <w:left w:w="80" w:type="dxa"/>
              <w:bottom w:w="60" w:type="dxa"/>
              <w:right w:w="80" w:type="dxa"/>
            </w:tcMar>
          </w:tcPr>
          <w:p w14:paraId="3AD09EC8" w14:textId="77777777" w:rsidR="006F2D55" w:rsidRDefault="00000000">
            <w:r>
              <w:rPr>
                <w:sz w:val="18"/>
                <w:szCs w:val="18"/>
              </w:rPr>
              <w:t>All four antibodies and atogepant increased 50% response; low to moderate certainty</w:t>
            </w:r>
          </w:p>
        </w:tc>
        <w:tc>
          <w:tcPr>
            <w:tcW w:w="1900" w:type="dxa"/>
            <w:tcMar>
              <w:top w:w="60" w:type="dxa"/>
              <w:left w:w="80" w:type="dxa"/>
              <w:bottom w:w="60" w:type="dxa"/>
              <w:right w:w="80" w:type="dxa"/>
            </w:tcMar>
          </w:tcPr>
          <w:p w14:paraId="70684202" w14:textId="77777777" w:rsidR="006F2D55" w:rsidRDefault="00000000">
            <w:r>
              <w:rPr>
                <w:sz w:val="18"/>
                <w:szCs w:val="18"/>
              </w:rPr>
              <w:t>Evidence driven by few industry-sponsored trials; short follow-up</w:t>
            </w:r>
          </w:p>
        </w:tc>
        <w:tc>
          <w:tcPr>
            <w:tcW w:w="1826" w:type="dxa"/>
            <w:tcMar>
              <w:top w:w="60" w:type="dxa"/>
              <w:left w:w="80" w:type="dxa"/>
              <w:bottom w:w="60" w:type="dxa"/>
              <w:right w:w="80" w:type="dxa"/>
            </w:tcMar>
          </w:tcPr>
          <w:p w14:paraId="6AB94162" w14:textId="77777777" w:rsidR="006F2D55" w:rsidRDefault="00000000">
            <w:r>
              <w:rPr>
                <w:sz w:val="18"/>
                <w:szCs w:val="18"/>
              </w:rPr>
              <w:t>Khalili et al. (2026)</w:t>
            </w:r>
          </w:p>
        </w:tc>
      </w:tr>
      <w:tr w:rsidR="006F2D55" w14:paraId="259334C7" w14:textId="77777777">
        <w:tc>
          <w:tcPr>
            <w:tcW w:w="1500" w:type="dxa"/>
            <w:tcMar>
              <w:top w:w="60" w:type="dxa"/>
              <w:left w:w="80" w:type="dxa"/>
              <w:bottom w:w="60" w:type="dxa"/>
              <w:right w:w="80" w:type="dxa"/>
            </w:tcMar>
          </w:tcPr>
          <w:p w14:paraId="1BE537B5" w14:textId="77777777" w:rsidR="006F2D55" w:rsidRDefault="00000000">
            <w:r>
              <w:rPr>
                <w:sz w:val="18"/>
                <w:szCs w:val="18"/>
              </w:rPr>
              <w:t>German Pain e-Registry; comparative real-world cohort</w:t>
            </w:r>
          </w:p>
        </w:tc>
        <w:tc>
          <w:tcPr>
            <w:tcW w:w="1900" w:type="dxa"/>
            <w:tcMar>
              <w:top w:w="60" w:type="dxa"/>
              <w:left w:w="80" w:type="dxa"/>
              <w:bottom w:w="60" w:type="dxa"/>
              <w:right w:w="80" w:type="dxa"/>
            </w:tcMar>
          </w:tcPr>
          <w:p w14:paraId="4396C922" w14:textId="77777777" w:rsidR="006F2D55" w:rsidRDefault="00000000">
            <w:r>
              <w:rPr>
                <w:sz w:val="18"/>
                <w:szCs w:val="18"/>
              </w:rPr>
              <w:t>Antibodies versus high- and low-evidence oral preventive medicines</w:t>
            </w:r>
          </w:p>
        </w:tc>
        <w:tc>
          <w:tcPr>
            <w:tcW w:w="1900" w:type="dxa"/>
            <w:tcMar>
              <w:top w:w="60" w:type="dxa"/>
              <w:left w:w="80" w:type="dxa"/>
              <w:bottom w:w="60" w:type="dxa"/>
              <w:right w:w="80" w:type="dxa"/>
            </w:tcMar>
          </w:tcPr>
          <w:p w14:paraId="0AAF07E7" w14:textId="77777777" w:rsidR="006F2D55" w:rsidRDefault="00000000">
            <w:r>
              <w:rPr>
                <w:sz w:val="18"/>
                <w:szCs w:val="18"/>
              </w:rPr>
              <w:t>Six-month persistence 89.4% versus 34.0% and 43.0% respectively</w:t>
            </w:r>
          </w:p>
        </w:tc>
        <w:tc>
          <w:tcPr>
            <w:tcW w:w="1900" w:type="dxa"/>
            <w:tcMar>
              <w:top w:w="60" w:type="dxa"/>
              <w:left w:w="80" w:type="dxa"/>
              <w:bottom w:w="60" w:type="dxa"/>
              <w:right w:w="80" w:type="dxa"/>
            </w:tcMar>
          </w:tcPr>
          <w:p w14:paraId="77CEE7A1" w14:textId="77777777" w:rsidR="006F2D55" w:rsidRDefault="00000000">
            <w:r>
              <w:rPr>
                <w:sz w:val="18"/>
                <w:szCs w:val="18"/>
              </w:rPr>
              <w:t>Non-randomised; channelling of motivated and closely supervised patients to the newer class</w:t>
            </w:r>
          </w:p>
        </w:tc>
        <w:tc>
          <w:tcPr>
            <w:tcW w:w="1826" w:type="dxa"/>
            <w:tcMar>
              <w:top w:w="60" w:type="dxa"/>
              <w:left w:w="80" w:type="dxa"/>
              <w:bottom w:w="60" w:type="dxa"/>
              <w:right w:w="80" w:type="dxa"/>
            </w:tcMar>
          </w:tcPr>
          <w:p w14:paraId="57990CF7" w14:textId="77777777" w:rsidR="006F2D55" w:rsidRDefault="00000000">
            <w:r>
              <w:rPr>
                <w:sz w:val="18"/>
                <w:szCs w:val="18"/>
              </w:rPr>
              <w:t>Überall et al. (2026)</w:t>
            </w:r>
          </w:p>
        </w:tc>
      </w:tr>
      <w:tr w:rsidR="006F2D55" w14:paraId="71A43D9E" w14:textId="77777777">
        <w:tc>
          <w:tcPr>
            <w:tcW w:w="1500" w:type="dxa"/>
            <w:tcMar>
              <w:top w:w="60" w:type="dxa"/>
              <w:left w:w="80" w:type="dxa"/>
              <w:bottom w:w="60" w:type="dxa"/>
              <w:right w:w="80" w:type="dxa"/>
            </w:tcMar>
          </w:tcPr>
          <w:p w14:paraId="1B5C6FFE" w14:textId="77777777" w:rsidR="006F2D55" w:rsidRDefault="00000000">
            <w:r>
              <w:rPr>
                <w:sz w:val="18"/>
                <w:szCs w:val="18"/>
              </w:rPr>
              <w:t>EUREkA European multicentre prospective cohort; n = 5,818 at six months and 1,340 at two years</w:t>
            </w:r>
          </w:p>
        </w:tc>
        <w:tc>
          <w:tcPr>
            <w:tcW w:w="1900" w:type="dxa"/>
            <w:tcMar>
              <w:top w:w="60" w:type="dxa"/>
              <w:left w:w="80" w:type="dxa"/>
              <w:bottom w:w="60" w:type="dxa"/>
              <w:right w:w="80" w:type="dxa"/>
            </w:tcMar>
          </w:tcPr>
          <w:p w14:paraId="44411181" w14:textId="77777777" w:rsidR="006F2D55" w:rsidRDefault="00000000">
            <w:r>
              <w:rPr>
                <w:sz w:val="18"/>
                <w:szCs w:val="18"/>
              </w:rPr>
              <w:t>Antibodies in routine specialist care</w:t>
            </w:r>
          </w:p>
        </w:tc>
        <w:tc>
          <w:tcPr>
            <w:tcW w:w="1900" w:type="dxa"/>
            <w:tcMar>
              <w:top w:w="60" w:type="dxa"/>
              <w:left w:w="80" w:type="dxa"/>
              <w:bottom w:w="60" w:type="dxa"/>
              <w:right w:w="80" w:type="dxa"/>
            </w:tcMar>
          </w:tcPr>
          <w:p w14:paraId="0F495E7A" w14:textId="77777777" w:rsidR="006F2D55" w:rsidRDefault="00000000">
            <w:r>
              <w:rPr>
                <w:sz w:val="18"/>
                <w:szCs w:val="18"/>
              </w:rPr>
              <w:t>56.5% achieved ≥50% and 26.7% ≥75% response at six months; 60.4% of those continuing maintained ≥50% response at two years</w:t>
            </w:r>
          </w:p>
        </w:tc>
        <w:tc>
          <w:tcPr>
            <w:tcW w:w="1900" w:type="dxa"/>
            <w:tcMar>
              <w:top w:w="60" w:type="dxa"/>
              <w:left w:w="80" w:type="dxa"/>
              <w:bottom w:w="60" w:type="dxa"/>
              <w:right w:w="80" w:type="dxa"/>
            </w:tcMar>
          </w:tcPr>
          <w:p w14:paraId="0CBA3548" w14:textId="77777777" w:rsidR="006F2D55" w:rsidRDefault="00000000">
            <w:r>
              <w:rPr>
                <w:sz w:val="18"/>
                <w:szCs w:val="18"/>
              </w:rPr>
              <w:t>No control group; two-year analysis restricted to treatment continuers, producing survivor bias</w:t>
            </w:r>
          </w:p>
        </w:tc>
        <w:tc>
          <w:tcPr>
            <w:tcW w:w="1826" w:type="dxa"/>
            <w:tcMar>
              <w:top w:w="60" w:type="dxa"/>
              <w:left w:w="80" w:type="dxa"/>
              <w:bottom w:w="60" w:type="dxa"/>
              <w:right w:w="80" w:type="dxa"/>
            </w:tcMar>
          </w:tcPr>
          <w:p w14:paraId="5E9ABF28" w14:textId="77777777" w:rsidR="006F2D55" w:rsidRDefault="00000000">
            <w:r w:rsidRPr="00F477EC">
              <w:rPr>
                <w:sz w:val="18"/>
                <w:szCs w:val="18"/>
                <w:lang w:val="nl-BE"/>
              </w:rPr>
              <w:t xml:space="preserve">Caronna et al. (2024); Caronna et al. </w:t>
            </w:r>
            <w:r>
              <w:rPr>
                <w:sz w:val="18"/>
                <w:szCs w:val="18"/>
              </w:rPr>
              <w:t>(2026)</w:t>
            </w:r>
          </w:p>
        </w:tc>
      </w:tr>
      <w:tr w:rsidR="006F2D55" w14:paraId="2DE38928" w14:textId="77777777">
        <w:tc>
          <w:tcPr>
            <w:tcW w:w="1500" w:type="dxa"/>
            <w:tcMar>
              <w:top w:w="60" w:type="dxa"/>
              <w:left w:w="80" w:type="dxa"/>
              <w:bottom w:w="60" w:type="dxa"/>
              <w:right w:w="80" w:type="dxa"/>
            </w:tcMar>
          </w:tcPr>
          <w:p w14:paraId="44DCB94E" w14:textId="77777777" w:rsidR="006F2D55" w:rsidRDefault="00000000">
            <w:r>
              <w:rPr>
                <w:sz w:val="18"/>
                <w:szCs w:val="18"/>
              </w:rPr>
              <w:t>National managed-access programme, Ireland; administrative claims analysis</w:t>
            </w:r>
          </w:p>
        </w:tc>
        <w:tc>
          <w:tcPr>
            <w:tcW w:w="1900" w:type="dxa"/>
            <w:tcMar>
              <w:top w:w="60" w:type="dxa"/>
              <w:left w:w="80" w:type="dxa"/>
              <w:bottom w:w="60" w:type="dxa"/>
              <w:right w:w="80" w:type="dxa"/>
            </w:tcMar>
          </w:tcPr>
          <w:p w14:paraId="62BDB62F" w14:textId="77777777" w:rsidR="006F2D55" w:rsidRDefault="00000000">
            <w:r>
              <w:rPr>
                <w:sz w:val="18"/>
                <w:szCs w:val="18"/>
              </w:rPr>
              <w:t>Antibodies in a treatment-refractory reimbursed cohort</w:t>
            </w:r>
          </w:p>
        </w:tc>
        <w:tc>
          <w:tcPr>
            <w:tcW w:w="1900" w:type="dxa"/>
            <w:tcMar>
              <w:top w:w="60" w:type="dxa"/>
              <w:left w:w="80" w:type="dxa"/>
              <w:bottom w:w="60" w:type="dxa"/>
              <w:right w:w="80" w:type="dxa"/>
            </w:tcMar>
          </w:tcPr>
          <w:p w14:paraId="2303028A" w14:textId="77777777" w:rsidR="006F2D55" w:rsidRDefault="00000000">
            <w:r>
              <w:rPr>
                <w:sz w:val="18"/>
                <w:szCs w:val="18"/>
              </w:rPr>
              <w:t>Adherence approaching 90%; more than three-quarters continued beyond twelve months</w:t>
            </w:r>
          </w:p>
        </w:tc>
        <w:tc>
          <w:tcPr>
            <w:tcW w:w="1900" w:type="dxa"/>
            <w:tcMar>
              <w:top w:w="60" w:type="dxa"/>
              <w:left w:w="80" w:type="dxa"/>
              <w:bottom w:w="60" w:type="dxa"/>
              <w:right w:w="80" w:type="dxa"/>
            </w:tcMar>
          </w:tcPr>
          <w:p w14:paraId="45853D54" w14:textId="77777777" w:rsidR="006F2D55" w:rsidRDefault="00000000">
            <w:r>
              <w:rPr>
                <w:sz w:val="18"/>
                <w:szCs w:val="18"/>
              </w:rPr>
              <w:t>Restrictive eligibility selects a highly motivated population; no comparator group</w:t>
            </w:r>
          </w:p>
        </w:tc>
        <w:tc>
          <w:tcPr>
            <w:tcW w:w="1826" w:type="dxa"/>
            <w:tcMar>
              <w:top w:w="60" w:type="dxa"/>
              <w:left w:w="80" w:type="dxa"/>
              <w:bottom w:w="60" w:type="dxa"/>
              <w:right w:w="80" w:type="dxa"/>
            </w:tcMar>
          </w:tcPr>
          <w:p w14:paraId="238E8726" w14:textId="77777777" w:rsidR="006F2D55" w:rsidRDefault="00000000">
            <w:r>
              <w:rPr>
                <w:sz w:val="18"/>
                <w:szCs w:val="18"/>
              </w:rPr>
              <w:t>Smith et al. (2024)</w:t>
            </w:r>
          </w:p>
        </w:tc>
      </w:tr>
      <w:tr w:rsidR="006F2D55" w14:paraId="4694B28E" w14:textId="77777777">
        <w:tc>
          <w:tcPr>
            <w:tcW w:w="1500" w:type="dxa"/>
            <w:tcMar>
              <w:top w:w="60" w:type="dxa"/>
              <w:left w:w="80" w:type="dxa"/>
              <w:bottom w:w="60" w:type="dxa"/>
              <w:right w:w="80" w:type="dxa"/>
            </w:tcMar>
          </w:tcPr>
          <w:p w14:paraId="0D11A0E5" w14:textId="77777777" w:rsidR="006F2D55" w:rsidRDefault="00000000">
            <w:r>
              <w:rPr>
                <w:sz w:val="18"/>
                <w:szCs w:val="18"/>
              </w:rPr>
              <w:t>Comparative narrative appraisal against conventional prophylaxis</w:t>
            </w:r>
          </w:p>
        </w:tc>
        <w:tc>
          <w:tcPr>
            <w:tcW w:w="1900" w:type="dxa"/>
            <w:tcMar>
              <w:top w:w="60" w:type="dxa"/>
              <w:left w:w="80" w:type="dxa"/>
              <w:bottom w:w="60" w:type="dxa"/>
              <w:right w:w="80" w:type="dxa"/>
            </w:tcMar>
          </w:tcPr>
          <w:p w14:paraId="7856311A" w14:textId="77777777" w:rsidR="006F2D55" w:rsidRDefault="00000000">
            <w:r>
              <w:rPr>
                <w:sz w:val="18"/>
                <w:szCs w:val="18"/>
              </w:rPr>
              <w:t>Antibodies versus standard oral preventive drugs</w:t>
            </w:r>
          </w:p>
        </w:tc>
        <w:tc>
          <w:tcPr>
            <w:tcW w:w="1900" w:type="dxa"/>
            <w:tcMar>
              <w:top w:w="60" w:type="dxa"/>
              <w:left w:w="80" w:type="dxa"/>
              <w:bottom w:w="60" w:type="dxa"/>
              <w:right w:w="80" w:type="dxa"/>
            </w:tcMar>
          </w:tcPr>
          <w:p w14:paraId="1DA6B054" w14:textId="77777777" w:rsidR="006F2D55" w:rsidRDefault="00000000">
            <w:r>
              <w:rPr>
                <w:sz w:val="18"/>
                <w:szCs w:val="18"/>
              </w:rPr>
              <w:t>Comparable efficacy with substantially better tolerability</w:t>
            </w:r>
          </w:p>
        </w:tc>
        <w:tc>
          <w:tcPr>
            <w:tcW w:w="1900" w:type="dxa"/>
            <w:tcMar>
              <w:top w:w="60" w:type="dxa"/>
              <w:left w:w="80" w:type="dxa"/>
              <w:bottom w:w="60" w:type="dxa"/>
              <w:right w:w="80" w:type="dxa"/>
            </w:tcMar>
          </w:tcPr>
          <w:p w14:paraId="1EC73FFD" w14:textId="77777777" w:rsidR="006F2D55" w:rsidRDefault="00000000">
            <w:r>
              <w:rPr>
                <w:sz w:val="18"/>
                <w:szCs w:val="18"/>
              </w:rPr>
              <w:t>Narrative synthesis without quantitative pooling; indirect comparison throughout</w:t>
            </w:r>
          </w:p>
        </w:tc>
        <w:tc>
          <w:tcPr>
            <w:tcW w:w="1826" w:type="dxa"/>
            <w:tcMar>
              <w:top w:w="60" w:type="dxa"/>
              <w:left w:w="80" w:type="dxa"/>
              <w:bottom w:w="60" w:type="dxa"/>
              <w:right w:w="80" w:type="dxa"/>
            </w:tcMar>
          </w:tcPr>
          <w:p w14:paraId="5CEE8C99" w14:textId="77777777" w:rsidR="006F2D55" w:rsidRDefault="00000000">
            <w:r>
              <w:rPr>
                <w:sz w:val="18"/>
                <w:szCs w:val="18"/>
              </w:rPr>
              <w:t>Vandervorst et al. (2021)</w:t>
            </w:r>
          </w:p>
        </w:tc>
      </w:tr>
    </w:tbl>
    <w:p w14:paraId="5192DDC8" w14:textId="77777777" w:rsidR="006F2D55" w:rsidRDefault="00000000">
      <w:pPr>
        <w:spacing w:before="90" w:after="260"/>
      </w:pPr>
      <w:r>
        <w:rPr>
          <w:i/>
          <w:iCs/>
          <w:sz w:val="18"/>
          <w:szCs w:val="18"/>
        </w:rPr>
        <w:t>Note. Persistence denotes continuation of the originally prescribed treatment. Responder definitions differ between sources, with some reporting monthly migraine days and others monthly headache days, and the proportions are therefore not directly comparable across rows.</w:t>
      </w:r>
    </w:p>
    <w:p w14:paraId="0A532697" w14:textId="77777777" w:rsidR="006F2D55" w:rsidRDefault="00000000">
      <w:pPr>
        <w:pStyle w:val="Heading1"/>
        <w:keepNext/>
        <w:spacing w:before="320" w:after="140" w:line="300" w:lineRule="auto"/>
      </w:pPr>
      <w:r>
        <w:rPr>
          <w:b/>
          <w:bCs/>
          <w:color w:val="000000"/>
          <w:sz w:val="26"/>
          <w:szCs w:val="26"/>
        </w:rPr>
        <w:t>7. Safety and Tolerability: Separating Demonstrated Risk from Mechanistic Anxiety</w:t>
      </w:r>
    </w:p>
    <w:p w14:paraId="32FC15AB" w14:textId="77777777" w:rsidR="006F2D55" w:rsidRDefault="00000000">
      <w:pPr>
        <w:pStyle w:val="Heading2"/>
        <w:keepNext/>
        <w:spacing w:before="240" w:after="140" w:line="300" w:lineRule="auto"/>
      </w:pPr>
      <w:r>
        <w:rPr>
          <w:b/>
          <w:bCs/>
          <w:color w:val="000000"/>
          <w:sz w:val="24"/>
          <w:szCs w:val="24"/>
        </w:rPr>
        <w:t>7.1 Cardiovascular and blood-pressure signals</w:t>
      </w:r>
    </w:p>
    <w:p w14:paraId="0BD81E69" w14:textId="77777777" w:rsidR="006F2D55" w:rsidRDefault="00000000">
      <w:pPr>
        <w:spacing w:after="160" w:line="360" w:lineRule="auto"/>
        <w:jc w:val="both"/>
      </w:pPr>
      <w:r>
        <w:t xml:space="preserve">The most substantial a priori safety concern arose from physiology rather than from observation. The peptide is among the most potent endogenous vasodilators known and is released during myocardial and cerebral ischaemia, where it is thought to contribute to compensatory vasodilatation; sustained blockade might therefore impair that reserve in patients whose vascular risk is already elevated, a concern articulated before the drugs reached the </w:t>
      </w:r>
      <w:r>
        <w:lastRenderedPageBreak/>
        <w:t>market (MaassenVanDenBrink et al., 2016). Registration programmes systematically excluded patients with significant cardiovascular or cerebrovascular disease, which is precisely the population in whom the hypothesis would be tested, so the trial evidence is structurally incapable of resolving it. Pooled analysis of the erenumab programme found no excess of vascular events, but within a population selected for low baseline risk (Kudrow et al., 2020).</w:t>
      </w:r>
    </w:p>
    <w:p w14:paraId="7D135B16" w14:textId="77777777" w:rsidR="006F2D55" w:rsidRDefault="00000000">
      <w:pPr>
        <w:spacing w:after="160" w:line="360" w:lineRule="auto"/>
        <w:jc w:val="both"/>
      </w:pPr>
      <w:r>
        <w:t>Observational data now address the excluded population directly and are reassuring. A cohort of Medicare beneficiaries, predominantly older adults or adults with disability, compared 5,153 initiators of pathway-targeted antibodies with 4,000 initiators of onabotulinumtoxinA and found no increase in a composite of myocardial infarction and stroke, with an adjusted hazard ratio of 0.88 and confidence limits extending from 0.44 to 1.77, and no signal for hypertensive crisis, peripheral revascularisation or Raynaud phenomenon (Yang et al., 2025). A separate analysis of 108,019 new users of preventive medicines in commercial and Medicare supplemental claims found twelve-month cumulative risks of new-onset hypertension of approximately 9% across erenumab, other antibodies, oral preventive drugs and onabotulinumtoxinA, with no difference in myocardial infarction or stroke at 36 months (Dodick et al., 2025). Both analyses used active comparators, which mitigates confounding by indication, and both employed negative-control or weighting approaches to address residual confounding. The wide confidence intervals nonetheless mean that a modest relative increase in rare events cannot be excluded.</w:t>
      </w:r>
    </w:p>
    <w:p w14:paraId="6A9A5CFE" w14:textId="77777777" w:rsidR="006F2D55" w:rsidRDefault="00000000">
      <w:pPr>
        <w:spacing w:after="160" w:line="360" w:lineRule="auto"/>
        <w:jc w:val="both"/>
      </w:pPr>
      <w:r>
        <w:t>Blood pressure has been examined separately after regulatory labelling was amended to note a potential hypertension risk with erenumab. A systematic review and meta-analysis found no significant change in systolic or diastolic pressure after treatment, with mean differences of 0.86 mmHg and 1.33 mmHg respectively, but reported that a pooled 22% of participants showed some worsening of blood pressure and that about 4% commenced antihypertensive medication during observation, with wide prediction intervals reflecting substantial between-study heterogeneity and considerable fragility in the underlying evidence (Makita et al., 2025). The defensible reading is that a class-wide clinically important pressor effect is not supported, that individual susceptibility cannot be excluded, and that measurement of blood pressure at initiation and during follow-up is a proportionate precaution rather than a response to demonstrated harm.</w:t>
      </w:r>
    </w:p>
    <w:p w14:paraId="3EEE5BCF" w14:textId="77777777" w:rsidR="006F2D55" w:rsidRDefault="00000000">
      <w:pPr>
        <w:pStyle w:val="Heading2"/>
        <w:keepNext/>
        <w:spacing w:before="240" w:after="140" w:line="300" w:lineRule="auto"/>
      </w:pPr>
      <w:r>
        <w:rPr>
          <w:b/>
          <w:bCs/>
          <w:color w:val="000000"/>
          <w:sz w:val="24"/>
          <w:szCs w:val="24"/>
        </w:rPr>
        <w:lastRenderedPageBreak/>
        <w:t>7.2 Gastrointestinal effects and the ligand-receptor distinction</w:t>
      </w:r>
    </w:p>
    <w:p w14:paraId="5944DE61" w14:textId="77777777" w:rsidR="006F2D55" w:rsidRDefault="00000000">
      <w:pPr>
        <w:spacing w:after="160" w:line="360" w:lineRule="auto"/>
        <w:jc w:val="both"/>
      </w:pPr>
      <w:r>
        <w:t>Constipation is the most consistent tolerability signal and is mechanistically expected, since the peptide is a prosecretory and motor-stimulating mediator in the enteric nervous system (Holzer &amp; Holzer-Petsche, 2022). In the atogepant programme constipation occurred in around 7 to 11% of participants against about 3% with placebo, and in ELEVATE in 10% against 3% (Ailani et al., 2021; Pozo-Rosich et al., 2023; Tassorelli et al., 2024). A dedicated phase 4 study using a wireless motility capsule tested whether ligand and receptor blockade differ physiologically. Its primary endpoint, change in colonic transit time, was not met for either drug, but secondary measures diverged in direction, with erenumab reducing stool form scores and spontaneous bowel movements and increasing constipation symptom scores, while galcanezumab increased symptom scores without slowing transit; treatment-emergent adverse events were more frequent with receptor than with ligand blockade (Kudrow et al., 2022). The study was small and single-blind and its primary endpoint was negative, so it supports a hypothesis of mechanistic difference rather than establishing one. Clinically, the observation that gastrointestinal symptoms are common, usually mild, and potentially modifiable by switching between ligand and receptor blockade is a useful working principle whose evidential basis is weaker than its frequency of repetition suggests (Ailani et al., 2022).</w:t>
      </w:r>
    </w:p>
    <w:p w14:paraId="42140255" w14:textId="77777777" w:rsidR="006F2D55" w:rsidRDefault="00000000">
      <w:pPr>
        <w:pStyle w:val="Heading2"/>
        <w:keepNext/>
        <w:spacing w:before="240" w:after="140" w:line="300" w:lineRule="auto"/>
      </w:pPr>
      <w:r>
        <w:rPr>
          <w:b/>
          <w:bCs/>
          <w:color w:val="000000"/>
          <w:sz w:val="24"/>
          <w:szCs w:val="24"/>
        </w:rPr>
        <w:t>7.3 Immunogenicity</w:t>
      </w:r>
    </w:p>
    <w:p w14:paraId="14AA6194" w14:textId="77777777" w:rsidR="006F2D55" w:rsidRDefault="00000000">
      <w:pPr>
        <w:spacing w:after="160" w:line="360" w:lineRule="auto"/>
        <w:jc w:val="both"/>
      </w:pPr>
      <w:r>
        <w:t>Anti-drug antibodies were an anticipated concern for a chronically administered biological therapy. Pooled analysis across six erenumab trials and their extensions in 2,985 patients found a low incidence of binding antibodies, few neutralising antibodies, predominantly transient and low-magnitude responses developing mostly within the first six months, and no detectable effect on the change in monthly migraine days or on adverse event rates (Zhou et al., 2022). Evidence across the class points in the same direction (Cohen et al., 2021). Immunogenicity therefore appears not to be a clinically meaningful problem for this class, although the assessment relies on assays and thresholds that differ between programmes, and secondary loss of efficacy in individual patients has not been systematically investigated with immunogenicity testing.</w:t>
      </w:r>
    </w:p>
    <w:p w14:paraId="676E376A" w14:textId="77777777" w:rsidR="006F2D55" w:rsidRDefault="00000000">
      <w:pPr>
        <w:pStyle w:val="Heading2"/>
        <w:keepNext/>
        <w:spacing w:before="240" w:after="140" w:line="300" w:lineRule="auto"/>
      </w:pPr>
      <w:r>
        <w:rPr>
          <w:b/>
          <w:bCs/>
          <w:color w:val="000000"/>
          <w:sz w:val="24"/>
          <w:szCs w:val="24"/>
        </w:rPr>
        <w:t>7.4 Populations excluded from the evidence base</w:t>
      </w:r>
    </w:p>
    <w:p w14:paraId="0A50D6BF" w14:textId="77777777" w:rsidR="006F2D55" w:rsidRDefault="00000000">
      <w:pPr>
        <w:spacing w:after="160" w:line="360" w:lineRule="auto"/>
        <w:jc w:val="both"/>
      </w:pPr>
      <w:r>
        <w:t xml:space="preserve">Older adults are represented but not well studied. A pooled analysis of participants aged 60 years and above across three fremanezumab trials, comprising 246 individuals, showed reductions of 4.3 and 4.6 monthly migraine days against 2.3 days with placebo, with tolerability </w:t>
      </w:r>
      <w:r>
        <w:lastRenderedPageBreak/>
        <w:t>comparable to the younger population (Nahas et al., 2021). A Korean multicentre real-world study of antibodies in elderly patients supports effectiveness and tolerability in routine care (Cho et al., 2026). These datasets remain small relative to the comorbidity burden of the population they describe.</w:t>
      </w:r>
    </w:p>
    <w:p w14:paraId="5A4B0CD1" w14:textId="77777777" w:rsidR="006F2D55" w:rsidRDefault="00000000">
      <w:pPr>
        <w:spacing w:after="160" w:line="360" w:lineRule="auto"/>
        <w:jc w:val="both"/>
      </w:pPr>
      <w:r>
        <w:t>Pregnancy evidence is confined to observational and pharmacovigilance sources. Analysis of the World Health Organization global individual case safety report database identified no distinctive pattern of adverse pregnancy outcomes but is subject to the reporting biases inherent in spontaneous surveillance and cannot estimate risk (Noseda et al., 2023). A prospective case series of pregnancies with periconceptional exposure adds granularity without providing a denominator (Elosua-Bayes et al., 2024). Given prolonged elimination and active placental transfer of immunoglobulin G, discontinuation well before conception remains the prudent approach, and the absence of controlled data in a disorder that predominantly affects women of reproductive age is among the most consequential gaps in the field.</w:t>
      </w:r>
    </w:p>
    <w:p w14:paraId="0C3786F2" w14:textId="77777777" w:rsidR="006F2D55" w:rsidRDefault="00000000">
      <w:pPr>
        <w:spacing w:after="160" w:line="360" w:lineRule="auto"/>
        <w:jc w:val="both"/>
      </w:pPr>
      <w:r>
        <w:t>Paediatric evidence is more limited still. Within the period covered by this review, the published work comprises pharmacokinetic and tolerability studies rather than efficacy trials: a phase 1 randomised open-label multiple-dose study of erenumab in children and adolescents, and a phase 1 single-dose pharmacokinetic study of rimegepant in children aged six to under twelve years (Hershey et al., 2024; Lim et al., 2026). No adequately powered efficacy trial has been reported, and extrapolation from adults is not defensible in a population with high placebo responsiveness and a developing nervous system in which the peptide has trophic and vasoregulatory functions.</w:t>
      </w:r>
    </w:p>
    <w:p w14:paraId="49409D4C" w14:textId="77777777" w:rsidR="006F2D55" w:rsidRDefault="00000000">
      <w:pPr>
        <w:pStyle w:val="Heading2"/>
        <w:keepNext/>
        <w:spacing w:before="240" w:after="140" w:line="300" w:lineRule="auto"/>
      </w:pPr>
      <w:r>
        <w:rPr>
          <w:b/>
          <w:bCs/>
          <w:color w:val="000000"/>
          <w:sz w:val="24"/>
          <w:szCs w:val="24"/>
        </w:rPr>
        <w:t>7.5 What long-term data can and cannot establish</w:t>
      </w:r>
    </w:p>
    <w:p w14:paraId="4EDF4CF7" w14:textId="77777777" w:rsidR="006F2D55" w:rsidRDefault="00000000">
      <w:pPr>
        <w:spacing w:after="160" w:line="360" w:lineRule="auto"/>
        <w:jc w:val="both"/>
      </w:pPr>
      <w:r>
        <w:t>Long-term evidence comes almost entirely from open-label extensions of registration trials and from observational cohorts. A five-year open-label extension of erenumab in episodic migraine, a 52-week extension in chronic migraine, and a randomised long-term study of fremanezumab all report stable tolerability without emergent signals (Ashina et al., 2019; Goadsby et al., 2020; Tepper et al., 2020). A systematic review and meta-analysis of studies with at least twelve months of exposure pooled a discontinuation rate of 23% for any reason but only 3% for adverse events, found no emergent safety signals, and judged all included studies to carry a severe risk of bias by virtue of their design (Hoehne et al., 2026). Long-term data for oral preventive antagonism are accumulating, with extension data for atogepant beyond one year showing no unexpected findings (Ashina et al., 2025).</w:t>
      </w:r>
    </w:p>
    <w:p w14:paraId="67989032" w14:textId="77777777" w:rsidR="006F2D55" w:rsidRDefault="00000000">
      <w:pPr>
        <w:spacing w:after="160" w:line="360" w:lineRule="auto"/>
        <w:jc w:val="both"/>
      </w:pPr>
      <w:r>
        <w:lastRenderedPageBreak/>
        <w:t>Three structural limitations constrain what this literature can establish. Extension populations are self-selected for benefit and tolerance, so adverse events that cause early discontinuation are systematically under-represented. Extensions lack a concurrent control group, so background rates of common conditions cannot be distinguished from drug effects. Follow-up of a few years is short relative to the expected duration of treatment in a chronic disorder that may be treated for decades, particularly for a mediator with roles in wound repair, immune signalling and vascular reserve. Registry-based surveillance rather than further extension studies is the design capable of resolving these questions. Table 5 sets out each safety domain with the strongest available evidence and the residual uncertainty attaching to it.</w:t>
      </w:r>
    </w:p>
    <w:p w14:paraId="62E0C0A7" w14:textId="77777777" w:rsidR="006F2D55" w:rsidRDefault="00000000">
      <w:pPr>
        <w:keepNext/>
        <w:spacing w:before="200" w:after="100" w:line="260" w:lineRule="auto"/>
      </w:pPr>
      <w:r>
        <w:rPr>
          <w:b/>
          <w:bCs/>
          <w:sz w:val="20"/>
          <w:szCs w:val="20"/>
        </w:rPr>
        <w:t>Table 5. Safety domains for calcitonin gene-related peptide-targeted therapies: signals, evidence and residual uncertainty</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1E743329" w14:textId="77777777">
        <w:trPr>
          <w:tblHeader/>
        </w:trPr>
        <w:tc>
          <w:tcPr>
            <w:tcW w:w="1500" w:type="dxa"/>
            <w:shd w:val="clear" w:color="auto" w:fill="E8E8E8"/>
            <w:tcMar>
              <w:top w:w="60" w:type="dxa"/>
              <w:left w:w="80" w:type="dxa"/>
              <w:bottom w:w="60" w:type="dxa"/>
              <w:right w:w="80" w:type="dxa"/>
            </w:tcMar>
          </w:tcPr>
          <w:p w14:paraId="634BB57C" w14:textId="77777777" w:rsidR="006F2D55" w:rsidRDefault="00000000">
            <w:r>
              <w:rPr>
                <w:b/>
                <w:bCs/>
                <w:sz w:val="18"/>
                <w:szCs w:val="18"/>
              </w:rPr>
              <w:t>Safety domain</w:t>
            </w:r>
          </w:p>
        </w:tc>
        <w:tc>
          <w:tcPr>
            <w:tcW w:w="1900" w:type="dxa"/>
            <w:shd w:val="clear" w:color="auto" w:fill="E8E8E8"/>
            <w:tcMar>
              <w:top w:w="60" w:type="dxa"/>
              <w:left w:w="80" w:type="dxa"/>
              <w:bottom w:w="60" w:type="dxa"/>
              <w:right w:w="80" w:type="dxa"/>
            </w:tcMar>
          </w:tcPr>
          <w:p w14:paraId="6A7E48AF" w14:textId="77777777" w:rsidR="006F2D55" w:rsidRDefault="00000000">
            <w:r>
              <w:rPr>
                <w:b/>
                <w:bCs/>
                <w:sz w:val="18"/>
                <w:szCs w:val="18"/>
              </w:rPr>
              <w:t>Nature of the concern</w:t>
            </w:r>
          </w:p>
        </w:tc>
        <w:tc>
          <w:tcPr>
            <w:tcW w:w="1900" w:type="dxa"/>
            <w:shd w:val="clear" w:color="auto" w:fill="E8E8E8"/>
            <w:tcMar>
              <w:top w:w="60" w:type="dxa"/>
              <w:left w:w="80" w:type="dxa"/>
              <w:bottom w:w="60" w:type="dxa"/>
              <w:right w:w="80" w:type="dxa"/>
            </w:tcMar>
          </w:tcPr>
          <w:p w14:paraId="09B75E55" w14:textId="77777777" w:rsidR="006F2D55" w:rsidRDefault="00000000">
            <w:r>
              <w:rPr>
                <w:b/>
                <w:bCs/>
                <w:sz w:val="18"/>
                <w:szCs w:val="18"/>
              </w:rPr>
              <w:t>Strongest available evidence</w:t>
            </w:r>
          </w:p>
        </w:tc>
        <w:tc>
          <w:tcPr>
            <w:tcW w:w="1900" w:type="dxa"/>
            <w:shd w:val="clear" w:color="auto" w:fill="E8E8E8"/>
            <w:tcMar>
              <w:top w:w="60" w:type="dxa"/>
              <w:left w:w="80" w:type="dxa"/>
              <w:bottom w:w="60" w:type="dxa"/>
              <w:right w:w="80" w:type="dxa"/>
            </w:tcMar>
          </w:tcPr>
          <w:p w14:paraId="5AAAA6EA" w14:textId="77777777" w:rsidR="006F2D55" w:rsidRDefault="00000000">
            <w:r>
              <w:rPr>
                <w:b/>
                <w:bCs/>
                <w:sz w:val="18"/>
                <w:szCs w:val="18"/>
              </w:rPr>
              <w:t>Residual uncertainty</w:t>
            </w:r>
          </w:p>
        </w:tc>
        <w:tc>
          <w:tcPr>
            <w:tcW w:w="1826" w:type="dxa"/>
            <w:shd w:val="clear" w:color="auto" w:fill="E8E8E8"/>
            <w:tcMar>
              <w:top w:w="60" w:type="dxa"/>
              <w:left w:w="80" w:type="dxa"/>
              <w:bottom w:w="60" w:type="dxa"/>
              <w:right w:w="80" w:type="dxa"/>
            </w:tcMar>
          </w:tcPr>
          <w:p w14:paraId="5FD23626" w14:textId="77777777" w:rsidR="006F2D55" w:rsidRDefault="00000000">
            <w:r>
              <w:rPr>
                <w:b/>
                <w:bCs/>
                <w:sz w:val="18"/>
                <w:szCs w:val="18"/>
              </w:rPr>
              <w:t>Supporting references</w:t>
            </w:r>
          </w:p>
        </w:tc>
      </w:tr>
      <w:tr w:rsidR="006F2D55" w14:paraId="3877F546" w14:textId="77777777">
        <w:tc>
          <w:tcPr>
            <w:tcW w:w="1500" w:type="dxa"/>
            <w:tcMar>
              <w:top w:w="60" w:type="dxa"/>
              <w:left w:w="80" w:type="dxa"/>
              <w:bottom w:w="60" w:type="dxa"/>
              <w:right w:w="80" w:type="dxa"/>
            </w:tcMar>
          </w:tcPr>
          <w:p w14:paraId="6ADB8030" w14:textId="77777777" w:rsidR="006F2D55" w:rsidRDefault="00000000">
            <w:r>
              <w:rPr>
                <w:sz w:val="18"/>
                <w:szCs w:val="18"/>
              </w:rPr>
              <w:t>Major vascular events</w:t>
            </w:r>
          </w:p>
        </w:tc>
        <w:tc>
          <w:tcPr>
            <w:tcW w:w="1900" w:type="dxa"/>
            <w:tcMar>
              <w:top w:w="60" w:type="dxa"/>
              <w:left w:w="80" w:type="dxa"/>
              <w:bottom w:w="60" w:type="dxa"/>
              <w:right w:w="80" w:type="dxa"/>
            </w:tcMar>
          </w:tcPr>
          <w:p w14:paraId="01D1988B" w14:textId="77777777" w:rsidR="006F2D55" w:rsidRDefault="00000000">
            <w:r>
              <w:rPr>
                <w:sz w:val="18"/>
                <w:szCs w:val="18"/>
              </w:rPr>
              <w:t>Loss of compensatory vasodilatation during ischaemia</w:t>
            </w:r>
          </w:p>
        </w:tc>
        <w:tc>
          <w:tcPr>
            <w:tcW w:w="1900" w:type="dxa"/>
            <w:tcMar>
              <w:top w:w="60" w:type="dxa"/>
              <w:left w:w="80" w:type="dxa"/>
              <w:bottom w:w="60" w:type="dxa"/>
              <w:right w:w="80" w:type="dxa"/>
            </w:tcMar>
          </w:tcPr>
          <w:p w14:paraId="60D5BD93" w14:textId="77777777" w:rsidR="006F2D55" w:rsidRDefault="00000000">
            <w:r>
              <w:rPr>
                <w:sz w:val="18"/>
                <w:szCs w:val="18"/>
              </w:rPr>
              <w:t>Active-comparator cohort in older and disabled adults showed no excess (adjusted hazard ratio 0.88); claims analysis of 108,019 new users showed no difference at 36 months</w:t>
            </w:r>
          </w:p>
        </w:tc>
        <w:tc>
          <w:tcPr>
            <w:tcW w:w="1900" w:type="dxa"/>
            <w:tcMar>
              <w:top w:w="60" w:type="dxa"/>
              <w:left w:w="80" w:type="dxa"/>
              <w:bottom w:w="60" w:type="dxa"/>
              <w:right w:w="80" w:type="dxa"/>
            </w:tcMar>
          </w:tcPr>
          <w:p w14:paraId="02D68946" w14:textId="77777777" w:rsidR="006F2D55" w:rsidRDefault="00000000">
            <w:r>
              <w:rPr>
                <w:sz w:val="18"/>
                <w:szCs w:val="18"/>
              </w:rPr>
              <w:t>Confidence intervals permit a modest relative increase in rare events; patients with recent events remain unstudied</w:t>
            </w:r>
          </w:p>
        </w:tc>
        <w:tc>
          <w:tcPr>
            <w:tcW w:w="1826" w:type="dxa"/>
            <w:tcMar>
              <w:top w:w="60" w:type="dxa"/>
              <w:left w:w="80" w:type="dxa"/>
              <w:bottom w:w="60" w:type="dxa"/>
              <w:right w:w="80" w:type="dxa"/>
            </w:tcMar>
          </w:tcPr>
          <w:p w14:paraId="7B5CF6E0" w14:textId="77777777" w:rsidR="006F2D55" w:rsidRDefault="00000000">
            <w:r w:rsidRPr="00F477EC">
              <w:rPr>
                <w:sz w:val="18"/>
                <w:szCs w:val="18"/>
                <w:lang w:val="nl-BE"/>
              </w:rPr>
              <w:t xml:space="preserve">Dodick et al. (2025); Kudrow et al. (2020); MaassenVanDenBrink et al. (2016); Yang et al. </w:t>
            </w:r>
            <w:r>
              <w:rPr>
                <w:sz w:val="18"/>
                <w:szCs w:val="18"/>
              </w:rPr>
              <w:t>(2025)</w:t>
            </w:r>
          </w:p>
        </w:tc>
      </w:tr>
      <w:tr w:rsidR="006F2D55" w14:paraId="66E0F5B6" w14:textId="77777777">
        <w:tc>
          <w:tcPr>
            <w:tcW w:w="1500" w:type="dxa"/>
            <w:tcMar>
              <w:top w:w="60" w:type="dxa"/>
              <w:left w:w="80" w:type="dxa"/>
              <w:bottom w:w="60" w:type="dxa"/>
              <w:right w:w="80" w:type="dxa"/>
            </w:tcMar>
          </w:tcPr>
          <w:p w14:paraId="6D095F9C" w14:textId="77777777" w:rsidR="006F2D55" w:rsidRDefault="00000000">
            <w:r>
              <w:rPr>
                <w:sz w:val="18"/>
                <w:szCs w:val="18"/>
              </w:rPr>
              <w:t>Blood pressure</w:t>
            </w:r>
          </w:p>
        </w:tc>
        <w:tc>
          <w:tcPr>
            <w:tcW w:w="1900" w:type="dxa"/>
            <w:tcMar>
              <w:top w:w="60" w:type="dxa"/>
              <w:left w:w="80" w:type="dxa"/>
              <w:bottom w:w="60" w:type="dxa"/>
              <w:right w:w="80" w:type="dxa"/>
            </w:tcMar>
          </w:tcPr>
          <w:p w14:paraId="1BA5D411" w14:textId="77777777" w:rsidR="006F2D55" w:rsidRDefault="00000000">
            <w:r>
              <w:rPr>
                <w:sz w:val="18"/>
                <w:szCs w:val="18"/>
              </w:rPr>
              <w:t>Labelling amended to note possible hypertension with receptor blockade</w:t>
            </w:r>
          </w:p>
        </w:tc>
        <w:tc>
          <w:tcPr>
            <w:tcW w:w="1900" w:type="dxa"/>
            <w:tcMar>
              <w:top w:w="60" w:type="dxa"/>
              <w:left w:w="80" w:type="dxa"/>
              <w:bottom w:w="60" w:type="dxa"/>
              <w:right w:w="80" w:type="dxa"/>
            </w:tcMar>
          </w:tcPr>
          <w:p w14:paraId="43C55556" w14:textId="77777777" w:rsidR="006F2D55" w:rsidRDefault="00000000">
            <w:r>
              <w:rPr>
                <w:sz w:val="18"/>
                <w:szCs w:val="18"/>
              </w:rPr>
              <w:t>Meta-analysis found no significant change in systolic or diastolic pressure</w:t>
            </w:r>
          </w:p>
        </w:tc>
        <w:tc>
          <w:tcPr>
            <w:tcW w:w="1900" w:type="dxa"/>
            <w:tcMar>
              <w:top w:w="60" w:type="dxa"/>
              <w:left w:w="80" w:type="dxa"/>
              <w:bottom w:w="60" w:type="dxa"/>
              <w:right w:w="80" w:type="dxa"/>
            </w:tcMar>
          </w:tcPr>
          <w:p w14:paraId="046790D3" w14:textId="77777777" w:rsidR="006F2D55" w:rsidRDefault="00000000">
            <w:r>
              <w:rPr>
                <w:sz w:val="18"/>
                <w:szCs w:val="18"/>
              </w:rPr>
              <w:t>Wide prediction intervals; a minority showed worsening and a small proportion started antihypertensive treatment</w:t>
            </w:r>
          </w:p>
        </w:tc>
        <w:tc>
          <w:tcPr>
            <w:tcW w:w="1826" w:type="dxa"/>
            <w:tcMar>
              <w:top w:w="60" w:type="dxa"/>
              <w:left w:w="80" w:type="dxa"/>
              <w:bottom w:w="60" w:type="dxa"/>
              <w:right w:w="80" w:type="dxa"/>
            </w:tcMar>
          </w:tcPr>
          <w:p w14:paraId="142B9432" w14:textId="77777777" w:rsidR="006F2D55" w:rsidRDefault="00000000">
            <w:r>
              <w:rPr>
                <w:sz w:val="18"/>
                <w:szCs w:val="18"/>
              </w:rPr>
              <w:t>Makita et al. (2025)</w:t>
            </w:r>
          </w:p>
        </w:tc>
      </w:tr>
      <w:tr w:rsidR="006F2D55" w14:paraId="48A9056A" w14:textId="77777777">
        <w:tc>
          <w:tcPr>
            <w:tcW w:w="1500" w:type="dxa"/>
            <w:tcMar>
              <w:top w:w="60" w:type="dxa"/>
              <w:left w:w="80" w:type="dxa"/>
              <w:bottom w:w="60" w:type="dxa"/>
              <w:right w:w="80" w:type="dxa"/>
            </w:tcMar>
          </w:tcPr>
          <w:p w14:paraId="5F3F461E" w14:textId="77777777" w:rsidR="006F2D55" w:rsidRDefault="00000000">
            <w:r>
              <w:rPr>
                <w:sz w:val="18"/>
                <w:szCs w:val="18"/>
              </w:rPr>
              <w:t>Constipation and gastrointestinal motility</w:t>
            </w:r>
          </w:p>
        </w:tc>
        <w:tc>
          <w:tcPr>
            <w:tcW w:w="1900" w:type="dxa"/>
            <w:tcMar>
              <w:top w:w="60" w:type="dxa"/>
              <w:left w:w="80" w:type="dxa"/>
              <w:bottom w:w="60" w:type="dxa"/>
              <w:right w:w="80" w:type="dxa"/>
            </w:tcMar>
          </w:tcPr>
          <w:p w14:paraId="1971E888" w14:textId="77777777" w:rsidR="006F2D55" w:rsidRDefault="00000000">
            <w:r>
              <w:rPr>
                <w:sz w:val="18"/>
                <w:szCs w:val="18"/>
              </w:rPr>
              <w:t>Enteric prosecretory and motor-stimulating actions of the peptide</w:t>
            </w:r>
          </w:p>
        </w:tc>
        <w:tc>
          <w:tcPr>
            <w:tcW w:w="1900" w:type="dxa"/>
            <w:tcMar>
              <w:top w:w="60" w:type="dxa"/>
              <w:left w:w="80" w:type="dxa"/>
              <w:bottom w:w="60" w:type="dxa"/>
              <w:right w:w="80" w:type="dxa"/>
            </w:tcMar>
          </w:tcPr>
          <w:p w14:paraId="41F27802" w14:textId="77777777" w:rsidR="006F2D55" w:rsidRDefault="00000000">
            <w:r>
              <w:rPr>
                <w:sz w:val="18"/>
                <w:szCs w:val="18"/>
              </w:rPr>
              <w:t>Consistent excess in randomised trials of oral antagonists (approximately 7-11% versus 3%); phase 4 motility study showed divergent secondary measures</w:t>
            </w:r>
          </w:p>
        </w:tc>
        <w:tc>
          <w:tcPr>
            <w:tcW w:w="1900" w:type="dxa"/>
            <w:tcMar>
              <w:top w:w="60" w:type="dxa"/>
              <w:left w:w="80" w:type="dxa"/>
              <w:bottom w:w="60" w:type="dxa"/>
              <w:right w:w="80" w:type="dxa"/>
            </w:tcMar>
          </w:tcPr>
          <w:p w14:paraId="0DF2ACF6" w14:textId="77777777" w:rsidR="006F2D55" w:rsidRDefault="00000000">
            <w:r>
              <w:rPr>
                <w:sz w:val="18"/>
                <w:szCs w:val="18"/>
              </w:rPr>
              <w:t>Primary motility endpoint negative; the presumed ligand-receptor difference rests on small secondary analyses</w:t>
            </w:r>
          </w:p>
        </w:tc>
        <w:tc>
          <w:tcPr>
            <w:tcW w:w="1826" w:type="dxa"/>
            <w:tcMar>
              <w:top w:w="60" w:type="dxa"/>
              <w:left w:w="80" w:type="dxa"/>
              <w:bottom w:w="60" w:type="dxa"/>
              <w:right w:w="80" w:type="dxa"/>
            </w:tcMar>
          </w:tcPr>
          <w:p w14:paraId="31E210BE" w14:textId="77777777" w:rsidR="006F2D55" w:rsidRDefault="00000000">
            <w:r w:rsidRPr="00F477EC">
              <w:rPr>
                <w:sz w:val="18"/>
                <w:szCs w:val="18"/>
                <w:lang w:val="nl-BE"/>
              </w:rPr>
              <w:t xml:space="preserve">Ailani et al. (2021); Ailani et al. (2022); Holzer &amp; Holzer-Petsche (2022); Kudrow et al. </w:t>
            </w:r>
            <w:r>
              <w:rPr>
                <w:sz w:val="18"/>
                <w:szCs w:val="18"/>
              </w:rPr>
              <w:t>(2022); Pozo-Rosich et al. (2023)</w:t>
            </w:r>
          </w:p>
        </w:tc>
      </w:tr>
      <w:tr w:rsidR="006F2D55" w14:paraId="76A6C2DD" w14:textId="77777777">
        <w:tc>
          <w:tcPr>
            <w:tcW w:w="1500" w:type="dxa"/>
            <w:tcMar>
              <w:top w:w="60" w:type="dxa"/>
              <w:left w:w="80" w:type="dxa"/>
              <w:bottom w:w="60" w:type="dxa"/>
              <w:right w:w="80" w:type="dxa"/>
            </w:tcMar>
          </w:tcPr>
          <w:p w14:paraId="17419CC9" w14:textId="77777777" w:rsidR="006F2D55" w:rsidRDefault="00000000">
            <w:r>
              <w:rPr>
                <w:sz w:val="18"/>
                <w:szCs w:val="18"/>
              </w:rPr>
              <w:t>Hepatic injury</w:t>
            </w:r>
          </w:p>
        </w:tc>
        <w:tc>
          <w:tcPr>
            <w:tcW w:w="1900" w:type="dxa"/>
            <w:tcMar>
              <w:top w:w="60" w:type="dxa"/>
              <w:left w:w="80" w:type="dxa"/>
              <w:bottom w:w="60" w:type="dxa"/>
              <w:right w:w="80" w:type="dxa"/>
            </w:tcMar>
          </w:tcPr>
          <w:p w14:paraId="4B28865D" w14:textId="77777777" w:rsidR="006F2D55" w:rsidRDefault="00000000">
            <w:r>
              <w:rPr>
                <w:sz w:val="18"/>
                <w:szCs w:val="18"/>
              </w:rPr>
              <w:t>Aminotransferase elevations that halted telcagepant development</w:t>
            </w:r>
          </w:p>
        </w:tc>
        <w:tc>
          <w:tcPr>
            <w:tcW w:w="1900" w:type="dxa"/>
            <w:tcMar>
              <w:top w:w="60" w:type="dxa"/>
              <w:left w:w="80" w:type="dxa"/>
              <w:bottom w:w="60" w:type="dxa"/>
              <w:right w:w="80" w:type="dxa"/>
            </w:tcMar>
          </w:tcPr>
          <w:p w14:paraId="6CB7723A" w14:textId="77777777" w:rsidR="006F2D55" w:rsidRDefault="00000000">
            <w:r>
              <w:rPr>
                <w:sz w:val="18"/>
                <w:szCs w:val="18"/>
              </w:rPr>
              <w:t>Mechanistic modelling attributes the signal to compound-specific properties; current agents show placebo-like rates</w:t>
            </w:r>
          </w:p>
        </w:tc>
        <w:tc>
          <w:tcPr>
            <w:tcW w:w="1900" w:type="dxa"/>
            <w:tcMar>
              <w:top w:w="60" w:type="dxa"/>
              <w:left w:w="80" w:type="dxa"/>
              <w:bottom w:w="60" w:type="dxa"/>
              <w:right w:w="80" w:type="dxa"/>
            </w:tcMar>
          </w:tcPr>
          <w:p w14:paraId="54A6101B" w14:textId="77777777" w:rsidR="006F2D55" w:rsidRDefault="00000000">
            <w:r>
              <w:rPr>
                <w:sz w:val="18"/>
                <w:szCs w:val="18"/>
              </w:rPr>
              <w:t>Evidence for molecule specificity is partly in silico; daily exposure over many years is untested</w:t>
            </w:r>
          </w:p>
        </w:tc>
        <w:tc>
          <w:tcPr>
            <w:tcW w:w="1826" w:type="dxa"/>
            <w:tcMar>
              <w:top w:w="60" w:type="dxa"/>
              <w:left w:w="80" w:type="dxa"/>
              <w:bottom w:w="60" w:type="dxa"/>
              <w:right w:w="80" w:type="dxa"/>
            </w:tcMar>
          </w:tcPr>
          <w:p w14:paraId="01C4D186" w14:textId="77777777" w:rsidR="006F2D55" w:rsidRDefault="00000000">
            <w:r w:rsidRPr="00F477EC">
              <w:rPr>
                <w:sz w:val="18"/>
                <w:szCs w:val="18"/>
                <w:lang w:val="nl-BE"/>
              </w:rPr>
              <w:t xml:space="preserve">Ho et al. (2014); Smith et al. </w:t>
            </w:r>
            <w:r>
              <w:rPr>
                <w:sz w:val="18"/>
                <w:szCs w:val="18"/>
              </w:rPr>
              <w:t>(2020); Woodhead et al. (2022)</w:t>
            </w:r>
          </w:p>
        </w:tc>
      </w:tr>
      <w:tr w:rsidR="006F2D55" w14:paraId="251CEBA5" w14:textId="77777777">
        <w:tc>
          <w:tcPr>
            <w:tcW w:w="1500" w:type="dxa"/>
            <w:tcMar>
              <w:top w:w="60" w:type="dxa"/>
              <w:left w:w="80" w:type="dxa"/>
              <w:bottom w:w="60" w:type="dxa"/>
              <w:right w:w="80" w:type="dxa"/>
            </w:tcMar>
          </w:tcPr>
          <w:p w14:paraId="768E9989" w14:textId="77777777" w:rsidR="006F2D55" w:rsidRDefault="00000000">
            <w:r>
              <w:rPr>
                <w:sz w:val="18"/>
                <w:szCs w:val="18"/>
              </w:rPr>
              <w:t>Immunogenicity</w:t>
            </w:r>
          </w:p>
        </w:tc>
        <w:tc>
          <w:tcPr>
            <w:tcW w:w="1900" w:type="dxa"/>
            <w:tcMar>
              <w:top w:w="60" w:type="dxa"/>
              <w:left w:w="80" w:type="dxa"/>
              <w:bottom w:w="60" w:type="dxa"/>
              <w:right w:w="80" w:type="dxa"/>
            </w:tcMar>
          </w:tcPr>
          <w:p w14:paraId="57A51A46" w14:textId="77777777" w:rsidR="006F2D55" w:rsidRDefault="00000000">
            <w:r>
              <w:rPr>
                <w:sz w:val="18"/>
                <w:szCs w:val="18"/>
              </w:rPr>
              <w:t>Anti-drug antibodies reducing efficacy or causing reactions</w:t>
            </w:r>
          </w:p>
        </w:tc>
        <w:tc>
          <w:tcPr>
            <w:tcW w:w="1900" w:type="dxa"/>
            <w:tcMar>
              <w:top w:w="60" w:type="dxa"/>
              <w:left w:w="80" w:type="dxa"/>
              <w:bottom w:w="60" w:type="dxa"/>
              <w:right w:w="80" w:type="dxa"/>
            </w:tcMar>
          </w:tcPr>
          <w:p w14:paraId="73EDD2DB" w14:textId="77777777" w:rsidR="006F2D55" w:rsidRDefault="00000000">
            <w:r>
              <w:rPr>
                <w:sz w:val="18"/>
                <w:szCs w:val="18"/>
              </w:rPr>
              <w:t>Pooled analysis of six trials in 2,985 patients found low, mostly transient antibody responses without clinical impact</w:t>
            </w:r>
          </w:p>
        </w:tc>
        <w:tc>
          <w:tcPr>
            <w:tcW w:w="1900" w:type="dxa"/>
            <w:tcMar>
              <w:top w:w="60" w:type="dxa"/>
              <w:left w:w="80" w:type="dxa"/>
              <w:bottom w:w="60" w:type="dxa"/>
              <w:right w:w="80" w:type="dxa"/>
            </w:tcMar>
          </w:tcPr>
          <w:p w14:paraId="05BF1D30" w14:textId="77777777" w:rsidR="006F2D55" w:rsidRDefault="00000000">
            <w:r>
              <w:rPr>
                <w:sz w:val="18"/>
                <w:szCs w:val="18"/>
              </w:rPr>
              <w:t>Assay methods and thresholds differ between programmes; secondary loss of efficacy not systematically investigated</w:t>
            </w:r>
          </w:p>
        </w:tc>
        <w:tc>
          <w:tcPr>
            <w:tcW w:w="1826" w:type="dxa"/>
            <w:tcMar>
              <w:top w:w="60" w:type="dxa"/>
              <w:left w:w="80" w:type="dxa"/>
              <w:bottom w:w="60" w:type="dxa"/>
              <w:right w:w="80" w:type="dxa"/>
            </w:tcMar>
          </w:tcPr>
          <w:p w14:paraId="0FCF7735" w14:textId="77777777" w:rsidR="006F2D55" w:rsidRDefault="00000000">
            <w:r w:rsidRPr="00F477EC">
              <w:rPr>
                <w:sz w:val="18"/>
                <w:szCs w:val="18"/>
                <w:lang w:val="nl-BE"/>
              </w:rPr>
              <w:t xml:space="preserve">Cohen et al. (2021); Zhou et al. </w:t>
            </w:r>
            <w:r>
              <w:rPr>
                <w:sz w:val="18"/>
                <w:szCs w:val="18"/>
              </w:rPr>
              <w:t>(2022)</w:t>
            </w:r>
          </w:p>
        </w:tc>
      </w:tr>
      <w:tr w:rsidR="006F2D55" w14:paraId="73772A10" w14:textId="77777777">
        <w:tc>
          <w:tcPr>
            <w:tcW w:w="1500" w:type="dxa"/>
            <w:tcMar>
              <w:top w:w="60" w:type="dxa"/>
              <w:left w:w="80" w:type="dxa"/>
              <w:bottom w:w="60" w:type="dxa"/>
              <w:right w:w="80" w:type="dxa"/>
            </w:tcMar>
          </w:tcPr>
          <w:p w14:paraId="6188E60A" w14:textId="77777777" w:rsidR="006F2D55" w:rsidRDefault="00000000">
            <w:r>
              <w:rPr>
                <w:sz w:val="18"/>
                <w:szCs w:val="18"/>
              </w:rPr>
              <w:t>Pregnancy and lactation</w:t>
            </w:r>
          </w:p>
        </w:tc>
        <w:tc>
          <w:tcPr>
            <w:tcW w:w="1900" w:type="dxa"/>
            <w:tcMar>
              <w:top w:w="60" w:type="dxa"/>
              <w:left w:w="80" w:type="dxa"/>
              <w:bottom w:w="60" w:type="dxa"/>
              <w:right w:w="80" w:type="dxa"/>
            </w:tcMar>
          </w:tcPr>
          <w:p w14:paraId="5BEE0A50" w14:textId="77777777" w:rsidR="006F2D55" w:rsidRDefault="00000000">
            <w:r>
              <w:rPr>
                <w:sz w:val="18"/>
                <w:szCs w:val="18"/>
              </w:rPr>
              <w:t xml:space="preserve">Prolonged elimination and active placental </w:t>
            </w:r>
            <w:r>
              <w:rPr>
                <w:sz w:val="18"/>
                <w:szCs w:val="18"/>
              </w:rPr>
              <w:lastRenderedPageBreak/>
              <w:t>transfer of immunoglobulin G</w:t>
            </w:r>
          </w:p>
        </w:tc>
        <w:tc>
          <w:tcPr>
            <w:tcW w:w="1900" w:type="dxa"/>
            <w:tcMar>
              <w:top w:w="60" w:type="dxa"/>
              <w:left w:w="80" w:type="dxa"/>
              <w:bottom w:w="60" w:type="dxa"/>
              <w:right w:w="80" w:type="dxa"/>
            </w:tcMar>
          </w:tcPr>
          <w:p w14:paraId="560E827E" w14:textId="77777777" w:rsidR="006F2D55" w:rsidRDefault="00000000">
            <w:r>
              <w:rPr>
                <w:sz w:val="18"/>
                <w:szCs w:val="18"/>
              </w:rPr>
              <w:lastRenderedPageBreak/>
              <w:t xml:space="preserve">Pharmacovigilance analysis and a prospective case series </w:t>
            </w:r>
            <w:r>
              <w:rPr>
                <w:sz w:val="18"/>
                <w:szCs w:val="18"/>
              </w:rPr>
              <w:lastRenderedPageBreak/>
              <w:t>identified no distinctive adverse pattern</w:t>
            </w:r>
          </w:p>
        </w:tc>
        <w:tc>
          <w:tcPr>
            <w:tcW w:w="1900" w:type="dxa"/>
            <w:tcMar>
              <w:top w:w="60" w:type="dxa"/>
              <w:left w:w="80" w:type="dxa"/>
              <w:bottom w:w="60" w:type="dxa"/>
              <w:right w:w="80" w:type="dxa"/>
            </w:tcMar>
          </w:tcPr>
          <w:p w14:paraId="05B0F70A" w14:textId="77777777" w:rsidR="006F2D55" w:rsidRDefault="00000000">
            <w:r>
              <w:rPr>
                <w:sz w:val="18"/>
                <w:szCs w:val="18"/>
              </w:rPr>
              <w:lastRenderedPageBreak/>
              <w:t>No controlled data and no denominator; risk cannot be quantified</w:t>
            </w:r>
          </w:p>
        </w:tc>
        <w:tc>
          <w:tcPr>
            <w:tcW w:w="1826" w:type="dxa"/>
            <w:tcMar>
              <w:top w:w="60" w:type="dxa"/>
              <w:left w:w="80" w:type="dxa"/>
              <w:bottom w:w="60" w:type="dxa"/>
              <w:right w:w="80" w:type="dxa"/>
            </w:tcMar>
          </w:tcPr>
          <w:p w14:paraId="7101F73F" w14:textId="77777777" w:rsidR="006F2D55" w:rsidRDefault="00000000">
            <w:r w:rsidRPr="00F477EC">
              <w:rPr>
                <w:sz w:val="18"/>
                <w:szCs w:val="18"/>
                <w:lang w:val="nl-BE"/>
              </w:rPr>
              <w:t xml:space="preserve">Elosua-Bayes et al. (2024); Noseda et al. </w:t>
            </w:r>
            <w:r>
              <w:rPr>
                <w:sz w:val="18"/>
                <w:szCs w:val="18"/>
              </w:rPr>
              <w:t>(2023)</w:t>
            </w:r>
          </w:p>
        </w:tc>
      </w:tr>
      <w:tr w:rsidR="006F2D55" w14:paraId="0DAC99B2" w14:textId="77777777">
        <w:tc>
          <w:tcPr>
            <w:tcW w:w="1500" w:type="dxa"/>
            <w:tcMar>
              <w:top w:w="60" w:type="dxa"/>
              <w:left w:w="80" w:type="dxa"/>
              <w:bottom w:w="60" w:type="dxa"/>
              <w:right w:w="80" w:type="dxa"/>
            </w:tcMar>
          </w:tcPr>
          <w:p w14:paraId="3D95A385" w14:textId="77777777" w:rsidR="006F2D55" w:rsidRDefault="00000000">
            <w:r>
              <w:rPr>
                <w:sz w:val="18"/>
                <w:szCs w:val="18"/>
              </w:rPr>
              <w:t>Older age and comorbidity</w:t>
            </w:r>
          </w:p>
        </w:tc>
        <w:tc>
          <w:tcPr>
            <w:tcW w:w="1900" w:type="dxa"/>
            <w:tcMar>
              <w:top w:w="60" w:type="dxa"/>
              <w:left w:w="80" w:type="dxa"/>
              <w:bottom w:w="60" w:type="dxa"/>
              <w:right w:w="80" w:type="dxa"/>
            </w:tcMar>
          </w:tcPr>
          <w:p w14:paraId="30AEFAF6" w14:textId="77777777" w:rsidR="006F2D55" w:rsidRDefault="00000000">
            <w:r>
              <w:rPr>
                <w:sz w:val="18"/>
                <w:szCs w:val="18"/>
              </w:rPr>
              <w:t>Polypharmacy and higher baseline vascular risk</w:t>
            </w:r>
          </w:p>
        </w:tc>
        <w:tc>
          <w:tcPr>
            <w:tcW w:w="1900" w:type="dxa"/>
            <w:tcMar>
              <w:top w:w="60" w:type="dxa"/>
              <w:left w:w="80" w:type="dxa"/>
              <w:bottom w:w="60" w:type="dxa"/>
              <w:right w:w="80" w:type="dxa"/>
            </w:tcMar>
          </w:tcPr>
          <w:p w14:paraId="43DE7A72" w14:textId="77777777" w:rsidR="006F2D55" w:rsidRDefault="00000000">
            <w:r>
              <w:rPr>
                <w:sz w:val="18"/>
                <w:szCs w:val="18"/>
              </w:rPr>
              <w:t>Pooled trial subgroup of 246 participants aged 60 years and above and a multicentre real-world elderly cohort show retained efficacy and tolerability</w:t>
            </w:r>
          </w:p>
        </w:tc>
        <w:tc>
          <w:tcPr>
            <w:tcW w:w="1900" w:type="dxa"/>
            <w:tcMar>
              <w:top w:w="60" w:type="dxa"/>
              <w:left w:w="80" w:type="dxa"/>
              <w:bottom w:w="60" w:type="dxa"/>
              <w:right w:w="80" w:type="dxa"/>
            </w:tcMar>
          </w:tcPr>
          <w:p w14:paraId="490C4167" w14:textId="77777777" w:rsidR="006F2D55" w:rsidRDefault="00000000">
            <w:r>
              <w:rPr>
                <w:sz w:val="18"/>
                <w:szCs w:val="18"/>
              </w:rPr>
              <w:t>Sample sizes small relative to comorbidity burden; frail and institutionalised patients unrepresented</w:t>
            </w:r>
          </w:p>
        </w:tc>
        <w:tc>
          <w:tcPr>
            <w:tcW w:w="1826" w:type="dxa"/>
            <w:tcMar>
              <w:top w:w="60" w:type="dxa"/>
              <w:left w:w="80" w:type="dxa"/>
              <w:bottom w:w="60" w:type="dxa"/>
              <w:right w:w="80" w:type="dxa"/>
            </w:tcMar>
          </w:tcPr>
          <w:p w14:paraId="7635EC06" w14:textId="77777777" w:rsidR="006F2D55" w:rsidRDefault="00000000">
            <w:r w:rsidRPr="00F477EC">
              <w:rPr>
                <w:sz w:val="18"/>
                <w:szCs w:val="18"/>
                <w:lang w:val="nl-BE"/>
              </w:rPr>
              <w:t xml:space="preserve">Cho et al. (2026); Nahas et al. </w:t>
            </w:r>
            <w:r>
              <w:rPr>
                <w:sz w:val="18"/>
                <w:szCs w:val="18"/>
              </w:rPr>
              <w:t>(2021)</w:t>
            </w:r>
          </w:p>
        </w:tc>
      </w:tr>
      <w:tr w:rsidR="006F2D55" w14:paraId="3D87B4E1" w14:textId="77777777">
        <w:tc>
          <w:tcPr>
            <w:tcW w:w="1500" w:type="dxa"/>
            <w:tcMar>
              <w:top w:w="60" w:type="dxa"/>
              <w:left w:w="80" w:type="dxa"/>
              <w:bottom w:w="60" w:type="dxa"/>
              <w:right w:w="80" w:type="dxa"/>
            </w:tcMar>
          </w:tcPr>
          <w:p w14:paraId="3190EA5A" w14:textId="77777777" w:rsidR="006F2D55" w:rsidRDefault="00000000">
            <w:r>
              <w:rPr>
                <w:sz w:val="18"/>
                <w:szCs w:val="18"/>
              </w:rPr>
              <w:t>Children and adolescents</w:t>
            </w:r>
          </w:p>
        </w:tc>
        <w:tc>
          <w:tcPr>
            <w:tcW w:w="1900" w:type="dxa"/>
            <w:tcMar>
              <w:top w:w="60" w:type="dxa"/>
              <w:left w:w="80" w:type="dxa"/>
              <w:bottom w:w="60" w:type="dxa"/>
              <w:right w:w="80" w:type="dxa"/>
            </w:tcMar>
          </w:tcPr>
          <w:p w14:paraId="1F7B4A60" w14:textId="77777777" w:rsidR="006F2D55" w:rsidRDefault="00000000">
            <w:r>
              <w:rPr>
                <w:sz w:val="18"/>
                <w:szCs w:val="18"/>
              </w:rPr>
              <w:t>Extrapolation from adults in a developing nervous system</w:t>
            </w:r>
          </w:p>
        </w:tc>
        <w:tc>
          <w:tcPr>
            <w:tcW w:w="1900" w:type="dxa"/>
            <w:tcMar>
              <w:top w:w="60" w:type="dxa"/>
              <w:left w:w="80" w:type="dxa"/>
              <w:bottom w:w="60" w:type="dxa"/>
              <w:right w:w="80" w:type="dxa"/>
            </w:tcMar>
          </w:tcPr>
          <w:p w14:paraId="57E109E2" w14:textId="77777777" w:rsidR="006F2D55" w:rsidRDefault="00000000">
            <w:r>
              <w:rPr>
                <w:sz w:val="18"/>
                <w:szCs w:val="18"/>
              </w:rPr>
              <w:t>Phase 1 pharmacokinetic and tolerability studies of erenumab and rimegepant</w:t>
            </w:r>
          </w:p>
        </w:tc>
        <w:tc>
          <w:tcPr>
            <w:tcW w:w="1900" w:type="dxa"/>
            <w:tcMar>
              <w:top w:w="60" w:type="dxa"/>
              <w:left w:w="80" w:type="dxa"/>
              <w:bottom w:w="60" w:type="dxa"/>
              <w:right w:w="80" w:type="dxa"/>
            </w:tcMar>
          </w:tcPr>
          <w:p w14:paraId="6F45081A" w14:textId="77777777" w:rsidR="006F2D55" w:rsidRDefault="00000000">
            <w:r>
              <w:rPr>
                <w:sz w:val="18"/>
                <w:szCs w:val="18"/>
              </w:rPr>
              <w:t>No adequately powered efficacy trial; high paediatric placebo response makes extrapolation unsafe</w:t>
            </w:r>
          </w:p>
        </w:tc>
        <w:tc>
          <w:tcPr>
            <w:tcW w:w="1826" w:type="dxa"/>
            <w:tcMar>
              <w:top w:w="60" w:type="dxa"/>
              <w:left w:w="80" w:type="dxa"/>
              <w:bottom w:w="60" w:type="dxa"/>
              <w:right w:w="80" w:type="dxa"/>
            </w:tcMar>
          </w:tcPr>
          <w:p w14:paraId="4654C7F4" w14:textId="77777777" w:rsidR="006F2D55" w:rsidRDefault="00000000">
            <w:r w:rsidRPr="00F477EC">
              <w:rPr>
                <w:sz w:val="18"/>
                <w:szCs w:val="18"/>
                <w:lang w:val="nl-BE"/>
              </w:rPr>
              <w:t xml:space="preserve">Hershey et al. (2024); Lim et al. </w:t>
            </w:r>
            <w:r>
              <w:rPr>
                <w:sz w:val="18"/>
                <w:szCs w:val="18"/>
              </w:rPr>
              <w:t>(2026)</w:t>
            </w:r>
          </w:p>
        </w:tc>
      </w:tr>
      <w:tr w:rsidR="006F2D55" w14:paraId="65C8B005" w14:textId="77777777">
        <w:tc>
          <w:tcPr>
            <w:tcW w:w="1500" w:type="dxa"/>
            <w:tcMar>
              <w:top w:w="60" w:type="dxa"/>
              <w:left w:w="80" w:type="dxa"/>
              <w:bottom w:w="60" w:type="dxa"/>
              <w:right w:w="80" w:type="dxa"/>
            </w:tcMar>
          </w:tcPr>
          <w:p w14:paraId="1A330265" w14:textId="77777777" w:rsidR="006F2D55" w:rsidRDefault="00000000">
            <w:r>
              <w:rPr>
                <w:sz w:val="18"/>
                <w:szCs w:val="18"/>
              </w:rPr>
              <w:t>Cumulative long-term exposure</w:t>
            </w:r>
          </w:p>
        </w:tc>
        <w:tc>
          <w:tcPr>
            <w:tcW w:w="1900" w:type="dxa"/>
            <w:tcMar>
              <w:top w:w="60" w:type="dxa"/>
              <w:left w:w="80" w:type="dxa"/>
              <w:bottom w:w="60" w:type="dxa"/>
              <w:right w:w="80" w:type="dxa"/>
            </w:tcMar>
          </w:tcPr>
          <w:p w14:paraId="31EF8A53" w14:textId="77777777" w:rsidR="006F2D55" w:rsidRDefault="00000000">
            <w:r>
              <w:rPr>
                <w:sz w:val="18"/>
                <w:szCs w:val="18"/>
              </w:rPr>
              <w:t>Chronic blockade of a mediator with wide physiological roles</w:t>
            </w:r>
          </w:p>
        </w:tc>
        <w:tc>
          <w:tcPr>
            <w:tcW w:w="1900" w:type="dxa"/>
            <w:tcMar>
              <w:top w:w="60" w:type="dxa"/>
              <w:left w:w="80" w:type="dxa"/>
              <w:bottom w:w="60" w:type="dxa"/>
              <w:right w:w="80" w:type="dxa"/>
            </w:tcMar>
          </w:tcPr>
          <w:p w14:paraId="4D9A5D61" w14:textId="77777777" w:rsidR="006F2D55" w:rsidRDefault="00000000">
            <w:r>
              <w:rPr>
                <w:sz w:val="18"/>
                <w:szCs w:val="18"/>
              </w:rPr>
              <w:t>Open-label extensions to five years and a meta-analysis of studies with at least twelve months of exposure (3% discontinuation for adverse events)</w:t>
            </w:r>
          </w:p>
        </w:tc>
        <w:tc>
          <w:tcPr>
            <w:tcW w:w="1900" w:type="dxa"/>
            <w:tcMar>
              <w:top w:w="60" w:type="dxa"/>
              <w:left w:w="80" w:type="dxa"/>
              <w:bottom w:w="60" w:type="dxa"/>
              <w:right w:w="80" w:type="dxa"/>
            </w:tcMar>
          </w:tcPr>
          <w:p w14:paraId="35FD3A2A" w14:textId="77777777" w:rsidR="006F2D55" w:rsidRDefault="00000000">
            <w:r>
              <w:rPr>
                <w:sz w:val="18"/>
                <w:szCs w:val="18"/>
              </w:rPr>
              <w:t>Extension cohorts self-selected and uncontrolled; all included studies judged at severe risk of bias; decades-long exposure unstudied</w:t>
            </w:r>
          </w:p>
        </w:tc>
        <w:tc>
          <w:tcPr>
            <w:tcW w:w="1826" w:type="dxa"/>
            <w:tcMar>
              <w:top w:w="60" w:type="dxa"/>
              <w:left w:w="80" w:type="dxa"/>
              <w:bottom w:w="60" w:type="dxa"/>
              <w:right w:w="80" w:type="dxa"/>
            </w:tcMar>
          </w:tcPr>
          <w:p w14:paraId="4EAD34A0" w14:textId="77777777" w:rsidR="006F2D55" w:rsidRDefault="00000000">
            <w:r w:rsidRPr="00F477EC">
              <w:rPr>
                <w:sz w:val="18"/>
                <w:szCs w:val="18"/>
                <w:lang w:val="nl-BE"/>
              </w:rPr>
              <w:t xml:space="preserve">Ashina et al. (2019); Ashina et al. (2025); Goadsby et al. (2020); Hoehne et al. </w:t>
            </w:r>
            <w:r>
              <w:rPr>
                <w:sz w:val="18"/>
                <w:szCs w:val="18"/>
              </w:rPr>
              <w:t>(2026); Tepper et al. (2020)</w:t>
            </w:r>
          </w:p>
        </w:tc>
      </w:tr>
    </w:tbl>
    <w:p w14:paraId="5F159E1C" w14:textId="77777777" w:rsidR="006F2D55" w:rsidRDefault="00000000">
      <w:pPr>
        <w:spacing w:before="90" w:after="260"/>
      </w:pPr>
      <w:r>
        <w:rPr>
          <w:i/>
          <w:iCs/>
          <w:sz w:val="18"/>
          <w:szCs w:val="18"/>
        </w:rPr>
        <w:t>Note. Percentages are as reported in the cited sources. Absence of a demonstrated signal in the evidence summarised here should not be read as demonstration of absence of risk, particularly for populations excluded from randomised trials.</w:t>
      </w:r>
    </w:p>
    <w:p w14:paraId="5B5F8065" w14:textId="77777777" w:rsidR="006F2D55" w:rsidRDefault="00000000">
      <w:pPr>
        <w:pStyle w:val="Heading1"/>
        <w:keepNext/>
        <w:spacing w:before="320" w:after="140" w:line="300" w:lineRule="auto"/>
      </w:pPr>
      <w:r>
        <w:rPr>
          <w:b/>
          <w:bCs/>
          <w:color w:val="000000"/>
          <w:sz w:val="26"/>
          <w:szCs w:val="26"/>
        </w:rPr>
        <w:t>8. Clinical Problems the Class Has Not Solved</w:t>
      </w:r>
    </w:p>
    <w:p w14:paraId="79CD95EE" w14:textId="77777777" w:rsidR="006F2D55" w:rsidRDefault="00000000">
      <w:pPr>
        <w:pStyle w:val="Heading2"/>
        <w:keepNext/>
        <w:spacing w:before="240" w:after="140" w:line="300" w:lineRule="auto"/>
      </w:pPr>
      <w:r>
        <w:rPr>
          <w:b/>
          <w:bCs/>
          <w:color w:val="000000"/>
          <w:sz w:val="24"/>
          <w:szCs w:val="24"/>
        </w:rPr>
        <w:t>8.1 Non-response, late response and the logic of switching</w:t>
      </w:r>
    </w:p>
    <w:p w14:paraId="5EFDB33C" w14:textId="77777777" w:rsidR="006F2D55" w:rsidRDefault="00000000">
      <w:pPr>
        <w:spacing w:after="160" w:line="360" w:lineRule="auto"/>
        <w:jc w:val="both"/>
      </w:pPr>
      <w:r>
        <w:t>Roughly half of treated patients do not achieve a 50% reduction, and no biological explanation for this is available. The clinically important observation is that non-response at three months is not necessarily final. Prospective observation of an Italian multicentre cohort identified an ultra-late responder phenotype in which meaningful benefit first appeared after 24 weeks of continuous treatment (Barbanti et al., 2024a), and registry analysis has shown that patients with more severe phenotypes, including chronic migraine and daily headache, are disproportionately represented among late rather than early responders (Karlsson et al., 2025). This conflicts directly with reimbursement rules in many jurisdictions that mandate discontinuation after a three-month non-response assessment, and the conflict is a policy problem created by evidence that arrived after the policies were written.</w:t>
      </w:r>
    </w:p>
    <w:p w14:paraId="45D1F4AA" w14:textId="77777777" w:rsidR="006F2D55" w:rsidRDefault="00000000">
      <w:pPr>
        <w:spacing w:after="160" w:line="360" w:lineRule="auto"/>
        <w:jc w:val="both"/>
      </w:pPr>
      <w:r>
        <w:t xml:space="preserve">Switching between antibodies is widely practised and thinly evidenced. A retrospective analysis of 66 switching episodes among 54 patients with chronic migraine found non-significant reductions in days limiting activity overall, with 15% achieving at least a 50% improvement and 33% at least a 30% improvement; a signal emerged only when patients switching because of adverse effects were excluded from the analysis (Talbot et al., 2025). The </w:t>
      </w:r>
      <w:r>
        <w:lastRenderedPageBreak/>
        <w:t>most defensible interpretation is that switching for intolerance is rational, since adverse effects resolved on approximately a dozen occasions in that series, whereas switching for inefficacy has weak supporting evidence and is more plausibly a delay than a solution.</w:t>
      </w:r>
    </w:p>
    <w:p w14:paraId="22A3FEDE" w14:textId="68A537E1" w:rsidR="006F2D55" w:rsidRDefault="00000000">
      <w:pPr>
        <w:spacing w:after="160" w:line="360" w:lineRule="auto"/>
        <w:jc w:val="both"/>
      </w:pPr>
      <w:r>
        <w:t>Sequencing an oral antagonist after antibody failure has been examined in a larger real-world cohort. Among 252 patients who started atogepant after failing at least one antibody, 29.7% achieved at least a 50% reduction and 11.7% at least a 75% reduction in monthly migraine days at three months; adverse events occurred in 52.5%, most commonly constipation in 30% and nausea in 25%; and persistence at 180 days was 61%. Critically, each additional previously failed antibody independently reduced the odds of response (Muñoz-Vendrell et al., 202</w:t>
      </w:r>
      <w:r w:rsidR="00F477EC">
        <w:t>6</w:t>
      </w:r>
      <w:r>
        <w:t>). The gradient argues against the intuition that switching within the pathway simply reshuffles the odds, and supports the view that repeated failure identifies a phenotype that is less dependent on this pathway. Combination with onabotulinumtoxinA in refractory chronic migraine has produced conflicting results, with an add-on series reporting benefit and a retrospective cohort finding no synergistic effect, and neither design can separate additional pharmacological effect from regression to the mean in a severely affected population (Argyriou et al., 2022; Jaimes et al., 2023).</w:t>
      </w:r>
    </w:p>
    <w:p w14:paraId="08754DB7" w14:textId="77777777" w:rsidR="006F2D55" w:rsidRDefault="00000000">
      <w:pPr>
        <w:spacing w:after="160" w:line="360" w:lineRule="auto"/>
        <w:jc w:val="both"/>
      </w:pPr>
      <w:r>
        <w:t>A conceptual obstacle underlies these difficulties. Definitions of resistant and refractory migraine were formalised by the European Headache Federation in 2020 and refined by international Delphi consensus in 2025, but they are framed in terms of the number of failed drug classes rather than in terms of biology, so they describe treatment history rather than a mechanism (Robblee et al., 2025; Sacco et al., 2020). Trials of sequencing strategies enrol on the basis of these definitions and therefore inherit their heterogeneity.</w:t>
      </w:r>
    </w:p>
    <w:p w14:paraId="17330866" w14:textId="77777777" w:rsidR="006F2D55" w:rsidRDefault="00000000">
      <w:pPr>
        <w:pStyle w:val="Heading2"/>
        <w:keepNext/>
        <w:spacing w:before="240" w:after="140" w:line="300" w:lineRule="auto"/>
      </w:pPr>
      <w:r>
        <w:rPr>
          <w:b/>
          <w:bCs/>
          <w:color w:val="000000"/>
          <w:sz w:val="24"/>
          <w:szCs w:val="24"/>
        </w:rPr>
        <w:t>8.2 Medication-overuse headache</w:t>
      </w:r>
    </w:p>
    <w:p w14:paraId="1BD5FD42" w14:textId="77777777" w:rsidR="006F2D55" w:rsidRDefault="00000000">
      <w:pPr>
        <w:spacing w:after="160" w:line="360" w:lineRule="auto"/>
        <w:jc w:val="both"/>
      </w:pPr>
      <w:r>
        <w:t>Medication-overuse headache complicates a substantial proportion of chronic migraine and has traditionally been managed by withdrawal of the overused acute treatment. Real-world data indicate that pathway-targeted prevention is effective without prior withdrawal: in a cohort of 291 patients treated without detoxification, 60.6% of those with chronic migraine and medication-overuse headache no longer met criteria for overuse at follow-up and a further 13.8% had reverted to episodic migraine with overuse, with only 15.4% relapsing after initially successful treatment (Scheffler et al., 2024). Long-term data with eptinezumab in this population point the same way (Blumenfeld et al., 2024).</w:t>
      </w:r>
    </w:p>
    <w:p w14:paraId="7B619C66" w14:textId="77777777" w:rsidR="006F2D55" w:rsidRDefault="00000000">
      <w:pPr>
        <w:spacing w:after="160" w:line="360" w:lineRule="auto"/>
        <w:jc w:val="both"/>
      </w:pPr>
      <w:r>
        <w:lastRenderedPageBreak/>
        <w:t>Randomised evidence has now arrived. The RESOLUTION trial randomised 608 participants with chronic migraine and medication-overuse headache, all of whom received structured patient education, to eptinezumab or placebo, with open-label treatment for all from week 12; reductions in migraine frequency and in the proportion meeting criteria for chronic migraine and overuse were sustained through 24 weeks, and participants initially randomised to placebo achieved similar improvement after crossover, with no new safety signals (Jensen et al., 2026; Schytz et al., 2026). The design is notable for including education in both arms, which isolates the pharmacological contribution but also means the trial does not test prevention against withdrawal. Network meta-analysis of management strategies in medication-overuse headache found that combinations of restricted acute-medication use with preventive treatment, including pathway-targeted therapy, were the most effective approaches, that no single initial preventive strategy was superior to another, and that abrupt withdrawal alone was not significantly better than control (Koonalintip et al., 2025). The clinically defensible position is that effective prevention should be initiated without waiting for withdrawal, and that withdrawal alone is not an adequate strategy.</w:t>
      </w:r>
    </w:p>
    <w:p w14:paraId="6AB9E392" w14:textId="77777777" w:rsidR="006F2D55" w:rsidRDefault="00000000">
      <w:pPr>
        <w:pStyle w:val="Heading2"/>
        <w:keepNext/>
        <w:spacing w:before="240" w:after="140" w:line="300" w:lineRule="auto"/>
      </w:pPr>
      <w:r>
        <w:rPr>
          <w:b/>
          <w:bCs/>
          <w:color w:val="000000"/>
          <w:sz w:val="24"/>
          <w:szCs w:val="24"/>
        </w:rPr>
        <w:t>8.3 Discontinuation, cycling and the question of disease modification</w:t>
      </w:r>
    </w:p>
    <w:p w14:paraId="785C553E" w14:textId="77777777" w:rsidR="006F2D55" w:rsidRDefault="00000000">
      <w:pPr>
        <w:spacing w:after="160" w:line="360" w:lineRule="auto"/>
        <w:jc w:val="both"/>
      </w:pPr>
      <w:r>
        <w:t>Whether these treatments modify the course of migraine or merely suppress its expression is unresolved and consequential, since the answer determines whether treatment can ever be stopped. A systematic review and meta-analysis of eight studies including 1,012 patients found that after discontinuation, monthly migraine days remained 3.78 days lower than the pretreatment baseline while rising substantially above the level achieved during treatment, and identified no studies at all examining cessation of oral antagonists (Makita et al., 2026). Prospective observation of multiple treatment cycles in an Italian registry found that discontinuation periods were followed by deterioration that was recovered on re-treatment (Barbanti et al., 2024b).</w:t>
      </w:r>
    </w:p>
    <w:p w14:paraId="093F195F" w14:textId="77777777" w:rsidR="006F2D55" w:rsidRDefault="00000000">
      <w:pPr>
        <w:spacing w:after="160" w:line="360" w:lineRule="auto"/>
        <w:jc w:val="both"/>
      </w:pPr>
      <w:r>
        <w:t xml:space="preserve">These findings are compatible with at least three interpretations that the available designs cannot distinguish. Genuine disease modification, in which pathway blockade interrupts a self-sustaining sensitisation process, would produce exactly this pattern. So would regression to the mean in cohorts entered at a symptomatic peak. So would carry-over pharmacodynamic effect, since antibodies persist for months after the last dose and most discontinuation studies observe patients for a comparable period. Distinguishing these requires randomised withdrawal designs with long observation and prespecified relapse definitions, and such trials have not been </w:t>
      </w:r>
      <w:r>
        <w:lastRenderedPageBreak/>
        <w:t>performed. The widespread practice of mandated treatment holidays in several European health systems therefore rests on reimbursement logic rather than on evidence, and the finding that many patients deteriorate during enforced pauses suggests that the practice may be actively harmful for some.</w:t>
      </w:r>
    </w:p>
    <w:p w14:paraId="54BD1013" w14:textId="77777777" w:rsidR="006F2D55" w:rsidRDefault="00000000">
      <w:pPr>
        <w:pStyle w:val="Heading2"/>
        <w:keepNext/>
        <w:spacing w:before="240" w:after="140" w:line="300" w:lineRule="auto"/>
      </w:pPr>
      <w:r>
        <w:rPr>
          <w:b/>
          <w:bCs/>
          <w:color w:val="000000"/>
          <w:sz w:val="24"/>
          <w:szCs w:val="24"/>
        </w:rPr>
        <w:t>8.4 Predicting who will respond</w:t>
      </w:r>
    </w:p>
    <w:p w14:paraId="741E9C70" w14:textId="77777777" w:rsidR="006F2D55" w:rsidRDefault="00000000">
      <w:pPr>
        <w:spacing w:after="160" w:line="360" w:lineRule="auto"/>
        <w:jc w:val="both"/>
      </w:pPr>
      <w:r>
        <w:t>Given the failure of peripheral peptide measurement and of provocation testing, prediction has fallen back on clinical variables. In a registry study of 570 participants treated with erenumab, chronic migraine, daily headache and previous failure of three or more preventive medications independently predicted lower odds of response, while older age predicted higher odds; the multivariable model achieved an area under the receiver operating characteristic curve of 64.6% (Karlsson et al., 2025). A machine-learning nomogram developed in 429 patients and validated externally in 109 achieved an overall accuracy of 74% and a weighted F1 score of 70.5%, with chronic migraine status, older age and lower baseline headache frequency associated with response and medication overuse associated with non-response (Romozzi et al., 2025). Pharmacogenetic work has identified candidate variants associated with response in a chronic migraine Han Chinese population, but these findings await replication in independent and ethnically diverse cohorts (An et al., 2024).</w:t>
      </w:r>
    </w:p>
    <w:p w14:paraId="55647856" w14:textId="77777777" w:rsidR="006F2D55" w:rsidRDefault="00000000">
      <w:pPr>
        <w:spacing w:after="160" w:line="360" w:lineRule="auto"/>
        <w:jc w:val="both"/>
      </w:pPr>
      <w:r>
        <w:t>Discrimination in this range is insufficient for individual treatment decisions. A model with an area under the curve near 0.65 will misclassify a substantial minority of patients, and a nomogram with 74% accuracy in a population with a roughly 55% response rate improves only modestly on treating everyone. The interesting observation is that the predictors identified across independent studies converge on disease severity and treatment history rather than on any biological measure, which suggests that current models are capturing prognosis rather than pathway dependence. Prediction is likely to require measures of central sensitisation, imaging or multi-analyte panels that have not yet been tested at the necessary scale.</w:t>
      </w:r>
    </w:p>
    <w:p w14:paraId="0A695AA1" w14:textId="77777777" w:rsidR="006F2D55" w:rsidRDefault="00000000">
      <w:pPr>
        <w:pStyle w:val="Heading2"/>
        <w:keepNext/>
        <w:spacing w:before="240" w:after="140" w:line="300" w:lineRule="auto"/>
      </w:pPr>
      <w:r>
        <w:rPr>
          <w:b/>
          <w:bCs/>
          <w:color w:val="000000"/>
          <w:sz w:val="24"/>
          <w:szCs w:val="24"/>
        </w:rPr>
        <w:t>8.5 Boundaries of pathway specificity and phenotype-specific gaps</w:t>
      </w:r>
    </w:p>
    <w:p w14:paraId="06C68EBC" w14:textId="77777777" w:rsidR="006F2D55" w:rsidRDefault="00000000">
      <w:pPr>
        <w:spacing w:after="160" w:line="360" w:lineRule="auto"/>
        <w:jc w:val="both"/>
      </w:pPr>
      <w:r>
        <w:t xml:space="preserve">The therapeutic reach of pathway blockade beyond typical migraine helps to define what the target does and does not explain. Galcanezumab reduced weekly attack frequency in episodic cluster headache in a randomised trial and was tolerated over extended open-label follow-up, yet the corresponding trial in chronic cluster headache did not meet its primary endpoint, and the discrepancy between the two forms of the same disorder is not explained by any current model (Goadsby et al., 2019; Riesenberg et al., 2022). The pattern suggests that peptide </w:t>
      </w:r>
      <w:r>
        <w:lastRenderedPageBreak/>
        <w:t>dependence varies not only between disorders but between temporal patterns of the same disorder, which is a more restrictive conclusion than the framing of the peptide as a general trigeminal pain mediator would predict.</w:t>
      </w:r>
    </w:p>
    <w:p w14:paraId="0A5E7746" w14:textId="77777777" w:rsidR="006F2D55" w:rsidRDefault="00000000">
      <w:pPr>
        <w:spacing w:after="160" w:line="360" w:lineRule="auto"/>
        <w:jc w:val="both"/>
      </w:pPr>
      <w:r>
        <w:t>Within migraine itself, several phenotypes are poorly served by the existing evidence. Perimenstrual attacks are a case in point: in a cohort of 113 women with menstrually related migraine treated with antibodies or onabotulinumtoxinA, non-perimenstrual headache and migraine days fell significantly over three months while perimenstrual days did not, so that the perimenstrual window accounted for a larger share of the residual burden after treatment than before it (Mas-de-les-Valls et al., 2025). This is a retrospective analysis with a small sample and no control group, and the finding requires confirmation, but it identifies a treatment-refractory window that pooled monthly endpoints conceal by design.</w:t>
      </w:r>
    </w:p>
    <w:p w14:paraId="65127C03" w14:textId="77777777" w:rsidR="006F2D55" w:rsidRDefault="00000000">
      <w:pPr>
        <w:spacing w:after="160" w:line="360" w:lineRule="auto"/>
        <w:jc w:val="both"/>
      </w:pPr>
      <w:r>
        <w:t>Psychiatric comorbidity has been addressed by one dedicated randomised trial. The UNITE trial evaluated fremanezumab in adults with migraine and comorbid major depressive disorder and reported benefit on migraine outcomes together with improvement in depressive symptoms (Lipton et al., 2025). Whether the mood effect reflects a direct action or the consequence of reduced headache burden cannot be determined from the design, and the trial does not answer the more general question of whether comorbid depression, which predicts discontinuation in registry data (Caronna et al., 2026), should modify treatment selection.</w:t>
      </w:r>
    </w:p>
    <w:p w14:paraId="112C7927" w14:textId="77777777" w:rsidR="006F2D55" w:rsidRDefault="00000000">
      <w:pPr>
        <w:pStyle w:val="Heading1"/>
        <w:keepNext/>
        <w:spacing w:before="320" w:after="140" w:line="300" w:lineRule="auto"/>
      </w:pPr>
      <w:r>
        <w:rPr>
          <w:b/>
          <w:bCs/>
          <w:color w:val="000000"/>
          <w:sz w:val="26"/>
          <w:szCs w:val="26"/>
        </w:rPr>
        <w:t>9. Access, Equity and the Global Distribution of Benefit</w:t>
      </w:r>
    </w:p>
    <w:p w14:paraId="72307C85" w14:textId="77777777" w:rsidR="006F2D55" w:rsidRDefault="00000000">
      <w:pPr>
        <w:spacing w:after="160" w:line="360" w:lineRule="auto"/>
        <w:jc w:val="both"/>
      </w:pPr>
      <w:r>
        <w:t>The evidence base and the treatments it supports are both concentrated in high-income settings, and this is a scientific problem as well as an ethical one. Registration trials enrolled overwhelmingly White populations in North America and Europe, with ELEVATE reporting that 96% of participants were of White ethnicity (Tassorelli et al., 2024), and the real-world cohorts that inform effectiveness estimates are drawn largely from European and North American specialist centres (Caronna et al., 2024; Überall et al., 2026). Whether effect sizes, adverse-effect profiles and pharmacogenetic determinants of response generalise across populations is therefore untested rather than established, and the single substantial pharmacogenetic study conducted outside these settings identified variants that had not been examined in the pivotal programmes (An et al., 2024).</w:t>
      </w:r>
    </w:p>
    <w:p w14:paraId="4925F2BA" w14:textId="77777777" w:rsidR="006F2D55" w:rsidRDefault="00000000">
      <w:pPr>
        <w:spacing w:after="160" w:line="360" w:lineRule="auto"/>
        <w:jc w:val="both"/>
      </w:pPr>
      <w:r>
        <w:t xml:space="preserve">Access is stratified within and between countries. A survey of 686 physicians across Southeast Asian and East Asian countries found that 70% reported an insufficient number of headache </w:t>
      </w:r>
      <w:r>
        <w:lastRenderedPageBreak/>
        <w:t>clinics, rising to 87.2% in lower-middle-income countries, that acute management relied predominantly on non-specific analgesics with opioids widely prescribed, and that although 77.1% regarded pathway-targeted prevention as effective, many considered that it should not yet be reimbursed given competing priorities (Rattanawong et al., 2026). Real-world data from Thailand demonstrate that these therapies can be used effectively in a middle-income setting when access exists, which indicates that the constraint is economic and organisational rather than clinical (Anukoolwittaya et al., 2024). Within high-income systems, socioeconomic position is associated with the class of migraine medication prescribed even within a single tertiary headache centre (Nandyala et al., 2025), and a broader appraisal of headache care identifies access and quality gaps that follow familiar gradients of income, geography and specialist availability (Raffaelli et al., 2023).</w:t>
      </w:r>
    </w:p>
    <w:p w14:paraId="4FDD9F83" w14:textId="77777777" w:rsidR="006F2D55" w:rsidRDefault="00000000">
      <w:pPr>
        <w:spacing w:after="160" w:line="360" w:lineRule="auto"/>
        <w:jc w:val="both"/>
      </w:pPr>
      <w:r>
        <w:t>Economic evaluation is inseparable from these questions and is unsettled. A United States societal-perspective model concluded that oral antagonists for episodic migraine prevention are cost-effective at conventional willingness-to-pay thresholds (Thaliffdeen et al., 2024), while the Irish managed-access experience demonstrates that restricting reimbursement to a refractory population produces high adherence and predictable expenditure (Smith et al., 2024). These conclusions are not in conflict, but they are anchored to price structures, thresholds and health-system architectures that do not transfer to settings where the annual cost of an antibody may exceed several months of median household income. Extrapolating cost-effectiveness across such settings is not defensible, and the near absence of economic evaluation from low- and middle-income countries is a gap that the field has not prioritised.</w:t>
      </w:r>
    </w:p>
    <w:p w14:paraId="043D4B8C" w14:textId="77777777" w:rsidR="006F2D55" w:rsidRDefault="00000000">
      <w:pPr>
        <w:spacing w:after="160" w:line="360" w:lineRule="auto"/>
        <w:jc w:val="both"/>
      </w:pPr>
      <w:r>
        <w:t>Two consequences follow for the interpretation of the wider evidence base. Estimates of comparative effectiveness derived from populations with reliable specialist access may not describe outcomes in systems where diagnosis is delayed by more than a year, as physicians in the regional survey perceived for 44.9% of patients. And the argument developed in Section 6, that early treatment produces better outcomes, has an uncomfortable corollary: if delayed access causally worsens response, then restrictive reimbursement criteria that require repeated failure before authorising treatment may be generating part of the refractoriness they are designed to identify. That proposition is plausible and consistent with the observational data but has not been tested experimentally, and it should not be presented as established.</w:t>
      </w:r>
    </w:p>
    <w:p w14:paraId="3E87DD00" w14:textId="77777777" w:rsidR="006F2D55" w:rsidRDefault="00000000">
      <w:pPr>
        <w:pStyle w:val="Heading1"/>
        <w:keepNext/>
        <w:spacing w:before="320" w:after="140" w:line="300" w:lineRule="auto"/>
      </w:pPr>
      <w:r>
        <w:rPr>
          <w:b/>
          <w:bCs/>
          <w:color w:val="000000"/>
          <w:sz w:val="26"/>
          <w:szCs w:val="26"/>
        </w:rPr>
        <w:lastRenderedPageBreak/>
        <w:t>10. Future Directions</w:t>
      </w:r>
    </w:p>
    <w:p w14:paraId="7D362A1B" w14:textId="77777777" w:rsidR="006F2D55" w:rsidRDefault="00000000">
      <w:pPr>
        <w:spacing w:after="160" w:line="360" w:lineRule="auto"/>
        <w:jc w:val="both"/>
      </w:pPr>
      <w:r>
        <w:t>The priorities that follow are ordered by the extent to which the current evidence obstructs clinical decisions rather than by scientific appeal, and immediate priorities are distinguished from longer-term programmes.</w:t>
      </w:r>
    </w:p>
    <w:p w14:paraId="21FA373C" w14:textId="77777777" w:rsidR="006F2D55" w:rsidRDefault="00000000">
      <w:pPr>
        <w:spacing w:after="160" w:line="360" w:lineRule="auto"/>
        <w:jc w:val="both"/>
      </w:pPr>
      <w:r>
        <w:t>The first immediate priority is stratification. Approximately half of treated patients do not respond, the clinical prediction models available discriminate at an area under the curve near 0.65 to 0.74, and the two most direct biological approaches, peripheral peptide measurement and experimental provocation, have both failed to identify responders (Al-Khazali et al., 2024; Karlsson et al., 2025; Karlsson et al., 2026; Romozzi et al., 2025). The obstacle is that existing candidate markers index either the systemic disposition of the peptide or the clinical severity of the disorder, neither of which is the quantity of interest. What is required is a marker of the degree to which an individual's attacks depend on this pathway. The appropriate design is a prospective multicentre cohort of treatment-naive patients in whom quantitative sensory testing of central sensitisation, structural and functional imaging, and multi-analyte plasma and salivary panels are collected before treatment and related to prospectively defined response at six and twelve months, with prespecified internal and external validation and reporting of calibration as well as discrimination. Samples in the low thousands rather than the low hundreds will be needed, which argues for coordinated registry-embedded collection rather than single-centre studies.</w:t>
      </w:r>
    </w:p>
    <w:p w14:paraId="1725C228" w14:textId="77777777" w:rsidR="006F2D55" w:rsidRDefault="00000000">
      <w:pPr>
        <w:spacing w:after="160" w:line="360" w:lineRule="auto"/>
        <w:jc w:val="both"/>
      </w:pPr>
      <w:r>
        <w:t>The second immediate priority is randomised evidence on discontinuation. Current practice in several health systems mandates treatment interruption after twelve months, observational data show deterioration during pauses that is recovered on re-treatment, and no randomised withdrawal trial has been conducted (Barbanti et al., 2024b; Makita et al., 2026). A randomised discontinuation design in patients who have sustained a response for at least twelve months, comparing continuation with withdrawal and with a tapered reduction, using prespecified relapse criteria and observation extending well beyond the elimination half-life of the agent, would resolve simultaneously whether disease modification occurs, whether mandated holidays are safe and whether tapering mitigates relapse. The outcome would immediately alter reimbursement policy in multiple jurisdictions, which is a rare property in migraine research.</w:t>
      </w:r>
    </w:p>
    <w:p w14:paraId="1E962557" w14:textId="15BDC3B3" w:rsidR="006F2D55" w:rsidRDefault="00000000">
      <w:pPr>
        <w:spacing w:after="160" w:line="360" w:lineRule="auto"/>
        <w:jc w:val="both"/>
      </w:pPr>
      <w:r>
        <w:t xml:space="preserve">The third immediate priority is pragmatic comparison. One head-to-head trial against an oral preventive agent exists, its primary endpoint was tolerability, and formal certainty assessment has repeatedly identified the absence of direct comparative evidence as the reason for </w:t>
      </w:r>
      <w:r>
        <w:lastRenderedPageBreak/>
        <w:t>conditional recommendations (Damen et al., 2025; Qaseem et al., 2025; Reuter et al., 2022). Pragmatic, publicly funded, active-comparator trials enrolling unselected patients in primary and secondary care, with treatment persistence at twelve months and patient-reported disability as coprimary endpoints, would address the question that guideline panels actually face. Sequencing trials are equally needed: randomised comparison of switching antibody, switching to an oral antagonist and adding onabotulinumtoxinA after a first failure would replace the current reliance on single-arm observational cohorts (Argyriou et al., 2022; Jaimes et al., 2023; Muñoz-Vendrell et al., 202</w:t>
      </w:r>
      <w:r w:rsidR="00F477EC">
        <w:t>6</w:t>
      </w:r>
      <w:r>
        <w:t>; Talbot et al., 2025).</w:t>
      </w:r>
    </w:p>
    <w:p w14:paraId="012345EA" w14:textId="77777777" w:rsidR="006F2D55" w:rsidRDefault="00000000">
      <w:pPr>
        <w:spacing w:after="160" w:line="360" w:lineRule="auto"/>
        <w:jc w:val="both"/>
      </w:pPr>
      <w:r>
        <w:t>A fourth priority concerns populations that the evidence base has excluded. No adequately powered efficacy trial exists in children or adolescents, where only pharmacokinetic and tolerability data have been reported and where high placebo responsiveness makes extrapolation from adults unsafe (Hershey et al., 2024; Lim et al., 2026); paediatric trials will require enrichment designs, longer placebo run-in periods and endpoints appropriate to school-age functioning. Pregnancy evidence rests on spontaneous reporting and a small case series in a disorder that predominantly affects women of reproductive age, and the appropriate remedy is a prospective international pregnancy exposure registry with defined denominators and structured outcome ascertainment rather than further retrospective series (Elosua-Bayes et al., 2024; Noseda et al., 2023). Cardiovascular safety in patients with established vascular disease requires purpose-designed active-comparator cohort studies with adequate follow-up, since existing analyses, although reassuring, retain confidence intervals compatible with a modest increase in rare events (Dodick et al., 2025; Yang et al., 2025).</w:t>
      </w:r>
    </w:p>
    <w:p w14:paraId="413DC42D" w14:textId="77777777" w:rsidR="006F2D55" w:rsidRDefault="00000000">
      <w:pPr>
        <w:spacing w:after="160" w:line="360" w:lineRule="auto"/>
        <w:jc w:val="both"/>
      </w:pPr>
      <w:r>
        <w:t xml:space="preserve">A fifth priority is the extension of the mechanistic paradigm to a second neuropeptide, which is the clearest test of whether the logic that produced this class generalises. A phase 2 trial of a humanised antibody directed against pituitary adenylate cyclase-activating polypeptide in 237 participants with two to four previous preventive failures reduced monthly migraine days by 6.2 days against 4.2 days with placebo from a baseline of 16.7 days, a difference of 2.0 days (Ashina et al., 2024). A second antibody against the same target failed to separate from placebo in a much smaller phase 2 study of 38 participants with treatment-resistant migraine, although the numerical difference in the chronic migraine subgroup resembled that of the positive trial, which suggests that the negative result reflects power rather than target failure (Johnson et al., 2025). Preclinical and translational work indicates that the two peptides act through partly independent routes and that responders to one may not respond to the other (Della Pietra et al., 2025). The decisive study is therefore not another placebo-controlled trial but one that enrols </w:t>
      </w:r>
      <w:r>
        <w:lastRenderedPageBreak/>
        <w:t>patients characterised by their response to blockade of the first pathway, and that tests whether blockade of the second rescues the non-responders. Adequately powered phase 3 evaluation with prespecified subgroup definitions is the longer-term requirement.</w:t>
      </w:r>
    </w:p>
    <w:p w14:paraId="799BC597" w14:textId="77777777" w:rsidR="006F2D55" w:rsidRDefault="00000000">
      <w:pPr>
        <w:spacing w:after="160" w:line="360" w:lineRule="auto"/>
        <w:jc w:val="both"/>
      </w:pPr>
      <w:r>
        <w:t>A sixth priority concerns outcomes and their measurement. The International Headache Society has argued that frequency-based endpoints inherited from an era of low expectations understate what contemporary prevention should achieve and has proposed more demanding standards centred on sustained high response and freedom from disability (Sacco et al., 2025). Adopting such endpoints in future trials would reduce apparent efficacy while improving clinical interpretability, and would also expose treatment-refractory windows, such as the perimenstrual period, that monthly aggregate counts conceal (Mas-de-les-Valls et al., 2025). Definitions of resistant and refractory disease should in parallel move from counts of failed drug classes towards biologically or phenotypically anchored criteria, since current definitions describe treatment history rather than mechanism and import heterogeneity into every trial that uses them (Robblee et al., 2025; Sacco et al., 2020).</w:t>
      </w:r>
    </w:p>
    <w:p w14:paraId="67F835F4" w14:textId="77777777" w:rsidR="006F2D55" w:rsidRDefault="00000000">
      <w:pPr>
        <w:spacing w:after="160" w:line="360" w:lineRule="auto"/>
        <w:jc w:val="both"/>
      </w:pPr>
      <w:r>
        <w:t>The final priority is geographical. Effectiveness, safety, pharmacogenetic determinants of response and economic value have been characterised almost entirely in high-income, predominantly White populations, while the greater part of the global migraine burden falls elsewhere (GBD 2023 Headache Collaborators, 2025; Steiner &amp; Stovner, 2023). Registry-based effectiveness and safety studies embedded in middle-income health systems, of the kind already demonstrated to be feasible (Anukoolwittaya et al., 2024), together with economic evaluation conducted at locally relevant prices and thresholds, are needed before global recommendations can be made responsibly. Health-system research on diagnostic delay and specialist availability belongs in the same programme, because in most of the world the binding constraint on benefit is not the efficacy of the medicine but the probability of receiving a correct diagnosis (Rattanawong et al., 2026).</w:t>
      </w:r>
    </w:p>
    <w:p w14:paraId="383AB479" w14:textId="77777777" w:rsidR="006F2D55" w:rsidRDefault="00000000">
      <w:pPr>
        <w:pStyle w:val="Heading1"/>
        <w:keepNext/>
        <w:spacing w:before="320" w:after="140" w:line="300" w:lineRule="auto"/>
      </w:pPr>
      <w:r>
        <w:rPr>
          <w:b/>
          <w:bCs/>
          <w:color w:val="000000"/>
          <w:sz w:val="26"/>
          <w:szCs w:val="26"/>
        </w:rPr>
        <w:t>11. Conclusions</w:t>
      </w:r>
    </w:p>
    <w:p w14:paraId="3F2A4FD6" w14:textId="77777777" w:rsidR="006F2D55" w:rsidRDefault="00000000">
      <w:pPr>
        <w:spacing w:after="160" w:line="360" w:lineRule="auto"/>
        <w:jc w:val="both"/>
      </w:pPr>
      <w:r>
        <w:t xml:space="preserve">Therapies directed at calcitonin gene-related peptide and its receptor constitute the first preventive class for migraine derived from disease-specific biology, and the case that the pathway participates causally in attack generation is stronger than that assembled for any earlier target. Association in the cranial circulation, provocation by controlled infusion and interruption by pharmacological blockade converge, and the therapeutic consequences of that </w:t>
      </w:r>
      <w:r>
        <w:lastRenderedPageBreak/>
        <w:t>convergence are reproducible across four antibodies and four small molecules developed by independent programmes. This much can be stated with high confidence.</w:t>
      </w:r>
    </w:p>
    <w:p w14:paraId="5545A254" w14:textId="77777777" w:rsidR="006F2D55" w:rsidRDefault="00000000">
      <w:pPr>
        <w:spacing w:after="160" w:line="360" w:lineRule="auto"/>
        <w:jc w:val="both"/>
      </w:pPr>
      <w:r>
        <w:t>The clinical magnitude of the benefit is more modest than the mechanistic narrative implies. Placebo-adjusted reductions of one to three monthly migraine days in unselected populations coexist with responder rates near half, and both descriptions are correct because the response distribution is bimodal. The advantage over established oral preventive drugs rests most securely on tolerability, on treatment persistence and on speed of onset rather than on average efficacy, and the evidence supporting that reading includes one active-controlled trial in which tolerability was the primary endpoint, several network meta-analyses reaching consistent conclusions about discontinuation, and registry data showing persistence differences of a magnitude that confounding is unlikely to explain. Trials conducted in patients with previous preventive failure show larger placebo-adjusted differences than trials in unselected populations, which indicates that the conventional estimates understate incremental benefit in precisely the group to whom access is most often restricted.</w:t>
      </w:r>
    </w:p>
    <w:p w14:paraId="6B714555" w14:textId="77777777" w:rsidR="006F2D55" w:rsidRDefault="00000000">
      <w:pPr>
        <w:spacing w:after="160" w:line="360" w:lineRule="auto"/>
        <w:jc w:val="both"/>
      </w:pPr>
      <w:r>
        <w:t>Confidence falls sharply outside these domains. Peripheral peptide concentrations have not behaved as a reliable marker of disease or of treatment effect, and the two largest relevant studies point in opposite directions; the most direct provocation-based prediction strategy has failed outright. Clinical prediction models discriminate too weakly to guide individual decisions and appear to be capturing prognosis rather than pathway dependence. Whether these drugs modify the disorder or suppress its expression cannot be determined from the available uncontrolled discontinuation data, and the practice of mandated treatment interruption rests on reimbursement logic rather than on evidence. Long-term safety is reassuring within the durations studied but is derived almost entirely from self-selected extension cohorts without concurrent controls, and the populations in whom the principal mechanistic concern applies were excluded from the trials that would have tested it.</w:t>
      </w:r>
    </w:p>
    <w:p w14:paraId="737DBF64" w14:textId="77777777" w:rsidR="006F2D55" w:rsidRDefault="00000000">
      <w:pPr>
        <w:spacing w:after="160" w:line="360" w:lineRule="auto"/>
        <w:jc w:val="both"/>
      </w:pPr>
      <w:r>
        <w:t xml:space="preserve">Three structural features of the evidence base deserve emphasis because they shape everything built upon it. The literature is overwhelmingly industry-sponsored, which affects the questions asked as much as the answers obtained: comparative effectiveness, sequencing, discontinuation and de-prescribing are precisely the questions no manufacturer has an incentive to fund. Trial populations are narrow in ethnicity, geography and comorbidity. Endpoints have remained anchored to a frequency-counting convention that predates the therapies being measured. Each </w:t>
      </w:r>
      <w:r>
        <w:lastRenderedPageBreak/>
        <w:t>of these is remediable by publicly funded, registry-embedded, pragmatic research, and none is remediable by further placebo-controlled registration trials.</w:t>
      </w:r>
    </w:p>
    <w:p w14:paraId="3A2466B9" w14:textId="77777777" w:rsidR="006F2D55" w:rsidRDefault="00000000">
      <w:pPr>
        <w:spacing w:after="160" w:line="360" w:lineRule="auto"/>
        <w:jc w:val="both"/>
      </w:pPr>
      <w:r>
        <w:t>For practice, the defensible position is that these agents should be available early to patients with substantial migraine-related disability, that the decision should be framed around tolerability and the likelihood of sustained use rather than around expected average efficacy, that response should be assessed over at least six months rather than three because late response is well documented, and that treatment interruption should not be imposed in the absence of evidence that it is safe. For science, the field has reached the point at which further demonstrations that the class works are of diminishing value, and the unanswered questions concern for whom it works, for how long it should be given, what should follow when it fails, and who in the world will ever receive it.</w:t>
      </w:r>
    </w:p>
    <w:p w14:paraId="2185A9BD" w14:textId="77777777" w:rsidR="006F2D55" w:rsidRDefault="00000000">
      <w:pPr>
        <w:pStyle w:val="Heading1"/>
        <w:keepNext/>
        <w:spacing w:before="320" w:after="140" w:line="300" w:lineRule="auto"/>
      </w:pPr>
      <w:r>
        <w:rPr>
          <w:b/>
          <w:bCs/>
          <w:color w:val="000000"/>
          <w:sz w:val="26"/>
          <w:szCs w:val="26"/>
        </w:rPr>
        <w:t>12. Limitations</w:t>
      </w:r>
    </w:p>
    <w:p w14:paraId="1FCD8C08" w14:textId="77777777" w:rsidR="006F2D55" w:rsidRDefault="00000000">
      <w:pPr>
        <w:spacing w:after="160" w:line="360" w:lineRule="auto"/>
        <w:jc w:val="both"/>
      </w:pPr>
      <w:r>
        <w:t>This review is a narrative synthesis and carries the limitations intrinsic to that design. Study selection was purposive rather than exhaustive, screening was not conducted in duplicate, and no protocol was registered in advance, so selection and interpretive bias cannot be excluded despite a specified search strategy, prospectively applied eligibility criteria and verification of every cited source. Judgements about the relative weight of conflicting findings reflect the reasoning set out in the text and could reasonably differ among reviewers examining the same literature.</w:t>
      </w:r>
    </w:p>
    <w:p w14:paraId="2B81D69D" w14:textId="77777777" w:rsidR="006F2D55" w:rsidRDefault="00000000">
      <w:pPr>
        <w:spacing w:after="160" w:line="360" w:lineRule="auto"/>
        <w:jc w:val="both"/>
      </w:pPr>
      <w:r>
        <w:t>Searching was restricted to sources that were genuinely accessible during the preparation of this review, and no subscription-only citation index was searched. Literature indexed exclusively in such databases, and literature published in journals not covered by the sources used, may therefore have been missed. Only publications in English were included, which risks under-representation of research from non-anglophone settings and compounds the geographical narrowness already present in the field. Grey literature, conference abstracts without full publication, and regulatory submission documents were not systematically examined, and unpublished negative findings are consequently under-represented.</w:t>
      </w:r>
    </w:p>
    <w:p w14:paraId="2F13185B" w14:textId="77777777" w:rsidR="006F2D55" w:rsidRDefault="00000000">
      <w:pPr>
        <w:spacing w:after="160" w:line="360" w:lineRule="auto"/>
        <w:jc w:val="both"/>
      </w:pPr>
      <w:r>
        <w:t xml:space="preserve">No quantitative synthesis was performed. The evidence considered spans experimental provocation studies, registration trials, registry cohorts, claims analyses and pharmacovigilance reports, and these differ so substantially in design, population, outcome definition and duration that pooling would have produced a spurious impression of precision. Where quantitative </w:t>
      </w:r>
      <w:r>
        <w:lastRenderedPageBreak/>
        <w:t>estimates are cited, they are taken from the individual studies or from published syntheses and inherit whatever limitations attach to those sources, including the predominantly indirect nature of the comparisons in the network meta-analyses discussed.</w:t>
      </w:r>
    </w:p>
    <w:p w14:paraId="0A9A344D" w14:textId="77777777" w:rsidR="006F2D55" w:rsidRDefault="00000000">
      <w:pPr>
        <w:spacing w:after="160" w:line="360" w:lineRule="auto"/>
        <w:jc w:val="both"/>
      </w:pPr>
      <w:r>
        <w:t>The evidence base itself imposes further constraints on what any review of this subject can conclude. Trial populations were narrow in ethnicity, geography and comorbidity, and were selected to exclude the vascular disease most relevant to the principal safety hypothesis. Long-term data derive predominantly from open-label extensions with self-selected continuing participants and no concurrent controls. Observational effectiveness and persistence data are vulnerable to confounding by indication and to channelling of motivated patients towards newer treatments. Randomised evidence in children and adolescents, in pregnancy and in patients with established cardiovascular disease is absent rather than merely limited, so statements about those groups are necessarily inferential. Outcome heterogeneity, with monthly migraine days, monthly headache days and headache days of at least moderate severity used across different trials, restricts direct comparison between programmes. The field is also developing rapidly, and evidence published after the final search date could not be considered.</w:t>
      </w:r>
    </w:p>
    <w:p w14:paraId="58D52E43" w14:textId="77777777" w:rsidR="00295105" w:rsidRDefault="00295105">
      <w:pPr>
        <w:spacing w:after="160" w:line="360" w:lineRule="auto"/>
        <w:jc w:val="both"/>
      </w:pPr>
    </w:p>
    <w:p w14:paraId="055C9457" w14:textId="77777777" w:rsidR="00295105" w:rsidRPr="00295105" w:rsidRDefault="00295105" w:rsidP="00295105">
      <w:pPr>
        <w:rPr>
          <w:rFonts w:ascii="Arial" w:eastAsia="Calibri" w:hAnsi="Arial" w:cs="Arial"/>
          <w:b/>
          <w:sz w:val="20"/>
          <w:szCs w:val="20"/>
        </w:rPr>
      </w:pPr>
      <w:r w:rsidRPr="00295105">
        <w:rPr>
          <w:rFonts w:ascii="Arial" w:eastAsia="Calibri" w:hAnsi="Arial" w:cs="Arial"/>
          <w:b/>
          <w:sz w:val="20"/>
          <w:szCs w:val="20"/>
        </w:rPr>
        <w:t>Declaration of AI Use</w:t>
      </w:r>
    </w:p>
    <w:p w14:paraId="4BB37278" w14:textId="77777777" w:rsidR="00295105" w:rsidRPr="00295105" w:rsidRDefault="00295105" w:rsidP="00295105">
      <w:pPr>
        <w:rPr>
          <w:rFonts w:ascii="Arial" w:eastAsia="Calibri" w:hAnsi="Arial" w:cs="Arial"/>
          <w:sz w:val="20"/>
          <w:szCs w:val="20"/>
        </w:rPr>
      </w:pPr>
    </w:p>
    <w:p w14:paraId="3E3B4D85" w14:textId="77777777" w:rsidR="00295105" w:rsidRPr="00295105" w:rsidRDefault="00295105" w:rsidP="00295105">
      <w:pPr>
        <w:rPr>
          <w:rFonts w:ascii="Arial" w:eastAsia="Calibri" w:hAnsi="Arial" w:cs="Arial"/>
          <w:sz w:val="20"/>
          <w:szCs w:val="20"/>
        </w:rPr>
      </w:pPr>
      <w:r w:rsidRPr="00295105">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19BEB0" w14:textId="77777777" w:rsidR="00295105" w:rsidRPr="00295105" w:rsidRDefault="00295105" w:rsidP="00295105">
      <w:pPr>
        <w:jc w:val="both"/>
        <w:rPr>
          <w:rFonts w:eastAsia="Calibri"/>
          <w:sz w:val="22"/>
          <w:szCs w:val="22"/>
        </w:rPr>
      </w:pPr>
    </w:p>
    <w:p w14:paraId="6AB51178" w14:textId="77777777" w:rsidR="00295105" w:rsidRPr="00295105" w:rsidRDefault="00295105" w:rsidP="00295105">
      <w:pPr>
        <w:jc w:val="both"/>
        <w:rPr>
          <w:rFonts w:eastAsia="Calibri"/>
          <w:sz w:val="22"/>
          <w:szCs w:val="22"/>
        </w:rPr>
      </w:pPr>
    </w:p>
    <w:p w14:paraId="3F6C16E3" w14:textId="77777777" w:rsidR="00295105" w:rsidRPr="00295105" w:rsidRDefault="00295105" w:rsidP="00295105">
      <w:pPr>
        <w:spacing w:after="200" w:line="276" w:lineRule="auto"/>
        <w:rPr>
          <w:rFonts w:ascii="Cambria" w:hAnsi="Cambria" w:cs="Arial"/>
          <w:b/>
          <w:bCs/>
          <w:sz w:val="22"/>
          <w:szCs w:val="22"/>
          <w:lang w:val="en-GB" w:eastAsia="en-GB"/>
        </w:rPr>
      </w:pPr>
      <w:r w:rsidRPr="00295105">
        <w:rPr>
          <w:rFonts w:ascii="Cambria" w:hAnsi="Cambria" w:cs="Arial"/>
          <w:b/>
          <w:bCs/>
          <w:sz w:val="22"/>
          <w:szCs w:val="22"/>
          <w:lang w:val="en-GB" w:eastAsia="en-GB"/>
        </w:rPr>
        <w:t>COMPETING INTERESTS DISCLAIMER:</w:t>
      </w:r>
    </w:p>
    <w:p w14:paraId="30B6EAB1" w14:textId="77777777" w:rsidR="00295105" w:rsidRPr="00295105" w:rsidRDefault="00295105" w:rsidP="00295105">
      <w:pPr>
        <w:spacing w:after="200" w:line="276" w:lineRule="auto"/>
        <w:rPr>
          <w:rFonts w:ascii="Cambria" w:hAnsi="Cambria"/>
          <w:sz w:val="22"/>
          <w:szCs w:val="22"/>
          <w:lang w:val="en-GB" w:eastAsia="en-GB"/>
        </w:rPr>
      </w:pPr>
      <w:r w:rsidRPr="00295105">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7456552D" w14:textId="77777777" w:rsidR="00295105" w:rsidRDefault="00295105">
      <w:pPr>
        <w:spacing w:after="160" w:line="360" w:lineRule="auto"/>
        <w:jc w:val="both"/>
      </w:pPr>
    </w:p>
    <w:p w14:paraId="2F0E8720" w14:textId="77777777" w:rsidR="006F2D55" w:rsidRDefault="00000000">
      <w:pPr>
        <w:pStyle w:val="Heading1"/>
        <w:keepNext/>
        <w:spacing w:before="320" w:after="140" w:line="300" w:lineRule="auto"/>
      </w:pPr>
      <w:r>
        <w:rPr>
          <w:b/>
          <w:bCs/>
          <w:color w:val="000000"/>
          <w:sz w:val="26"/>
          <w:szCs w:val="26"/>
        </w:rPr>
        <w:t>References</w:t>
      </w:r>
    </w:p>
    <w:p w14:paraId="196833CF" w14:textId="77777777" w:rsidR="00F477EC" w:rsidRPr="00F477EC" w:rsidRDefault="00F477EC" w:rsidP="00F477EC">
      <w:pPr>
        <w:spacing w:before="100" w:beforeAutospacing="1" w:after="100" w:afterAutospacing="1"/>
        <w:ind w:left="540" w:hanging="540"/>
        <w:jc w:val="both"/>
      </w:pPr>
      <w:r w:rsidRPr="00F477EC">
        <w:t xml:space="preserve">Ailani, J., Kaiser, E. A., Mathew, P. G., McAllister, P., Russo, A. F., Vélez, C., Ramajo, A. P., Abdrabboh, A., Xu, C., Rasmussen, S., &amp; Tepper, S. J. (2022). Role of calcitonin gene-related peptide on the gastrointestinal symptoms of migraine—Clinical considerations: A narrative review. </w:t>
      </w:r>
      <w:r w:rsidRPr="00F477EC">
        <w:rPr>
          <w:i/>
          <w:iCs/>
        </w:rPr>
        <w:t>Neurology, 99</w:t>
      </w:r>
      <w:r w:rsidRPr="00F477EC">
        <w:t>(19), 841–853. https://doi.org/10.1212/WNL.0000000000201332</w:t>
      </w:r>
    </w:p>
    <w:p w14:paraId="4D9844B2" w14:textId="77777777" w:rsidR="00F477EC" w:rsidRPr="00F477EC" w:rsidRDefault="00F477EC" w:rsidP="00F477EC">
      <w:pPr>
        <w:spacing w:before="100" w:beforeAutospacing="1" w:after="100" w:afterAutospacing="1"/>
        <w:ind w:left="540" w:hanging="540"/>
        <w:jc w:val="both"/>
        <w:rPr>
          <w:lang w:val="nl-BE"/>
        </w:rPr>
      </w:pPr>
      <w:r w:rsidRPr="00F477EC">
        <w:lastRenderedPageBreak/>
        <w:t xml:space="preserve">Ailani, J., Lipton, R. B., Goadsby, P. J., Guo, H., Miceli, R., Severt, L., Finnegan, M., &amp; Trugman, J. M. (2021). Atogepant for the preventive treatment of migraine. </w:t>
      </w:r>
      <w:r w:rsidRPr="00F477EC">
        <w:rPr>
          <w:i/>
          <w:iCs/>
        </w:rPr>
        <w:t>New England Journal of Medicine, 385</w:t>
      </w:r>
      <w:r w:rsidRPr="00F477EC">
        <w:t xml:space="preserve">(8), 695–706. </w:t>
      </w:r>
      <w:hyperlink r:id="rId7" w:tgtFrame="_new" w:history="1">
        <w:r w:rsidRPr="00F477EC">
          <w:rPr>
            <w:color w:val="0000FF"/>
            <w:u w:val="single"/>
            <w:lang w:val="nl-BE"/>
          </w:rPr>
          <w:t>https://doi.org/10.1056/NEJMoa2035908</w:t>
        </w:r>
      </w:hyperlink>
    </w:p>
    <w:p w14:paraId="659038DA" w14:textId="77777777" w:rsidR="00F477EC" w:rsidRPr="00F477EC" w:rsidRDefault="00F477EC" w:rsidP="00F477EC">
      <w:pPr>
        <w:spacing w:before="100" w:beforeAutospacing="1" w:after="100" w:afterAutospacing="1"/>
        <w:ind w:left="540" w:hanging="540"/>
        <w:jc w:val="both"/>
      </w:pPr>
      <w:r w:rsidRPr="00F477EC">
        <w:rPr>
          <w:lang w:val="nl-BE"/>
        </w:rPr>
        <w:t xml:space="preserve">Al-Hassany, L., Goadsby, P. J., Danser, A. H. J., &amp; MaassenVanDenBrink, A. (2022). </w:t>
      </w:r>
      <w:r w:rsidRPr="00F477EC">
        <w:t xml:space="preserve">Calcitonin gene-related peptide-targeting drugs for migraine: How pharmacology might inform treatment decisions. </w:t>
      </w:r>
      <w:r w:rsidRPr="00F477EC">
        <w:rPr>
          <w:i/>
          <w:iCs/>
        </w:rPr>
        <w:t>The Lancet Neurology, 21</w:t>
      </w:r>
      <w:r w:rsidRPr="00F477EC">
        <w:t>(3), 284–294. https://doi.org/10.1016/S1474-4422(21)00409-9</w:t>
      </w:r>
    </w:p>
    <w:p w14:paraId="68E1FB61" w14:textId="77777777" w:rsidR="00F477EC" w:rsidRPr="00F477EC" w:rsidRDefault="00F477EC" w:rsidP="00F477EC">
      <w:pPr>
        <w:spacing w:before="100" w:beforeAutospacing="1" w:after="100" w:afterAutospacing="1"/>
        <w:ind w:left="540" w:hanging="540"/>
        <w:jc w:val="both"/>
      </w:pPr>
      <w:r w:rsidRPr="00F477EC">
        <w:t xml:space="preserve">Al-Khazali, H. M., Ashina, H., Christensen, R. H., Wiggers, A., Rose, K., Iljazi, A., Amin, F. M., Ashina, M., Snellman, J., Maio-Twofoot, T., &amp; Schytz, H. W. (2024). Hypersensitivity to CGRP as a predictive biomarker of migraine prevention with erenumab. </w:t>
      </w:r>
      <w:r w:rsidRPr="00F477EC">
        <w:rPr>
          <w:i/>
          <w:iCs/>
        </w:rPr>
        <w:t>Cephalalgia, 44</w:t>
      </w:r>
      <w:r w:rsidRPr="00F477EC">
        <w:t>(6), 3331024241258734. https://doi.org/10.1177/03331024241258734</w:t>
      </w:r>
    </w:p>
    <w:p w14:paraId="40759F91" w14:textId="77777777" w:rsidR="00F477EC" w:rsidRPr="00F477EC" w:rsidRDefault="00F477EC" w:rsidP="00F477EC">
      <w:pPr>
        <w:spacing w:before="100" w:beforeAutospacing="1" w:after="100" w:afterAutospacing="1"/>
        <w:ind w:left="540" w:hanging="540"/>
        <w:jc w:val="both"/>
      </w:pPr>
      <w:r w:rsidRPr="00F477EC">
        <w:t xml:space="preserve">Amara, S. G., Jonas, V., Rosenfeld, M. G., Ong, E. S., &amp; Evans, R. M. (1982). Alternative RNA processing in calcitonin gene expression generates mRNAs encoding different polypeptide products. </w:t>
      </w:r>
      <w:r w:rsidRPr="00F477EC">
        <w:rPr>
          <w:i/>
          <w:iCs/>
        </w:rPr>
        <w:t>Nature, 298</w:t>
      </w:r>
      <w:r w:rsidRPr="00F477EC">
        <w:t>(5871), 240–244. https://doi.org/10.1038/298240a0</w:t>
      </w:r>
    </w:p>
    <w:p w14:paraId="7B7743A8" w14:textId="77777777" w:rsidR="00F477EC" w:rsidRPr="00F477EC" w:rsidRDefault="00F477EC" w:rsidP="00F477EC">
      <w:pPr>
        <w:spacing w:before="100" w:beforeAutospacing="1" w:after="100" w:afterAutospacing="1"/>
        <w:ind w:left="540" w:hanging="540"/>
        <w:jc w:val="both"/>
      </w:pPr>
      <w:r w:rsidRPr="00F477EC">
        <w:t xml:space="preserve">An, Y.-C., Hung, K.-S., Liang, C.-S., Tsai, C.-K., Tsai, C.-L., Chen, S.-J., Lin, Y.-K., Lin, G.-Y., Yeh, P.-K., &amp; Yang, F.-C. (2024). Genetic variants associated with response to anti-CGRP monoclonal antibody therapy in a chronic migraine Han Chinese population. </w:t>
      </w:r>
      <w:r w:rsidRPr="00F477EC">
        <w:rPr>
          <w:i/>
          <w:iCs/>
        </w:rPr>
        <w:t>The Journal of Headache and Pain, 25</w:t>
      </w:r>
      <w:r w:rsidRPr="00F477EC">
        <w:t>(1), 149. https://doi.org/10.1186/s10194-024-01850-y</w:t>
      </w:r>
    </w:p>
    <w:p w14:paraId="296B76E6" w14:textId="77777777" w:rsidR="00F477EC" w:rsidRPr="00F477EC" w:rsidRDefault="00F477EC" w:rsidP="00F477EC">
      <w:pPr>
        <w:spacing w:before="100" w:beforeAutospacing="1" w:after="100" w:afterAutospacing="1"/>
        <w:ind w:left="540" w:hanging="540"/>
        <w:jc w:val="both"/>
      </w:pPr>
      <w:r w:rsidRPr="00F477EC">
        <w:t xml:space="preserve">Anukoolwittaya, P., Hiransuthikul, A., Pongpitakmetha, T., Thanprasertsuk, S., &amp; Rattanawong, W. (2024). Filling the data gap on CGRP mAb therapy in low- to middle-income countries in Southeast Asia: Insights from a real-world study in Thailand. </w:t>
      </w:r>
      <w:r w:rsidRPr="00F477EC">
        <w:rPr>
          <w:i/>
          <w:iCs/>
        </w:rPr>
        <w:t>The Journal of Headache and Pain, 25</w:t>
      </w:r>
      <w:r w:rsidRPr="00F477EC">
        <w:t>(1), 150. https://doi.org/10.1186/s10194-024-01859-3</w:t>
      </w:r>
    </w:p>
    <w:p w14:paraId="1ABD1A91" w14:textId="77777777" w:rsidR="00F477EC" w:rsidRPr="00F477EC" w:rsidRDefault="00F477EC" w:rsidP="00F477EC">
      <w:pPr>
        <w:spacing w:before="100" w:beforeAutospacing="1" w:after="100" w:afterAutospacing="1"/>
        <w:ind w:left="540" w:hanging="540"/>
        <w:jc w:val="both"/>
      </w:pPr>
      <w:r w:rsidRPr="00F477EC">
        <w:rPr>
          <w:lang w:val="nl-BE"/>
        </w:rPr>
        <w:t xml:space="preserve">Argyriou, A. A., Dermitzakis, E. V., Xiromerisiou, G., &amp; Vikelis, M. (2022). </w:t>
      </w:r>
      <w:r w:rsidRPr="00F477EC">
        <w:t xml:space="preserve">OnabotulinumtoxinA add-on to monoclonal anti-CGRP antibodies in treatment-refractory chronic migraine. </w:t>
      </w:r>
      <w:r w:rsidRPr="00F477EC">
        <w:rPr>
          <w:i/>
          <w:iCs/>
        </w:rPr>
        <w:t>Toxins, 14</w:t>
      </w:r>
      <w:r w:rsidRPr="00F477EC">
        <w:t>(12), 847. https://doi.org/10.3390/toxins14120847</w:t>
      </w:r>
    </w:p>
    <w:p w14:paraId="63B0EB50" w14:textId="77777777" w:rsidR="00F477EC" w:rsidRPr="00F477EC" w:rsidRDefault="00F477EC" w:rsidP="00F477EC">
      <w:pPr>
        <w:spacing w:before="100" w:beforeAutospacing="1" w:after="100" w:afterAutospacing="1"/>
        <w:ind w:left="540" w:hanging="540"/>
        <w:jc w:val="both"/>
      </w:pPr>
      <w:r w:rsidRPr="00F477EC">
        <w:t xml:space="preserve">Ashina, M. (2020). Migraine. </w:t>
      </w:r>
      <w:r w:rsidRPr="00F477EC">
        <w:rPr>
          <w:i/>
          <w:iCs/>
        </w:rPr>
        <w:t>New England Journal of Medicine, 383</w:t>
      </w:r>
      <w:r w:rsidRPr="00F477EC">
        <w:t xml:space="preserve">(19), 1866–1876. </w:t>
      </w:r>
      <w:hyperlink r:id="rId8" w:tgtFrame="_new" w:history="1">
        <w:r w:rsidRPr="00F477EC">
          <w:rPr>
            <w:color w:val="0000FF"/>
            <w:u w:val="single"/>
          </w:rPr>
          <w:t>https://doi.org/10.1056/NEJMra1915327</w:t>
        </w:r>
      </w:hyperlink>
    </w:p>
    <w:p w14:paraId="15405693" w14:textId="77777777" w:rsidR="00F477EC" w:rsidRPr="00F477EC" w:rsidRDefault="00F477EC" w:rsidP="00F477EC">
      <w:pPr>
        <w:spacing w:before="100" w:beforeAutospacing="1" w:after="100" w:afterAutospacing="1"/>
        <w:ind w:left="540" w:hanging="540"/>
        <w:jc w:val="both"/>
      </w:pPr>
      <w:r w:rsidRPr="00F477EC">
        <w:t xml:space="preserve">Ashina, M., Goadsby, P. J., Reuter, U., Silberstein, S., Dodick, D., Rippon, G. A., Klatt, J., Xue, F., Chia, V., Zhang, F., Cheng, S., &amp; Mikol, D. D. (2019). Long-term safety and tolerability of erenumab: Three-plus year results from a five-year open-label extension study in episodic migraine. </w:t>
      </w:r>
      <w:r w:rsidRPr="00F477EC">
        <w:rPr>
          <w:i/>
          <w:iCs/>
        </w:rPr>
        <w:t>Cephalalgia, 39</w:t>
      </w:r>
      <w:r w:rsidRPr="00F477EC">
        <w:t>(11), 1455–1464. https://doi.org/10.1177/0333102419854082</w:t>
      </w:r>
    </w:p>
    <w:p w14:paraId="6045F834" w14:textId="77777777" w:rsidR="00F477EC" w:rsidRPr="00F477EC" w:rsidRDefault="00F477EC" w:rsidP="00F477EC">
      <w:pPr>
        <w:spacing w:before="100" w:beforeAutospacing="1" w:after="100" w:afterAutospacing="1"/>
        <w:ind w:left="540" w:hanging="540"/>
        <w:jc w:val="both"/>
      </w:pPr>
      <w:r w:rsidRPr="00F477EC">
        <w:t xml:space="preserve">Ashina, M., Katsarava, Z., Do, T. P., Buse, D. C., Pozo-Rosich, P., Özge, A., Krymchantowski, A. V., Lebedeva, E. R., Ravishankar, K., Yu, S., Sacco, S., Ashina, S., Younis, S., Steiner, T. J., &amp; Lipton, R. B. (2021). Migraine: Epidemiology and systems of care. </w:t>
      </w:r>
      <w:r w:rsidRPr="00F477EC">
        <w:rPr>
          <w:i/>
          <w:iCs/>
        </w:rPr>
        <w:t>The Lancet, 397</w:t>
      </w:r>
      <w:r w:rsidRPr="00F477EC">
        <w:t>(10283), 1485–1495. https://doi.org/10.1016/S0140-6736(20)32160-7</w:t>
      </w:r>
    </w:p>
    <w:p w14:paraId="774FC292" w14:textId="77777777" w:rsidR="00F477EC" w:rsidRPr="00F477EC" w:rsidRDefault="00F477EC" w:rsidP="00F477EC">
      <w:pPr>
        <w:spacing w:before="100" w:beforeAutospacing="1" w:after="100" w:afterAutospacing="1"/>
        <w:ind w:left="540" w:hanging="540"/>
        <w:jc w:val="both"/>
      </w:pPr>
      <w:r w:rsidRPr="00F477EC">
        <w:t xml:space="preserve">Ashina, M., Lanteri-Minet, M., Pozo-Rosich, P., Ettrup, A., Christoffersen, C. L., Josiassen, M. K., Phul, R., &amp; Sperling, B. (2022). Safety and efficacy of eptinezumab for migraine prevention in patients with two-to-four previous preventive treatment failures </w:t>
      </w:r>
      <w:r w:rsidRPr="00F477EC">
        <w:lastRenderedPageBreak/>
        <w:t xml:space="preserve">(DELIVER): A multi-arm, randomised, double-blind, placebo-controlled, phase 3b trial. </w:t>
      </w:r>
      <w:r w:rsidRPr="00F477EC">
        <w:rPr>
          <w:i/>
          <w:iCs/>
        </w:rPr>
        <w:t>The Lancet Neurology, 21</w:t>
      </w:r>
      <w:r w:rsidRPr="00F477EC">
        <w:t>(7), 597–607. https://doi.org/10.1016/S1474-4422(22)00185-5</w:t>
      </w:r>
    </w:p>
    <w:p w14:paraId="49E85985" w14:textId="77777777" w:rsidR="00F477EC" w:rsidRPr="00F477EC" w:rsidRDefault="00F477EC" w:rsidP="00F477EC">
      <w:pPr>
        <w:spacing w:before="100" w:beforeAutospacing="1" w:after="100" w:afterAutospacing="1"/>
        <w:ind w:left="540" w:hanging="540"/>
        <w:jc w:val="both"/>
      </w:pPr>
      <w:r w:rsidRPr="00F477EC">
        <w:t xml:space="preserve">Ashina, M., Phul, R., Khodaie, M., Löf, E., &amp; Florea, I. (2024). A monoclonal antibody to PACAP for migraine prevention. </w:t>
      </w:r>
      <w:r w:rsidRPr="00F477EC">
        <w:rPr>
          <w:i/>
          <w:iCs/>
        </w:rPr>
        <w:t>New England Journal of Medicine, 391</w:t>
      </w:r>
      <w:r w:rsidRPr="00F477EC">
        <w:t>(9), 800–809. https://doi.org/10.1056/NEJMoa2314577</w:t>
      </w:r>
    </w:p>
    <w:p w14:paraId="71BF0E2B" w14:textId="77777777" w:rsidR="00F477EC" w:rsidRPr="00F477EC" w:rsidRDefault="00F477EC" w:rsidP="00F477EC">
      <w:pPr>
        <w:spacing w:before="100" w:beforeAutospacing="1" w:after="100" w:afterAutospacing="1"/>
        <w:ind w:left="540" w:hanging="540"/>
        <w:jc w:val="both"/>
      </w:pPr>
      <w:r w:rsidRPr="00F477EC">
        <w:t xml:space="preserve">Ashina, M., Saper, J., Cady, R., Schaeffler, B. A., Biondi, D. M., Hirman, J., Pederson, S., Allan, B., &amp; Smith, J. (2020). Eptinezumab in episodic migraine: A randomized, double-blind, placebo-controlled study (PROMISE-1). </w:t>
      </w:r>
      <w:r w:rsidRPr="00F477EC">
        <w:rPr>
          <w:i/>
          <w:iCs/>
        </w:rPr>
        <w:t>Cephalalgia, 40</w:t>
      </w:r>
      <w:r w:rsidRPr="00F477EC">
        <w:t>(3), 241–254. https://doi.org/10.1177/0333102420905132</w:t>
      </w:r>
    </w:p>
    <w:p w14:paraId="498F7311" w14:textId="77777777" w:rsidR="00F477EC" w:rsidRPr="00F477EC" w:rsidRDefault="00F477EC" w:rsidP="00F477EC">
      <w:pPr>
        <w:spacing w:before="100" w:beforeAutospacing="1" w:after="100" w:afterAutospacing="1"/>
        <w:ind w:left="540" w:hanging="540"/>
        <w:jc w:val="both"/>
      </w:pPr>
      <w:r w:rsidRPr="00F477EC">
        <w:t xml:space="preserve">Ashina, S., Ashina, M., Holle-Lee, D., Tassorelli, C., Cho, S.-J., He, M. Y., De Abreu Ferreira, R., Gandhi, P., Smith, J. H., Pfleeger, K., &amp; Trugman, J. M. (2025). Long-term safety, efficacy and functional outcomes of atogepant for the preventive treatment of migraine. </w:t>
      </w:r>
      <w:r w:rsidRPr="00F477EC">
        <w:rPr>
          <w:i/>
          <w:iCs/>
        </w:rPr>
        <w:t>Cephalalgia, 45</w:t>
      </w:r>
      <w:r w:rsidRPr="00F477EC">
        <w:t xml:space="preserve">(8), 3331024251365206. </w:t>
      </w:r>
      <w:hyperlink r:id="rId9" w:tgtFrame="_new" w:history="1">
        <w:r w:rsidRPr="00F477EC">
          <w:rPr>
            <w:color w:val="0000FF"/>
            <w:u w:val="single"/>
          </w:rPr>
          <w:t>https://doi.org/10.1177/03331024251365206</w:t>
        </w:r>
      </w:hyperlink>
    </w:p>
    <w:p w14:paraId="1F3E3F4D" w14:textId="77777777" w:rsidR="00F477EC" w:rsidRPr="00F477EC" w:rsidRDefault="00F477EC" w:rsidP="00F477EC">
      <w:pPr>
        <w:spacing w:before="100" w:beforeAutospacing="1" w:after="100" w:afterAutospacing="1"/>
        <w:ind w:left="540" w:hanging="540"/>
        <w:jc w:val="both"/>
      </w:pPr>
      <w:r w:rsidRPr="00F477EC">
        <w:t xml:space="preserve">Baethge, C., Goldbeck-Wood, S., &amp; Mertens, S. (2019). SANRA—A scale for the quality assessment of narrative review articles. </w:t>
      </w:r>
      <w:r w:rsidRPr="00F477EC">
        <w:rPr>
          <w:i/>
          <w:iCs/>
        </w:rPr>
        <w:t>Research Integrity and Peer Review, 4</w:t>
      </w:r>
      <w:r w:rsidRPr="00F477EC">
        <w:t xml:space="preserve">(1), 5. </w:t>
      </w:r>
      <w:hyperlink r:id="rId10" w:tgtFrame="_new" w:history="1">
        <w:r w:rsidRPr="00F477EC">
          <w:rPr>
            <w:color w:val="0000FF"/>
            <w:u w:val="single"/>
          </w:rPr>
          <w:t>https://doi.org/10.1186/s41073-019-0064-8</w:t>
        </w:r>
      </w:hyperlink>
    </w:p>
    <w:p w14:paraId="320F2492" w14:textId="77777777" w:rsidR="00F477EC" w:rsidRPr="00F477EC" w:rsidRDefault="00F477EC" w:rsidP="00F477EC">
      <w:pPr>
        <w:spacing w:before="100" w:beforeAutospacing="1" w:after="100" w:afterAutospacing="1"/>
        <w:ind w:left="540" w:hanging="540"/>
        <w:jc w:val="both"/>
      </w:pPr>
      <w:r w:rsidRPr="00F477EC">
        <w:t xml:space="preserve">Barbanti, P., Aurilia, C., Egeo, G., Proietti, S., D’Onofrio, F., Torelli, P., Aguggia, M., Bertuzzo, D., Finocchi, C., Trimboli, M., Cevoli, S., Fiorentini, G., Orlando, B., Zucco, M., Di Clemente, L., Cetta, I., Colombo, B., di Poggio, M. L. B., Favoni, V., ... Bonassi, S. (2024a). Ultra-late response (&gt; 24 weeks) to anti-CGRP monoclonal antibodies in migraine: A multicenter, prospective, observational study. </w:t>
      </w:r>
      <w:r w:rsidRPr="00F477EC">
        <w:rPr>
          <w:i/>
          <w:iCs/>
        </w:rPr>
        <w:t>Journal of Neurology, 271</w:t>
      </w:r>
      <w:r w:rsidRPr="00F477EC">
        <w:t>(5), 2434–2443. https://doi.org/10.1007/s00415-023-12103-4</w:t>
      </w:r>
    </w:p>
    <w:p w14:paraId="09FAC657" w14:textId="77777777" w:rsidR="00F477EC" w:rsidRPr="00F477EC" w:rsidRDefault="00F477EC" w:rsidP="00F477EC">
      <w:pPr>
        <w:spacing w:before="100" w:beforeAutospacing="1" w:after="100" w:afterAutospacing="1"/>
        <w:ind w:left="540" w:hanging="540"/>
        <w:jc w:val="both"/>
      </w:pPr>
      <w:r w:rsidRPr="00F477EC">
        <w:t xml:space="preserve">Barbanti, P., Aurilia, C., Egeo, G., Proietti, S., Torelli, P., d’Onofrio, F., Carnevale, A., Tavani, S., Orlando, B., Fiorentini, G., Colombo, B., Filippi, M., Bonassi, S., &amp; Cevoli, S. (2024b). Impact of multiple treatment cycles with anti-CGRP monoclonal antibodies on migraine course: Focus on discontinuation periods. Insights from the multicenter, prospective, I-GRAINE study. </w:t>
      </w:r>
      <w:r w:rsidRPr="00F477EC">
        <w:rPr>
          <w:i/>
          <w:iCs/>
        </w:rPr>
        <w:t>Journal of Neurology, 271</w:t>
      </w:r>
      <w:r w:rsidRPr="00F477EC">
        <w:t xml:space="preserve">(5), 2605–2614. </w:t>
      </w:r>
      <w:hyperlink r:id="rId11" w:tgtFrame="_new" w:history="1">
        <w:r w:rsidRPr="00F477EC">
          <w:rPr>
            <w:color w:val="0000FF"/>
            <w:u w:val="single"/>
          </w:rPr>
          <w:t>https://doi.org/10.1007/s00415-024-12192-9</w:t>
        </w:r>
      </w:hyperlink>
    </w:p>
    <w:p w14:paraId="7497AE26" w14:textId="77777777" w:rsidR="00F477EC" w:rsidRPr="00F477EC" w:rsidRDefault="00F477EC" w:rsidP="00F477EC">
      <w:pPr>
        <w:spacing w:before="100" w:beforeAutospacing="1" w:after="100" w:afterAutospacing="1"/>
        <w:ind w:left="540" w:hanging="540"/>
        <w:jc w:val="both"/>
      </w:pPr>
      <w:r w:rsidRPr="00F477EC">
        <w:t xml:space="preserve">Blumenfeld, A., Kudrow, D., McAllister, P., Boserup, L. P., Hirman, J., &amp; Cady, R. (2024). Long-term effectiveness of eptinezumab in the treatment of patients with chronic migraine and medication-overuse headache. </w:t>
      </w:r>
      <w:r w:rsidRPr="00F477EC">
        <w:rPr>
          <w:i/>
          <w:iCs/>
        </w:rPr>
        <w:t>Headache: The Journal of Head and Face Pain, 64</w:t>
      </w:r>
      <w:r w:rsidRPr="00F477EC">
        <w:t>(7), 738–749. https://doi.org/10.1111/head.14767</w:t>
      </w:r>
    </w:p>
    <w:p w14:paraId="7A00F0FF" w14:textId="77777777" w:rsidR="00F477EC" w:rsidRPr="00F477EC" w:rsidRDefault="00F477EC" w:rsidP="00F477EC">
      <w:pPr>
        <w:spacing w:before="100" w:beforeAutospacing="1" w:after="100" w:afterAutospacing="1"/>
        <w:ind w:left="540" w:hanging="540"/>
        <w:jc w:val="both"/>
      </w:pPr>
      <w:r w:rsidRPr="00F477EC">
        <w:rPr>
          <w:lang w:val="nl-BE"/>
        </w:rPr>
        <w:t xml:space="preserve">Buse, D. C., Versijpt, J., &amp; Diener, H.-C. (2025). </w:t>
      </w:r>
      <w:r w:rsidRPr="00F477EC">
        <w:t xml:space="preserve">Disrupting migraine dynamics: A narrative review of the consequences of modern anti-CGRP monoclonal antibody therapies. </w:t>
      </w:r>
      <w:r w:rsidRPr="00F477EC">
        <w:rPr>
          <w:i/>
          <w:iCs/>
        </w:rPr>
        <w:t>Neurology and Therapy, 14</w:t>
      </w:r>
      <w:r w:rsidRPr="00F477EC">
        <w:t>(4), 1185–1196. https://doi.org/10.1007/s40120-025-00769-z</w:t>
      </w:r>
    </w:p>
    <w:p w14:paraId="112A56F5" w14:textId="77777777" w:rsidR="00F477EC" w:rsidRPr="00F477EC" w:rsidRDefault="00F477EC" w:rsidP="00F477EC">
      <w:pPr>
        <w:spacing w:before="100" w:beforeAutospacing="1" w:after="100" w:afterAutospacing="1"/>
        <w:ind w:left="540" w:hanging="540"/>
        <w:jc w:val="both"/>
      </w:pPr>
      <w:r w:rsidRPr="00F477EC">
        <w:t xml:space="preserve">Caronna, E., Gallardo, V. J., Egeo, G., Vázquez, M. M., Castellanos, C. N., Membrilla, J. A., Vaghi, G., Rodríguez-Montolio, J., Fabregat Fabra, N., Sánchez-Caballero, F., Jaimes Sánchez, A., Muñoz-Vendrell, A., Oliveira, R., Gárate, G., González-Osorio, Y., Guisado-Alonso, D., Ornello, R., Thunstedt, C., Fernández-Lázaro, I., ... Pozo-Rosich, P. (2024). Redefining migraine prevention: Early treatment with anti-CGRP monoclonal </w:t>
      </w:r>
      <w:r w:rsidRPr="00F477EC">
        <w:lastRenderedPageBreak/>
        <w:t xml:space="preserve">antibodies enhances response in the real world. </w:t>
      </w:r>
      <w:r w:rsidRPr="00F477EC">
        <w:rPr>
          <w:i/>
          <w:iCs/>
        </w:rPr>
        <w:t>Journal of Neurology, Neurosurgery &amp; Psychiatry, 95</w:t>
      </w:r>
      <w:r w:rsidRPr="00F477EC">
        <w:t>(10), 927–937. https://doi.org/10.1136/jnnp-2023-333295</w:t>
      </w:r>
    </w:p>
    <w:p w14:paraId="2056B346" w14:textId="77777777" w:rsidR="00F477EC" w:rsidRPr="00F477EC" w:rsidRDefault="00F477EC" w:rsidP="00F477EC">
      <w:pPr>
        <w:spacing w:before="100" w:beforeAutospacing="1" w:after="100" w:afterAutospacing="1"/>
        <w:ind w:left="540" w:hanging="540"/>
        <w:jc w:val="both"/>
      </w:pPr>
      <w:r w:rsidRPr="00F477EC">
        <w:t xml:space="preserve">Caronna, E., Mas-de-les-Valls, R., Egeo, G., Millán Vázquez, M., Nieves-Castellanos, C., Portocarrero-Sánchez, L., Vaghi, G., Rodríguez-Montolio, J., Jaimes, A., Muñoz-Vendrell, A., Oliveira, R., Polanco, M., González Osorio, Y., Canales, J., Ornello, R., Thunstedt, C., Fernández-Lázaro, I., Husøy, A., Sánchez-Soblechero, A., ... Pozo-Rosich, P. (2026). Long-term effectiveness and persistence factors of anti-CGRP monoclonal antibodies in migraine: 2-year results from the EUREkA cohort. </w:t>
      </w:r>
      <w:r w:rsidRPr="00F477EC">
        <w:rPr>
          <w:i/>
          <w:iCs/>
        </w:rPr>
        <w:t>Neurology, 106</w:t>
      </w:r>
      <w:r w:rsidRPr="00F477EC">
        <w:t>(4), e214659. https://doi.org/10.1212/WNL.0000000000214659</w:t>
      </w:r>
    </w:p>
    <w:p w14:paraId="392835BC" w14:textId="77777777" w:rsidR="00F477EC" w:rsidRPr="00F477EC" w:rsidRDefault="00F477EC" w:rsidP="00F477EC">
      <w:pPr>
        <w:spacing w:before="100" w:beforeAutospacing="1" w:after="100" w:afterAutospacing="1"/>
        <w:ind w:left="540" w:hanging="540"/>
        <w:jc w:val="both"/>
      </w:pPr>
      <w:r w:rsidRPr="00F477EC">
        <w:t xml:space="preserve">Carta, D., Lo Buono, V., Grugno, R., Lo Presti, R., Quartarone, A., &amp; Marino, S. (2026). Efficacy and safety of CGRP monoclonal antibodies in chronic migraine: A systematic review integrating randomized and real-world evidence. </w:t>
      </w:r>
      <w:r w:rsidRPr="00F477EC">
        <w:rPr>
          <w:i/>
          <w:iCs/>
        </w:rPr>
        <w:t>Neurological Sciences, 47</w:t>
      </w:r>
      <w:r w:rsidRPr="00F477EC">
        <w:t>, 559. https://doi.org/10.1007/s10072-026-09153-7</w:t>
      </w:r>
    </w:p>
    <w:p w14:paraId="56A234B4" w14:textId="77777777" w:rsidR="00F477EC" w:rsidRPr="00F477EC" w:rsidRDefault="00F477EC" w:rsidP="00F477EC">
      <w:pPr>
        <w:spacing w:before="100" w:beforeAutospacing="1" w:after="100" w:afterAutospacing="1"/>
        <w:ind w:left="540" w:hanging="540"/>
        <w:jc w:val="both"/>
      </w:pPr>
      <w:r w:rsidRPr="00F477EC">
        <w:t xml:space="preserve">Charles, A. C., Digre, K. B., Goadsby, P. J., Robbins, M. S., &amp; Hershey, A. (2024). Calcitonin gene-related peptide-targeting therapies are a first-line option for the prevention of migraine: An American Headache Society position statement update. </w:t>
      </w:r>
      <w:r w:rsidRPr="00F477EC">
        <w:rPr>
          <w:i/>
          <w:iCs/>
        </w:rPr>
        <w:t>Headache: The Journal of Head and Face Pain, 64</w:t>
      </w:r>
      <w:r w:rsidRPr="00F477EC">
        <w:t xml:space="preserve">(4), 333–341. </w:t>
      </w:r>
      <w:hyperlink r:id="rId12" w:tgtFrame="_new" w:history="1">
        <w:r w:rsidRPr="00F477EC">
          <w:rPr>
            <w:color w:val="0000FF"/>
            <w:u w:val="single"/>
          </w:rPr>
          <w:t>https://doi.org/10.1111/head.14692</w:t>
        </w:r>
      </w:hyperlink>
    </w:p>
    <w:p w14:paraId="27CCBB34" w14:textId="77777777" w:rsidR="00F477EC" w:rsidRPr="00F477EC" w:rsidRDefault="00F477EC" w:rsidP="00F477EC">
      <w:pPr>
        <w:spacing w:before="100" w:beforeAutospacing="1" w:after="100" w:afterAutospacing="1"/>
        <w:ind w:left="540" w:hanging="540"/>
        <w:jc w:val="both"/>
      </w:pPr>
      <w:r w:rsidRPr="00F477EC">
        <w:t xml:space="preserve">Cho, S., Kang, M.-K., Moon, H.-S., Lee, M. J., Kim, S.-K., Park, H.-K., Ha, W.-S., Chu, M. K., Gil, Y.-E., Kim, B.-S., &amp; Cho, S.-J. (2026). Real-world effectiveness and safety of CGRP monoclonal antibodies in elderly migraine patients: A Korean multicenter study. </w:t>
      </w:r>
      <w:r w:rsidRPr="00F477EC">
        <w:rPr>
          <w:i/>
          <w:iCs/>
        </w:rPr>
        <w:t>The Journal of Headache and Pain, 27</w:t>
      </w:r>
      <w:r w:rsidRPr="00F477EC">
        <w:t>(1), 166. https://doi.org/10.1186/s10194-026-02410-2</w:t>
      </w:r>
    </w:p>
    <w:p w14:paraId="74367D40" w14:textId="77777777" w:rsidR="00F477EC" w:rsidRPr="00F477EC" w:rsidRDefault="00F477EC" w:rsidP="00F477EC">
      <w:pPr>
        <w:spacing w:before="100" w:beforeAutospacing="1" w:after="100" w:afterAutospacing="1"/>
        <w:ind w:left="540" w:hanging="540"/>
        <w:jc w:val="both"/>
      </w:pPr>
      <w:r w:rsidRPr="00F477EC">
        <w:t xml:space="preserve">Cohen, J. M., Ning, X., Kessler, Y., Rasamoelisolo, M., Campos, V. R., Seminerio, M. J., Krasenbaum, L. J., Shen, H., &amp; Stratton, J. (2021). Immunogenicity of biologic therapies for migraine: A review of current evidence. </w:t>
      </w:r>
      <w:r w:rsidRPr="00F477EC">
        <w:rPr>
          <w:i/>
          <w:iCs/>
        </w:rPr>
        <w:t>The Journal of Headache and Pain, 22</w:t>
      </w:r>
      <w:r w:rsidRPr="00F477EC">
        <w:t>(1), 3. https://doi.org/10.1186/s10194-020-01211-5</w:t>
      </w:r>
    </w:p>
    <w:p w14:paraId="696FE567" w14:textId="77777777" w:rsidR="00F477EC" w:rsidRPr="00F477EC" w:rsidRDefault="00F477EC" w:rsidP="00F477EC">
      <w:pPr>
        <w:spacing w:before="100" w:beforeAutospacing="1" w:after="100" w:afterAutospacing="1"/>
        <w:ind w:left="540" w:hanging="540"/>
        <w:jc w:val="both"/>
      </w:pPr>
      <w:r w:rsidRPr="00F477EC">
        <w:t xml:space="preserve">Croop, R., Goadsby, P. J., Stock, D. A., Conway, C. M., Forshaw, M., Stock, E. G., Coric, V., &amp; Lipton, R. B. (2019). Efficacy, safety, and tolerability of rimegepant orally disintegrating tablet for the acute treatment of migraine: A randomised, phase 3, double-blind, placebo-controlled trial. </w:t>
      </w:r>
      <w:r w:rsidRPr="00F477EC">
        <w:rPr>
          <w:i/>
          <w:iCs/>
        </w:rPr>
        <w:t>The Lancet, 394</w:t>
      </w:r>
      <w:r w:rsidRPr="00F477EC">
        <w:t>(10200), 737–745. https://doi.org/10.1016/S0140-6736(19)31606-X</w:t>
      </w:r>
    </w:p>
    <w:p w14:paraId="04C082A7" w14:textId="77777777" w:rsidR="00F477EC" w:rsidRPr="00F477EC" w:rsidRDefault="00F477EC" w:rsidP="00F477EC">
      <w:pPr>
        <w:spacing w:before="100" w:beforeAutospacing="1" w:after="100" w:afterAutospacing="1"/>
        <w:ind w:left="540" w:hanging="540"/>
        <w:jc w:val="both"/>
        <w:rPr>
          <w:lang w:val="nl-BE"/>
        </w:rPr>
      </w:pPr>
      <w:r w:rsidRPr="00F477EC">
        <w:t xml:space="preserve">Croop, R., Lipton, R. B., Kudrow, D., Stock, D. A., Kamen, L., Conway, C. M., Stock, E. G., Coric, V., &amp; Goadsby, P. J. (2021). Oral rimegepant for preventive treatment of migraine: A phase 2/3, randomised, double-blind, placebo-controlled trial. </w:t>
      </w:r>
      <w:r w:rsidRPr="00F477EC">
        <w:rPr>
          <w:i/>
          <w:iCs/>
          <w:lang w:val="nl-BE"/>
        </w:rPr>
        <w:t>The Lancet, 397</w:t>
      </w:r>
      <w:r w:rsidRPr="00F477EC">
        <w:rPr>
          <w:lang w:val="nl-BE"/>
        </w:rPr>
        <w:t>(10268), 51–60. https://doi.org/10.1016/S0140-6736(20)32544-7</w:t>
      </w:r>
    </w:p>
    <w:p w14:paraId="6860F929" w14:textId="77777777" w:rsidR="00F477EC" w:rsidRPr="00F477EC" w:rsidRDefault="00F477EC" w:rsidP="00F477EC">
      <w:pPr>
        <w:spacing w:before="100" w:beforeAutospacing="1" w:after="100" w:afterAutospacing="1"/>
        <w:ind w:left="540" w:hanging="540"/>
        <w:jc w:val="both"/>
      </w:pPr>
      <w:r w:rsidRPr="00F477EC">
        <w:rPr>
          <w:lang w:val="nl-BE"/>
        </w:rPr>
        <w:t xml:space="preserve">Damen, J. A. A., Yang, B., Idema, D. L., Vernooij, R. W. M., Huis in ‘t Veld, L., Kusters, M., Spijker, R., van der Braak, K., Heus, P., Jenniskens, K., &amp; Hooft, L. (2025). </w:t>
      </w:r>
      <w:r w:rsidRPr="00F477EC">
        <w:t xml:space="preserve">Comparative effectiveness of pharmacologic treatments for the prevention of episodic migraine headache: A systematic review and network meta-analysis for the American College of Physicians. </w:t>
      </w:r>
      <w:r w:rsidRPr="00F477EC">
        <w:rPr>
          <w:i/>
          <w:iCs/>
        </w:rPr>
        <w:t>Annals of Internal Medicine, 178</w:t>
      </w:r>
      <w:r w:rsidRPr="00F477EC">
        <w:t>(3), 369–380. https://doi.org/10.7326/ANNALS-24-00315</w:t>
      </w:r>
    </w:p>
    <w:p w14:paraId="6B439872" w14:textId="77777777" w:rsidR="00F477EC" w:rsidRPr="00F477EC" w:rsidRDefault="00F477EC" w:rsidP="00F477EC">
      <w:pPr>
        <w:spacing w:before="100" w:beforeAutospacing="1" w:after="100" w:afterAutospacing="1"/>
        <w:ind w:left="540" w:hanging="540"/>
        <w:jc w:val="both"/>
      </w:pPr>
      <w:r w:rsidRPr="00F477EC">
        <w:lastRenderedPageBreak/>
        <w:t xml:space="preserve">Della Pietra, A., Kuburas, A., &amp; Russo, A. F. (2025). PACAP versus CGRP in migraine: From mouse models to clinical translation. </w:t>
      </w:r>
      <w:r w:rsidRPr="00F477EC">
        <w:rPr>
          <w:i/>
          <w:iCs/>
        </w:rPr>
        <w:t>Cephalalgia, 45</w:t>
      </w:r>
      <w:r w:rsidRPr="00F477EC">
        <w:t>(9), 3331024251364242. https://doi.org/10.1177/03331024251364242</w:t>
      </w:r>
    </w:p>
    <w:p w14:paraId="1B3C459A" w14:textId="77777777" w:rsidR="00F477EC" w:rsidRPr="00F477EC" w:rsidRDefault="00F477EC" w:rsidP="00F477EC">
      <w:pPr>
        <w:spacing w:before="100" w:beforeAutospacing="1" w:after="100" w:afterAutospacing="1"/>
        <w:ind w:left="540" w:hanging="540"/>
        <w:jc w:val="both"/>
      </w:pPr>
      <w:r w:rsidRPr="00F477EC">
        <w:t xml:space="preserve">Della Pietra, A., &amp; Russo, A. F. (2026). Advances in CGRP therapeutic targets for migraine: Where do we stand 5 years later? </w:t>
      </w:r>
      <w:r w:rsidRPr="00F477EC">
        <w:rPr>
          <w:i/>
          <w:iCs/>
        </w:rPr>
        <w:t>Expert Opinion on Therapeutic Targets, 30</w:t>
      </w:r>
      <w:r w:rsidRPr="00F477EC">
        <w:t>(5), 437–450. https://doi.org/10.1080/14728222.2026.2671693</w:t>
      </w:r>
    </w:p>
    <w:p w14:paraId="7246E5E8" w14:textId="77777777" w:rsidR="00F477EC" w:rsidRPr="00F477EC" w:rsidRDefault="00F477EC" w:rsidP="00F477EC">
      <w:pPr>
        <w:spacing w:before="100" w:beforeAutospacing="1" w:after="100" w:afterAutospacing="1"/>
        <w:ind w:left="540" w:hanging="540"/>
        <w:jc w:val="both"/>
      </w:pPr>
      <w:r w:rsidRPr="00F477EC">
        <w:t xml:space="preserve">Detke, H. C., Goadsby, P. J., Wang, S., Friedman, D. I., Selzler, K. J., &amp; Aurora, S. K. (2018). Galcanezumab in chronic migraine: The randomized, double-blind, placebo-controlled REGAIN study. </w:t>
      </w:r>
      <w:r w:rsidRPr="00F477EC">
        <w:rPr>
          <w:i/>
          <w:iCs/>
        </w:rPr>
        <w:t>Neurology, 91</w:t>
      </w:r>
      <w:r w:rsidRPr="00F477EC">
        <w:t xml:space="preserve">(24), e2211–e2221. </w:t>
      </w:r>
      <w:hyperlink r:id="rId13" w:tgtFrame="_new" w:history="1">
        <w:r w:rsidRPr="00F477EC">
          <w:rPr>
            <w:color w:val="0000FF"/>
            <w:u w:val="single"/>
          </w:rPr>
          <w:t>https://doi.org/10.1212/WNL.0000000000006640</w:t>
        </w:r>
      </w:hyperlink>
    </w:p>
    <w:p w14:paraId="24EEE1A1" w14:textId="77777777" w:rsidR="00F477EC" w:rsidRPr="00F477EC" w:rsidRDefault="00F477EC" w:rsidP="00F477EC">
      <w:pPr>
        <w:spacing w:before="100" w:beforeAutospacing="1" w:after="100" w:afterAutospacing="1"/>
        <w:ind w:left="540" w:hanging="540"/>
        <w:jc w:val="both"/>
      </w:pPr>
      <w:r w:rsidRPr="00F477EC">
        <w:t xml:space="preserve">Dodick, D. W., Goadsby, P. J., Schwedt, T. J., Lipton, R. B., Liu, C., Lu, K., Yu, S. Y., Severt, L., Finnegan, M., &amp; Trugman, J. M. (2023). Ubrogepant for the treatment of migraine attacks during the prodrome: A phase 3, multicentre, randomised, double-blind, placebo-controlled, crossover trial in the USA. </w:t>
      </w:r>
      <w:r w:rsidRPr="00F477EC">
        <w:rPr>
          <w:i/>
          <w:iCs/>
        </w:rPr>
        <w:t>The Lancet, 402</w:t>
      </w:r>
      <w:r w:rsidRPr="00F477EC">
        <w:t>(10419), 2307–2316. https://doi.org/10.1016/S0140-6736(23)01683-5</w:t>
      </w:r>
    </w:p>
    <w:p w14:paraId="7B52AA23" w14:textId="77777777" w:rsidR="00F477EC" w:rsidRPr="00F477EC" w:rsidRDefault="00F477EC" w:rsidP="00F477EC">
      <w:pPr>
        <w:spacing w:before="100" w:beforeAutospacing="1" w:after="100" w:afterAutospacing="1"/>
        <w:ind w:left="540" w:hanging="540"/>
        <w:jc w:val="both"/>
      </w:pPr>
      <w:r w:rsidRPr="00F477EC">
        <w:t xml:space="preserve">Dodick, D. W., Lipton, R. B., Ailani, J., Lu, K., Finnegan, M., Trugman, J. M., &amp; Szegedi, A. (2019). Ubrogepant for the treatment of migraine. </w:t>
      </w:r>
      <w:r w:rsidRPr="00F477EC">
        <w:rPr>
          <w:i/>
          <w:iCs/>
        </w:rPr>
        <w:t>New England Journal of Medicine, 381</w:t>
      </w:r>
      <w:r w:rsidRPr="00F477EC">
        <w:t>(23), 2230–2241. https://doi.org/10.1056/NEJMoa1813049</w:t>
      </w:r>
    </w:p>
    <w:p w14:paraId="2D55F9F3" w14:textId="77777777" w:rsidR="00F477EC" w:rsidRPr="00F477EC" w:rsidRDefault="00F477EC" w:rsidP="00F477EC">
      <w:pPr>
        <w:spacing w:before="100" w:beforeAutospacing="1" w:after="100" w:afterAutospacing="1"/>
        <w:ind w:left="540" w:hanging="540"/>
        <w:jc w:val="both"/>
      </w:pPr>
      <w:r w:rsidRPr="00F477EC">
        <w:t xml:space="preserve">Dodick, D. W., Silberstein, S. D., Bigal, M. E., Yeung, P. P., Goadsby, P. J., Blankenbiller, T., Grozinski-Wolff, M., Yang, R., Ma, Y., &amp; Aycardi, E. (2018). Effect of fremanezumab compared with placebo for prevention of episodic migraine: A randomized clinical trial. </w:t>
      </w:r>
      <w:r w:rsidRPr="00F477EC">
        <w:rPr>
          <w:i/>
          <w:iCs/>
        </w:rPr>
        <w:t>JAMA, 319</w:t>
      </w:r>
      <w:r w:rsidRPr="00F477EC">
        <w:t>(19), 1999–2008. https://doi.org/10.1001/jama.2018.4853</w:t>
      </w:r>
    </w:p>
    <w:p w14:paraId="5662B538" w14:textId="77777777" w:rsidR="00F477EC" w:rsidRPr="00F477EC" w:rsidRDefault="00F477EC" w:rsidP="00F477EC">
      <w:pPr>
        <w:spacing w:before="100" w:beforeAutospacing="1" w:after="100" w:afterAutospacing="1"/>
        <w:ind w:left="540" w:hanging="540"/>
        <w:jc w:val="both"/>
      </w:pPr>
      <w:r w:rsidRPr="00F477EC">
        <w:t xml:space="preserve">Dodick, D. W., Tepper, S. J., Ailani, J., Khodavirdi, A. C., Pannacciulli, N., Fu, A., Kent, S. T., Gill, K., Urman, R., &amp; Oh, S. S. (2025). Effect of erenumab versus other migraine preventive medications on cardiovascular and cerebrovascular outcomes: A United States claims database-based observational cohort study. </w:t>
      </w:r>
      <w:r w:rsidRPr="00F477EC">
        <w:rPr>
          <w:i/>
          <w:iCs/>
        </w:rPr>
        <w:t>Headache: The Journal of Head and Face Pain, 65</w:t>
      </w:r>
      <w:r w:rsidRPr="00F477EC">
        <w:t>(6), 919–932. https://doi.org/10.1111/head.14912</w:t>
      </w:r>
    </w:p>
    <w:p w14:paraId="23CF0C4C" w14:textId="77777777" w:rsidR="00F477EC" w:rsidRPr="00F477EC" w:rsidRDefault="00F477EC" w:rsidP="00F477EC">
      <w:pPr>
        <w:spacing w:before="100" w:beforeAutospacing="1" w:after="100" w:afterAutospacing="1"/>
        <w:ind w:left="540" w:hanging="540"/>
        <w:jc w:val="both"/>
      </w:pPr>
      <w:r w:rsidRPr="00F477EC">
        <w:t xml:space="preserve">Edvinsson, L., Haanes, K. A., Warfvinge, K., &amp; Krause, D. N. (2018). CGRP as the target of new migraine therapies—Successful translation from bench to clinic. </w:t>
      </w:r>
      <w:r w:rsidRPr="00F477EC">
        <w:rPr>
          <w:i/>
          <w:iCs/>
        </w:rPr>
        <w:t>Nature Reviews Neurology, 14</w:t>
      </w:r>
      <w:r w:rsidRPr="00F477EC">
        <w:t>(6), 338–350. https://doi.org/10.1038/s41582-018-0003-1</w:t>
      </w:r>
    </w:p>
    <w:p w14:paraId="5917891D" w14:textId="77777777" w:rsidR="00F477EC" w:rsidRPr="00F477EC" w:rsidRDefault="00F477EC" w:rsidP="00F477EC">
      <w:pPr>
        <w:spacing w:before="100" w:beforeAutospacing="1" w:after="100" w:afterAutospacing="1"/>
        <w:ind w:left="540" w:hanging="540"/>
        <w:jc w:val="both"/>
      </w:pPr>
      <w:r w:rsidRPr="00F477EC">
        <w:t xml:space="preserve">Elosua-Bayes, I., Alpuente, A., Melgarejo, L., Caronna, E., Torres-Ferrús, M., &amp; Pozo-Rosich, P. (2024). Case series on monoclonal antibodies targeting calcitonin gene-related peptide in migraine patients during pregnancy: Enhancing safety data. </w:t>
      </w:r>
      <w:r w:rsidRPr="00F477EC">
        <w:rPr>
          <w:i/>
          <w:iCs/>
        </w:rPr>
        <w:t>Cephalalgia, 44</w:t>
      </w:r>
      <w:r w:rsidRPr="00F477EC">
        <w:t>(9), 3331024241273966. https://doi.org/10.1177/03331024241273966</w:t>
      </w:r>
    </w:p>
    <w:p w14:paraId="76F3FEA4" w14:textId="77777777" w:rsidR="00F477EC" w:rsidRPr="00F477EC" w:rsidRDefault="00F477EC" w:rsidP="00F477EC">
      <w:pPr>
        <w:spacing w:before="100" w:beforeAutospacing="1" w:after="100" w:afterAutospacing="1"/>
        <w:ind w:left="540" w:hanging="540"/>
        <w:jc w:val="both"/>
      </w:pPr>
      <w:r w:rsidRPr="00F477EC">
        <w:t xml:space="preserve">Ferrari, M. D., Diener, H. C., Ning, X., Galic, M., Cohen, J. M., Yang, R., Mueller, M., Ahn, A. H., Schwartz, Y. C., Grozinski-Wolff, M., Janka, L., &amp; Ashina, M. (2019). Fremanezumab versus placebo for migraine prevention in patients with documented failure to up to four migraine preventive medication classes (FOCUS): A randomised, double-blind, placebo-controlled, phase 3b trial. </w:t>
      </w:r>
      <w:r w:rsidRPr="00F477EC">
        <w:rPr>
          <w:i/>
          <w:iCs/>
        </w:rPr>
        <w:t>The Lancet, 394</w:t>
      </w:r>
      <w:r w:rsidRPr="00F477EC">
        <w:t>(10203), 1030–1040. https://doi.org/10.1016/S0140-6736(19)31946-4</w:t>
      </w:r>
    </w:p>
    <w:p w14:paraId="097CC302" w14:textId="77777777" w:rsidR="00F477EC" w:rsidRPr="00F477EC" w:rsidRDefault="00F477EC" w:rsidP="00F477EC">
      <w:pPr>
        <w:spacing w:before="100" w:beforeAutospacing="1" w:after="100" w:afterAutospacing="1"/>
        <w:ind w:left="540" w:hanging="540"/>
        <w:jc w:val="both"/>
      </w:pPr>
      <w:r w:rsidRPr="00F477EC">
        <w:lastRenderedPageBreak/>
        <w:t xml:space="preserve">Ferrari, M. D., Reuter, U., Goadsby, P. J., Paiva da Silva Lima, G., Mondal, S., Wen, S., Tenenbaum, N., Pandhi, S., Lanteri-Minet, M., &amp; Stites, T. (2022). Two-year efficacy and safety of erenumab in participants with episodic migraine and 2–4 prior preventive treatment failures: Results from the LIBERTY study. </w:t>
      </w:r>
      <w:r w:rsidRPr="00F477EC">
        <w:rPr>
          <w:i/>
          <w:iCs/>
        </w:rPr>
        <w:t>Journal of Neurology, Neurosurgery &amp; Psychiatry, 93</w:t>
      </w:r>
      <w:r w:rsidRPr="00F477EC">
        <w:t>(3), 254–262. https://doi.org/10.1136/jnnp-2021-327480</w:t>
      </w:r>
    </w:p>
    <w:p w14:paraId="1251C6B9" w14:textId="77777777" w:rsidR="00F477EC" w:rsidRPr="00F477EC" w:rsidRDefault="00F477EC" w:rsidP="00F477EC">
      <w:pPr>
        <w:spacing w:before="100" w:beforeAutospacing="1" w:after="100" w:afterAutospacing="1"/>
        <w:ind w:left="540" w:hanging="540"/>
        <w:jc w:val="both"/>
      </w:pPr>
      <w:r w:rsidRPr="00F477EC">
        <w:t xml:space="preserve">Gárate, G., González‐Quintanilla, V., González, A., Pascual, M., Pérez‐Pereda, S., Madera, J., &amp; Pascual, J. (2023). Serum alpha and beta-CGRP levels in chronic migraine patients before and after monoclonal antibodies against CGRP or its receptor. </w:t>
      </w:r>
      <w:r w:rsidRPr="00F477EC">
        <w:rPr>
          <w:i/>
          <w:iCs/>
        </w:rPr>
        <w:t>Annals of Neurology, 94</w:t>
      </w:r>
      <w:r w:rsidRPr="00F477EC">
        <w:t>(2), 285–294. https://doi.org/10.1002/ana.26658</w:t>
      </w:r>
    </w:p>
    <w:p w14:paraId="66415403" w14:textId="77777777" w:rsidR="00F477EC" w:rsidRPr="00F477EC" w:rsidRDefault="00F477EC" w:rsidP="00F477EC">
      <w:pPr>
        <w:spacing w:before="100" w:beforeAutospacing="1" w:after="100" w:afterAutospacing="1"/>
        <w:ind w:left="540" w:hanging="540"/>
        <w:jc w:val="both"/>
      </w:pPr>
      <w:r w:rsidRPr="00F477EC">
        <w:t xml:space="preserve">GBD 2023 Headache Collaborators. (2025). Global, regional, and national burden of headache disorders, 1990–2023: A systematic analysis for the Global Burden of Disease Study 2023. </w:t>
      </w:r>
      <w:r w:rsidRPr="00F477EC">
        <w:rPr>
          <w:i/>
          <w:iCs/>
        </w:rPr>
        <w:t>The Lancet Neurology, 24</w:t>
      </w:r>
      <w:r w:rsidRPr="00F477EC">
        <w:t>(12), 1005–1015. https://doi.org/10.1016/S1474-4422(25)00402-8</w:t>
      </w:r>
    </w:p>
    <w:p w14:paraId="7340E8C1" w14:textId="77777777" w:rsidR="00F477EC" w:rsidRPr="00F477EC" w:rsidRDefault="00F477EC" w:rsidP="00F477EC">
      <w:pPr>
        <w:spacing w:before="100" w:beforeAutospacing="1" w:after="100" w:afterAutospacing="1"/>
        <w:ind w:left="540" w:hanging="540"/>
        <w:jc w:val="both"/>
      </w:pPr>
      <w:r w:rsidRPr="00F477EC">
        <w:t xml:space="preserve">Giacon, M., &amp; Terrazzino, S. (2026). Post-marketing safety of CGRP monoclonal antibodies and gepants: A systematic review of spontaneous reporting system data. </w:t>
      </w:r>
      <w:r w:rsidRPr="00F477EC">
        <w:rPr>
          <w:i/>
          <w:iCs/>
        </w:rPr>
        <w:t>Headache: The Journal of Head and Face Pain, 66</w:t>
      </w:r>
      <w:r w:rsidRPr="00F477EC">
        <w:t xml:space="preserve">(5), 1128–1147. </w:t>
      </w:r>
      <w:hyperlink r:id="rId14" w:tgtFrame="_new" w:history="1">
        <w:r w:rsidRPr="00F477EC">
          <w:rPr>
            <w:color w:val="0000FF"/>
            <w:u w:val="single"/>
          </w:rPr>
          <w:t>https://doi.org/10.1111/head.70081</w:t>
        </w:r>
      </w:hyperlink>
    </w:p>
    <w:p w14:paraId="1C2E2302" w14:textId="77777777" w:rsidR="00F477EC" w:rsidRPr="00F477EC" w:rsidRDefault="00F477EC" w:rsidP="00F477EC">
      <w:pPr>
        <w:spacing w:before="100" w:beforeAutospacing="1" w:after="100" w:afterAutospacing="1"/>
        <w:ind w:left="540" w:hanging="540"/>
        <w:jc w:val="both"/>
      </w:pPr>
      <w:r w:rsidRPr="00F477EC">
        <w:t xml:space="preserve">Goadsby, P. J., Ailani, J., Dodick, D. W., Starling, A. J., Liu, C., Liu, Y., Yu, S. Y., Smith, J. H., Brand-Schieber, E., &amp; Trugman, J. M. (2025). Ubrogepant for the treatment of migraine prodromal symptoms: An exploratory analysis from the randomized phase 3 PRODROME trial. </w:t>
      </w:r>
      <w:r w:rsidRPr="00F477EC">
        <w:rPr>
          <w:i/>
          <w:iCs/>
        </w:rPr>
        <w:t>Nature Medicine, 31</w:t>
      </w:r>
      <w:r w:rsidRPr="00F477EC">
        <w:t xml:space="preserve">(7), 2179–2185. </w:t>
      </w:r>
      <w:hyperlink r:id="rId15" w:tgtFrame="_new" w:history="1">
        <w:r w:rsidRPr="00F477EC">
          <w:rPr>
            <w:color w:val="0000FF"/>
            <w:u w:val="single"/>
          </w:rPr>
          <w:t>https://doi.org/10.1038/s41591-025-03679-7</w:t>
        </w:r>
      </w:hyperlink>
    </w:p>
    <w:p w14:paraId="3101D6F9" w14:textId="77777777" w:rsidR="00F477EC" w:rsidRPr="00F477EC" w:rsidRDefault="00F477EC" w:rsidP="00F477EC">
      <w:pPr>
        <w:spacing w:before="100" w:beforeAutospacing="1" w:after="100" w:afterAutospacing="1"/>
        <w:ind w:left="540" w:hanging="540"/>
        <w:jc w:val="both"/>
      </w:pPr>
      <w:r w:rsidRPr="00F477EC">
        <w:t xml:space="preserve">Goadsby, P. J., Dodick, D. W., Leone, M., Bardos, J. N., Oakes, T. M., Millen, B. A., Zhou, C., Dowsett, S. A., Aurora, S. K., Ahn, A. H., Yang, J.-Y., Conley, R. R., &amp; Martinez, J. M. (2019). Trial of galcanezumab in prevention of episodic cluster headache. </w:t>
      </w:r>
      <w:r w:rsidRPr="00F477EC">
        <w:rPr>
          <w:i/>
          <w:iCs/>
        </w:rPr>
        <w:t>New England Journal of Medicine, 381</w:t>
      </w:r>
      <w:r w:rsidRPr="00F477EC">
        <w:t>(2), 132–141. https://doi.org/10.1056/NEJMoa1813440</w:t>
      </w:r>
    </w:p>
    <w:p w14:paraId="2EA0E0BB" w14:textId="77777777" w:rsidR="00F477EC" w:rsidRPr="00F477EC" w:rsidRDefault="00F477EC" w:rsidP="00F477EC">
      <w:pPr>
        <w:spacing w:before="100" w:beforeAutospacing="1" w:after="100" w:afterAutospacing="1"/>
        <w:ind w:left="540" w:hanging="540"/>
        <w:jc w:val="both"/>
      </w:pPr>
      <w:r w:rsidRPr="00F477EC">
        <w:t xml:space="preserve">Goadsby, P. J., Edvinsson, L., &amp; Ekman, R. (1990). Vasoactive peptide release in the extracerebral circulation of humans during migraine headache. </w:t>
      </w:r>
      <w:r w:rsidRPr="00F477EC">
        <w:rPr>
          <w:i/>
          <w:iCs/>
        </w:rPr>
        <w:t>Annals of Neurology, 28</w:t>
      </w:r>
      <w:r w:rsidRPr="00F477EC">
        <w:t>(2), 183–187. https://doi.org/10.1002/ana.410280213</w:t>
      </w:r>
    </w:p>
    <w:p w14:paraId="6CDA2A57" w14:textId="77777777" w:rsidR="00F477EC" w:rsidRPr="00F477EC" w:rsidRDefault="00F477EC" w:rsidP="00F477EC">
      <w:pPr>
        <w:spacing w:before="100" w:beforeAutospacing="1" w:after="100" w:afterAutospacing="1"/>
        <w:ind w:left="540" w:hanging="540"/>
        <w:jc w:val="both"/>
      </w:pPr>
      <w:r w:rsidRPr="00F477EC">
        <w:t xml:space="preserve">Goadsby, P. J., Reuter, U., Hallström, Y., Broessner, G., Bonner, J. H., Zhang, F., Sapra, S., Picard, H., Mikol, D. D., &amp; Lenz, R. A. (2017). A controlled trial of erenumab for episodic migraine. </w:t>
      </w:r>
      <w:r w:rsidRPr="00F477EC">
        <w:rPr>
          <w:i/>
          <w:iCs/>
        </w:rPr>
        <w:t>New England Journal of Medicine, 377</w:t>
      </w:r>
      <w:r w:rsidRPr="00F477EC">
        <w:t xml:space="preserve">(22), 2123–2132. </w:t>
      </w:r>
      <w:hyperlink r:id="rId16" w:tgtFrame="_new" w:history="1">
        <w:r w:rsidRPr="00F477EC">
          <w:rPr>
            <w:color w:val="0000FF"/>
            <w:u w:val="single"/>
          </w:rPr>
          <w:t>https://doi.org/10.1056/NEJMoa1705848</w:t>
        </w:r>
      </w:hyperlink>
    </w:p>
    <w:p w14:paraId="08974598" w14:textId="77777777" w:rsidR="00F477EC" w:rsidRPr="00F477EC" w:rsidRDefault="00F477EC" w:rsidP="00F477EC">
      <w:pPr>
        <w:spacing w:before="100" w:beforeAutospacing="1" w:after="100" w:afterAutospacing="1"/>
        <w:ind w:left="540" w:hanging="540"/>
        <w:jc w:val="both"/>
      </w:pPr>
      <w:r w:rsidRPr="00F477EC">
        <w:t xml:space="preserve">Goadsby, P. J., Reuter, U., Lanteri-Minet, M., Paiva da Silva Lima, G., Hours-Zesiger, P., Fernandes, C., Wen, S., Tenenbaum, N., Kataria, A., Ferrari, M. D., &amp; Klatt, J. (2021). Long-term efficacy and safety of erenumab: Results from 64 weeks of the LIBERTY study. </w:t>
      </w:r>
      <w:r w:rsidRPr="00F477EC">
        <w:rPr>
          <w:i/>
          <w:iCs/>
        </w:rPr>
        <w:t>Neurology, 96</w:t>
      </w:r>
      <w:r w:rsidRPr="00F477EC">
        <w:t>(22), e2724–e2735. https://doi.org/10.1212/WNL.0000000000012029</w:t>
      </w:r>
    </w:p>
    <w:p w14:paraId="2E55809B" w14:textId="77777777" w:rsidR="00F477EC" w:rsidRPr="00F477EC" w:rsidRDefault="00F477EC" w:rsidP="00F477EC">
      <w:pPr>
        <w:spacing w:before="100" w:beforeAutospacing="1" w:after="100" w:afterAutospacing="1"/>
        <w:ind w:left="540" w:hanging="540"/>
        <w:jc w:val="both"/>
      </w:pPr>
      <w:r w:rsidRPr="00F477EC">
        <w:t xml:space="preserve">Goadsby, P. J., Silberstein, S. D., Yeung, P. P., Cohen, J. M., Ning, X., Yang, R., &amp; Dodick, D. W. (2020). Long-term safety, tolerability, and efficacy of fremanezumab in migraine: </w:t>
      </w:r>
      <w:r w:rsidRPr="00F477EC">
        <w:lastRenderedPageBreak/>
        <w:t xml:space="preserve">A randomized study. </w:t>
      </w:r>
      <w:r w:rsidRPr="00F477EC">
        <w:rPr>
          <w:i/>
          <w:iCs/>
        </w:rPr>
        <w:t>Neurology, 95</w:t>
      </w:r>
      <w:r w:rsidRPr="00F477EC">
        <w:t xml:space="preserve">(18), e2487–e2499. </w:t>
      </w:r>
      <w:hyperlink r:id="rId17" w:tgtFrame="_new" w:history="1">
        <w:r w:rsidRPr="00F477EC">
          <w:rPr>
            <w:color w:val="0000FF"/>
            <w:u w:val="single"/>
          </w:rPr>
          <w:t>https://doi.org/10.1212/WNL.0000000000010600</w:t>
        </w:r>
      </w:hyperlink>
    </w:p>
    <w:p w14:paraId="2133907A" w14:textId="77777777" w:rsidR="00F477EC" w:rsidRPr="00F477EC" w:rsidRDefault="00F477EC" w:rsidP="00F477EC">
      <w:pPr>
        <w:spacing w:before="100" w:beforeAutospacing="1" w:after="100" w:afterAutospacing="1"/>
        <w:ind w:left="540" w:hanging="540"/>
        <w:jc w:val="both"/>
      </w:pPr>
      <w:r w:rsidRPr="00F477EC">
        <w:t xml:space="preserve">Greenhalgh, T., Thorne, S., &amp; Malterud, K. (2018). Time to challenge the spurious hierarchy of systematic over narrative reviews? </w:t>
      </w:r>
      <w:r w:rsidRPr="00F477EC">
        <w:rPr>
          <w:i/>
          <w:iCs/>
        </w:rPr>
        <w:t>European Journal of Clinical Investigation, 48</w:t>
      </w:r>
      <w:r w:rsidRPr="00F477EC">
        <w:t xml:space="preserve">(6), e12931. </w:t>
      </w:r>
      <w:hyperlink r:id="rId18" w:tgtFrame="_new" w:history="1">
        <w:r w:rsidRPr="00F477EC">
          <w:rPr>
            <w:color w:val="0000FF"/>
            <w:u w:val="single"/>
          </w:rPr>
          <w:t>https://doi.org/10.1111/eci.12931</w:t>
        </w:r>
      </w:hyperlink>
    </w:p>
    <w:p w14:paraId="523A6DD0" w14:textId="77777777" w:rsidR="00F477EC" w:rsidRPr="00F477EC" w:rsidRDefault="00F477EC" w:rsidP="00F477EC">
      <w:pPr>
        <w:spacing w:before="100" w:beforeAutospacing="1" w:after="100" w:afterAutospacing="1"/>
        <w:ind w:left="540" w:hanging="540"/>
        <w:jc w:val="both"/>
      </w:pPr>
      <w:r w:rsidRPr="00F477EC">
        <w:t xml:space="preserve">Hershey, A. D., Paiva da Silva Lima, G., Pannacciulli, N., Mackowski, M., Koukakis, R., &amp; McVige, J. W. (2024). Pharmacokinetics and safety of erenumab in pediatric patients with migraine: A phase I, randomized, open-label, multiple-dose study. </w:t>
      </w:r>
      <w:r w:rsidRPr="00F477EC">
        <w:rPr>
          <w:i/>
          <w:iCs/>
        </w:rPr>
        <w:t>Clinical and Translational Science, 17</w:t>
      </w:r>
      <w:r w:rsidRPr="00F477EC">
        <w:t>(3), e13755. https://doi.org/10.1111/cts.13755</w:t>
      </w:r>
    </w:p>
    <w:p w14:paraId="2693A812" w14:textId="77777777" w:rsidR="00F477EC" w:rsidRPr="00F477EC" w:rsidRDefault="00F477EC" w:rsidP="00F477EC">
      <w:pPr>
        <w:spacing w:before="100" w:beforeAutospacing="1" w:after="100" w:afterAutospacing="1"/>
        <w:ind w:left="540" w:hanging="540"/>
        <w:jc w:val="both"/>
      </w:pPr>
      <w:r w:rsidRPr="00F477EC">
        <w:t xml:space="preserve">Ho, T. W., Connor, K. M., Zhang, Y., Pearlman, E., Koppenhaver, J., Fan, X., Lines, C., Edvinsson, L., Goadsby, P. J., &amp; Michelson, D. (2014). Randomized controlled trial of the CGRP receptor antagonist telcagepant for migraine prevention. </w:t>
      </w:r>
      <w:r w:rsidRPr="00F477EC">
        <w:rPr>
          <w:i/>
          <w:iCs/>
        </w:rPr>
        <w:t>Neurology, 83</w:t>
      </w:r>
      <w:r w:rsidRPr="00F477EC">
        <w:t>(11), 958–966. https://doi.org/10.1212/WNL.0000000000000771</w:t>
      </w:r>
    </w:p>
    <w:p w14:paraId="09A37669" w14:textId="77777777" w:rsidR="00F477EC" w:rsidRPr="00F477EC" w:rsidRDefault="00F477EC" w:rsidP="00F477EC">
      <w:pPr>
        <w:spacing w:before="100" w:beforeAutospacing="1" w:after="100" w:afterAutospacing="1"/>
        <w:ind w:left="540" w:hanging="540"/>
        <w:jc w:val="both"/>
      </w:pPr>
      <w:r w:rsidRPr="00F477EC">
        <w:t xml:space="preserve">Hoehne, C. L., Overeem, L. H., Sanchez-Del-Rio, M., Deligianni, C., Gil-Gouveia, R., Versijpt, J., Amin, F. M., Lampl, C., Ryliskiene, K., Tronvik, E., Coppola, G., Holland, P. R., MaassenVanDenBrink, A., Martelletti, P., &amp; Reuter, U. (2026). Decoding the long-term safety of anti-CGRP (receptor) mAbs: A meta-analysis and systematic review. </w:t>
      </w:r>
      <w:r w:rsidRPr="00F477EC">
        <w:rPr>
          <w:i/>
          <w:iCs/>
        </w:rPr>
        <w:t>The Journal of Headache and Pain, 27</w:t>
      </w:r>
      <w:r w:rsidRPr="00F477EC">
        <w:t>(1), 10. https://doi.org/10.1186/s10194-025-02256-0</w:t>
      </w:r>
    </w:p>
    <w:p w14:paraId="5F0252A4" w14:textId="77777777" w:rsidR="00F477EC" w:rsidRPr="00F477EC" w:rsidRDefault="00F477EC" w:rsidP="00F477EC">
      <w:pPr>
        <w:spacing w:before="100" w:beforeAutospacing="1" w:after="100" w:afterAutospacing="1"/>
        <w:ind w:left="540" w:hanging="540"/>
        <w:jc w:val="both"/>
      </w:pPr>
      <w:r w:rsidRPr="00F477EC">
        <w:t xml:space="preserve">Holzer, P., &amp; Holzer-Petsche, U. (2022). Constipation caused by anti-calcitonin gene-related peptide migraine therapeutics explained by antagonism of calcitonin gene-related peptide's motor-stimulating and prosecretory function in the intestine. </w:t>
      </w:r>
      <w:r w:rsidRPr="00F477EC">
        <w:rPr>
          <w:i/>
          <w:iCs/>
        </w:rPr>
        <w:t>Frontiers in Physiology, 12</w:t>
      </w:r>
      <w:r w:rsidRPr="00F477EC">
        <w:t>, 820006. https://doi.org/10.3389/fphys.2021.820006</w:t>
      </w:r>
    </w:p>
    <w:p w14:paraId="772935C4" w14:textId="77777777" w:rsidR="00F477EC" w:rsidRPr="00F477EC" w:rsidRDefault="00F477EC" w:rsidP="00F477EC">
      <w:pPr>
        <w:spacing w:before="100" w:beforeAutospacing="1" w:after="100" w:afterAutospacing="1"/>
        <w:ind w:left="540" w:hanging="540"/>
        <w:jc w:val="both"/>
      </w:pPr>
      <w:r w:rsidRPr="00F477EC">
        <w:t xml:space="preserve">Hutchinson, S., Johnston, E., Nicholson, R. A., Reed, M. L., Buse, D. C., Zagar, A., Kim, G., Muenzel, E. J., Pearlman, E. M., &amp; Lipton, R. B. (2026). Unmet treatment needs in migraine: Results of the OVERCOME (US) study. </w:t>
      </w:r>
      <w:r w:rsidRPr="00F477EC">
        <w:rPr>
          <w:i/>
          <w:iCs/>
        </w:rPr>
        <w:t>Headache: The Journal of Head and Face Pain, 66</w:t>
      </w:r>
      <w:r w:rsidRPr="00F477EC">
        <w:t xml:space="preserve">(4), 896–908. </w:t>
      </w:r>
      <w:hyperlink r:id="rId19" w:tgtFrame="_new" w:history="1">
        <w:r w:rsidRPr="00F477EC">
          <w:rPr>
            <w:color w:val="0000FF"/>
            <w:u w:val="single"/>
          </w:rPr>
          <w:t>https://doi.org/10.1111/head.70043</w:t>
        </w:r>
      </w:hyperlink>
    </w:p>
    <w:p w14:paraId="03009864" w14:textId="77777777" w:rsidR="00F477EC" w:rsidRPr="00F477EC" w:rsidRDefault="00F477EC" w:rsidP="00F477EC">
      <w:pPr>
        <w:spacing w:before="100" w:beforeAutospacing="1" w:after="100" w:afterAutospacing="1"/>
        <w:ind w:left="540" w:hanging="540"/>
        <w:jc w:val="both"/>
      </w:pPr>
      <w:r w:rsidRPr="00F477EC">
        <w:t xml:space="preserve">Jaimes, A., Gómez, A., Pajares, O., &amp; Rodríguez‐Vico, J. (2023). Dual therapy with erenumab and onabotulinumtoxinA: No synergistic effect in chronic migraine. A retrospective cohort study. </w:t>
      </w:r>
      <w:r w:rsidRPr="00F477EC">
        <w:rPr>
          <w:i/>
          <w:iCs/>
        </w:rPr>
        <w:t>Pain Practice, 23</w:t>
      </w:r>
      <w:r w:rsidRPr="00F477EC">
        <w:t>(4), 349–358. https://doi.org/10.1111/papr.13196</w:t>
      </w:r>
    </w:p>
    <w:p w14:paraId="48E2F54A" w14:textId="77777777" w:rsidR="00F477EC" w:rsidRPr="00F477EC" w:rsidRDefault="00F477EC" w:rsidP="00F477EC">
      <w:pPr>
        <w:spacing w:before="100" w:beforeAutospacing="1" w:after="100" w:afterAutospacing="1"/>
        <w:ind w:left="540" w:hanging="540"/>
        <w:jc w:val="both"/>
      </w:pPr>
      <w:r w:rsidRPr="00F477EC">
        <w:rPr>
          <w:lang w:val="nl-BE"/>
        </w:rPr>
        <w:t xml:space="preserve">Jensen, R. H., Lundqvist, C., Schytz, H. W., Tassorelli, C., Vernieri, F., Lanteri-Minet, M., Terwindt, G. M., Blumenfeld, A., Tepper, S. J., Josiassen, M. K., Jansson, G., Ettrup, A., Mittoux, A., &amp; Lipton, R. B. (2026). </w:t>
      </w:r>
      <w:r w:rsidRPr="00F477EC">
        <w:t xml:space="preserve">Eptinezumab with patient education for chronic migraine and medication-overuse headache: The randomized, placebo-controlled RESOLUTION trial. </w:t>
      </w:r>
      <w:r w:rsidRPr="00F477EC">
        <w:rPr>
          <w:i/>
          <w:iCs/>
        </w:rPr>
        <w:t>Neurology, 106</w:t>
      </w:r>
      <w:r w:rsidRPr="00F477EC">
        <w:t>(8), e214863. https://doi.org/10.1212/WNL.0000000000214863</w:t>
      </w:r>
    </w:p>
    <w:p w14:paraId="45E9043B" w14:textId="77777777" w:rsidR="00F477EC" w:rsidRPr="00F477EC" w:rsidRDefault="00F477EC" w:rsidP="00F477EC">
      <w:pPr>
        <w:spacing w:before="100" w:beforeAutospacing="1" w:after="100" w:afterAutospacing="1"/>
        <w:ind w:left="540" w:hanging="540"/>
        <w:jc w:val="both"/>
      </w:pPr>
      <w:r w:rsidRPr="00F477EC">
        <w:t xml:space="preserve">Johnson, M. P., Krikke-Workel, J., Patel, C. N., Morin, S. M., Turner, P. K., Clark, K. A., Donley, D., Jin, Y., Johnson, K. W., Vincent, M., Stille, J. R., Broad, L. M., &amp; Patel, A. (2025). Preclinical and clinical evaluation of LY3451838, a PACAP-neutralizing monoclonal antibody, in randomized, double-blind, placebo-controlled phase 1 and phase 2 studies involving healthy adults and adults with treatment-resistant migraine. </w:t>
      </w:r>
      <w:r w:rsidRPr="00F477EC">
        <w:rPr>
          <w:i/>
          <w:iCs/>
        </w:rPr>
        <w:t>Cephalalgia, 45</w:t>
      </w:r>
      <w:r w:rsidRPr="00F477EC">
        <w:t>(8), 3331024251368757. https://doi.org/10.1177/03331024251368757</w:t>
      </w:r>
    </w:p>
    <w:p w14:paraId="17542EF1" w14:textId="77777777" w:rsidR="00F477EC" w:rsidRPr="00F477EC" w:rsidRDefault="00F477EC" w:rsidP="00F477EC">
      <w:pPr>
        <w:spacing w:before="100" w:beforeAutospacing="1" w:after="100" w:afterAutospacing="1"/>
        <w:ind w:left="540" w:hanging="540"/>
        <w:jc w:val="both"/>
      </w:pPr>
      <w:r w:rsidRPr="00F477EC">
        <w:lastRenderedPageBreak/>
        <w:t xml:space="preserve">Karlsson, W. K., Ashina, M., Christensen, R. H., Al-Khazali, H. M., &amp; Ashina, H. (2025). Clinical predictors for efficacy of erenumab for migraine: A Registry for Migraine (REFORM) study. </w:t>
      </w:r>
      <w:r w:rsidRPr="00F477EC">
        <w:rPr>
          <w:i/>
          <w:iCs/>
        </w:rPr>
        <w:t>Brain Communications, 7</w:t>
      </w:r>
      <w:r w:rsidRPr="00F477EC">
        <w:t xml:space="preserve">(2), fcaf147. </w:t>
      </w:r>
      <w:hyperlink r:id="rId20" w:tgtFrame="_new" w:history="1">
        <w:r w:rsidRPr="00F477EC">
          <w:rPr>
            <w:color w:val="0000FF"/>
            <w:u w:val="single"/>
          </w:rPr>
          <w:t>https://doi.org/10.1093/braincomms/fcaf147</w:t>
        </w:r>
      </w:hyperlink>
    </w:p>
    <w:p w14:paraId="13998F6C" w14:textId="77777777" w:rsidR="00F477EC" w:rsidRPr="00F477EC" w:rsidRDefault="00F477EC" w:rsidP="00F477EC">
      <w:pPr>
        <w:spacing w:before="100" w:beforeAutospacing="1" w:after="100" w:afterAutospacing="1"/>
        <w:ind w:left="540" w:hanging="540"/>
        <w:jc w:val="both"/>
      </w:pPr>
      <w:r w:rsidRPr="00F477EC">
        <w:t xml:space="preserve">Karlsson, W. K., Christensen, R. H., Al-Khazali, H. M., Haanes, K. A., Jørgensen, N. R., Ashina, M., &amp; Ashina, H. (2026). Plasma CGRP levels in migraine: A Registry for Migraine (REFORM) study. </w:t>
      </w:r>
      <w:r w:rsidRPr="00F477EC">
        <w:rPr>
          <w:i/>
          <w:iCs/>
        </w:rPr>
        <w:t>Neurology, 107</w:t>
      </w:r>
      <w:r w:rsidRPr="00F477EC">
        <w:t>(1), e218152. https://doi.org/10.1212/WNL.0000000000218152</w:t>
      </w:r>
    </w:p>
    <w:p w14:paraId="051FDABC" w14:textId="77777777" w:rsidR="00F477EC" w:rsidRPr="00F477EC" w:rsidRDefault="00F477EC" w:rsidP="00F477EC">
      <w:pPr>
        <w:spacing w:before="100" w:beforeAutospacing="1" w:after="100" w:afterAutospacing="1"/>
        <w:ind w:left="540" w:hanging="540"/>
        <w:jc w:val="both"/>
      </w:pPr>
      <w:r w:rsidRPr="00F477EC">
        <w:t xml:space="preserve">Khalili, M., Haghdoost, F., Liaghatdar, A., Torabiardakani, K., Mahdian, F., Atkin-Jones, T., Levit, T., Moradi, S., Hedayati, E., Ahmadi, F., Khademioore, S., Sofi-Mahmudi, A., Patil, V., Fashami, F. M., Mehmandoost, S., Couban, R. J., Prasad, K., Fereshtehnejad, S.-M., &amp; Sadeghirad, B. (2026). Effectiveness and tolerability of pharmacological prophylaxis in migraine patients with prior preventive treatment failure: A systematic review and network meta-analysis of randomized controlled trials. </w:t>
      </w:r>
      <w:r w:rsidRPr="00F477EC">
        <w:rPr>
          <w:i/>
          <w:iCs/>
        </w:rPr>
        <w:t>Cephalalgia, 46</w:t>
      </w:r>
      <w:r w:rsidRPr="00F477EC">
        <w:t>(4), 3331024261441287. https://doi.org/10.1177/03331024261441287</w:t>
      </w:r>
    </w:p>
    <w:p w14:paraId="32171020" w14:textId="77777777" w:rsidR="00F477EC" w:rsidRPr="00F477EC" w:rsidRDefault="00F477EC" w:rsidP="00F477EC">
      <w:pPr>
        <w:spacing w:before="100" w:beforeAutospacing="1" w:after="100" w:afterAutospacing="1"/>
        <w:ind w:left="540" w:hanging="540"/>
        <w:jc w:val="both"/>
      </w:pPr>
      <w:r w:rsidRPr="00F477EC">
        <w:t xml:space="preserve">Koonalintip, P., Yamutai, S., Setthawatcharawanich, S., Thongseiratch, T., Chichareon, P., &amp; Wakerley, B. R. (2025). Network meta-analysis comparing efficacy of different strategies on medication-overuse headache. </w:t>
      </w:r>
      <w:r w:rsidRPr="00F477EC">
        <w:rPr>
          <w:i/>
          <w:iCs/>
        </w:rPr>
        <w:t>The Journal of Headache and Pain, 26</w:t>
      </w:r>
      <w:r w:rsidRPr="00F477EC">
        <w:t>(1), 43. https://doi.org/10.1186/s10194-025-01982-9</w:t>
      </w:r>
    </w:p>
    <w:p w14:paraId="39D26D73" w14:textId="77777777" w:rsidR="00F477EC" w:rsidRPr="00F477EC" w:rsidRDefault="00F477EC" w:rsidP="00F477EC">
      <w:pPr>
        <w:spacing w:before="100" w:beforeAutospacing="1" w:after="100" w:afterAutospacing="1"/>
        <w:ind w:left="540" w:hanging="540"/>
        <w:jc w:val="both"/>
      </w:pPr>
      <w:r w:rsidRPr="00F477EC">
        <w:t xml:space="preserve">Kudrow, D., Nguyen, L., Semler, J., Stroud, C., Samaan, K., Hoban, D. B., Wietecha, L., Hsu, H., &amp; Pearlman, E. (2022). A phase IV clinical trial of gastrointestinal motility in adult patients with migraine before and after initiation of a calcitonin gene-related peptide ligand (galcanezumab) or receptor (erenumab) antagonist. </w:t>
      </w:r>
      <w:r w:rsidRPr="00F477EC">
        <w:rPr>
          <w:i/>
          <w:iCs/>
        </w:rPr>
        <w:t>Headache: The Journal of Head and Face Pain, 62</w:t>
      </w:r>
      <w:r w:rsidRPr="00F477EC">
        <w:t>(9), 1164–1176. https://doi.org/10.1111/head.14390</w:t>
      </w:r>
    </w:p>
    <w:p w14:paraId="58BD95BD" w14:textId="77777777" w:rsidR="00F477EC" w:rsidRPr="00F477EC" w:rsidRDefault="00F477EC" w:rsidP="00F477EC">
      <w:pPr>
        <w:spacing w:before="100" w:beforeAutospacing="1" w:after="100" w:afterAutospacing="1"/>
        <w:ind w:left="540" w:hanging="540"/>
        <w:jc w:val="both"/>
      </w:pPr>
      <w:r w:rsidRPr="00F477EC">
        <w:t xml:space="preserve">Kudrow, D., Pascual, J., Winner, P. K., Dodick, D. W., Tepper, S. J., Reuter, U., Hong, F., Klatt, J., Zhang, F., Cheng, S., Picard, H., Eisele, O., Wang, J., Latham, J. N., &amp; Mikol, D. D. (2020). Vascular safety of erenumab for migraine prevention. </w:t>
      </w:r>
      <w:r w:rsidRPr="00F477EC">
        <w:rPr>
          <w:i/>
          <w:iCs/>
        </w:rPr>
        <w:t>Neurology, 94</w:t>
      </w:r>
      <w:r w:rsidRPr="00F477EC">
        <w:t>(5), e497–e510. https://doi.org/10.1212/WNL.0000000000008743</w:t>
      </w:r>
    </w:p>
    <w:p w14:paraId="7C266001" w14:textId="77777777" w:rsidR="00F477EC" w:rsidRPr="00F477EC" w:rsidRDefault="00F477EC" w:rsidP="00F477EC">
      <w:pPr>
        <w:spacing w:before="100" w:beforeAutospacing="1" w:after="100" w:afterAutospacing="1"/>
        <w:ind w:left="540" w:hanging="540"/>
        <w:jc w:val="both"/>
      </w:pPr>
      <w:r w:rsidRPr="00F477EC">
        <w:t xml:space="preserve">Labastida-Ramírez, A., Caronna, E., Gollion, C., Stanyer, E., Dapkute, A., Braniste, D., Naghshineh, H., Meksa, L., Chkhitunidze, N., Gudadze, T., Pozo-Rosich, P., Burstein, R., &amp; Hoffmann, J. (2023). Mode and site of action of therapies targeting CGRP signaling. </w:t>
      </w:r>
      <w:r w:rsidRPr="00F477EC">
        <w:rPr>
          <w:i/>
          <w:iCs/>
        </w:rPr>
        <w:t>The Journal of Headache and Pain, 24</w:t>
      </w:r>
      <w:r w:rsidRPr="00F477EC">
        <w:t>(1), 125. https://doi.org/10.1186/s10194-023-01644-8</w:t>
      </w:r>
    </w:p>
    <w:p w14:paraId="673DF93A" w14:textId="77777777" w:rsidR="00F477EC" w:rsidRPr="00F477EC" w:rsidRDefault="00F477EC" w:rsidP="00F477EC">
      <w:pPr>
        <w:spacing w:before="100" w:beforeAutospacing="1" w:after="100" w:afterAutospacing="1"/>
        <w:ind w:left="540" w:hanging="540"/>
        <w:jc w:val="both"/>
      </w:pPr>
      <w:r w:rsidRPr="00F477EC">
        <w:t xml:space="preserve">Lampl, C., MaassenVanDenBrink, A., Deligianni, C. I., Gil-Gouveia, R., Jassal, T., Sanchez-del-Rio, M., Reuter, U., Uluduz, D., Versijpt, J., Zeraatkar, D., &amp; Sacco, S. (2023). The comparative effectiveness of migraine preventive drugs: A systematic review and network meta-analysis. </w:t>
      </w:r>
      <w:r w:rsidRPr="00F477EC">
        <w:rPr>
          <w:i/>
          <w:iCs/>
        </w:rPr>
        <w:t>The Journal of Headache and Pain, 24</w:t>
      </w:r>
      <w:r w:rsidRPr="00F477EC">
        <w:t>(1), 56. https://doi.org/10.1186/s10194-023-01594-1</w:t>
      </w:r>
    </w:p>
    <w:p w14:paraId="4F8F1171" w14:textId="77777777" w:rsidR="00F477EC" w:rsidRPr="00F477EC" w:rsidRDefault="00F477EC" w:rsidP="00F477EC">
      <w:pPr>
        <w:spacing w:before="100" w:beforeAutospacing="1" w:after="100" w:afterAutospacing="1"/>
        <w:ind w:left="540" w:hanging="540"/>
        <w:jc w:val="both"/>
      </w:pPr>
      <w:r w:rsidRPr="00F477EC">
        <w:t xml:space="preserve">Lassen, L., Haderslev, P., Jacobsen, V., Iversen, H., Sperling, B., &amp; Olesen, J. (2002). CGRP may play a causative role in migraine. </w:t>
      </w:r>
      <w:r w:rsidRPr="00F477EC">
        <w:rPr>
          <w:i/>
          <w:iCs/>
        </w:rPr>
        <w:t>Cephalalgia, 22</w:t>
      </w:r>
      <w:r w:rsidRPr="00F477EC">
        <w:t>(1), 54–61. https://doi.org/10.1046/j.1468-2982.2002.00310.x</w:t>
      </w:r>
    </w:p>
    <w:p w14:paraId="3E9D010E" w14:textId="77777777" w:rsidR="00F477EC" w:rsidRPr="00F477EC" w:rsidRDefault="00F477EC" w:rsidP="00F477EC">
      <w:pPr>
        <w:spacing w:before="100" w:beforeAutospacing="1" w:after="100" w:afterAutospacing="1"/>
        <w:ind w:left="540" w:hanging="540"/>
        <w:jc w:val="both"/>
      </w:pPr>
      <w:r w:rsidRPr="00F477EC">
        <w:lastRenderedPageBreak/>
        <w:t xml:space="preserve">Lim, C. N., Mo, G., Bhardwaj, R., Comisar, C. M., Emerson, B. L., Matschke, K. T., Fisniku, O., Bertz, R., Croop, R., &amp; Liu, J. (2026). A phase 1, multicenter, open-label study to evaluate the pharmacokinetics, safety, and tolerability of a single dose of rimegepant in children (aged ≥6 to &lt;12 years) with a history of migraine. </w:t>
      </w:r>
      <w:r w:rsidRPr="00F477EC">
        <w:rPr>
          <w:i/>
          <w:iCs/>
        </w:rPr>
        <w:t>Headache: The Journal of Head and Face Pain, 66</w:t>
      </w:r>
      <w:r w:rsidRPr="00F477EC">
        <w:t xml:space="preserve">(1), 202–212. </w:t>
      </w:r>
      <w:hyperlink r:id="rId21" w:tgtFrame="_new" w:history="1">
        <w:r w:rsidRPr="00F477EC">
          <w:rPr>
            <w:color w:val="0000FF"/>
            <w:u w:val="single"/>
          </w:rPr>
          <w:t>https://doi.org/10.1111/head.15074</w:t>
        </w:r>
      </w:hyperlink>
    </w:p>
    <w:p w14:paraId="283E4A3B" w14:textId="77777777" w:rsidR="00F477EC" w:rsidRPr="00F477EC" w:rsidRDefault="00F477EC" w:rsidP="00F477EC">
      <w:pPr>
        <w:spacing w:before="100" w:beforeAutospacing="1" w:after="100" w:afterAutospacing="1"/>
        <w:ind w:left="540" w:hanging="540"/>
        <w:jc w:val="both"/>
      </w:pPr>
      <w:r w:rsidRPr="00F477EC">
        <w:t xml:space="preserve">Lipton, R. B., Croop, R., Stock, D. A., Madonia, J., Forshaw, M., Lovegren, M., Mosher, L., Coric, V., &amp; Goadsby, P. J. (2023). Safety, tolerability, and efficacy of zavegepant 10 mg nasal spray for the acute treatment of migraine in the USA: A phase 3, double-blind, randomised, placebo-controlled multicentre trial. </w:t>
      </w:r>
      <w:r w:rsidRPr="00F477EC">
        <w:rPr>
          <w:i/>
          <w:iCs/>
        </w:rPr>
        <w:t>The Lancet Neurology, 22</w:t>
      </w:r>
      <w:r w:rsidRPr="00F477EC">
        <w:t>(3), 209–217. https://doi.org/10.1016/S1474-4422(22)00517-8</w:t>
      </w:r>
    </w:p>
    <w:p w14:paraId="78B29298" w14:textId="77777777" w:rsidR="00F477EC" w:rsidRPr="00F477EC" w:rsidRDefault="00F477EC" w:rsidP="00F477EC">
      <w:pPr>
        <w:spacing w:before="100" w:beforeAutospacing="1" w:after="100" w:afterAutospacing="1"/>
        <w:ind w:left="540" w:hanging="540"/>
        <w:jc w:val="both"/>
      </w:pPr>
      <w:r w:rsidRPr="00F477EC">
        <w:t xml:space="preserve">Lipton, R. B., Croop, R., Stock, E. G., Stock, D. A., Morris, B. A., Frost, M., Dubowchik, G. M., Conway, C. M., Coric, V., &amp; Goadsby, P. J. (2019b). Rimegepant, an oral calcitonin gene-related peptide receptor antagonist, for migraine. </w:t>
      </w:r>
      <w:r w:rsidRPr="00F477EC">
        <w:rPr>
          <w:i/>
          <w:iCs/>
        </w:rPr>
        <w:t>New England Journal of Medicine, 381</w:t>
      </w:r>
      <w:r w:rsidRPr="00F477EC">
        <w:t>(2), 142–149. https://doi.org/10.1056/NEJMoa1811090</w:t>
      </w:r>
    </w:p>
    <w:p w14:paraId="75AED743" w14:textId="77777777" w:rsidR="00F477EC" w:rsidRPr="00F477EC" w:rsidRDefault="00F477EC" w:rsidP="00F477EC">
      <w:pPr>
        <w:spacing w:before="100" w:beforeAutospacing="1" w:after="100" w:afterAutospacing="1"/>
        <w:ind w:left="540" w:hanging="540"/>
        <w:jc w:val="both"/>
      </w:pPr>
      <w:r w:rsidRPr="00F477EC">
        <w:t xml:space="preserve">Lipton, R. B., Dodick, D. W., Ailani, J., Lu, K., Finnegan, M., Szegedi, A., &amp; Trugman, J. M. (2019a). Effect of ubrogepant vs placebo on pain and the most bothersome associated symptom in the acute treatment of migraine: The ACHIEVE II randomized clinical trial. </w:t>
      </w:r>
      <w:r w:rsidRPr="00F477EC">
        <w:rPr>
          <w:i/>
          <w:iCs/>
        </w:rPr>
        <w:t>JAMA, 322</w:t>
      </w:r>
      <w:r w:rsidRPr="00F477EC">
        <w:t xml:space="preserve">(19), 1887–1898. </w:t>
      </w:r>
      <w:hyperlink r:id="rId22" w:tgtFrame="_new" w:history="1">
        <w:r w:rsidRPr="00F477EC">
          <w:rPr>
            <w:color w:val="0000FF"/>
            <w:u w:val="single"/>
          </w:rPr>
          <w:t>https://doi.org/10.1001/jama.2019.16711</w:t>
        </w:r>
      </w:hyperlink>
    </w:p>
    <w:p w14:paraId="4F8523E5" w14:textId="77777777" w:rsidR="00F477EC" w:rsidRPr="00F477EC" w:rsidRDefault="00F477EC" w:rsidP="00F477EC">
      <w:pPr>
        <w:spacing w:before="100" w:beforeAutospacing="1" w:after="100" w:afterAutospacing="1"/>
        <w:ind w:left="540" w:hanging="540"/>
        <w:jc w:val="both"/>
      </w:pPr>
      <w:r w:rsidRPr="00F477EC">
        <w:t xml:space="preserve">Lipton, R. B., Goadsby, P. J., Smith, J., Schaeffler, B. A., Biondi, D. M., Hirman, J., Pederson, S., Allan, B., &amp; Cady, R. (2020). Efficacy and safety of eptinezumab in patients with chronic migraine: PROMISE-2. </w:t>
      </w:r>
      <w:r w:rsidRPr="00F477EC">
        <w:rPr>
          <w:i/>
          <w:iCs/>
        </w:rPr>
        <w:t>Neurology, 94</w:t>
      </w:r>
      <w:r w:rsidRPr="00F477EC">
        <w:t xml:space="preserve">(13), e1365–e1377. </w:t>
      </w:r>
      <w:hyperlink r:id="rId23" w:tgtFrame="_new" w:history="1">
        <w:r w:rsidRPr="00F477EC">
          <w:rPr>
            <w:color w:val="0000FF"/>
            <w:u w:val="single"/>
          </w:rPr>
          <w:t>https://doi.org/10.1212/WNL.0000000000009169</w:t>
        </w:r>
      </w:hyperlink>
    </w:p>
    <w:p w14:paraId="41BEDA17" w14:textId="77777777" w:rsidR="00F477EC" w:rsidRPr="00F477EC" w:rsidRDefault="00F477EC" w:rsidP="00F477EC">
      <w:pPr>
        <w:spacing w:before="100" w:beforeAutospacing="1" w:after="100" w:afterAutospacing="1"/>
        <w:ind w:left="540" w:hanging="540"/>
        <w:jc w:val="both"/>
      </w:pPr>
      <w:r w:rsidRPr="00F477EC">
        <w:t xml:space="preserve">Lipton, R. B., Nicholson, R. A., Reed, M. L., Araujo, A. B., Jaffe, D. H., Faries, D. E., Buse, D. C., Shapiro, R. E., Ashina, S., Cambron‐Mellott, M. J., Rowland, J. C., &amp; Pearlman, E. M. (2022). Diagnosis, consultation, treatment, and impact of migraine in the US: Results of the OVERCOME (US) study. </w:t>
      </w:r>
      <w:r w:rsidRPr="00F477EC">
        <w:rPr>
          <w:i/>
          <w:iCs/>
        </w:rPr>
        <w:t>Headache: The Journal of Head and Face Pain, 62</w:t>
      </w:r>
      <w:r w:rsidRPr="00F477EC">
        <w:t xml:space="preserve">(2), 122–140. </w:t>
      </w:r>
      <w:hyperlink r:id="rId24" w:tgtFrame="_new" w:history="1">
        <w:r w:rsidRPr="00F477EC">
          <w:rPr>
            <w:color w:val="0000FF"/>
            <w:u w:val="single"/>
          </w:rPr>
          <w:t>https://doi.org/10.1111/head.14259</w:t>
        </w:r>
      </w:hyperlink>
    </w:p>
    <w:p w14:paraId="51C16C49" w14:textId="77777777" w:rsidR="00F477EC" w:rsidRPr="00F477EC" w:rsidRDefault="00F477EC" w:rsidP="00F477EC">
      <w:pPr>
        <w:spacing w:before="100" w:beforeAutospacing="1" w:after="100" w:afterAutospacing="1"/>
        <w:ind w:left="540" w:hanging="540"/>
        <w:jc w:val="both"/>
      </w:pPr>
      <w:r w:rsidRPr="00F477EC">
        <w:t xml:space="preserve">Lipton, R. B., Ramirez Campos, V., Roth-Ben Arie, Z., Galic, M., Mitsikostas, D., Tassorelli, C., Denysenko, L., &amp; Cohen, J. M. (2025). Fremanezumab for the treatment of patients with migraine and comorbid major depressive disorder: The UNITE randomized clinical trial. </w:t>
      </w:r>
      <w:r w:rsidRPr="00F477EC">
        <w:rPr>
          <w:i/>
          <w:iCs/>
        </w:rPr>
        <w:t>JAMA Neurology, 82</w:t>
      </w:r>
      <w:r w:rsidRPr="00F477EC">
        <w:t xml:space="preserve">(6), 560–569. </w:t>
      </w:r>
      <w:hyperlink r:id="rId25" w:tgtFrame="_new" w:history="1">
        <w:r w:rsidRPr="00F477EC">
          <w:rPr>
            <w:color w:val="0000FF"/>
            <w:u w:val="single"/>
          </w:rPr>
          <w:t>https://doi.org/10.1001/jamaneurol.2025.0806</w:t>
        </w:r>
      </w:hyperlink>
    </w:p>
    <w:p w14:paraId="046414C0" w14:textId="77777777" w:rsidR="00F477EC" w:rsidRPr="00F477EC" w:rsidRDefault="00F477EC" w:rsidP="00F477EC">
      <w:pPr>
        <w:spacing w:before="100" w:beforeAutospacing="1" w:after="100" w:afterAutospacing="1"/>
        <w:ind w:left="540" w:hanging="540"/>
        <w:jc w:val="both"/>
      </w:pPr>
      <w:r w:rsidRPr="00F477EC">
        <w:t xml:space="preserve">Lipton, R. B., Tepper, S. J., Silberstein, S. D., Kudrow, D., Ashina, M., Reuter, U., Dodick, D. W., Zhang, F., Rippon, G. A., Cheng, S., &amp; Mikol, D. D. (2021). Reversion from chronic migraine to episodic migraine following treatment with erenumab: Results of a post-hoc analysis of a randomized, 12-week, double-blind study and a 52-week, open-label extension. </w:t>
      </w:r>
      <w:r w:rsidRPr="00F477EC">
        <w:rPr>
          <w:i/>
          <w:iCs/>
        </w:rPr>
        <w:t>Cephalalgia, 41</w:t>
      </w:r>
      <w:r w:rsidRPr="00F477EC">
        <w:t>(1), 6–16. https://doi.org/10.1177/0333102420973994</w:t>
      </w:r>
    </w:p>
    <w:p w14:paraId="0E7CB044" w14:textId="77777777" w:rsidR="00F477EC" w:rsidRPr="00F477EC" w:rsidRDefault="00F477EC" w:rsidP="00F477EC">
      <w:pPr>
        <w:spacing w:before="100" w:beforeAutospacing="1" w:after="100" w:afterAutospacing="1"/>
        <w:ind w:left="540" w:hanging="540"/>
        <w:jc w:val="both"/>
      </w:pPr>
      <w:r w:rsidRPr="00F477EC">
        <w:t xml:space="preserve">MaassenVanDenBrink, A., Meijer, J., Villalón, C. M., &amp; Ferrari, M. D. (2016). Wiping out CGRP: Potential cardiovascular risks. </w:t>
      </w:r>
      <w:r w:rsidRPr="00F477EC">
        <w:rPr>
          <w:i/>
          <w:iCs/>
        </w:rPr>
        <w:t>Trends in Pharmacological Sciences, 37</w:t>
      </w:r>
      <w:r w:rsidRPr="00F477EC">
        <w:t>(9), 779–788. https://doi.org/10.1016/j.tips.2016.06.002</w:t>
      </w:r>
    </w:p>
    <w:p w14:paraId="6082E21D" w14:textId="77777777" w:rsidR="00F477EC" w:rsidRPr="00F477EC" w:rsidRDefault="00F477EC" w:rsidP="00F477EC">
      <w:pPr>
        <w:spacing w:before="100" w:beforeAutospacing="1" w:after="100" w:afterAutospacing="1"/>
        <w:ind w:left="540" w:hanging="540"/>
        <w:jc w:val="both"/>
      </w:pPr>
      <w:r w:rsidRPr="00F477EC">
        <w:t xml:space="preserve">Makita, L. M., de Kleimmann, R. D. F., de Oliveira, R. R., Neves, H. A. F., Corso, A. M. S., Alves, V. S., Kojima, G. S. A., Koppanatham, A., Kowacs, P. A., &amp; Piovesan, E. J. </w:t>
      </w:r>
      <w:r w:rsidRPr="00F477EC">
        <w:lastRenderedPageBreak/>
        <w:t xml:space="preserve">(2025). Assessing blood pressure changes and hypertension-related outcomes in patients with migraine treated with erenumab: A systematic review and meta-analysis. </w:t>
      </w:r>
      <w:r w:rsidRPr="00F477EC">
        <w:rPr>
          <w:i/>
          <w:iCs/>
        </w:rPr>
        <w:t>Headache: The Journal of Head and Face Pain, 65</w:t>
      </w:r>
      <w:r w:rsidRPr="00F477EC">
        <w:t xml:space="preserve">(5), 871–882. </w:t>
      </w:r>
      <w:hyperlink r:id="rId26" w:tgtFrame="_new" w:history="1">
        <w:r w:rsidRPr="00F477EC">
          <w:rPr>
            <w:color w:val="0000FF"/>
            <w:u w:val="single"/>
          </w:rPr>
          <w:t>https://doi.org/10.1111/head.14921</w:t>
        </w:r>
      </w:hyperlink>
    </w:p>
    <w:p w14:paraId="18296255" w14:textId="77777777" w:rsidR="00F477EC" w:rsidRPr="00F477EC" w:rsidRDefault="00F477EC" w:rsidP="00F477EC">
      <w:pPr>
        <w:spacing w:before="100" w:beforeAutospacing="1" w:after="100" w:afterAutospacing="1"/>
        <w:ind w:left="540" w:hanging="540"/>
        <w:jc w:val="both"/>
      </w:pPr>
      <w:r w:rsidRPr="00F477EC">
        <w:t xml:space="preserve">Makita, L. M., Fagundes, T. P., Reginato, P. H., Carpinelli, L. P., de Freitas Morais, G., Montanarin, R. T., de Freitas Kleimmann, R., Streit, R. E., Koppanatham, A., Rodrigues, A. C. S., &amp; Piovesan, E. J. (2026). Estimating changes in clinical outcomes after discontinuation of anti-CGRP targeting therapy for migraine prophylaxis: A systematic review and meta-analysis. </w:t>
      </w:r>
      <w:r w:rsidRPr="00F477EC">
        <w:rPr>
          <w:i/>
          <w:iCs/>
        </w:rPr>
        <w:t>CNS Drugs, 40</w:t>
      </w:r>
      <w:r w:rsidRPr="00F477EC">
        <w:t>(1), 71–82. https://doi.org/10.1007/s40263-025-01233-0</w:t>
      </w:r>
    </w:p>
    <w:p w14:paraId="06AE0AA8" w14:textId="77777777" w:rsidR="00F477EC" w:rsidRPr="00F477EC" w:rsidRDefault="00F477EC" w:rsidP="00F477EC">
      <w:pPr>
        <w:spacing w:before="100" w:beforeAutospacing="1" w:after="100" w:afterAutospacing="1"/>
        <w:ind w:left="540" w:hanging="540"/>
        <w:jc w:val="both"/>
      </w:pPr>
      <w:r w:rsidRPr="00F477EC">
        <w:t xml:space="preserve">Mas-de-les-Valls, R., Gómez-Dabó, L., Caronna, E., Gallardo, V. J., Alpuente, A., Torres-Ferrus, M., &amp; Pozo-Rosich, P. (2025). Effectiveness of anti-CGRP monoclonal antibodies and onabotulinumtoxinA in menstrually-related migraine: The unmet need of perimenstrual headache days. </w:t>
      </w:r>
      <w:r w:rsidRPr="00F477EC">
        <w:rPr>
          <w:i/>
          <w:iCs/>
        </w:rPr>
        <w:t>Cephalalgia, 45</w:t>
      </w:r>
      <w:r w:rsidRPr="00F477EC">
        <w:t>(4), 3331024251332519. https://doi.org/10.1177/03331024251332519</w:t>
      </w:r>
    </w:p>
    <w:p w14:paraId="5DDB9636" w14:textId="77777777" w:rsidR="00F477EC" w:rsidRPr="00F477EC" w:rsidRDefault="00F477EC" w:rsidP="00F477EC">
      <w:pPr>
        <w:spacing w:before="100" w:beforeAutospacing="1" w:after="100" w:afterAutospacing="1"/>
        <w:ind w:left="540" w:hanging="540"/>
        <w:jc w:val="both"/>
      </w:pPr>
      <w:r w:rsidRPr="00F477EC">
        <w:t xml:space="preserve">Messina, R., Huessler, E.-M., Puledda, F., Haghdoost, F., Lebedeva, E. R., &amp; Diener, H.-C. (2023). Safety and tolerability of monoclonal antibodies targeting the CGRP pathway and gepants in migraine prevention: A systematic review and network meta-analysis. </w:t>
      </w:r>
      <w:r w:rsidRPr="00F477EC">
        <w:rPr>
          <w:i/>
          <w:iCs/>
        </w:rPr>
        <w:t>Cephalalgia, 43</w:t>
      </w:r>
      <w:r w:rsidRPr="00F477EC">
        <w:t>(3), 3331024231152169. https://doi.org/10.1177/03331024231152169</w:t>
      </w:r>
    </w:p>
    <w:p w14:paraId="4C1E84E3" w14:textId="77777777" w:rsidR="00F477EC" w:rsidRPr="00F477EC" w:rsidRDefault="00F477EC" w:rsidP="00F477EC">
      <w:pPr>
        <w:spacing w:before="100" w:beforeAutospacing="1" w:after="100" w:afterAutospacing="1"/>
        <w:ind w:left="540" w:hanging="540"/>
        <w:jc w:val="both"/>
      </w:pPr>
      <w:r w:rsidRPr="00F477EC">
        <w:t xml:space="preserve">Moriarty, M. A., &amp; Barch, C. A. (2025). Gepants in primary care: A targeted approach to acute and preventive treatment of migraine. </w:t>
      </w:r>
      <w:r w:rsidRPr="00F477EC">
        <w:rPr>
          <w:i/>
          <w:iCs/>
        </w:rPr>
        <w:t>Pain and Therapy, 14</w:t>
      </w:r>
      <w:r w:rsidRPr="00F477EC">
        <w:t xml:space="preserve">(4), 1263–1278. </w:t>
      </w:r>
      <w:hyperlink r:id="rId27" w:tgtFrame="_new" w:history="1">
        <w:r w:rsidRPr="00F477EC">
          <w:rPr>
            <w:color w:val="0000FF"/>
            <w:u w:val="single"/>
          </w:rPr>
          <w:t>https://doi.org/10.1007/s40122-025-00757-z</w:t>
        </w:r>
      </w:hyperlink>
    </w:p>
    <w:p w14:paraId="49DCC830" w14:textId="77777777" w:rsidR="00F477EC" w:rsidRPr="00F477EC" w:rsidRDefault="00F477EC" w:rsidP="00F477EC">
      <w:pPr>
        <w:spacing w:before="100" w:beforeAutospacing="1" w:after="100" w:afterAutospacing="1"/>
        <w:ind w:left="540" w:hanging="540"/>
        <w:jc w:val="both"/>
      </w:pPr>
      <w:r w:rsidRPr="00F477EC">
        <w:t xml:space="preserve">Mulleners, W. M., Kim, B.-K., Láinez, M. J. A., Lanteri-Minet, M., Pozo-Rosich, P., Wang, S., Tockhorn-Heidenreich, A., Aurora, S. K., Nichols, R. M., Yunes-Medina, L., &amp; Detke, H. C. (2020). Safety and efficacy of galcanezumab in patients for whom previous migraine preventive medication from two to four categories had failed (CONQUER): A multicentre, randomised, double-blind, placebo-controlled, phase 3b trial. </w:t>
      </w:r>
      <w:r w:rsidRPr="00F477EC">
        <w:rPr>
          <w:i/>
          <w:iCs/>
        </w:rPr>
        <w:t>The Lancet Neurology, 19</w:t>
      </w:r>
      <w:r w:rsidRPr="00F477EC">
        <w:t>(10), 814–825. https://doi.org/10.1016/S1474-4422(20)30279-9</w:t>
      </w:r>
    </w:p>
    <w:p w14:paraId="35F8BD78" w14:textId="77777777" w:rsidR="00F477EC" w:rsidRPr="00F477EC" w:rsidRDefault="00F477EC" w:rsidP="00F477EC">
      <w:pPr>
        <w:spacing w:before="100" w:beforeAutospacing="1" w:after="100" w:afterAutospacing="1"/>
        <w:ind w:left="540" w:hanging="540"/>
        <w:jc w:val="both"/>
      </w:pPr>
      <w:r w:rsidRPr="00F477EC">
        <w:t xml:space="preserve">Muñoz-Vendrell, A., Campoy-Díaz, S., Valín-Villanueva, P., Casas-Limón, J., Fernández-Lázaro, I., González-García, N., Santos-Lasaosa, S., González Osorio, Y., Gonzalez-Martinez, A., Campdelacreu, J., Portocarrero-Sánchez, L., Cano Sánchez, L. M., García Sánchez, S. M., Pérez-de-la-parte, A., Morollón Sánchez-Mateos, N., López-Bravo, A., Mínguez-Olaondo, A., Sánchez-Soblechero, A., Lozano Ros, A., ... Huerta-Villanueva, M. (2026). Atogepant after anti-CGRP monoclonal antibodies failure in migraine: A multicenter real-world study of effectiveness, safety, persistence and predictors of response. </w:t>
      </w:r>
      <w:r w:rsidRPr="00F477EC">
        <w:rPr>
          <w:i/>
          <w:iCs/>
        </w:rPr>
        <w:t>The Journal of Headache and Pain, 27</w:t>
      </w:r>
      <w:r w:rsidRPr="00F477EC">
        <w:t>(1), 2. https://doi.org/10.1186/s10194-025-02239-1</w:t>
      </w:r>
    </w:p>
    <w:p w14:paraId="0CD5FBC1" w14:textId="77777777" w:rsidR="00F477EC" w:rsidRPr="00F477EC" w:rsidRDefault="00F477EC" w:rsidP="00F477EC">
      <w:pPr>
        <w:spacing w:before="100" w:beforeAutospacing="1" w:after="100" w:afterAutospacing="1"/>
        <w:ind w:left="540" w:hanging="540"/>
        <w:jc w:val="both"/>
      </w:pPr>
      <w:r w:rsidRPr="00F477EC">
        <w:t xml:space="preserve">Nahas, S. J., Naegel, S., Cohen, J. M., Ning, X., Janka, L., Campos, V. R., Krasenbaum, L. J., Holle-Lee, D., Kudrow, D., &amp; Lampl, C. (2021). Efficacy and safety of fremanezumab in clinical trial participants aged ≥60 years with episodic or chronic migraine: Pooled results from 3 randomized, double-blind, placebo-controlled phase 3 studies. </w:t>
      </w:r>
      <w:r w:rsidRPr="00F477EC">
        <w:rPr>
          <w:i/>
          <w:iCs/>
        </w:rPr>
        <w:t>The Journal of Headache and Pain, 22</w:t>
      </w:r>
      <w:r w:rsidRPr="00F477EC">
        <w:t>(1), 141. https://doi.org/10.1186/s10194-021-01351-2</w:t>
      </w:r>
    </w:p>
    <w:p w14:paraId="0827CF91" w14:textId="77777777" w:rsidR="00F477EC" w:rsidRPr="00F477EC" w:rsidRDefault="00F477EC" w:rsidP="00F477EC">
      <w:pPr>
        <w:spacing w:before="100" w:beforeAutospacing="1" w:after="100" w:afterAutospacing="1"/>
        <w:ind w:left="540" w:hanging="540"/>
        <w:jc w:val="both"/>
      </w:pPr>
      <w:r w:rsidRPr="00F477EC">
        <w:lastRenderedPageBreak/>
        <w:t xml:space="preserve">Nandyala, A. S., Tan, K., Africk, B., Graber-Naidich, A., Zhang, N., He, Z., &amp; Moskatel, L. S. (2025). Socioeconomic factors associated with migraine medication prescription at a tertiary headache center: A retrospective cohort analysis. </w:t>
      </w:r>
      <w:r w:rsidRPr="00F477EC">
        <w:rPr>
          <w:i/>
          <w:iCs/>
        </w:rPr>
        <w:t>Neurology: Clinical Practice, 15</w:t>
      </w:r>
      <w:r w:rsidRPr="00F477EC">
        <w:t>(5), e200517. https://doi.org/10.1212/CPJ.0000000000200517</w:t>
      </w:r>
    </w:p>
    <w:p w14:paraId="7A52A6D8" w14:textId="77777777" w:rsidR="00F477EC" w:rsidRPr="00F477EC" w:rsidRDefault="00F477EC" w:rsidP="00F477EC">
      <w:pPr>
        <w:spacing w:before="100" w:beforeAutospacing="1" w:after="100" w:afterAutospacing="1"/>
        <w:ind w:left="540" w:hanging="540"/>
        <w:jc w:val="both"/>
      </w:pPr>
      <w:r w:rsidRPr="00F477EC">
        <w:t xml:space="preserve">Nicol, K. S., &amp; Burkett, J. G. (2025). Review: An update on CGRP monoclonal antibodies for the preventive treatment of episodic migraine. </w:t>
      </w:r>
      <w:r w:rsidRPr="00F477EC">
        <w:rPr>
          <w:i/>
          <w:iCs/>
        </w:rPr>
        <w:t>Current Pain and Headache Reports, 29</w:t>
      </w:r>
      <w:r w:rsidRPr="00F477EC">
        <w:t xml:space="preserve">, 55. </w:t>
      </w:r>
      <w:hyperlink r:id="rId28" w:tgtFrame="_new" w:history="1">
        <w:r w:rsidRPr="00F477EC">
          <w:rPr>
            <w:color w:val="0000FF"/>
            <w:u w:val="single"/>
          </w:rPr>
          <w:t>https://doi.org/10.1007/s11916-025-01365-4</w:t>
        </w:r>
      </w:hyperlink>
    </w:p>
    <w:p w14:paraId="4FD79D03" w14:textId="77777777" w:rsidR="00F477EC" w:rsidRPr="00F477EC" w:rsidRDefault="00F477EC" w:rsidP="00F477EC">
      <w:pPr>
        <w:spacing w:before="100" w:beforeAutospacing="1" w:after="100" w:afterAutospacing="1"/>
        <w:ind w:left="540" w:hanging="540"/>
        <w:jc w:val="both"/>
      </w:pPr>
      <w:r w:rsidRPr="00F477EC">
        <w:t xml:space="preserve">Noseda, R., Bedussi, F., Gobbi, C., Ceschi, A., &amp; Zecca, C. (2023). Safety profile of monoclonal antibodies targeting the calcitonin gene-related peptide system in pregnancy: Updated analysis in VigiBase. </w:t>
      </w:r>
      <w:r w:rsidRPr="00F477EC">
        <w:rPr>
          <w:i/>
          <w:iCs/>
        </w:rPr>
        <w:t>Cephalalgia, 43</w:t>
      </w:r>
      <w:r w:rsidRPr="00F477EC">
        <w:t>(4), 3331024231158083. https://doi.org/10.1177/03331024231158083</w:t>
      </w:r>
    </w:p>
    <w:p w14:paraId="1DAF4F56" w14:textId="77777777" w:rsidR="00F477EC" w:rsidRPr="00F477EC" w:rsidRDefault="00F477EC" w:rsidP="00F477EC">
      <w:pPr>
        <w:spacing w:before="100" w:beforeAutospacing="1" w:after="100" w:afterAutospacing="1"/>
        <w:ind w:left="540" w:hanging="540"/>
        <w:jc w:val="both"/>
      </w:pPr>
      <w:r w:rsidRPr="00F477EC">
        <w:t xml:space="preserve">Olesen, J., Diener, H.-C., Husstedt, I. W., Goadsby, P. J., Hall, D., Meier, U., Pollentier, S., &amp; Lesko, L. M. (2004). Calcitonin gene-related peptide receptor antagonist BIBN 4096 BS for the acute treatment of migraine. </w:t>
      </w:r>
      <w:r w:rsidRPr="00F477EC">
        <w:rPr>
          <w:i/>
          <w:iCs/>
        </w:rPr>
        <w:t>New England Journal of Medicine, 350</w:t>
      </w:r>
      <w:r w:rsidRPr="00F477EC">
        <w:t>(11), 1104–1110. https://doi.org/10.1056/NEJMoa030505</w:t>
      </w:r>
    </w:p>
    <w:p w14:paraId="69836883" w14:textId="77777777" w:rsidR="00F477EC" w:rsidRPr="00F477EC" w:rsidRDefault="00F477EC" w:rsidP="00F477EC">
      <w:pPr>
        <w:spacing w:before="100" w:beforeAutospacing="1" w:after="100" w:afterAutospacing="1"/>
        <w:ind w:left="540" w:hanging="540"/>
        <w:jc w:val="both"/>
      </w:pPr>
      <w:r w:rsidRPr="00F477EC">
        <w:t xml:space="preserve">Pozo-Rosich, P., Ailani, J., Ashina, M., Goadsby, P. J., Lipton, R. B., Reuter, U., Guo, H., Schwefel, B., Lu, K., Boinpally, R., Miceli, R., De Abreu Ferreira, R., McCusker, E., Yu, S. Y., Severt, L., Finnegan, M., &amp; Trugman, J. M. (2023). Atogepant for the preventive treatment of chronic migraine (PROGRESS): A randomised, double-blind, placebo-controlled, phase 3 trial. </w:t>
      </w:r>
      <w:r w:rsidRPr="00F477EC">
        <w:rPr>
          <w:i/>
          <w:iCs/>
        </w:rPr>
        <w:t>The Lancet, 402</w:t>
      </w:r>
      <w:r w:rsidRPr="00F477EC">
        <w:t>(10404), 775–785. https://doi.org/10.1016/S0140-6736(23)01049-8</w:t>
      </w:r>
    </w:p>
    <w:p w14:paraId="714D545C" w14:textId="77777777" w:rsidR="00F477EC" w:rsidRPr="00F477EC" w:rsidRDefault="00F477EC" w:rsidP="00F477EC">
      <w:pPr>
        <w:spacing w:before="100" w:beforeAutospacing="1" w:after="100" w:afterAutospacing="1"/>
        <w:ind w:left="540" w:hanging="540"/>
        <w:jc w:val="both"/>
      </w:pPr>
      <w:r w:rsidRPr="00F477EC">
        <w:t xml:space="preserve">Qaseem, A., Cooney, T. G., Etxeandia-Ikobaltzeta, I., Wilt, T. J., Harrod, C. S., Tice, J. A., Crandall, C. J., Hicks, L. A., Cross, J. T., Fitterman, N., Lewis, J., Linsky, A. M., Maroto, M., Miller, M. C., Obley, A. J., Owens, D. K., Shekelle, P. G., Shamliyan, T., &amp; Yost, J. (2025). Prevention of episodic migraine headache using pharmacologic treatments in outpatient settings: A clinical guideline from the American College of Physicians. </w:t>
      </w:r>
      <w:r w:rsidRPr="00F477EC">
        <w:rPr>
          <w:i/>
          <w:iCs/>
        </w:rPr>
        <w:t>Annals of Internal Medicine, 178</w:t>
      </w:r>
      <w:r w:rsidRPr="00F477EC">
        <w:t>(3), 426–433. https://doi.org/10.7326/ANNALS-24-01052</w:t>
      </w:r>
    </w:p>
    <w:p w14:paraId="3EAA4768" w14:textId="77777777" w:rsidR="00F477EC" w:rsidRPr="00F477EC" w:rsidRDefault="00F477EC" w:rsidP="00F477EC">
      <w:pPr>
        <w:spacing w:before="100" w:beforeAutospacing="1" w:after="100" w:afterAutospacing="1"/>
        <w:ind w:left="540" w:hanging="540"/>
        <w:jc w:val="both"/>
      </w:pPr>
      <w:r w:rsidRPr="00F477EC">
        <w:t xml:space="preserve">Raffaelli, B., Rubio-Beltrán, E., Cho, S.-J., De Icco, R., Labastida-Ramirez, A., Onan, D., Ornello, R., Ruscheweyh, R., Waliszewska-Prosół, M., Messina, R., &amp; Puledda, F. (2023). Health equity, care access and quality in headache—Part 2. </w:t>
      </w:r>
      <w:r w:rsidRPr="00F477EC">
        <w:rPr>
          <w:i/>
          <w:iCs/>
        </w:rPr>
        <w:t>The Journal of Headache and Pain, 24</w:t>
      </w:r>
      <w:r w:rsidRPr="00F477EC">
        <w:t xml:space="preserve">(1), 167. </w:t>
      </w:r>
      <w:hyperlink r:id="rId29" w:tgtFrame="_new" w:history="1">
        <w:r w:rsidRPr="00F477EC">
          <w:rPr>
            <w:color w:val="0000FF"/>
            <w:u w:val="single"/>
          </w:rPr>
          <w:t>https://doi.org/10.1186/s10194-023-01699-7</w:t>
        </w:r>
      </w:hyperlink>
    </w:p>
    <w:p w14:paraId="25822F88" w14:textId="77777777" w:rsidR="00F477EC" w:rsidRPr="00F477EC" w:rsidRDefault="00F477EC" w:rsidP="00F477EC">
      <w:pPr>
        <w:spacing w:before="100" w:beforeAutospacing="1" w:after="100" w:afterAutospacing="1"/>
        <w:ind w:left="540" w:hanging="540"/>
        <w:jc w:val="both"/>
      </w:pPr>
      <w:r w:rsidRPr="00F477EC">
        <w:t xml:space="preserve">Rattanawong, W., Hiransuthikul, A., Anukoolwittaya, P., Pongpitakmetha, T., Thanprasertsuk, S., Manohararaj, N., Sulaiman, W. A. W., Saranza, G., Wee, J. L., Dayrit, G., Madjid, I. S., Sudibyo, D. A., Budianto, P., Wu, J.-W., Phoumindr, A., Sirilertmekasakul, C., Tanprawate, S., &amp; Tepper, S. J. (2026). Diagnosis challenges and accessibility barriers to migraine management in Southeast Asia: Results from the South-East Asia Local breAch on MigraiNe Treatment (SEALANT) study. </w:t>
      </w:r>
      <w:r w:rsidRPr="00F477EC">
        <w:rPr>
          <w:i/>
          <w:iCs/>
        </w:rPr>
        <w:t>The Journal of Headache and Pain, 27</w:t>
      </w:r>
      <w:r w:rsidRPr="00F477EC">
        <w:t xml:space="preserve">(1), 47. </w:t>
      </w:r>
      <w:hyperlink r:id="rId30" w:tgtFrame="_new" w:history="1">
        <w:r w:rsidRPr="00F477EC">
          <w:rPr>
            <w:color w:val="0000FF"/>
            <w:u w:val="single"/>
          </w:rPr>
          <w:t>https://doi.org/10.1186/s10194-026-02295-1</w:t>
        </w:r>
      </w:hyperlink>
    </w:p>
    <w:p w14:paraId="0E664A94" w14:textId="77777777" w:rsidR="00F477EC" w:rsidRPr="00F477EC" w:rsidRDefault="00F477EC" w:rsidP="00F477EC">
      <w:pPr>
        <w:spacing w:before="100" w:beforeAutospacing="1" w:after="100" w:afterAutospacing="1"/>
        <w:ind w:left="540" w:hanging="540"/>
        <w:jc w:val="both"/>
      </w:pPr>
      <w:r w:rsidRPr="00F477EC">
        <w:rPr>
          <w:lang w:val="nl-BE"/>
        </w:rPr>
        <w:t xml:space="preserve">Reuter, U., Ehrlich, M., Gendolla, A., Heinze, A., Klatt, J., Wen, S., Hours-Zesiger, P., Nickisch, J., Sieder, C., Hentschke, C., &amp; Maier-Peuschel, M. (2022). </w:t>
      </w:r>
      <w:r w:rsidRPr="00F477EC">
        <w:t>Erenumab versus topiramate for the prevention of migraine—A randomised, double-blind, active-</w:t>
      </w:r>
      <w:r w:rsidRPr="00F477EC">
        <w:lastRenderedPageBreak/>
        <w:t xml:space="preserve">controlled phase 4 trial. </w:t>
      </w:r>
      <w:r w:rsidRPr="00F477EC">
        <w:rPr>
          <w:i/>
          <w:iCs/>
        </w:rPr>
        <w:t>Cephalalgia, 42</w:t>
      </w:r>
      <w:r w:rsidRPr="00F477EC">
        <w:t>(2), 108–118. https://doi.org/10.1177/03331024211053571</w:t>
      </w:r>
    </w:p>
    <w:p w14:paraId="0547BEE6" w14:textId="77777777" w:rsidR="00F477EC" w:rsidRPr="00F477EC" w:rsidRDefault="00F477EC" w:rsidP="00F477EC">
      <w:pPr>
        <w:spacing w:before="100" w:beforeAutospacing="1" w:after="100" w:afterAutospacing="1"/>
        <w:ind w:left="540" w:hanging="540"/>
        <w:jc w:val="both"/>
      </w:pPr>
      <w:r w:rsidRPr="00F477EC">
        <w:t xml:space="preserve">Reuter, U., Goadsby, P. J., Ferrari, M. D., Da Silva Lima, G. P., Mondal, S., Kalim, J., Hasan, F., Wen, S., Arkuszewski, M., Pandhi, S., Stites, T., &amp; Lanteri-Minet, M. (2024). Efficacy and safety of erenumab in participants with episodic migraine in whom 2–4 prior preventive treatments had failed: LIBERTY 3-year study. </w:t>
      </w:r>
      <w:r w:rsidRPr="00F477EC">
        <w:rPr>
          <w:i/>
          <w:iCs/>
        </w:rPr>
        <w:t>Neurology, 102</w:t>
      </w:r>
      <w:r w:rsidRPr="00F477EC">
        <w:t>(10), e209349. https://doi.org/10.1212/WNL.0000000000209349</w:t>
      </w:r>
    </w:p>
    <w:p w14:paraId="2C733AB3" w14:textId="77777777" w:rsidR="00F477EC" w:rsidRPr="00F477EC" w:rsidRDefault="00F477EC" w:rsidP="00F477EC">
      <w:pPr>
        <w:spacing w:before="100" w:beforeAutospacing="1" w:after="100" w:afterAutospacing="1"/>
        <w:ind w:left="540" w:hanging="540"/>
        <w:jc w:val="both"/>
      </w:pPr>
      <w:r w:rsidRPr="00F477EC">
        <w:t xml:space="preserve">Reuter, U., Goadsby, P. J., Lanteri-Minet, M., Wen, S., Hours-Zesiger, P., Ferrari, M. D., &amp; Klatt, J. (2018). Efficacy and tolerability of erenumab in patients with episodic migraine in whom two-to-four previous preventive treatments were unsuccessful: A randomised, double-blind, placebo-controlled, phase 3b study. </w:t>
      </w:r>
      <w:r w:rsidRPr="00F477EC">
        <w:rPr>
          <w:i/>
          <w:iCs/>
        </w:rPr>
        <w:t>The Lancet, 392</w:t>
      </w:r>
      <w:r w:rsidRPr="00F477EC">
        <w:t>(10161), 2280–2287. https://doi.org/10.1016/S0140-6736(18)32534-0</w:t>
      </w:r>
    </w:p>
    <w:p w14:paraId="5B9FA0E5" w14:textId="77777777" w:rsidR="00F477EC" w:rsidRPr="00F477EC" w:rsidRDefault="00F477EC" w:rsidP="00F477EC">
      <w:pPr>
        <w:spacing w:before="100" w:beforeAutospacing="1" w:after="100" w:afterAutospacing="1"/>
        <w:ind w:left="540" w:hanging="540"/>
        <w:jc w:val="both"/>
      </w:pPr>
      <w:r w:rsidRPr="00F477EC">
        <w:t xml:space="preserve">Riesenberg, R., Gaul, C., Stroud, C. E., Dong, Y., Bangs, M. E., Wenzel, R., Martinez, J. M., &amp; Oakes, T. M. (2022). Long-term open-label safety study of galcanezumab in patients with episodic or chronic cluster headache. </w:t>
      </w:r>
      <w:r w:rsidRPr="00F477EC">
        <w:rPr>
          <w:i/>
          <w:iCs/>
        </w:rPr>
        <w:t>Cephalalgia, 42</w:t>
      </w:r>
      <w:r w:rsidRPr="00F477EC">
        <w:t>(11-12), 1225–1235. https://doi.org/10.1177/03331024221103509</w:t>
      </w:r>
    </w:p>
    <w:p w14:paraId="15EC500E" w14:textId="77777777" w:rsidR="00F477EC" w:rsidRPr="00F477EC" w:rsidRDefault="00F477EC" w:rsidP="00F477EC">
      <w:pPr>
        <w:spacing w:before="100" w:beforeAutospacing="1" w:after="100" w:afterAutospacing="1"/>
        <w:ind w:left="540" w:hanging="540"/>
        <w:jc w:val="both"/>
      </w:pPr>
      <w:r w:rsidRPr="00F477EC">
        <w:t xml:space="preserve">Robblee, J., Khan, F. A., Marmura, M. J., O’Brien, H. L., Robbins, L. D., Samaha, M. K., Levin, M., Sacco, S., Ornello, R., Nahas, S. J., Hesse, H., Ehrlich, A., Sprouse-Blum, A. S., Sun-Edelstein, C., Jenkins, B., Seng, E. K., Joshi, S., Barad, M. J., Lee, M. J., ... Prieto Peres, M. F. (2025). Reaching international consensus on the definition of refractory migraine using the Delphi method. </w:t>
      </w:r>
      <w:r w:rsidRPr="00F477EC">
        <w:rPr>
          <w:i/>
          <w:iCs/>
        </w:rPr>
        <w:t>Cephalalgia, 45</w:t>
      </w:r>
      <w:r w:rsidRPr="00F477EC">
        <w:t>(9), 3331024251367767. https://doi.org/10.1177/03331024251367767</w:t>
      </w:r>
    </w:p>
    <w:p w14:paraId="25C7DAEA" w14:textId="77777777" w:rsidR="00F477EC" w:rsidRPr="00F477EC" w:rsidRDefault="00F477EC" w:rsidP="00F477EC">
      <w:pPr>
        <w:spacing w:before="100" w:beforeAutospacing="1" w:after="100" w:afterAutospacing="1"/>
        <w:ind w:left="540" w:hanging="540"/>
        <w:jc w:val="both"/>
      </w:pPr>
      <w:r w:rsidRPr="00F477EC">
        <w:t xml:space="preserve">Romozzi, M., Lokhandwala, A., Vollono, C., García-Azorín, D., Vigani, G., De Cesaris, F., Altamura, C., Vernieri, F., Calabresi, P., Di Tella, S., &amp; Iannone, L. F. (2025). A nomogram for the prediction of response to anti-CGRP mAbs: The CGRP score. </w:t>
      </w:r>
      <w:r w:rsidRPr="00F477EC">
        <w:rPr>
          <w:i/>
          <w:iCs/>
        </w:rPr>
        <w:t>The Journal of Headache and Pain, 26</w:t>
      </w:r>
      <w:r w:rsidRPr="00F477EC">
        <w:t>(1), 190. https://doi.org/10.1186/s10194-025-02138-5</w:t>
      </w:r>
    </w:p>
    <w:p w14:paraId="7F2614D3" w14:textId="77777777" w:rsidR="00F477EC" w:rsidRPr="00F477EC" w:rsidRDefault="00F477EC" w:rsidP="00F477EC">
      <w:pPr>
        <w:spacing w:before="100" w:beforeAutospacing="1" w:after="100" w:afterAutospacing="1"/>
        <w:ind w:left="540" w:hanging="540"/>
        <w:jc w:val="both"/>
      </w:pPr>
      <w:r w:rsidRPr="00F477EC">
        <w:t xml:space="preserve">Russo, A. F., &amp; Kaiser, E. A. (2026). CGRP and migraine: Real-world insights and future therapeutic directions. </w:t>
      </w:r>
      <w:r w:rsidRPr="00F477EC">
        <w:rPr>
          <w:i/>
          <w:iCs/>
        </w:rPr>
        <w:t>Annual Review of Medicine, 77</w:t>
      </w:r>
      <w:r w:rsidRPr="00F477EC">
        <w:t>(1), 415–432. https://doi.org/10.1146/annurev-med-050224-111631</w:t>
      </w:r>
    </w:p>
    <w:p w14:paraId="72F9F057" w14:textId="77777777" w:rsidR="00F477EC" w:rsidRPr="00F477EC" w:rsidRDefault="00F477EC" w:rsidP="00F477EC">
      <w:pPr>
        <w:spacing w:before="100" w:beforeAutospacing="1" w:after="100" w:afterAutospacing="1"/>
        <w:ind w:left="540" w:hanging="540"/>
        <w:jc w:val="both"/>
      </w:pPr>
      <w:r w:rsidRPr="00F477EC">
        <w:t xml:space="preserve">Sacco, S., Amin, F. M., Ashina, M., Bendtsen, L., Deligianni, C. I., Gil-Gouveia, R., Katsarava, Z., MaassenVanDenBrink, A., Martelletti, P., Mitsikostas, D.-D., Ornello, R., Reuter, U., Sanchez-del-Rio, M., Sinclair, A. J., Terwindt, G., Uluduz, D., Versijpt, J., &amp; Lampl, C. (2022). European Headache Federation guideline on the use of monoclonal antibodies targeting the calcitonin gene related peptide pathway for migraine prevention—2022 update. </w:t>
      </w:r>
      <w:r w:rsidRPr="00F477EC">
        <w:rPr>
          <w:i/>
          <w:iCs/>
        </w:rPr>
        <w:t>The Journal of Headache and Pain, 23</w:t>
      </w:r>
      <w:r w:rsidRPr="00F477EC">
        <w:t xml:space="preserve">(1), 67. </w:t>
      </w:r>
      <w:hyperlink r:id="rId31" w:tgtFrame="_new" w:history="1">
        <w:r w:rsidRPr="00F477EC">
          <w:rPr>
            <w:color w:val="0000FF"/>
            <w:u w:val="single"/>
          </w:rPr>
          <w:t>https://doi.org/10.1186/s10194-022-01431-x</w:t>
        </w:r>
      </w:hyperlink>
    </w:p>
    <w:p w14:paraId="79862606" w14:textId="77777777" w:rsidR="00F477EC" w:rsidRPr="00F477EC" w:rsidRDefault="00F477EC" w:rsidP="00F477EC">
      <w:pPr>
        <w:spacing w:before="100" w:beforeAutospacing="1" w:after="100" w:afterAutospacing="1"/>
        <w:ind w:left="540" w:hanging="540"/>
        <w:jc w:val="both"/>
      </w:pPr>
      <w:r w:rsidRPr="00F477EC">
        <w:t xml:space="preserve">Sacco, S., Ashina, M., Diener, H.-C., Haghdoost, F., Lee, M. J., Monteith, T. S., Jenkins, B., Peres, M. F. P., Pozo-Rosich, P., Ornello, R., Puledda, F., Sakai, F., Schwedt, T. J., Terwindt, G., Vaghi, G., Wang, S.-J., Ahmed, F., &amp; Tassorelli, C. (2025). Setting higher standards for migraine prevention: A position statement of the International Headache Society. </w:t>
      </w:r>
      <w:r w:rsidRPr="00F477EC">
        <w:rPr>
          <w:i/>
          <w:iCs/>
        </w:rPr>
        <w:t>Cephalalgia, 45</w:t>
      </w:r>
      <w:r w:rsidRPr="00F477EC">
        <w:t>(2), 3331024251320608. https://doi.org/10.1177/03331024251320608</w:t>
      </w:r>
    </w:p>
    <w:p w14:paraId="2A6DAE17" w14:textId="77777777" w:rsidR="00F477EC" w:rsidRPr="00F477EC" w:rsidRDefault="00F477EC" w:rsidP="00F477EC">
      <w:pPr>
        <w:spacing w:before="100" w:beforeAutospacing="1" w:after="100" w:afterAutospacing="1"/>
        <w:ind w:left="540" w:hanging="540"/>
        <w:jc w:val="both"/>
      </w:pPr>
      <w:r w:rsidRPr="00F477EC">
        <w:lastRenderedPageBreak/>
        <w:t xml:space="preserve">Sacco, S., Braschinsky, M., Ducros, A., Lampl, C., Little, P., Maassen van den Brink, A., Pozo-Rosich, P., Reuter, U., de la Torre, E. R., Sanchez Del Rio, M., Sinclair, A. J., Katsarava, Z., &amp; Martelletti, P. (2020). European Headache Federation consensus on the definition of resistant and refractory migraine. </w:t>
      </w:r>
      <w:r w:rsidRPr="00F477EC">
        <w:rPr>
          <w:i/>
          <w:iCs/>
        </w:rPr>
        <w:t>The Journal of Headache and Pain, 21</w:t>
      </w:r>
      <w:r w:rsidRPr="00F477EC">
        <w:t xml:space="preserve">(1), 76. </w:t>
      </w:r>
      <w:hyperlink r:id="rId32" w:tgtFrame="_new" w:history="1">
        <w:r w:rsidRPr="00F477EC">
          <w:rPr>
            <w:color w:val="0000FF"/>
            <w:u w:val="single"/>
          </w:rPr>
          <w:t>https://doi.org/10.1186/s10194-020-01130-5</w:t>
        </w:r>
      </w:hyperlink>
    </w:p>
    <w:p w14:paraId="4CBC7036" w14:textId="77777777" w:rsidR="00F477EC" w:rsidRPr="00F477EC" w:rsidRDefault="00F477EC" w:rsidP="00F477EC">
      <w:pPr>
        <w:spacing w:before="100" w:beforeAutospacing="1" w:after="100" w:afterAutospacing="1"/>
        <w:ind w:left="540" w:hanging="540"/>
        <w:jc w:val="both"/>
      </w:pPr>
      <w:r w:rsidRPr="00F477EC">
        <w:rPr>
          <w:lang w:val="nl-BE"/>
        </w:rPr>
        <w:t xml:space="preserve">Scheffler, A., Basten, J., Menzel, L., Fiebelkorn, D., Becker, W. A., Breunung, V., Schenk, H., Kleinschnitz, C., Nsaka, M., Lindner, D., &amp; Holle, D. (2024). </w:t>
      </w:r>
      <w:r w:rsidRPr="00F477EC">
        <w:t xml:space="preserve">Persistent effectiveness of CGRP antibody therapy in migraine and comorbid medication overuse or medication overuse headache—A retrospective real-world analysis. </w:t>
      </w:r>
      <w:r w:rsidRPr="00F477EC">
        <w:rPr>
          <w:i/>
          <w:iCs/>
        </w:rPr>
        <w:t>The Journal of Headache and Pain, 25</w:t>
      </w:r>
      <w:r w:rsidRPr="00F477EC">
        <w:t>(1), 109. https://doi.org/10.1186/s10194-024-01813-3</w:t>
      </w:r>
    </w:p>
    <w:p w14:paraId="7429A8DF" w14:textId="77777777" w:rsidR="00F477EC" w:rsidRPr="00F477EC" w:rsidRDefault="00F477EC" w:rsidP="00F477EC">
      <w:pPr>
        <w:spacing w:before="100" w:beforeAutospacing="1" w:after="100" w:afterAutospacing="1"/>
        <w:ind w:left="540" w:hanging="540"/>
        <w:jc w:val="both"/>
      </w:pPr>
      <w:r w:rsidRPr="00F477EC">
        <w:rPr>
          <w:lang w:val="nl-BE"/>
        </w:rPr>
        <w:t xml:space="preserve">Schytz, H. W., Jensen, R. H., Lundqvist, C., Tassorelli, C., Vernieri, F., Lantéri-Minet, M., Terwindt, G. M., Blumenfeld, A., Tepper, S. J., Josiassen, M. K., Jansson, G., Ettrup, A., Mittoux, A., &amp; Lipton, R. B. (2026). </w:t>
      </w:r>
      <w:r w:rsidRPr="00F477EC">
        <w:t xml:space="preserve">Efficacy and safety of eptinezumab in adults with chronic migraine and medication-overuse headache who also received patient education: 24-week results of the randomized RESOLUTION trial. </w:t>
      </w:r>
      <w:r w:rsidRPr="00F477EC">
        <w:rPr>
          <w:i/>
          <w:iCs/>
        </w:rPr>
        <w:t>The Journal of Headache and Pain, 27</w:t>
      </w:r>
      <w:r w:rsidRPr="00F477EC">
        <w:t>(1), 157. https://doi.org/10.1186/s10194-026-02423-x</w:t>
      </w:r>
    </w:p>
    <w:p w14:paraId="7D406A5E" w14:textId="77777777" w:rsidR="00F477EC" w:rsidRPr="00F477EC" w:rsidRDefault="00F477EC" w:rsidP="00F477EC">
      <w:pPr>
        <w:spacing w:before="100" w:beforeAutospacing="1" w:after="100" w:afterAutospacing="1"/>
        <w:ind w:left="540" w:hanging="540"/>
        <w:jc w:val="both"/>
      </w:pPr>
      <w:r w:rsidRPr="00F477EC">
        <w:t xml:space="preserve">Silberstein, S. D., Dodick, D. W., Bigal, M. E., Yeung, P. P., Goadsby, P. J., Blankenbiller, T., Grozinski-Wolff, M., Yang, R., Ma, Y., &amp; Aycardi, E. (2017). Fremanezumab for the preventive treatment of chronic migraine. </w:t>
      </w:r>
      <w:r w:rsidRPr="00F477EC">
        <w:rPr>
          <w:i/>
          <w:iCs/>
        </w:rPr>
        <w:t>New England Journal of Medicine, 377</w:t>
      </w:r>
      <w:r w:rsidRPr="00F477EC">
        <w:t xml:space="preserve">(22), 2113–2122. </w:t>
      </w:r>
      <w:hyperlink r:id="rId33" w:tgtFrame="_new" w:history="1">
        <w:r w:rsidRPr="00F477EC">
          <w:rPr>
            <w:color w:val="0000FF"/>
            <w:u w:val="single"/>
          </w:rPr>
          <w:t>https://doi.org/10.1056/NEJMoa1709038</w:t>
        </w:r>
      </w:hyperlink>
    </w:p>
    <w:p w14:paraId="2B3DA5FD" w14:textId="77777777" w:rsidR="00F477EC" w:rsidRPr="00F477EC" w:rsidRDefault="00F477EC" w:rsidP="00F477EC">
      <w:pPr>
        <w:spacing w:before="100" w:beforeAutospacing="1" w:after="100" w:afterAutospacing="1"/>
        <w:ind w:left="540" w:hanging="540"/>
        <w:jc w:val="both"/>
      </w:pPr>
      <w:r w:rsidRPr="00F477EC">
        <w:t xml:space="preserve">Skljarevski, V., Matharu, M., Millen, B. A., Ossipov, M. H., Kim, B.-K., &amp; Yang, J. Y. (2018). Efficacy and safety of galcanezumab for the prevention of episodic migraine: Results of the EVOLVE-2 phase 3 randomized controlled clinical trial. </w:t>
      </w:r>
      <w:r w:rsidRPr="00F477EC">
        <w:rPr>
          <w:i/>
          <w:iCs/>
        </w:rPr>
        <w:t>Cephalalgia, 38</w:t>
      </w:r>
      <w:r w:rsidRPr="00F477EC">
        <w:t>(8), 1442–1454. https://doi.org/10.1177/0333102418779543</w:t>
      </w:r>
    </w:p>
    <w:p w14:paraId="7715AEE7" w14:textId="77777777" w:rsidR="00F477EC" w:rsidRPr="00F477EC" w:rsidRDefault="00F477EC" w:rsidP="00F477EC">
      <w:pPr>
        <w:spacing w:before="100" w:beforeAutospacing="1" w:after="100" w:afterAutospacing="1"/>
        <w:ind w:left="540" w:hanging="540"/>
        <w:jc w:val="both"/>
      </w:pPr>
      <w:r w:rsidRPr="00F477EC">
        <w:t xml:space="preserve">Smith, A., Finnigan, K., Clarke, S., Barry, M., &amp; Gorry, C. (2024). Utilization, expenditure, and treatment patterns associated with calcitonin gene-related peptide monoclonal antibodies reimbursed subject to a managed access protocol in Ireland. </w:t>
      </w:r>
      <w:r w:rsidRPr="00F477EC">
        <w:rPr>
          <w:i/>
          <w:iCs/>
        </w:rPr>
        <w:t>Value in Health, 27</w:t>
      </w:r>
      <w:r w:rsidRPr="00F477EC">
        <w:t>(8), 1039–1045. https://doi.org/10.1016/j.jval.2024.04.002</w:t>
      </w:r>
    </w:p>
    <w:p w14:paraId="15E3C583" w14:textId="77777777" w:rsidR="00F477EC" w:rsidRPr="00F477EC" w:rsidRDefault="00F477EC" w:rsidP="00F477EC">
      <w:pPr>
        <w:spacing w:before="100" w:beforeAutospacing="1" w:after="100" w:afterAutospacing="1"/>
        <w:ind w:left="540" w:hanging="540"/>
        <w:jc w:val="both"/>
      </w:pPr>
      <w:r w:rsidRPr="00F477EC">
        <w:t xml:space="preserve">Smith, B., Rowe, J., Watkins, P. B., Ashina, M., Woodhead, J. L., Sistare, F. D., &amp; Goadsby, P. J. (2020). Mechanistic investigations support liver safety of ubrogepant. </w:t>
      </w:r>
      <w:r w:rsidRPr="00F477EC">
        <w:rPr>
          <w:i/>
          <w:iCs/>
        </w:rPr>
        <w:t>Toxicological Sciences, 177</w:t>
      </w:r>
      <w:r w:rsidRPr="00F477EC">
        <w:t>(1), 84–93. https://doi.org/10.1093/toxsci/kfaa093</w:t>
      </w:r>
    </w:p>
    <w:p w14:paraId="5E1CF427" w14:textId="77777777" w:rsidR="00F477EC" w:rsidRPr="00F477EC" w:rsidRDefault="00F477EC" w:rsidP="00F477EC">
      <w:pPr>
        <w:spacing w:before="100" w:beforeAutospacing="1" w:after="100" w:afterAutospacing="1"/>
        <w:ind w:left="540" w:hanging="540"/>
        <w:jc w:val="both"/>
      </w:pPr>
      <w:r w:rsidRPr="00F477EC">
        <w:t xml:space="preserve">Stauffer, V. L., Dodick, D. W., Zhang, Q., Carter, J. N., Ailani, J., &amp; Conley, R. R. (2018). Evaluation of galcanezumab for the prevention of episodic migraine: The EVOLVE-1 randomized clinical trial. </w:t>
      </w:r>
      <w:r w:rsidRPr="00F477EC">
        <w:rPr>
          <w:i/>
          <w:iCs/>
        </w:rPr>
        <w:t>JAMA Neurology, 75</w:t>
      </w:r>
      <w:r w:rsidRPr="00F477EC">
        <w:t>(9), 1080–1088. https://doi.org/10.1001/jamaneurol.2018.1212</w:t>
      </w:r>
    </w:p>
    <w:p w14:paraId="17CF538A" w14:textId="77777777" w:rsidR="00F477EC" w:rsidRPr="00F477EC" w:rsidRDefault="00F477EC" w:rsidP="00F477EC">
      <w:pPr>
        <w:spacing w:before="100" w:beforeAutospacing="1" w:after="100" w:afterAutospacing="1"/>
        <w:ind w:left="540" w:hanging="540"/>
        <w:jc w:val="both"/>
      </w:pPr>
      <w:r w:rsidRPr="00F477EC">
        <w:t xml:space="preserve">Steiner, T. J., &amp; Stovner, L. J. (2023). Global epidemiology of migraine and its implications for public health and health policy. </w:t>
      </w:r>
      <w:r w:rsidRPr="00F477EC">
        <w:rPr>
          <w:i/>
          <w:iCs/>
        </w:rPr>
        <w:t>Nature Reviews Neurology, 19</w:t>
      </w:r>
      <w:r w:rsidRPr="00F477EC">
        <w:t>(2), 109–117. https://doi.org/10.1038/s41582-022-00763-1</w:t>
      </w:r>
    </w:p>
    <w:p w14:paraId="07C480AB" w14:textId="77777777" w:rsidR="00F477EC" w:rsidRPr="00F477EC" w:rsidRDefault="00F477EC" w:rsidP="00F477EC">
      <w:pPr>
        <w:spacing w:before="100" w:beforeAutospacing="1" w:after="100" w:afterAutospacing="1"/>
        <w:ind w:left="540" w:hanging="540"/>
        <w:jc w:val="both"/>
      </w:pPr>
      <w:r w:rsidRPr="00F477EC">
        <w:t xml:space="preserve">Stovner, L. J., Hagen, K., Linde, M., &amp; Steiner, T. J. (2022). The global prevalence of headache: An update, with analysis of the influences of methodological factors on </w:t>
      </w:r>
      <w:r w:rsidRPr="00F477EC">
        <w:lastRenderedPageBreak/>
        <w:t xml:space="preserve">prevalence estimates. </w:t>
      </w:r>
      <w:r w:rsidRPr="00F477EC">
        <w:rPr>
          <w:i/>
          <w:iCs/>
        </w:rPr>
        <w:t>The Journal of Headache and Pain, 23</w:t>
      </w:r>
      <w:r w:rsidRPr="00F477EC">
        <w:t xml:space="preserve">(1), 34. </w:t>
      </w:r>
      <w:hyperlink r:id="rId34" w:tgtFrame="_new" w:history="1">
        <w:r w:rsidRPr="00F477EC">
          <w:rPr>
            <w:color w:val="0000FF"/>
            <w:u w:val="single"/>
          </w:rPr>
          <w:t>https://doi.org/10.1186/s10194-022-01402-2</w:t>
        </w:r>
      </w:hyperlink>
    </w:p>
    <w:p w14:paraId="1888E80E" w14:textId="77777777" w:rsidR="00F477EC" w:rsidRPr="00F477EC" w:rsidRDefault="00F477EC" w:rsidP="00F477EC">
      <w:pPr>
        <w:spacing w:before="100" w:beforeAutospacing="1" w:after="100" w:afterAutospacing="1"/>
        <w:ind w:left="540" w:hanging="540"/>
        <w:jc w:val="both"/>
      </w:pPr>
      <w:r w:rsidRPr="00F477EC">
        <w:t xml:space="preserve">Talbot, J., Stuckey, R., Wood, N., Gordon, A., Crossingham, G., &amp; Weatherby, S. (2025). Switching anti-CGRP monoclonal antibodies in chronic migraine: Real-world observations of erenumab, fremanezumab and galcanezumab. </w:t>
      </w:r>
      <w:r w:rsidRPr="00F477EC">
        <w:rPr>
          <w:i/>
          <w:iCs/>
        </w:rPr>
        <w:t>European Journal of Hospital Pharmacy, 32</w:t>
      </w:r>
      <w:r w:rsidRPr="00F477EC">
        <w:t>(2), 178–185. https://doi.org/10.1136/ejhpharm-2023-003779</w:t>
      </w:r>
    </w:p>
    <w:p w14:paraId="573B22F2" w14:textId="77777777" w:rsidR="00F477EC" w:rsidRPr="00F477EC" w:rsidRDefault="00F477EC" w:rsidP="00F477EC">
      <w:pPr>
        <w:spacing w:before="100" w:beforeAutospacing="1" w:after="100" w:afterAutospacing="1"/>
        <w:ind w:left="540" w:hanging="540"/>
        <w:jc w:val="both"/>
      </w:pPr>
      <w:r w:rsidRPr="00F477EC">
        <w:t xml:space="preserve">Tassorelli, C., Nagy, K., Pozo-Rosich, P., Lanteri-Minet, M., Sacco, S., Nežádal, T., Guo, H., De Abreu Ferreira, R., Forero, G., &amp; Trugman, J. M. (2024). Safety and efficacy of atogepant for the preventive treatment of episodic migraine in adults for whom conventional oral preventive treatments have failed (ELEVATE): A randomised, placebo-controlled, phase 3b trial. </w:t>
      </w:r>
      <w:r w:rsidRPr="00F477EC">
        <w:rPr>
          <w:i/>
          <w:iCs/>
        </w:rPr>
        <w:t>The Lancet Neurology, 23</w:t>
      </w:r>
      <w:r w:rsidRPr="00F477EC">
        <w:t>(4), 382–392. https://doi.org/10.1016/S1474-4422(24)00025-5</w:t>
      </w:r>
    </w:p>
    <w:p w14:paraId="12B89128" w14:textId="77777777" w:rsidR="00F477EC" w:rsidRPr="00F477EC" w:rsidRDefault="00F477EC" w:rsidP="00F477EC">
      <w:pPr>
        <w:spacing w:before="100" w:beforeAutospacing="1" w:after="100" w:afterAutospacing="1"/>
        <w:ind w:left="540" w:hanging="540"/>
        <w:jc w:val="both"/>
      </w:pPr>
      <w:r w:rsidRPr="00F477EC">
        <w:t xml:space="preserve">Tepper, S. J., Ashina, M., Reuter, U., Brandes, J. L., Doležil, D., Silberstein, S. D., Winner, P., Zhang, F., Cheng, S., &amp; Mikol, D. D. (2020). Long-term safety and efficacy of erenumab in patients with chronic migraine: Results from a 52-week, open-label extension study. </w:t>
      </w:r>
      <w:r w:rsidRPr="00F477EC">
        <w:rPr>
          <w:i/>
          <w:iCs/>
        </w:rPr>
        <w:t>Cephalalgia, 40</w:t>
      </w:r>
      <w:r w:rsidRPr="00F477EC">
        <w:t>(6), 543–553. https://doi.org/10.1177/0333102420912726</w:t>
      </w:r>
    </w:p>
    <w:p w14:paraId="4DA56CF1" w14:textId="77777777" w:rsidR="00F477EC" w:rsidRPr="00F477EC" w:rsidRDefault="00F477EC" w:rsidP="00F477EC">
      <w:pPr>
        <w:spacing w:before="100" w:beforeAutospacing="1" w:after="100" w:afterAutospacing="1"/>
        <w:ind w:left="540" w:hanging="540"/>
        <w:jc w:val="both"/>
      </w:pPr>
      <w:r w:rsidRPr="00F477EC">
        <w:t xml:space="preserve">Thaliffdeen, R., Yu, A., &amp; Rascati, K. (2024). Cost-effectiveness evaluation of oral CGRP antagonists, atogepant and rimegepant, for the preventative treatment of episodic migraine: Results from a US societal perspective model. </w:t>
      </w:r>
      <w:r w:rsidRPr="00F477EC">
        <w:rPr>
          <w:i/>
          <w:iCs/>
        </w:rPr>
        <w:t>Clinical Drug Investigation, 44</w:t>
      </w:r>
      <w:r w:rsidRPr="00F477EC">
        <w:t>(3), 209–217. https://doi.org/10.1007/s40261-024-01345-3</w:t>
      </w:r>
    </w:p>
    <w:p w14:paraId="5E514958" w14:textId="77777777" w:rsidR="00F477EC" w:rsidRPr="00F477EC" w:rsidRDefault="00F477EC" w:rsidP="00F477EC">
      <w:pPr>
        <w:spacing w:before="100" w:beforeAutospacing="1" w:after="100" w:afterAutospacing="1"/>
        <w:ind w:left="540" w:hanging="540"/>
        <w:jc w:val="both"/>
        <w:rPr>
          <w:lang w:val="nl-BE"/>
        </w:rPr>
      </w:pPr>
      <w:r w:rsidRPr="00F477EC">
        <w:t xml:space="preserve">Überall, M. A., Müller-Schwefe, P. C. G., Küster, M. A., &amp; Jansen, J.-P. (2026). Treatment persistence in migraine prophylaxis comparing CGRP monoclonal antibodies vs. high-/low-evidence conventional oral preventives—A comparative real-world evidence study of depersonalized data of the German Pain e-Registry. </w:t>
      </w:r>
      <w:r w:rsidRPr="00F477EC">
        <w:rPr>
          <w:i/>
          <w:iCs/>
          <w:lang w:val="nl-BE"/>
        </w:rPr>
        <w:t>Journal of Clinical Medicine, 15</w:t>
      </w:r>
      <w:r w:rsidRPr="00F477EC">
        <w:rPr>
          <w:lang w:val="nl-BE"/>
        </w:rPr>
        <w:t>(5), 1985. https://doi.org/10.3390/jcm15051985</w:t>
      </w:r>
    </w:p>
    <w:p w14:paraId="6F778F1B" w14:textId="77777777" w:rsidR="00F477EC" w:rsidRPr="00F477EC" w:rsidRDefault="00F477EC" w:rsidP="00F477EC">
      <w:pPr>
        <w:spacing w:before="100" w:beforeAutospacing="1" w:after="100" w:afterAutospacing="1"/>
        <w:ind w:left="540" w:hanging="540"/>
        <w:jc w:val="both"/>
      </w:pPr>
      <w:r w:rsidRPr="00F477EC">
        <w:rPr>
          <w:lang w:val="nl-BE"/>
        </w:rPr>
        <w:t xml:space="preserve">Vandervorst, F., Van Deun, L., Van Dycke, A., Paemeleire, K., Reuter, U., Schoenen, J., &amp; Versijpt, J. (2021). </w:t>
      </w:r>
      <w:r w:rsidRPr="00F477EC">
        <w:t xml:space="preserve">CGRP monoclonal antibodies in migraine: An efficacy and tolerability comparison with standard prophylactic drugs. </w:t>
      </w:r>
      <w:r w:rsidRPr="00F477EC">
        <w:rPr>
          <w:i/>
          <w:iCs/>
        </w:rPr>
        <w:t>The Journal of Headache and Pain, 22</w:t>
      </w:r>
      <w:r w:rsidRPr="00F477EC">
        <w:t xml:space="preserve">(1), 128. </w:t>
      </w:r>
      <w:hyperlink r:id="rId35" w:tgtFrame="_new" w:history="1">
        <w:r w:rsidRPr="00F477EC">
          <w:rPr>
            <w:color w:val="0000FF"/>
            <w:u w:val="single"/>
          </w:rPr>
          <w:t>https://doi.org/10.1186/s10194-021-01335-2</w:t>
        </w:r>
      </w:hyperlink>
    </w:p>
    <w:p w14:paraId="58B9EC5A" w14:textId="77777777" w:rsidR="00F477EC" w:rsidRPr="00F477EC" w:rsidRDefault="00F477EC" w:rsidP="00F477EC">
      <w:pPr>
        <w:spacing w:before="100" w:beforeAutospacing="1" w:after="100" w:afterAutospacing="1"/>
        <w:ind w:left="540" w:hanging="540"/>
        <w:jc w:val="both"/>
      </w:pPr>
      <w:r w:rsidRPr="00F477EC">
        <w:t xml:space="preserve">Woodhead, J. L., Siler, S. Q., Howell, B. A., Watkins, P. B., &amp; Conway, C. (2022). Comparing the liver safety profiles of 4 next-generation CGRP receptor antagonists to the hepatotoxic CGRP inhibitor telcagepant using quantitative systems toxicology modeling. </w:t>
      </w:r>
      <w:r w:rsidRPr="00F477EC">
        <w:rPr>
          <w:i/>
          <w:iCs/>
        </w:rPr>
        <w:t>Toxicological Sciences, 188</w:t>
      </w:r>
      <w:r w:rsidRPr="00F477EC">
        <w:t>(1), 108–116. https://doi.org/10.1093/toxsci/kfac051</w:t>
      </w:r>
    </w:p>
    <w:p w14:paraId="6FAD281C" w14:textId="77777777" w:rsidR="00F477EC" w:rsidRPr="00F477EC" w:rsidRDefault="00F477EC" w:rsidP="00F477EC">
      <w:pPr>
        <w:spacing w:before="100" w:beforeAutospacing="1" w:after="100" w:afterAutospacing="1"/>
        <w:ind w:left="540" w:hanging="540"/>
        <w:jc w:val="both"/>
      </w:pPr>
      <w:r w:rsidRPr="00F477EC">
        <w:t xml:space="preserve">Yang, S., Orlova, Y., Park, H., Smith, S. M., Guo, Y., Chapin, B. A., Wilson, D. L., &amp; Lo-Ciganic, W.-H. (2025). Cardiovascular safety of anti-CGRP monoclonal antibodies in older adults or adults with disability with migraine. </w:t>
      </w:r>
      <w:r w:rsidRPr="00F477EC">
        <w:rPr>
          <w:i/>
          <w:iCs/>
        </w:rPr>
        <w:t>JAMA Neurology, 82</w:t>
      </w:r>
      <w:r w:rsidRPr="00F477EC">
        <w:t>(2), 132–141. https://doi.org/10.1001/jamaneurol.2024.4537</w:t>
      </w:r>
    </w:p>
    <w:p w14:paraId="60E8BE32" w14:textId="77777777" w:rsidR="00F477EC" w:rsidRPr="00F477EC" w:rsidRDefault="00F477EC" w:rsidP="00F477EC">
      <w:pPr>
        <w:spacing w:before="100" w:beforeAutospacing="1" w:after="100" w:afterAutospacing="1"/>
        <w:ind w:left="540" w:hanging="540"/>
        <w:jc w:val="both"/>
      </w:pPr>
      <w:r w:rsidRPr="00F477EC">
        <w:t xml:space="preserve">Zhou, Y., Zhang, F., Starcevic Manning, M., Hu, Z., Hsu, C.-P., Chen, P.-W., Peng, C., Loop, B., Mytych, D. T., &amp; Paiva da Silva Lima, G. (2022). Immunogenicity of erenumab: A pooled analysis of six placebo-controlled trials with long-term extensions. </w:t>
      </w:r>
      <w:r w:rsidRPr="00F477EC">
        <w:rPr>
          <w:i/>
          <w:iCs/>
        </w:rPr>
        <w:t>Cephalalgia, 42</w:t>
      </w:r>
      <w:r w:rsidRPr="00F477EC">
        <w:t>(8), 749–760. https://doi.org/10.1177/03331024221075621</w:t>
      </w:r>
    </w:p>
    <w:p w14:paraId="5BD5601A" w14:textId="77777777" w:rsidR="00F477EC" w:rsidRPr="00F477EC" w:rsidRDefault="00F477EC" w:rsidP="00F477EC">
      <w:pPr>
        <w:spacing w:before="100" w:beforeAutospacing="1" w:after="100" w:afterAutospacing="1"/>
        <w:ind w:left="540" w:hanging="540"/>
        <w:jc w:val="both"/>
      </w:pPr>
      <w:r w:rsidRPr="00F477EC">
        <w:lastRenderedPageBreak/>
        <w:t xml:space="preserve">Zhu, Z., Tang, Y., Li, L., Ni, H., Liu, M., Chen, Z., &amp; Wang, Z. (2025). The efficacy and safety of zavegepant nasal inhalation versus oral calcitonin-gene related peptide receptor antagonists in the acute treatment of migraine: A systematic review and network meta-analysis of the literature. </w:t>
      </w:r>
      <w:r w:rsidRPr="00F477EC">
        <w:rPr>
          <w:i/>
          <w:iCs/>
        </w:rPr>
        <w:t>The Journal of Headache and Pain, 26</w:t>
      </w:r>
      <w:r w:rsidRPr="00F477EC">
        <w:t>(1), 48. https://doi.org/10.1186/s10194-025-01984-7</w:t>
      </w:r>
    </w:p>
    <w:p w14:paraId="23383232" w14:textId="1E03F8B0" w:rsidR="006F2D55" w:rsidRDefault="006F2D55" w:rsidP="00F477EC">
      <w:pPr>
        <w:spacing w:after="120" w:line="360" w:lineRule="auto"/>
        <w:ind w:left="720" w:hanging="720"/>
      </w:pPr>
    </w:p>
    <w:sectPr w:rsidR="006F2D55">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A167C" w14:textId="77777777" w:rsidR="008373F0" w:rsidRDefault="008373F0">
      <w:r>
        <w:separator/>
      </w:r>
    </w:p>
  </w:endnote>
  <w:endnote w:type="continuationSeparator" w:id="0">
    <w:p w14:paraId="57B63A7C" w14:textId="77777777" w:rsidR="008373F0" w:rsidRDefault="00837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551B" w14:textId="77777777" w:rsidR="002F39D9" w:rsidRDefault="002F3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387A" w14:textId="77777777" w:rsidR="006F2D55" w:rsidRDefault="00000000">
    <w:pPr>
      <w:jc w:val="center"/>
    </w:pPr>
    <w:r>
      <w:rPr>
        <w:sz w:val="20"/>
        <w:szCs w:val="20"/>
      </w:rPr>
      <w:fldChar w:fldCharType="begin"/>
    </w:r>
    <w:r>
      <w:rPr>
        <w:sz w:val="20"/>
        <w:szCs w:val="20"/>
      </w:rPr>
      <w:instrText>PAGE</w:instrText>
    </w:r>
    <w:r>
      <w:rPr>
        <w:sz w:val="20"/>
        <w:szCs w:val="20"/>
      </w:rPr>
      <w:fldChar w:fldCharType="separate"/>
    </w:r>
    <w:r w:rsidR="00295105">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A754C" w14:textId="77777777" w:rsidR="002F39D9" w:rsidRDefault="002F3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C83D6" w14:textId="77777777" w:rsidR="008373F0" w:rsidRDefault="008373F0">
      <w:r>
        <w:separator/>
      </w:r>
    </w:p>
  </w:footnote>
  <w:footnote w:type="continuationSeparator" w:id="0">
    <w:p w14:paraId="64141938" w14:textId="77777777" w:rsidR="008373F0" w:rsidRDefault="00837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D044" w14:textId="77777777" w:rsidR="002F39D9" w:rsidRDefault="00000000">
    <w:pPr>
      <w:pStyle w:val="Header"/>
    </w:pPr>
    <w:r>
      <w:rPr>
        <w:noProof/>
      </w:rPr>
      <w:pict w14:anchorId="63ECF8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5433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C5CD" w14:textId="77777777" w:rsidR="002F39D9" w:rsidRDefault="00000000">
    <w:pPr>
      <w:pStyle w:val="Header"/>
    </w:pPr>
    <w:r>
      <w:rPr>
        <w:noProof/>
      </w:rPr>
      <w:pict w14:anchorId="3758AE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5433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14C7" w14:textId="77777777" w:rsidR="002F39D9" w:rsidRDefault="00000000">
    <w:pPr>
      <w:pStyle w:val="Header"/>
    </w:pPr>
    <w:r>
      <w:rPr>
        <w:noProof/>
      </w:rPr>
      <w:pict w14:anchorId="774C4D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5433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289E"/>
    <w:multiLevelType w:val="hybridMultilevel"/>
    <w:tmpl w:val="F58C8CF2"/>
    <w:lvl w:ilvl="0" w:tplc="AEC2CF20">
      <w:start w:val="1"/>
      <w:numFmt w:val="bullet"/>
      <w:lvlText w:val="●"/>
      <w:lvlJc w:val="left"/>
      <w:pPr>
        <w:ind w:left="720" w:hanging="360"/>
      </w:pPr>
    </w:lvl>
    <w:lvl w:ilvl="1" w:tplc="B8AE5B72">
      <w:start w:val="1"/>
      <w:numFmt w:val="bullet"/>
      <w:lvlText w:val="○"/>
      <w:lvlJc w:val="left"/>
      <w:pPr>
        <w:ind w:left="1440" w:hanging="360"/>
      </w:pPr>
    </w:lvl>
    <w:lvl w:ilvl="2" w:tplc="806E58B6">
      <w:start w:val="1"/>
      <w:numFmt w:val="bullet"/>
      <w:lvlText w:val="■"/>
      <w:lvlJc w:val="left"/>
      <w:pPr>
        <w:ind w:left="2160" w:hanging="360"/>
      </w:pPr>
    </w:lvl>
    <w:lvl w:ilvl="3" w:tplc="99AA89A4">
      <w:start w:val="1"/>
      <w:numFmt w:val="bullet"/>
      <w:lvlText w:val="●"/>
      <w:lvlJc w:val="left"/>
      <w:pPr>
        <w:ind w:left="2880" w:hanging="360"/>
      </w:pPr>
    </w:lvl>
    <w:lvl w:ilvl="4" w:tplc="E4983C22">
      <w:start w:val="1"/>
      <w:numFmt w:val="bullet"/>
      <w:lvlText w:val="○"/>
      <w:lvlJc w:val="left"/>
      <w:pPr>
        <w:ind w:left="3600" w:hanging="360"/>
      </w:pPr>
    </w:lvl>
    <w:lvl w:ilvl="5" w:tplc="62864936">
      <w:start w:val="1"/>
      <w:numFmt w:val="bullet"/>
      <w:lvlText w:val="■"/>
      <w:lvlJc w:val="left"/>
      <w:pPr>
        <w:ind w:left="4320" w:hanging="360"/>
      </w:pPr>
    </w:lvl>
    <w:lvl w:ilvl="6" w:tplc="23060DB4">
      <w:start w:val="1"/>
      <w:numFmt w:val="bullet"/>
      <w:lvlText w:val="●"/>
      <w:lvlJc w:val="left"/>
      <w:pPr>
        <w:ind w:left="5040" w:hanging="360"/>
      </w:pPr>
    </w:lvl>
    <w:lvl w:ilvl="7" w:tplc="1220DCE8">
      <w:start w:val="1"/>
      <w:numFmt w:val="bullet"/>
      <w:lvlText w:val="●"/>
      <w:lvlJc w:val="left"/>
      <w:pPr>
        <w:ind w:left="5760" w:hanging="360"/>
      </w:pPr>
    </w:lvl>
    <w:lvl w:ilvl="8" w:tplc="56345E10">
      <w:start w:val="1"/>
      <w:numFmt w:val="bullet"/>
      <w:lvlText w:val="●"/>
      <w:lvlJc w:val="left"/>
      <w:pPr>
        <w:ind w:left="6480" w:hanging="360"/>
      </w:pPr>
    </w:lvl>
  </w:abstractNum>
  <w:num w:numId="1" w16cid:durableId="1346148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D55"/>
    <w:rsid w:val="001A1309"/>
    <w:rsid w:val="00295105"/>
    <w:rsid w:val="002F39D9"/>
    <w:rsid w:val="005C0496"/>
    <w:rsid w:val="006F2D55"/>
    <w:rsid w:val="007B0FC3"/>
    <w:rsid w:val="008373F0"/>
    <w:rsid w:val="009868C4"/>
    <w:rsid w:val="00E86B2A"/>
    <w:rsid w:val="00EF1D0D"/>
    <w:rsid w:val="00F4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B345C"/>
  <w15:docId w15:val="{65F95704-6F0A-45E7-94E7-3BBF864CB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F39D9"/>
    <w:pPr>
      <w:tabs>
        <w:tab w:val="center" w:pos="4513"/>
        <w:tab w:val="right" w:pos="9026"/>
      </w:tabs>
    </w:pPr>
  </w:style>
  <w:style w:type="character" w:customStyle="1" w:styleId="HeaderChar">
    <w:name w:val="Header Char"/>
    <w:basedOn w:val="DefaultParagraphFont"/>
    <w:link w:val="Header"/>
    <w:uiPriority w:val="99"/>
    <w:rsid w:val="002F39D9"/>
  </w:style>
  <w:style w:type="paragraph" w:styleId="Footer">
    <w:name w:val="footer"/>
    <w:basedOn w:val="Normal"/>
    <w:link w:val="FooterChar"/>
    <w:uiPriority w:val="99"/>
    <w:unhideWhenUsed/>
    <w:rsid w:val="002F39D9"/>
    <w:pPr>
      <w:tabs>
        <w:tab w:val="center" w:pos="4513"/>
        <w:tab w:val="right" w:pos="9026"/>
      </w:tabs>
    </w:pPr>
  </w:style>
  <w:style w:type="character" w:customStyle="1" w:styleId="FooterChar">
    <w:name w:val="Footer Char"/>
    <w:basedOn w:val="DefaultParagraphFont"/>
    <w:link w:val="Footer"/>
    <w:uiPriority w:val="99"/>
    <w:rsid w:val="002F3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212/WNL.0000000000006640?utm_source=chatgpt.com" TargetMode="External"/><Relationship Id="rId18" Type="http://schemas.openxmlformats.org/officeDocument/2006/relationships/hyperlink" Target="https://doi.org/10.1111/eci.12931" TargetMode="External"/><Relationship Id="rId26" Type="http://schemas.openxmlformats.org/officeDocument/2006/relationships/hyperlink" Target="https://doi.org/10.1111/head.14921" TargetMode="External"/><Relationship Id="rId39" Type="http://schemas.openxmlformats.org/officeDocument/2006/relationships/footer" Target="footer2.xml"/><Relationship Id="rId21" Type="http://schemas.openxmlformats.org/officeDocument/2006/relationships/hyperlink" Target="https://doi.org/10.1111/head.15074" TargetMode="External"/><Relationship Id="rId34" Type="http://schemas.openxmlformats.org/officeDocument/2006/relationships/hyperlink" Target="https://doi.org/10.1186/s10194-022-01402-2" TargetMode="External"/><Relationship Id="rId42" Type="http://schemas.openxmlformats.org/officeDocument/2006/relationships/fontTable" Target="fontTable.xml"/><Relationship Id="rId7" Type="http://schemas.openxmlformats.org/officeDocument/2006/relationships/hyperlink" Target="https://doi.org/10.1056/NEJMoa2035908" TargetMode="External"/><Relationship Id="rId2" Type="http://schemas.openxmlformats.org/officeDocument/2006/relationships/styles" Target="styles.xml"/><Relationship Id="rId16" Type="http://schemas.openxmlformats.org/officeDocument/2006/relationships/hyperlink" Target="https://doi.org/10.1056/NEJMoa1705848" TargetMode="External"/><Relationship Id="rId20" Type="http://schemas.openxmlformats.org/officeDocument/2006/relationships/hyperlink" Target="https://doi.org/10.1093/braincomms/fcaf147?utm_source=chatgpt.com" TargetMode="External"/><Relationship Id="rId29" Type="http://schemas.openxmlformats.org/officeDocument/2006/relationships/hyperlink" Target="https://doi.org/10.1186/s10194-023-01699-7"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00415-024-12192-9" TargetMode="External"/><Relationship Id="rId24" Type="http://schemas.openxmlformats.org/officeDocument/2006/relationships/hyperlink" Target="https://doi.org/10.1111/head.14259" TargetMode="External"/><Relationship Id="rId32" Type="http://schemas.openxmlformats.org/officeDocument/2006/relationships/hyperlink" Target="https://doi.org/10.1186/s10194-020-01130-5"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38/s41591-025-03679-7" TargetMode="External"/><Relationship Id="rId23" Type="http://schemas.openxmlformats.org/officeDocument/2006/relationships/hyperlink" Target="https://doi.org/10.1212/WNL.0000000000009169" TargetMode="External"/><Relationship Id="rId28" Type="http://schemas.openxmlformats.org/officeDocument/2006/relationships/hyperlink" Target="https://doi.org/10.1007/s11916-025-01365-4?utm_source=chatgpt.com" TargetMode="External"/><Relationship Id="rId36" Type="http://schemas.openxmlformats.org/officeDocument/2006/relationships/header" Target="header1.xml"/><Relationship Id="rId10" Type="http://schemas.openxmlformats.org/officeDocument/2006/relationships/hyperlink" Target="https://doi.org/10.1186/s41073-019-0064-8?utm_source=chatgpt.com" TargetMode="External"/><Relationship Id="rId19" Type="http://schemas.openxmlformats.org/officeDocument/2006/relationships/hyperlink" Target="https://doi.org/10.1111/head.70043" TargetMode="External"/><Relationship Id="rId31" Type="http://schemas.openxmlformats.org/officeDocument/2006/relationships/hyperlink" Target="https://doi.org/10.1186/s10194-022-01431-x" TargetMode="External"/><Relationship Id="rId4" Type="http://schemas.openxmlformats.org/officeDocument/2006/relationships/webSettings" Target="webSettings.xml"/><Relationship Id="rId9" Type="http://schemas.openxmlformats.org/officeDocument/2006/relationships/hyperlink" Target="https://doi.org/10.1177/03331024251365206?utm_source=chatgpt.com" TargetMode="External"/><Relationship Id="rId14" Type="http://schemas.openxmlformats.org/officeDocument/2006/relationships/hyperlink" Target="https://doi.org/10.1111/head.70081?utm_source=chatgpt.com" TargetMode="External"/><Relationship Id="rId22" Type="http://schemas.openxmlformats.org/officeDocument/2006/relationships/hyperlink" Target="https://doi.org/10.1001/jama.2019.16711" TargetMode="External"/><Relationship Id="rId27" Type="http://schemas.openxmlformats.org/officeDocument/2006/relationships/hyperlink" Target="https://doi.org/10.1007/s40122-025-00757-z?utm_source=chatgpt.com" TargetMode="External"/><Relationship Id="rId30" Type="http://schemas.openxmlformats.org/officeDocument/2006/relationships/hyperlink" Target="https://doi.org/10.1186/s10194-026-02295-1" TargetMode="External"/><Relationship Id="rId35" Type="http://schemas.openxmlformats.org/officeDocument/2006/relationships/hyperlink" Target="https://doi.org/10.1186/s10194-021-01335-2?utm_source=chatgpt.com" TargetMode="External"/><Relationship Id="rId43" Type="http://schemas.openxmlformats.org/officeDocument/2006/relationships/theme" Target="theme/theme1.xml"/><Relationship Id="rId8" Type="http://schemas.openxmlformats.org/officeDocument/2006/relationships/hyperlink" Target="https://doi.org/10.1056/NEJMra1915327" TargetMode="External"/><Relationship Id="rId3" Type="http://schemas.openxmlformats.org/officeDocument/2006/relationships/settings" Target="settings.xml"/><Relationship Id="rId12" Type="http://schemas.openxmlformats.org/officeDocument/2006/relationships/hyperlink" Target="https://doi.org/10.1111/head.14692" TargetMode="External"/><Relationship Id="rId17" Type="http://schemas.openxmlformats.org/officeDocument/2006/relationships/hyperlink" Target="https://doi.org/10.1212/WNL.0000000000010600" TargetMode="External"/><Relationship Id="rId25" Type="http://schemas.openxmlformats.org/officeDocument/2006/relationships/hyperlink" Target="https://doi.org/10.1001/jamaneurol.2025.0806" TargetMode="External"/><Relationship Id="rId33" Type="http://schemas.openxmlformats.org/officeDocument/2006/relationships/hyperlink" Target="https://doi.org/10.1056/NEJMoa1709038"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55</Pages>
  <Words>23480</Words>
  <Characters>133837</Characters>
  <Application>Microsoft Office Word</Application>
  <DocSecurity>0</DocSecurity>
  <Lines>1115</Lines>
  <Paragraphs>314</Paragraphs>
  <ScaleCrop>false</ScaleCrop>
  <Company/>
  <LinksUpToDate>false</LinksUpToDate>
  <CharactersWithSpaces>157003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Calcitonin Gene-Related Peptide-Targeted Therapies in Migraine: A Critical Appraisal of Current Evidence, Clinical Advances and Future Perspectives</dc:title>
  <dc:creator>Critical Narrative Review</dc:creator>
  <cp:lastModifiedBy>Editor-90</cp:lastModifiedBy>
  <cp:revision>4</cp:revision>
  <dcterms:created xsi:type="dcterms:W3CDTF">2026-09-13T11:35:00Z</dcterms:created>
  <dcterms:modified xsi:type="dcterms:W3CDTF">2026-09-16T13:00:00Z</dcterms:modified>
</cp:coreProperties>
</file>