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4A82E5" w14:textId="77777777" w:rsidR="000A7D01" w:rsidRPr="000013E1" w:rsidRDefault="000A7D01">
      <w:pPr>
        <w:pStyle w:val="Title"/>
        <w:spacing w:after="320"/>
        <w:rPr>
          <w:rFonts w:ascii="Times New Roman" w:eastAsia="Times New Roman" w:hAnsi="Times New Roman"/>
          <w:color w:val="auto"/>
        </w:rPr>
      </w:pPr>
      <w:r w:rsidRPr="000013E1">
        <w:rPr>
          <w:rFonts w:ascii="Times New Roman" w:eastAsia="Times New Roman" w:hAnsi="Times New Roman"/>
          <w:color w:val="auto"/>
        </w:rPr>
        <w:t xml:space="preserve">Management Of Multidrug-Resistant Organisms </w:t>
      </w:r>
      <w:proofErr w:type="gramStart"/>
      <w:r w:rsidRPr="000013E1">
        <w:rPr>
          <w:rFonts w:ascii="Times New Roman" w:eastAsia="Times New Roman" w:hAnsi="Times New Roman"/>
          <w:color w:val="auto"/>
        </w:rPr>
        <w:t>In</w:t>
      </w:r>
      <w:proofErr w:type="gramEnd"/>
      <w:r w:rsidRPr="000013E1">
        <w:rPr>
          <w:rFonts w:ascii="Times New Roman" w:eastAsia="Times New Roman" w:hAnsi="Times New Roman"/>
          <w:color w:val="auto"/>
        </w:rPr>
        <w:t xml:space="preserve"> </w:t>
      </w:r>
      <w:proofErr w:type="gramStart"/>
      <w:r w:rsidRPr="000013E1">
        <w:rPr>
          <w:rFonts w:ascii="Times New Roman" w:eastAsia="Times New Roman" w:hAnsi="Times New Roman"/>
          <w:color w:val="auto"/>
        </w:rPr>
        <w:t>The</w:t>
      </w:r>
      <w:proofErr w:type="gramEnd"/>
      <w:r w:rsidRPr="000013E1">
        <w:rPr>
          <w:rFonts w:ascii="Times New Roman" w:eastAsia="Times New Roman" w:hAnsi="Times New Roman"/>
          <w:color w:val="auto"/>
        </w:rPr>
        <w:t xml:space="preserve"> Era </w:t>
      </w:r>
      <w:proofErr w:type="gramStart"/>
      <w:r w:rsidRPr="000013E1">
        <w:rPr>
          <w:rFonts w:ascii="Times New Roman" w:eastAsia="Times New Roman" w:hAnsi="Times New Roman"/>
          <w:color w:val="auto"/>
        </w:rPr>
        <w:t>Of</w:t>
      </w:r>
      <w:proofErr w:type="gramEnd"/>
      <w:r w:rsidRPr="000013E1">
        <w:rPr>
          <w:rFonts w:ascii="Times New Roman" w:eastAsia="Times New Roman" w:hAnsi="Times New Roman"/>
          <w:color w:val="auto"/>
        </w:rPr>
        <w:t xml:space="preserve"> Artificial Intelligence: Emerging Therapeutic Strategies, Predictive Diagnostics, And Antimicrobial Stewardship Applications</w:t>
      </w:r>
    </w:p>
    <w:p w14:paraId="308C6ED9" w14:textId="77777777" w:rsidR="00FE7B37" w:rsidRPr="000013E1" w:rsidRDefault="00000000">
      <w:pPr>
        <w:pStyle w:val="Heading1"/>
        <w:rPr>
          <w:color w:val="auto"/>
        </w:rPr>
      </w:pPr>
      <w:r w:rsidRPr="000013E1">
        <w:rPr>
          <w:rFonts w:ascii="Times New Roman" w:eastAsia="Times New Roman" w:hAnsi="Times New Roman"/>
          <w:color w:val="auto"/>
        </w:rPr>
        <w:t>Abstract</w:t>
      </w:r>
    </w:p>
    <w:p w14:paraId="168544A4" w14:textId="77777777" w:rsidR="00FE7B37" w:rsidRPr="000013E1" w:rsidRDefault="00000000">
      <w:pPr>
        <w:pStyle w:val="AbstractBody"/>
      </w:pPr>
      <w:r w:rsidRPr="000013E1">
        <w:rPr>
          <w:rFonts w:eastAsia="Times New Roman"/>
        </w:rPr>
        <w:t>Multidrug-resistant organisms are increasingly difficult to manage because therapeutic scarcity, delayed susceptibility information and antimicrobial-selection pressure interact at the bedside. At the same time, artificial intelligence (AI) is entering infectious-disease practice through resistance prediction, rapid diagnostic interpretation, stewardship triage and drug discovery. This critical narrative review evaluates whether these developments are converging into a clinically credible management strategy for multidrug-resistant bacterial infections or remain largely parallel technological advances. Literature published from 1 January 2015 to 17 July 2026 was identified through open scholarly databases and citation searching, with earlier seminal studies retained where necessary. Evidence was appraised according to study design, external validity, clinical relevance, comparator quality, model validation and maturity of translation. The strongest therapeutic evidence concerns mechanism-matched antibacterial agents, including newer β-lactam/β-lactamase inhibitor combinations, sulbactam-durlobactam and cefiderocol, although effectiveness varies by pathogen, resistance mechanism and infection context. Bacteriophages, CRISPR-based antimicrobials, microbiome manipulation and AI-discovered antibiotics remain less mature; their biological rationale is substantial, but clinical evidence is limited or inconsistent. Machine-learning approaches applied to mass spectrometry, whole-genome sequencing, microscopy and electronic health records can accelerate resistance or susceptibility prediction, yet transportability, calibration, data shift and the difference between predictive accuracy and patient benefit remain central limitations. AI-supported antimicrobial stewardship can prioritise reviews, personalise empiric therapy and support de-escalation, but most evidence is retrospective and prospective outcome trials are uncommon. Large language models are not sufficiently reliable for autonomous prescribing, especially in difficult-to-treat infections. The most defensible near-term model is therefore not autonomous AI-guided treatment, but a governed decision-support architecture linking rapid microbiology, mechanism-aware therapeutics and stewardship feedback. Future progress should be judged by prospective clinical outcomes, resistance ecology, implementation equity and safety rather than discrimination metrics alone.</w:t>
      </w:r>
    </w:p>
    <w:p w14:paraId="11A6F7D6" w14:textId="77777777" w:rsidR="00FE7B37" w:rsidRPr="000013E1" w:rsidRDefault="00000000">
      <w:pPr>
        <w:spacing w:after="160"/>
        <w:jc w:val="left"/>
      </w:pPr>
      <w:r w:rsidRPr="000013E1">
        <w:rPr>
          <w:rFonts w:eastAsia="Times New Roman"/>
          <w:b/>
          <w:sz w:val="21"/>
        </w:rPr>
        <w:t>Keywords:</w:t>
      </w:r>
      <w:r w:rsidRPr="000013E1">
        <w:rPr>
          <w:rFonts w:eastAsia="Times New Roman"/>
          <w:sz w:val="21"/>
        </w:rPr>
        <w:t xml:space="preserve"> antimicrobial resistance; multidrug-resistant bacteria; machine learning; rapid antimicrobial susceptibility testing; bacteriophage therapy; precision antimicrobial therapy; clinical decision support; antimicrobial stewardship</w:t>
      </w:r>
    </w:p>
    <w:p w14:paraId="4D7E7F51" w14:textId="77777777" w:rsidR="00FE7B37" w:rsidRPr="000013E1" w:rsidRDefault="00000000">
      <w:pPr>
        <w:pStyle w:val="Heading1"/>
        <w:rPr>
          <w:color w:val="auto"/>
        </w:rPr>
      </w:pPr>
      <w:r w:rsidRPr="000013E1">
        <w:rPr>
          <w:rFonts w:ascii="Times New Roman" w:eastAsia="Times New Roman" w:hAnsi="Times New Roman"/>
          <w:color w:val="auto"/>
        </w:rPr>
        <w:t>1. Introduction</w:t>
      </w:r>
    </w:p>
    <w:p w14:paraId="08E73792" w14:textId="77777777" w:rsidR="00FE7B37" w:rsidRPr="000013E1" w:rsidRDefault="00000000">
      <w:pPr>
        <w:ind w:firstLine="288"/>
      </w:pPr>
      <w:r w:rsidRPr="000013E1">
        <w:rPr>
          <w:rFonts w:eastAsia="Times New Roman"/>
        </w:rPr>
        <w:t xml:space="preserve">Bacterial antimicrobial resistance (AMR) has moved from a foreseeable consequence of antimicrobial use to a persistent systems-level threat that affects acute care, surgery, oncology, transplantation and intensive care. Global burden analyses estimate a substantial contemporary mortality attributable to bacterial AMR and forecast continued pressure over coming decades, with carbapenem resistance among Gram-negative bacteria and methicillin-resistant </w:t>
      </w:r>
      <w:r w:rsidRPr="000013E1">
        <w:rPr>
          <w:rFonts w:eastAsia="Times New Roman"/>
          <w:i/>
        </w:rPr>
        <w:t>Staphylococcus aureus</w:t>
      </w:r>
      <w:r w:rsidRPr="000013E1">
        <w:rPr>
          <w:rFonts w:eastAsia="Times New Roman"/>
        </w:rPr>
        <w:t xml:space="preserve"> remaining prominent contributors (Antimicrobial Resistance Collaborators, 2022; GBD 2021 Antimicrobial Resistance Collaborators, 2024). These estimates are necessarily modelled from heterogeneous surveillance and clinical data, but their direction is concordant with bedside experience: the clinical cost of resistance is concentrated in circumstances where delayed active therapy, critical illness, limited source control and toxic fallback regimens coincide.</w:t>
      </w:r>
    </w:p>
    <w:p w14:paraId="294B9A28" w14:textId="77777777" w:rsidR="00FE7B37" w:rsidRPr="000013E1" w:rsidRDefault="00000000">
      <w:pPr>
        <w:ind w:firstLine="288"/>
      </w:pPr>
      <w:r w:rsidRPr="000013E1">
        <w:rPr>
          <w:rFonts w:eastAsia="Times New Roman"/>
        </w:rPr>
        <w:t xml:space="preserve">The term multidrug-resistant organism (MDRO) is used inconsistently across surveillance, research and practice. The widely adopted international proposal by Magiorakos et al. (2012) defined multidrug resistance as non-susceptibility to at least one agent in three or more antimicrobial categories, while distinguishing extensively drug-resistant and pandrug-resistant phenotypes. Such categorical definitions remain useful for epidemiology, but they are not sufficient for therapeutic decisions. A carbapenem-resistant Enterobacterales </w:t>
      </w:r>
      <w:r w:rsidRPr="000013E1">
        <w:rPr>
          <w:rFonts w:eastAsia="Times New Roman"/>
        </w:rPr>
        <w:lastRenderedPageBreak/>
        <w:t xml:space="preserve">isolate producing Klebsiella pneumoniae carbapenemase, for example, presents a different treatment problem from an isolate producing a metallo-β-lactamase, even if both occupy the same broad resistance category. Similarly, carbapenem-resistant </w:t>
      </w:r>
      <w:r w:rsidRPr="000013E1">
        <w:rPr>
          <w:rFonts w:eastAsia="Times New Roman"/>
          <w:i/>
        </w:rPr>
        <w:t>Acinetobacter baumannii</w:t>
      </w:r>
      <w:r w:rsidRPr="000013E1">
        <w:rPr>
          <w:rFonts w:eastAsia="Times New Roman"/>
        </w:rPr>
        <w:t xml:space="preserve"> (CRAB), difficult-to-treat resistant </w:t>
      </w:r>
      <w:r w:rsidRPr="000013E1">
        <w:rPr>
          <w:rFonts w:eastAsia="Times New Roman"/>
          <w:i/>
        </w:rPr>
        <w:t>Pseudomonas aeruginosa</w:t>
      </w:r>
      <w:r w:rsidRPr="000013E1">
        <w:rPr>
          <w:rFonts w:eastAsia="Times New Roman"/>
        </w:rPr>
        <w:t xml:space="preserve">, vancomycin-resistant </w:t>
      </w:r>
      <w:r w:rsidRPr="000013E1">
        <w:rPr>
          <w:rFonts w:eastAsia="Times New Roman"/>
          <w:i/>
        </w:rPr>
        <w:t>Enterococcus faecium</w:t>
      </w:r>
      <w:r w:rsidRPr="000013E1">
        <w:rPr>
          <w:rFonts w:eastAsia="Times New Roman"/>
        </w:rPr>
        <w:t xml:space="preserve"> and methicillin-resistant </w:t>
      </w:r>
      <w:r w:rsidRPr="000013E1">
        <w:rPr>
          <w:rFonts w:eastAsia="Times New Roman"/>
          <w:i/>
        </w:rPr>
        <w:t>S. aureus</w:t>
      </w:r>
      <w:r w:rsidRPr="000013E1">
        <w:rPr>
          <w:rFonts w:eastAsia="Times New Roman"/>
        </w:rPr>
        <w:t xml:space="preserve"> differ in resistance biology, drug penetration, site-specific treatment constraints and the maturity of available alternatives (Paul et al., 2022; Tamma et al., 2024). The clinically relevant unit is therefore increasingly a pathogen-mechanism-site-host combination rather than an MDRO label alone.</w:t>
      </w:r>
    </w:p>
    <w:p w14:paraId="5465BA43" w14:textId="77777777" w:rsidR="00FE7B37" w:rsidRPr="000013E1" w:rsidRDefault="00000000">
      <w:pPr>
        <w:ind w:firstLine="288"/>
      </w:pPr>
      <w:r w:rsidRPr="000013E1">
        <w:rPr>
          <w:rFonts w:eastAsia="Times New Roman"/>
        </w:rPr>
        <w:t xml:space="preserve">This shift coincides with major therapeutic innovation. Newer β-lactam/β-lactamase inhibitor combinations have displaced polymyxin-centred regimens for many carbapenem-resistant Enterobacterales infections, while sulbactam-durlobactam has produced pathogen-specific randomised evidence for serious </w:t>
      </w:r>
      <w:r w:rsidRPr="000013E1">
        <w:rPr>
          <w:rFonts w:eastAsia="Times New Roman"/>
          <w:i/>
        </w:rPr>
        <w:t>A. baumannii</w:t>
      </w:r>
      <w:r w:rsidRPr="000013E1">
        <w:rPr>
          <w:rFonts w:eastAsia="Times New Roman"/>
        </w:rPr>
        <w:t>-calcoaceticus complex infections (Kaye et al., 2023; Tamma et al., 2024). Cefiderocol extends activity to several carbapenem-resistant Gram-negative organisms through siderophore-mediated entry, but the discrepancy between non-inferiority in nosocomial pneumonia and an excess mortality signal in the heterogeneous CREDIBLE-CR trial illustrates why in-vitro breadth cannot be equated with uniform clinical effectiveness (Bassetti et al., 2021; Wunderink et al., 2021). Investigational agents such as cefepime-taniborbactam further broaden the mechanistic range of β-lactamase inhibition, although phase 3 efficacy in complicated urinary tract infection should not be treated as direct proof of effectiveness against all carbapenem-resistant phenotypes (Wagenlehner et al., 2024).</w:t>
      </w:r>
    </w:p>
    <w:p w14:paraId="5DA76BFD" w14:textId="77777777" w:rsidR="00FE7B37" w:rsidRPr="000013E1" w:rsidRDefault="00000000">
      <w:pPr>
        <w:ind w:firstLine="288"/>
      </w:pPr>
      <w:r w:rsidRPr="000013E1">
        <w:rPr>
          <w:rFonts w:eastAsia="Times New Roman"/>
        </w:rPr>
        <w:t>At the same time, therapeutic concepts outside conventional small-molecule antibiotics have advanced. Personalised bacteriophage cocktails have been associated with recovery in otherwise refractory infections, engineered phages have been used in disseminated drug-resistant mycobacterial disease, and the PhagoBurn trial provided a cautionary demonstration that biological plausibility is vulnerable to manufacturing, titre and host-range constraints (Dedrick et al., 2019; Jault et al., 2019; Schooley et al., 2017). CRISPR-Cas systems can be programmed to eliminate bacteria carrying selected resistance or virulence determinants in experimental models, yet delivery and ecological control remain unresolved (Bikard et al., 2014; Citorik et al., 2014). Manipulation of colonisation resistance through faecal microbiota transplantation has also been proposed for MDRO decolonisation. Randomised studies have not established consistent benefit, including a recent sham-controlled trial that found no significant increase in decolonisation after a single faecal microbiota transplant (Huttner et al., 2019; Narang et al., 2026). These approaches therefore occupy markedly different levels of translational maturity.</w:t>
      </w:r>
    </w:p>
    <w:p w14:paraId="7AE6A5F8" w14:textId="77777777" w:rsidR="00FE7B37" w:rsidRPr="000013E1" w:rsidRDefault="00000000">
      <w:pPr>
        <w:ind w:firstLine="288"/>
      </w:pPr>
      <w:r w:rsidRPr="000013E1">
        <w:rPr>
          <w:rFonts w:eastAsia="Times New Roman"/>
        </w:rPr>
        <w:t>Artificial intelligence has entered this landscape at multiple points rather than as a single intervention. Machine-learning algorithms can extract resistance signals from matrix-assisted laser desorption/ionisation-time-of-flight mass spectrometry (MALDI-TOF MS), infer susceptibility from whole-genome sequencing (WGS), classify antibiotic responses from imaging, and combine microbiology with electronic health record (EHR) variables to estimate individual resistance risk (Jia et al., 2026; Lewin-Epstein et al., 2021; Ren et al., 2022; Weis et al., 2022; Yu et al., 2018). Similar methods are being used to prioritise stewardship reviews and personalise empiric antibiotic choices (Bystritsky et al., 2020; Corbin et al., 2022; Tran-The et al., 2024). Deep learning has also identified antibacterial chemical matter that conventional similarity-based screening might not have prioritised, including halicin, abaucin and structurally distinct anti-staphylococcal candidates (Liu et al., 2023; Stokes et al., 2020; Wong et al., 2024). These developments justify substantial interest, but they also create a risk of conflating algorithmic performance with clinical effectiveness.</w:t>
      </w:r>
      <w:r>
        <w:rPr>
          <w:highlight w:val="yellow"/>
        </w:rPr>
        <w:t xml:space="preserve"> Recent reviews have similarly framed AI across bacterial diagnostics, AMR prediction and surveillance, and antibiotic discovery, while emphasizing that clinical translation depends on validation across settings and task-specific limitations (Arnold et al., 2025).</w:t>
      </w:r>
    </w:p>
    <w:p w14:paraId="7D7A0BDB" w14:textId="77777777" w:rsidR="00FE7B37" w:rsidRPr="000013E1" w:rsidRDefault="00000000">
      <w:pPr>
        <w:ind w:firstLine="288"/>
      </w:pPr>
      <w:r w:rsidRPr="000013E1">
        <w:rPr>
          <w:rFonts w:eastAsia="Times New Roman"/>
        </w:rPr>
        <w:lastRenderedPageBreak/>
        <w:t>The central problem is that MDRO management is a time-dependent sequence of decisions. Empiric therapy is chosen before definitive susceptibility results; diagnostic uncertainty narrows over time; treatment must be refined according to organism, resistance mechanism, site and host factors; and stewardship must preserve individual benefit without intensifying population-level selection pressure. AI is potentially valuable precisely because this sequence generates high-dimensional, rapidly changing information. Yet its value depends on how the model is embedded in clinical workflow. A model with excellent discrimination can still be clinically unsafe if its training labels are unreliable, if resistance epidemiology changes, if it fails to quantify uncertainty, or if it recommends an agent that is inaccessible, contraindicated or pharmacologically unsuitable. Conversely, a modest model that reliably identifies a high-yield subset for expert review may deliver more practical benefit than a more complex system that is difficult to validate or maintain.</w:t>
      </w:r>
      <w:r>
        <w:rPr>
          <w:highlight w:val="yellow"/>
        </w:rPr>
        <w:t xml:space="preserve"> Recent clinical reviews of machine-learning-based AMR prediction likewise emphasize that deployment should be assessed in relation to the treatment decision it is intended to inform, rather than by predictive performance alone (Kherabi et al., 2024).</w:t>
      </w:r>
    </w:p>
    <w:p w14:paraId="4E25DEFF" w14:textId="77777777" w:rsidR="00FE7B37" w:rsidRPr="000013E1" w:rsidRDefault="00000000">
      <w:pPr>
        <w:ind w:firstLine="288"/>
      </w:pPr>
      <w:r w:rsidRPr="000013E1">
        <w:rPr>
          <w:rFonts w:eastAsia="Times New Roman"/>
        </w:rPr>
        <w:t>Existing reviews tend to examine these domains separately. Reviews of hospital AMR technologies have surveyed diagnostics and therapeutics broadly, phage reviews have concentrated on biological and pharmacokinetic translation, WGS/ML reviews have focused on prediction performance, and stewardship reviews have predominantly evaluated algorithmic discrimination or task-specific applications (Ardila et al., 2024; Avershina et al., 2021; Pennisi et al., 2025; Pinto-de-Sá et al., 2024; Siopi et al., 2024). This siloed literature makes it difficult to judge where AI changes the actual management pathway of an MDRO infection and where it merely adds a predictive layer without outcome evidence. A critical synthesis therefore requires comparison not only of technologies, but also of evidence maturity, clinical decision points and the conditions under which predictions can safely alter treatment.</w:t>
      </w:r>
      <w:r>
        <w:rPr>
          <w:highlight w:val="yellow"/>
        </w:rPr>
        <w:t xml:space="preserve"> More recent analyses have also highlighted the need for reproducible, interpretable and clinically validated AI-AMR systems, and a systematic review of AI-guided antimicrobial therapy found that current evidence remains heterogeneous and requires stronger prospective evaluation (Sardar et al., 2026; AlGain et al., 2025).</w:t>
      </w:r>
    </w:p>
    <w:p w14:paraId="1DE8C204" w14:textId="77777777" w:rsidR="00FE7B37" w:rsidRPr="000013E1" w:rsidRDefault="00000000">
      <w:pPr>
        <w:pStyle w:val="Heading2"/>
        <w:rPr>
          <w:color w:val="auto"/>
        </w:rPr>
      </w:pPr>
      <w:r w:rsidRPr="000013E1">
        <w:rPr>
          <w:rFonts w:ascii="Times New Roman" w:eastAsia="Times New Roman" w:hAnsi="Times New Roman"/>
          <w:color w:val="auto"/>
        </w:rPr>
        <w:t>1.1 Scope, Research Gap and Objectives</w:t>
      </w:r>
    </w:p>
    <w:p w14:paraId="0567E414" w14:textId="77777777" w:rsidR="00FE7B37" w:rsidRPr="000013E1" w:rsidRDefault="00000000">
      <w:pPr>
        <w:ind w:firstLine="288"/>
      </w:pPr>
      <w:r w:rsidRPr="000013E1">
        <w:rPr>
          <w:rFonts w:eastAsia="Times New Roman"/>
        </w:rPr>
        <w:t xml:space="preserve">This review focuses on human bacterial MDRO management, with particular emphasis on carbapenem-resistant Enterobacterales, carbapenem-resistant </w:t>
      </w:r>
      <w:r w:rsidRPr="000013E1">
        <w:rPr>
          <w:rFonts w:eastAsia="Times New Roman"/>
          <w:i/>
        </w:rPr>
        <w:t>Acinetobacter baumannii</w:t>
      </w:r>
      <w:r w:rsidRPr="000013E1">
        <w:rPr>
          <w:rFonts w:eastAsia="Times New Roman"/>
        </w:rPr>
        <w:t xml:space="preserve">, difficult-to-treat resistant </w:t>
      </w:r>
      <w:r w:rsidRPr="000013E1">
        <w:rPr>
          <w:rFonts w:eastAsia="Times New Roman"/>
          <w:i/>
        </w:rPr>
        <w:t>Pseudomonas aeruginosa</w:t>
      </w:r>
      <w:r w:rsidRPr="000013E1">
        <w:rPr>
          <w:rFonts w:eastAsia="Times New Roman"/>
        </w:rPr>
        <w:t xml:space="preserve">, methicillin-resistant </w:t>
      </w:r>
      <w:r w:rsidRPr="000013E1">
        <w:rPr>
          <w:rFonts w:eastAsia="Times New Roman"/>
          <w:i/>
        </w:rPr>
        <w:t>Staphylococcus aureus</w:t>
      </w:r>
      <w:r w:rsidRPr="000013E1">
        <w:rPr>
          <w:rFonts w:eastAsia="Times New Roman"/>
        </w:rPr>
        <w:t xml:space="preserve"> and vancomycin-resistant enterococci. Fungal multidrug resistance, tuberculosis programme management and non-bacterial antimicrobial resistance are outside the core scope except where a study provides a conceptually important translational example. The review examines three linked domains: emerging therapeutic strategies, AI-enabled predictive diagnostics and AI-supported antimicrobial stewardship. Its principal gap is the absence of an integrated critical appraisal that places these domains on the same clinical pathway and explicitly distinguishes mature patient-level evidence from promising but preclinical or retrospective innovation. The objectives are to evaluate the strength and limitations of the evidence in each domain, determine where AI can plausibly improve mechanism-matched treatment and stewardship, identify implementation risks that could negate apparent model performance, and define research priorities for clinically meaningful integration.</w:t>
      </w:r>
    </w:p>
    <w:p w14:paraId="7DA597D2" w14:textId="77777777" w:rsidR="00FE7B37" w:rsidRPr="000013E1" w:rsidRDefault="00000000">
      <w:pPr>
        <w:pStyle w:val="Heading1"/>
        <w:rPr>
          <w:color w:val="auto"/>
        </w:rPr>
      </w:pPr>
      <w:r w:rsidRPr="000013E1">
        <w:rPr>
          <w:rFonts w:ascii="Times New Roman" w:eastAsia="Times New Roman" w:hAnsi="Times New Roman"/>
          <w:color w:val="auto"/>
        </w:rPr>
        <w:t>2. Methods for Literature Selection</w:t>
      </w:r>
    </w:p>
    <w:p w14:paraId="54BE5B35" w14:textId="77777777" w:rsidR="00FE7B37" w:rsidRPr="000013E1" w:rsidRDefault="00000000">
      <w:pPr>
        <w:pStyle w:val="Heading2"/>
        <w:rPr>
          <w:color w:val="auto"/>
        </w:rPr>
      </w:pPr>
      <w:r w:rsidRPr="000013E1">
        <w:rPr>
          <w:rFonts w:ascii="Times New Roman" w:eastAsia="Times New Roman" w:hAnsi="Times New Roman"/>
          <w:color w:val="auto"/>
        </w:rPr>
        <w:t>2.1 Review Design and Rationale</w:t>
      </w:r>
    </w:p>
    <w:p w14:paraId="25BDED47" w14:textId="77777777" w:rsidR="00FE7B37" w:rsidRPr="000013E1" w:rsidRDefault="00000000">
      <w:pPr>
        <w:ind w:firstLine="288"/>
      </w:pPr>
      <w:r w:rsidRPr="000013E1">
        <w:rPr>
          <w:rFonts w:eastAsia="Times New Roman"/>
        </w:rPr>
        <w:t xml:space="preserve">A critical narrative review design was selected because the review question spans heterogeneous evidence classes that are not meaningfully reducible to a single intervention-outcome framework. The relevant literature includes randomised antibiotic trials, observational comparative-effectiveness studies, diagnostic-prediction </w:t>
      </w:r>
      <w:r w:rsidRPr="000013E1">
        <w:rPr>
          <w:rFonts w:eastAsia="Times New Roman"/>
        </w:rPr>
        <w:lastRenderedPageBreak/>
        <w:t>studies, machine-learning validation studies, proof-of-concept laboratory research, case reports of personalised biological therapy, systematic reviews and professional guidance. A conventional meta-analysis across these domains would obscure rather than resolve the differences in evidential maturity. The narrative approach was nevertheless structured to preserve transparency, explicit selection logic and critical appraisal, consistent with the principles underlying the Scale for the Assessment of Narrative Review Articles (SANRA) (Baethge et al., 2019).</w:t>
      </w:r>
    </w:p>
    <w:p w14:paraId="02447B4A" w14:textId="77777777" w:rsidR="00FE7B37" w:rsidRPr="000013E1" w:rsidRDefault="00000000">
      <w:pPr>
        <w:pStyle w:val="Heading2"/>
        <w:rPr>
          <w:color w:val="auto"/>
        </w:rPr>
      </w:pPr>
      <w:r w:rsidRPr="000013E1">
        <w:rPr>
          <w:rFonts w:ascii="Times New Roman" w:eastAsia="Times New Roman" w:hAnsi="Times New Roman"/>
          <w:color w:val="auto"/>
        </w:rPr>
        <w:t>2.2 Information Sources</w:t>
      </w:r>
    </w:p>
    <w:p w14:paraId="183A65BB" w14:textId="77777777" w:rsidR="00FE7B37" w:rsidRPr="000013E1" w:rsidRDefault="00000000">
      <w:pPr>
        <w:ind w:firstLine="288"/>
      </w:pPr>
      <w:r w:rsidRPr="000013E1">
        <w:rPr>
          <w:rFonts w:eastAsia="Times New Roman"/>
        </w:rPr>
        <w:t>Literature was identified using PubMed, PubMed Central, Europe PMC, OpenAlex, Google Scholar, Semantic Scholar and the Directory of Open Access Journals. The searches were supplemented by backward citation searching from recent high-quality reviews and key trials, related-article searching, forward searching for later comparative or validation studies, and targeted searches of the World Health Organization website for pathogen-priority and AMR policy documents. Bibliographic details and DOI assignments for included journal articles were checked against authoritative metadata, principally PubMed records and DOI-linked journal metadata. Searches for corrections and errata were incorporated when an influential article had a known correction.</w:t>
      </w:r>
    </w:p>
    <w:p w14:paraId="135D71FC" w14:textId="77777777" w:rsidR="00FE7B37" w:rsidRPr="000013E1" w:rsidRDefault="00000000">
      <w:pPr>
        <w:pStyle w:val="Heading2"/>
        <w:rPr>
          <w:color w:val="auto"/>
        </w:rPr>
      </w:pPr>
      <w:r w:rsidRPr="000013E1">
        <w:rPr>
          <w:rFonts w:ascii="Times New Roman" w:eastAsia="Times New Roman" w:hAnsi="Times New Roman"/>
          <w:color w:val="auto"/>
        </w:rPr>
        <w:t>2.3 Search Strategy and Search Period</w:t>
      </w:r>
    </w:p>
    <w:p w14:paraId="02EA79C3" w14:textId="77777777" w:rsidR="00FE7B37" w:rsidRPr="000013E1" w:rsidRDefault="00000000">
      <w:pPr>
        <w:ind w:firstLine="288"/>
      </w:pPr>
      <w:r w:rsidRPr="000013E1">
        <w:rPr>
          <w:rFonts w:eastAsia="Times New Roman"/>
        </w:rPr>
        <w:t>The main search period was 1 January 2015 to 17 July 2026. Earlier studies were retained only when they were foundational to MDRO definitions, programmable antimicrobials or another concept required to interpret later evidence. For online-first publications, the online publication date determined temporal eligibility where it preceded assignment to a later print issue.</w:t>
      </w:r>
    </w:p>
    <w:p w14:paraId="784DDD91" w14:textId="77777777" w:rsidR="00FE7B37" w:rsidRPr="000013E1" w:rsidRDefault="00000000">
      <w:pPr>
        <w:ind w:firstLine="288"/>
      </w:pPr>
      <w:r w:rsidRPr="000013E1">
        <w:rPr>
          <w:rFonts w:eastAsia="Times New Roman"/>
        </w:rPr>
        <w:t>Search concepts combined MDRO terminology with AI, diagnostic, therapeutic and stewardship terms. A representative core query was: ("multidrug-resistant organism" OR MDRO OR "antimicrobial resistance" OR carbapenem-resistant OR methicillin-resistant OR vancomycin-resistant) AND ("artificial intelligence" OR "machine learning" OR "deep learning" OR "large language model" OR "predictive analytics") AND (diagnostic OR "antimicrobial susceptibility" OR stewardship OR prescribing OR therapy OR treatment OR bacteriophage OR CRISPR OR "antibiotic discovery"). Additional searches combined individual pathogens or resistance mechanisms with cefiderocol, β-lactamase inhibitors, sulbactam-durlobactam, bacteriophage therapy, faecal microbiota transplantation, MALDI-TOF MS, WGS, rapid phenotypic susceptibility testing, personalised antibiograms and antimicrobial stewardship. Search terms were adapted to the syntax and indexing of each source rather than forcing a single literal string across platforms.</w:t>
      </w:r>
    </w:p>
    <w:p w14:paraId="5E39F891" w14:textId="77777777" w:rsidR="00FE7B37" w:rsidRPr="000013E1" w:rsidRDefault="00000000">
      <w:pPr>
        <w:pStyle w:val="Heading2"/>
        <w:rPr>
          <w:color w:val="auto"/>
        </w:rPr>
      </w:pPr>
      <w:r w:rsidRPr="000013E1">
        <w:rPr>
          <w:rFonts w:ascii="Times New Roman" w:eastAsia="Times New Roman" w:hAnsi="Times New Roman"/>
          <w:color w:val="auto"/>
        </w:rPr>
        <w:t>2.4 Eligibility Criteria</w:t>
      </w:r>
    </w:p>
    <w:p w14:paraId="7101AB03" w14:textId="77777777" w:rsidR="00FE7B37" w:rsidRPr="000013E1" w:rsidRDefault="00000000">
      <w:pPr>
        <w:ind w:firstLine="288"/>
      </w:pPr>
      <w:r w:rsidRPr="000013E1">
        <w:rPr>
          <w:rFonts w:eastAsia="Times New Roman"/>
        </w:rPr>
        <w:t>Eligible sources were English-language peer-reviewed studies and high-quality reviews that directly informed human bacterial MDRO management, resistance prediction, antimicrobial susceptibility testing, AI-assisted stewardship, emerging antibacterial treatment or clinically relevant antimicrobial discovery. Randomised controlled trials and well-designed comparative studies were prioritised for therapeutic questions. Diagnostic and prediction studies required clearly described inputs, reference labels and validation procedures. Preclinical studies were included only when they represented a substantive translational advance that could not be evaluated from clinical literature, such as sequence-specific CRISPR antimicrobials or deep-learning-guided antibiotic discovery. Professional guidance and authoritative institutional documents were included when they informed treatment positioning or pathogen prioritisation. Studies were excluded if their bibliographic identity could not be verified, if they were purely promotional, if they addressed non-bacterial resistance without direct conceptual relevance, or if their claims were substantially redundant with stronger evidence.</w:t>
      </w:r>
    </w:p>
    <w:p w14:paraId="680A9836" w14:textId="77777777" w:rsidR="00FE7B37" w:rsidRPr="000013E1" w:rsidRDefault="00000000">
      <w:pPr>
        <w:pStyle w:val="Heading2"/>
        <w:rPr>
          <w:color w:val="auto"/>
        </w:rPr>
      </w:pPr>
      <w:r w:rsidRPr="000013E1">
        <w:rPr>
          <w:rFonts w:ascii="Times New Roman" w:eastAsia="Times New Roman" w:hAnsi="Times New Roman"/>
          <w:color w:val="auto"/>
        </w:rPr>
        <w:lastRenderedPageBreak/>
        <w:t>2.5 Screening, Duplicate Handling and Study Selection</w:t>
      </w:r>
    </w:p>
    <w:p w14:paraId="797E2ED9" w14:textId="77777777" w:rsidR="00FE7B37" w:rsidRPr="000013E1" w:rsidRDefault="00000000">
      <w:pPr>
        <w:ind w:firstLine="288"/>
      </w:pPr>
      <w:r w:rsidRPr="000013E1">
        <w:rPr>
          <w:rFonts w:eastAsia="Times New Roman"/>
        </w:rPr>
        <w:t>Titles and abstracts were assessed for direct relevance to the defined clinical pathway, followed by full-text or detailed record review of studies considered potentially influential. Duplicate records were reconciled using DOI, PubMed identifier, title, author and year information. When multiple reports arose from the same trial, the primary trial report was preferred for efficacy conclusions, while secondary reports were retained only if they contributed a distinct analysis. Inaccessible sources were not used for detailed numerical claims unless sufficient authoritative metadata and abstract information were available to verify the claim. No screening counts are presented because the review was intentionally narrative and did not use a prospectively enumerated systematic-review workflow.</w:t>
      </w:r>
    </w:p>
    <w:p w14:paraId="78D835DC" w14:textId="77777777" w:rsidR="00FE7B37" w:rsidRPr="000013E1" w:rsidRDefault="00000000">
      <w:pPr>
        <w:pStyle w:val="Heading2"/>
        <w:rPr>
          <w:color w:val="auto"/>
        </w:rPr>
      </w:pPr>
      <w:r w:rsidRPr="000013E1">
        <w:rPr>
          <w:rFonts w:ascii="Times New Roman" w:eastAsia="Times New Roman" w:hAnsi="Times New Roman"/>
          <w:color w:val="auto"/>
        </w:rPr>
        <w:t>2.6 Critical Appraisal and Evidence Synthesis</w:t>
      </w:r>
    </w:p>
    <w:p w14:paraId="19974304" w14:textId="77777777" w:rsidR="00FE7B37" w:rsidRPr="000013E1" w:rsidRDefault="00000000">
      <w:pPr>
        <w:ind w:firstLine="288"/>
      </w:pPr>
      <w:r w:rsidRPr="000013E1">
        <w:rPr>
          <w:rFonts w:eastAsia="Times New Roman"/>
        </w:rPr>
        <w:t>Evidence was appraised according to study design, sample size, comparator quality, patient selection, outcome definition, confounding control, external validation, calibration, temporal and geographical transportability, reference-standard quality and clinical relevance. For therapeutic evidence, particular attention was paid to pathogen confirmation, resistance mechanism, infection site and whether the comparator reflected contemporary rather than obsolete practice. For AI studies, discrimination metrics were not treated as sufficient evidence of utility; external validation, class imbalance, label quality, data leakage, calibration, decision threshold, model drift and workflow consequences were considered. Evidence was organised thematically and then mapped onto the sequential management pathway from initial risk assessment to rapid diagnostics, definitive treatment and stewardship. Contradictory results were retained and used to identify where biological heterogeneity or methodological design explained divergent conclusions.</w:t>
      </w:r>
    </w:p>
    <w:p w14:paraId="5AF2C14D" w14:textId="77777777" w:rsidR="00FE7B37" w:rsidRPr="000013E1" w:rsidRDefault="00000000">
      <w:pPr>
        <w:pStyle w:val="Heading1"/>
        <w:rPr>
          <w:color w:val="auto"/>
        </w:rPr>
      </w:pPr>
      <w:r w:rsidRPr="000013E1">
        <w:rPr>
          <w:rFonts w:ascii="Times New Roman" w:eastAsia="Times New Roman" w:hAnsi="Times New Roman"/>
          <w:color w:val="auto"/>
        </w:rPr>
        <w:t>3. Why MDRO Management Requires Mechanism-Aware Precision</w:t>
      </w:r>
    </w:p>
    <w:p w14:paraId="2DEE8070" w14:textId="77777777" w:rsidR="00FE7B37" w:rsidRPr="000013E1" w:rsidRDefault="00000000">
      <w:pPr>
        <w:pStyle w:val="Heading2"/>
        <w:rPr>
          <w:color w:val="auto"/>
        </w:rPr>
      </w:pPr>
      <w:r w:rsidRPr="000013E1">
        <w:rPr>
          <w:rFonts w:ascii="Times New Roman" w:eastAsia="Times New Roman" w:hAnsi="Times New Roman"/>
          <w:color w:val="auto"/>
        </w:rPr>
        <w:t>3.1 Resistance Categories Are Clinically Incomplete</w:t>
      </w:r>
    </w:p>
    <w:p w14:paraId="31C21DE2" w14:textId="77777777" w:rsidR="00FE7B37" w:rsidRPr="000013E1" w:rsidRDefault="00000000">
      <w:pPr>
        <w:ind w:firstLine="288"/>
      </w:pPr>
      <w:r w:rsidRPr="000013E1">
        <w:rPr>
          <w:rFonts w:eastAsia="Times New Roman"/>
        </w:rPr>
        <w:t xml:space="preserve">The historical value of MDR, XDR and PDR categories lies in standardisation. They facilitate surveillance and communication across species, but they collapse mechanistically distinct resistance states into phenotype-based labels (Magiorakos et al., 2012). Contemporary guidance for resistant Gram-negative infections increasingly avoids that simplification by organising recommendations around specific resistance mechanisms and pathogen groups, including extended-spectrum β-lactamase-producing Enterobacterales, AmpC-producing Enterobacterales, carbapenem-resistant Enterobacterales, difficult-to-treat resistant </w:t>
      </w:r>
      <w:r w:rsidRPr="000013E1">
        <w:rPr>
          <w:rFonts w:eastAsia="Times New Roman"/>
          <w:i/>
        </w:rPr>
        <w:t>P. aeruginosa</w:t>
      </w:r>
      <w:r w:rsidRPr="000013E1">
        <w:rPr>
          <w:rFonts w:eastAsia="Times New Roman"/>
        </w:rPr>
        <w:t xml:space="preserve">, CRAB and </w:t>
      </w:r>
      <w:r w:rsidRPr="000013E1">
        <w:rPr>
          <w:rFonts w:eastAsia="Times New Roman"/>
          <w:i/>
        </w:rPr>
        <w:t>Stenotrophomonas maltophilia</w:t>
      </w:r>
      <w:r w:rsidRPr="000013E1">
        <w:rPr>
          <w:rFonts w:eastAsia="Times New Roman"/>
        </w:rPr>
        <w:t xml:space="preserve"> (Tamma et al., 2024). This approach is clinically rational because the same susceptibility phenotype can arise from different enzymes, porin changes and efflux patterns, while the same resistance gene can have different phenotypic consequences depending on expression and genomic context.</w:t>
      </w:r>
    </w:p>
    <w:p w14:paraId="7F012EBB" w14:textId="77777777" w:rsidR="00FE7B37" w:rsidRPr="000013E1" w:rsidRDefault="00000000">
      <w:pPr>
        <w:ind w:firstLine="288"/>
      </w:pPr>
      <w:r w:rsidRPr="000013E1">
        <w:rPr>
          <w:rFonts w:eastAsia="Times New Roman"/>
        </w:rPr>
        <w:t>Therapeutic choice therefore increasingly requires a layered interpretation. First, clinicians must establish whether the organism recovered is causative rather than colonising. Second, species identification and phenotypic susceptibility narrow the antibiotic space. Third, carbapenemase class or other resistance-mechanism information can determine whether a new β-lactam/β-lactamase inhibitor is likely to be active. Fourth, infection site, inoculum, organ dysfunction, source control and previous antimicrobial exposure affect whether an apparently active drug is clinically appropriate. European guidance similarly emphasises pathogen- and syndrome-specific evaluation and notes that important recommendations have historically rested on low-certainty observational evidence, especially for newer agents (Paul et al., 2022). Mechanism-aware management is thus not merely a laboratory refinement; it is a response to the fact that resistance categories have lower therapeutic resolution than modern drug spectra.</w:t>
      </w:r>
    </w:p>
    <w:p w14:paraId="6B6AAEA6" w14:textId="77777777" w:rsidR="00FE7B37" w:rsidRPr="000013E1" w:rsidRDefault="00000000">
      <w:pPr>
        <w:ind w:firstLine="288"/>
      </w:pPr>
      <w:r w:rsidRPr="000013E1">
        <w:rPr>
          <w:rFonts w:eastAsia="Times New Roman"/>
        </w:rPr>
        <w:lastRenderedPageBreak/>
        <w:t xml:space="preserve">The expanding antibacterial armamentarium paradoxically strengthens the need for diagnostic precision. When the fallback option was a polymyxin-based regimen, detailed enzyme classification often had limited immediate consequence. In contrast, newer agents have selective strengths and blind spots. Meropenem-vaborbactam is principally valuable for KPC-producing Enterobacterales; ceftazidime-avibactam covers KPC and OXA-48-like enzymes but not metallo-β-lactamases; aztreonam-based strategies address metallo-β-lactamase contexts through complementary β-lactamase inhibition; sulbactam-durlobactam is directed towards </w:t>
      </w:r>
      <w:r w:rsidRPr="000013E1">
        <w:rPr>
          <w:rFonts w:eastAsia="Times New Roman"/>
          <w:i/>
        </w:rPr>
        <w:t>A. baumannii</w:t>
      </w:r>
      <w:r w:rsidRPr="000013E1">
        <w:rPr>
          <w:rFonts w:eastAsia="Times New Roman"/>
        </w:rPr>
        <w:t>-calcoaceticus complex; and cefiderocol spans several carbapenem-resistant Gram-negative groups through a distinct entry strategy (Tamma et al., 2024). The practical value of a diagnostic test is therefore partly determined by whether it arrives early enough to change this branching decision tree.</w:t>
      </w:r>
    </w:p>
    <w:p w14:paraId="76BAF3BD" w14:textId="77777777" w:rsidR="00FE7B37" w:rsidRPr="000013E1" w:rsidRDefault="00000000">
      <w:pPr>
        <w:pStyle w:val="Heading2"/>
        <w:rPr>
          <w:color w:val="auto"/>
        </w:rPr>
      </w:pPr>
      <w:r w:rsidRPr="000013E1">
        <w:rPr>
          <w:rFonts w:ascii="Times New Roman" w:eastAsia="Times New Roman" w:hAnsi="Times New Roman"/>
          <w:color w:val="auto"/>
        </w:rPr>
        <w:t>3.2 The Time-to-Information Problem</w:t>
      </w:r>
    </w:p>
    <w:p w14:paraId="7D2586FA" w14:textId="77777777" w:rsidR="00FE7B37" w:rsidRPr="000013E1" w:rsidRDefault="00000000">
      <w:pPr>
        <w:ind w:firstLine="288"/>
      </w:pPr>
      <w:r w:rsidRPr="000013E1">
        <w:rPr>
          <w:rFonts w:eastAsia="Times New Roman"/>
        </w:rPr>
        <w:t>Classical culture and phenotypic antimicrobial susceptibility testing (AST) remain indispensable because they directly measure growth under antibiotic exposure. Their major limitation is temporal rather than conceptual. Clinicians treating severe infection often need to act before complete phenotypic data are available, creating a tension between early adequate coverage and avoidance of unnecessary broad-spectrum therapy. AI-enabled diagnostics seek to compress this interval by learning predictive structure from data that become available earlier: spectra, genomes, cell images, prior cultures, hospital ecology or patient EHR features. The value proposition is strongest when the prediction is actionable before standard results and sufficiently calibrated to justify changing treatment.</w:t>
      </w:r>
    </w:p>
    <w:p w14:paraId="23B825A0" w14:textId="77777777" w:rsidR="00FE7B37" w:rsidRPr="000013E1" w:rsidRDefault="00000000">
      <w:pPr>
        <w:ind w:firstLine="288"/>
      </w:pPr>
      <w:r w:rsidRPr="000013E1">
        <w:rPr>
          <w:rFonts w:eastAsia="Times New Roman"/>
        </w:rPr>
        <w:t>That requirement is more demanding than high area under the receiver operating characteristic curve. A resistance model must perform near the clinical threshold at which therapy would actually be escalated or narrowed. False susceptibility predictions can delay active therapy; false resistance predictions can drive unnecessary use of last-line agents. The relative costs vary by syndrome, illness severity and organism. A model used for a stable urinary tract infection can tolerate a different error profile from one used during septic shock. This context dependence explains why a single universal accuracy threshold is not meaningful and why model calibration and decision-curve consequences should accompany discrimination metrics.</w:t>
      </w:r>
    </w:p>
    <w:p w14:paraId="6A8827E4" w14:textId="77777777" w:rsidR="00FE7B37" w:rsidRPr="000013E1" w:rsidRDefault="00000000">
      <w:pPr>
        <w:ind w:firstLine="288"/>
      </w:pPr>
      <w:r w:rsidRPr="000013E1">
        <w:rPr>
          <w:rFonts w:eastAsia="Times New Roman"/>
        </w:rPr>
        <w:t>The same logic applies to AI-supported stewardship. Stewardship is not simply antibiotic reduction; it is optimisation of selection, dose, route and duration while preserving the probability of effective treatment. A model that narrows therapy must therefore incorporate the asymmetry between undertreatment and overtreatment. Corbin et al. (2022) demonstrated this explicitly by framing personalised antibiograms as an optimisation problem in which expected coverage was maintained while broad-spectrum use was reduced. Yet the study remained retrospective, so simulated allocation cannot establish that clinicians would follow recommendations, that time-to-active therapy would not worsen, or that downstream resistance ecology would improve.</w:t>
      </w:r>
    </w:p>
    <w:p w14:paraId="046F3B96" w14:textId="77777777" w:rsidR="00FE7B37" w:rsidRPr="000013E1" w:rsidRDefault="00FE7B37">
      <w:pPr>
        <w:sectPr w:rsidR="00FE7B37" w:rsidRPr="000013E1">
          <w:headerReference w:type="even" r:id="rId8"/>
          <w:headerReference w:type="default" r:id="rId9"/>
          <w:footerReference w:type="even" r:id="rId10"/>
          <w:footerReference w:type="default" r:id="rId11"/>
          <w:headerReference w:type="first" r:id="rId12"/>
          <w:footerReference w:type="first" r:id="rId13"/>
          <w:pgSz w:w="12240" w:h="15840"/>
          <w:pgMar w:top="1152" w:right="1224" w:bottom="1080" w:left="1224" w:header="504" w:footer="504" w:gutter="0"/>
          <w:cols w:space="720"/>
          <w:docGrid w:linePitch="360"/>
        </w:sectPr>
      </w:pPr>
    </w:p>
    <w:p w14:paraId="3A4D903B" w14:textId="77777777" w:rsidR="00FE7B37" w:rsidRPr="000013E1" w:rsidRDefault="00000000">
      <w:pPr>
        <w:spacing w:after="140" w:line="240" w:lineRule="auto"/>
      </w:pPr>
      <w:r w:rsidRPr="000013E1">
        <w:rPr>
          <w:rFonts w:eastAsia="Times New Roman"/>
          <w:sz w:val="20"/>
        </w:rPr>
        <w:lastRenderedPageBreak/>
        <w:t>The relationships between pathogen, resistance mechanism, decision point and AI opportunity are summarised in Table 1. The key implication is that AI is most clinically credible when it operates on a clearly defined decision bottleneck rather than as a generic prediction layer.</w:t>
      </w:r>
    </w:p>
    <w:p w14:paraId="4CA2FDC0" w14:textId="77777777" w:rsidR="00FE7B37" w:rsidRPr="000013E1" w:rsidRDefault="00000000">
      <w:pPr>
        <w:pStyle w:val="TableCaption"/>
      </w:pPr>
      <w:r w:rsidRPr="000013E1">
        <w:rPr>
          <w:rFonts w:eastAsia="Times New Roman"/>
        </w:rPr>
        <w:t>Table 1. Clinical decision bottlenecks in multidrug-resistant bacterial infection and the corresponding role of artificial intelligence</w:t>
      </w:r>
    </w:p>
    <w:tbl>
      <w:tblPr>
        <w:tblStyle w:val="TableGrid"/>
        <w:tblW w:w="0" w:type="auto"/>
        <w:jc w:val="center"/>
        <w:tblLayout w:type="fixed"/>
        <w:tblLook w:val="04A0" w:firstRow="1" w:lastRow="0" w:firstColumn="1" w:lastColumn="0" w:noHBand="0" w:noVBand="1"/>
      </w:tblPr>
      <w:tblGrid>
        <w:gridCol w:w="2131"/>
        <w:gridCol w:w="2620"/>
        <w:gridCol w:w="2448"/>
        <w:gridCol w:w="2347"/>
        <w:gridCol w:w="2592"/>
        <w:gridCol w:w="2404"/>
      </w:tblGrid>
      <w:tr w:rsidR="000013E1" w:rsidRPr="000013E1" w14:paraId="051F72F8" w14:textId="77777777">
        <w:trPr>
          <w:tblHeader/>
          <w:jc w:val="center"/>
        </w:trPr>
        <w:tc>
          <w:tcPr>
            <w:tcW w:w="2131" w:type="dxa"/>
            <w:shd w:val="clear" w:color="auto" w:fill="E7E6E6"/>
            <w:tcMar>
              <w:top w:w="80" w:type="dxa"/>
              <w:left w:w="75" w:type="dxa"/>
              <w:bottom w:w="80" w:type="dxa"/>
              <w:right w:w="75" w:type="dxa"/>
            </w:tcMar>
            <w:vAlign w:val="center"/>
          </w:tcPr>
          <w:p w14:paraId="23ED922F" w14:textId="77777777" w:rsidR="00FE7B37" w:rsidRPr="000013E1" w:rsidRDefault="00000000">
            <w:pPr>
              <w:spacing w:after="0"/>
              <w:jc w:val="center"/>
            </w:pPr>
            <w:r w:rsidRPr="000013E1">
              <w:rPr>
                <w:rFonts w:eastAsia="Times New Roman"/>
                <w:b/>
                <w:sz w:val="16"/>
              </w:rPr>
              <w:t>MDRO or resistance context</w:t>
            </w:r>
          </w:p>
        </w:tc>
        <w:tc>
          <w:tcPr>
            <w:tcW w:w="2620" w:type="dxa"/>
            <w:shd w:val="clear" w:color="auto" w:fill="E7E6E6"/>
            <w:tcMar>
              <w:top w:w="80" w:type="dxa"/>
              <w:left w:w="75" w:type="dxa"/>
              <w:bottom w:w="80" w:type="dxa"/>
              <w:right w:w="75" w:type="dxa"/>
            </w:tcMar>
            <w:vAlign w:val="center"/>
          </w:tcPr>
          <w:p w14:paraId="6C0DC9F9" w14:textId="77777777" w:rsidR="00FE7B37" w:rsidRPr="000013E1" w:rsidRDefault="00000000">
            <w:pPr>
              <w:spacing w:after="0"/>
              <w:jc w:val="center"/>
            </w:pPr>
            <w:r w:rsidRPr="000013E1">
              <w:rPr>
                <w:rFonts w:eastAsia="Times New Roman"/>
                <w:b/>
                <w:sz w:val="16"/>
              </w:rPr>
              <w:t>Principal clinical uncertainty</w:t>
            </w:r>
          </w:p>
        </w:tc>
        <w:tc>
          <w:tcPr>
            <w:tcW w:w="2448" w:type="dxa"/>
            <w:shd w:val="clear" w:color="auto" w:fill="E7E6E6"/>
            <w:tcMar>
              <w:top w:w="80" w:type="dxa"/>
              <w:left w:w="75" w:type="dxa"/>
              <w:bottom w:w="80" w:type="dxa"/>
              <w:right w:w="75" w:type="dxa"/>
            </w:tcMar>
            <w:vAlign w:val="center"/>
          </w:tcPr>
          <w:p w14:paraId="680A386F" w14:textId="77777777" w:rsidR="00FE7B37" w:rsidRPr="000013E1" w:rsidRDefault="00000000">
            <w:pPr>
              <w:spacing w:after="0"/>
              <w:jc w:val="center"/>
            </w:pPr>
            <w:r w:rsidRPr="000013E1">
              <w:rPr>
                <w:rFonts w:eastAsia="Times New Roman"/>
                <w:b/>
                <w:sz w:val="16"/>
              </w:rPr>
              <w:t>Management consequence</w:t>
            </w:r>
          </w:p>
        </w:tc>
        <w:tc>
          <w:tcPr>
            <w:tcW w:w="2347" w:type="dxa"/>
            <w:shd w:val="clear" w:color="auto" w:fill="E7E6E6"/>
            <w:tcMar>
              <w:top w:w="80" w:type="dxa"/>
              <w:left w:w="75" w:type="dxa"/>
              <w:bottom w:w="80" w:type="dxa"/>
              <w:right w:w="75" w:type="dxa"/>
            </w:tcMar>
            <w:vAlign w:val="center"/>
          </w:tcPr>
          <w:p w14:paraId="6B23F893" w14:textId="77777777" w:rsidR="00FE7B37" w:rsidRPr="000013E1" w:rsidRDefault="00000000">
            <w:pPr>
              <w:spacing w:after="0"/>
              <w:jc w:val="center"/>
            </w:pPr>
            <w:r w:rsidRPr="000013E1">
              <w:rPr>
                <w:rFonts w:eastAsia="Times New Roman"/>
                <w:b/>
                <w:sz w:val="16"/>
              </w:rPr>
              <w:t>Potential AI contribution</w:t>
            </w:r>
          </w:p>
        </w:tc>
        <w:tc>
          <w:tcPr>
            <w:tcW w:w="2592" w:type="dxa"/>
            <w:shd w:val="clear" w:color="auto" w:fill="E7E6E6"/>
            <w:tcMar>
              <w:top w:w="80" w:type="dxa"/>
              <w:left w:w="75" w:type="dxa"/>
              <w:bottom w:w="80" w:type="dxa"/>
              <w:right w:w="75" w:type="dxa"/>
            </w:tcMar>
            <w:vAlign w:val="center"/>
          </w:tcPr>
          <w:p w14:paraId="5E042213" w14:textId="77777777" w:rsidR="00FE7B37" w:rsidRPr="000013E1" w:rsidRDefault="00000000">
            <w:pPr>
              <w:spacing w:after="0"/>
              <w:jc w:val="center"/>
            </w:pPr>
            <w:r w:rsidRPr="000013E1">
              <w:rPr>
                <w:rFonts w:eastAsia="Times New Roman"/>
                <w:b/>
                <w:sz w:val="16"/>
              </w:rPr>
              <w:t>Important limitation</w:t>
            </w:r>
          </w:p>
        </w:tc>
        <w:tc>
          <w:tcPr>
            <w:tcW w:w="2404" w:type="dxa"/>
            <w:shd w:val="clear" w:color="auto" w:fill="E7E6E6"/>
            <w:tcMar>
              <w:top w:w="80" w:type="dxa"/>
              <w:left w:w="75" w:type="dxa"/>
              <w:bottom w:w="80" w:type="dxa"/>
              <w:right w:w="75" w:type="dxa"/>
            </w:tcMar>
            <w:vAlign w:val="center"/>
          </w:tcPr>
          <w:p w14:paraId="5F9C2AB6" w14:textId="77777777" w:rsidR="00FE7B37" w:rsidRPr="000013E1" w:rsidRDefault="00000000">
            <w:pPr>
              <w:spacing w:after="0"/>
              <w:jc w:val="center"/>
            </w:pPr>
            <w:r w:rsidRPr="000013E1">
              <w:rPr>
                <w:rFonts w:eastAsia="Times New Roman"/>
                <w:b/>
                <w:sz w:val="16"/>
              </w:rPr>
              <w:t>Supporting references</w:t>
            </w:r>
          </w:p>
        </w:tc>
      </w:tr>
      <w:tr w:rsidR="000013E1" w:rsidRPr="002C2332" w14:paraId="3B24328D" w14:textId="77777777">
        <w:trPr>
          <w:jc w:val="center"/>
        </w:trPr>
        <w:tc>
          <w:tcPr>
            <w:tcW w:w="2131" w:type="dxa"/>
            <w:tcMar>
              <w:top w:w="75" w:type="dxa"/>
              <w:left w:w="75" w:type="dxa"/>
              <w:bottom w:w="75" w:type="dxa"/>
              <w:right w:w="75" w:type="dxa"/>
            </w:tcMar>
            <w:vAlign w:val="center"/>
          </w:tcPr>
          <w:p w14:paraId="228A4852" w14:textId="77777777" w:rsidR="00FE7B37" w:rsidRPr="000013E1" w:rsidRDefault="00000000">
            <w:pPr>
              <w:spacing w:after="0"/>
              <w:jc w:val="left"/>
            </w:pPr>
            <w:r w:rsidRPr="000013E1">
              <w:rPr>
                <w:rFonts w:eastAsia="Times New Roman"/>
                <w:sz w:val="16"/>
              </w:rPr>
              <w:t xml:space="preserve">Carbapenem-resistant </w:t>
            </w:r>
            <w:proofErr w:type="spellStart"/>
            <w:r w:rsidRPr="000013E1">
              <w:rPr>
                <w:rFonts w:eastAsia="Times New Roman"/>
                <w:sz w:val="16"/>
              </w:rPr>
              <w:t>Enterobacterales</w:t>
            </w:r>
            <w:proofErr w:type="spellEnd"/>
          </w:p>
        </w:tc>
        <w:tc>
          <w:tcPr>
            <w:tcW w:w="2620" w:type="dxa"/>
            <w:tcMar>
              <w:top w:w="75" w:type="dxa"/>
              <w:left w:w="75" w:type="dxa"/>
              <w:bottom w:w="75" w:type="dxa"/>
              <w:right w:w="75" w:type="dxa"/>
            </w:tcMar>
            <w:vAlign w:val="center"/>
          </w:tcPr>
          <w:p w14:paraId="2E053C6B" w14:textId="77777777" w:rsidR="00FE7B37" w:rsidRPr="000013E1" w:rsidRDefault="00000000">
            <w:pPr>
              <w:spacing w:after="0"/>
              <w:jc w:val="left"/>
            </w:pPr>
            <w:r w:rsidRPr="000013E1">
              <w:rPr>
                <w:rFonts w:eastAsia="Times New Roman"/>
                <w:sz w:val="16"/>
              </w:rPr>
              <w:t>Carbapenemase class and active β-lactam option</w:t>
            </w:r>
          </w:p>
        </w:tc>
        <w:tc>
          <w:tcPr>
            <w:tcW w:w="2448" w:type="dxa"/>
            <w:tcMar>
              <w:top w:w="75" w:type="dxa"/>
              <w:left w:w="75" w:type="dxa"/>
              <w:bottom w:w="75" w:type="dxa"/>
              <w:right w:w="75" w:type="dxa"/>
            </w:tcMar>
            <w:vAlign w:val="center"/>
          </w:tcPr>
          <w:p w14:paraId="19EBAB6A" w14:textId="77777777" w:rsidR="00FE7B37" w:rsidRPr="000013E1" w:rsidRDefault="00000000">
            <w:pPr>
              <w:spacing w:after="0"/>
              <w:jc w:val="left"/>
            </w:pPr>
            <w:r w:rsidRPr="000013E1">
              <w:rPr>
                <w:rFonts w:eastAsia="Times New Roman"/>
                <w:sz w:val="16"/>
              </w:rPr>
              <w:t>Selection among mechanism-matched β-lactam/β-lactamase inhibitor or alternative regimens</w:t>
            </w:r>
          </w:p>
        </w:tc>
        <w:tc>
          <w:tcPr>
            <w:tcW w:w="2347" w:type="dxa"/>
            <w:tcMar>
              <w:top w:w="75" w:type="dxa"/>
              <w:left w:w="75" w:type="dxa"/>
              <w:bottom w:w="75" w:type="dxa"/>
              <w:right w:w="75" w:type="dxa"/>
            </w:tcMar>
            <w:vAlign w:val="center"/>
          </w:tcPr>
          <w:p w14:paraId="011BD37C" w14:textId="77777777" w:rsidR="00FE7B37" w:rsidRPr="000013E1" w:rsidRDefault="00000000">
            <w:pPr>
              <w:spacing w:after="0"/>
              <w:jc w:val="left"/>
            </w:pPr>
            <w:r w:rsidRPr="000013E1">
              <w:rPr>
                <w:rFonts w:eastAsia="Times New Roman"/>
                <w:sz w:val="16"/>
              </w:rPr>
              <w:t>Rapid phenotype/genotype prediction; patient-specific probability of susceptibility</w:t>
            </w:r>
          </w:p>
        </w:tc>
        <w:tc>
          <w:tcPr>
            <w:tcW w:w="2592" w:type="dxa"/>
            <w:tcMar>
              <w:top w:w="75" w:type="dxa"/>
              <w:left w:w="75" w:type="dxa"/>
              <w:bottom w:w="75" w:type="dxa"/>
              <w:right w:w="75" w:type="dxa"/>
            </w:tcMar>
            <w:vAlign w:val="center"/>
          </w:tcPr>
          <w:p w14:paraId="238CE496" w14:textId="77777777" w:rsidR="00FE7B37" w:rsidRPr="000013E1" w:rsidRDefault="00000000">
            <w:pPr>
              <w:spacing w:after="0"/>
              <w:jc w:val="left"/>
            </w:pPr>
            <w:r w:rsidRPr="000013E1">
              <w:rPr>
                <w:rFonts w:eastAsia="Times New Roman"/>
                <w:sz w:val="16"/>
              </w:rPr>
              <w:t>Prediction error can expose patients to inactive therapy; local enzyme epidemiology changes</w:t>
            </w:r>
          </w:p>
        </w:tc>
        <w:tc>
          <w:tcPr>
            <w:tcW w:w="2404" w:type="dxa"/>
            <w:tcMar>
              <w:top w:w="75" w:type="dxa"/>
              <w:left w:w="75" w:type="dxa"/>
              <w:bottom w:w="75" w:type="dxa"/>
              <w:right w:w="75" w:type="dxa"/>
            </w:tcMar>
            <w:vAlign w:val="center"/>
          </w:tcPr>
          <w:p w14:paraId="6F2A0C3B" w14:textId="77777777" w:rsidR="00FE7B37" w:rsidRPr="002C2332" w:rsidRDefault="00000000">
            <w:pPr>
              <w:spacing w:after="0"/>
              <w:jc w:val="left"/>
              <w:rPr>
                <w:lang w:val="nl-BE"/>
              </w:rPr>
            </w:pPr>
            <w:r w:rsidRPr="002C2332">
              <w:rPr>
                <w:rFonts w:eastAsia="Times New Roman"/>
                <w:sz w:val="16"/>
                <w:lang w:val="nl-BE"/>
              </w:rPr>
              <w:t>Tamma et al., 2024; Paul et al., 2022; Ren et al., 2022</w:t>
            </w:r>
          </w:p>
        </w:tc>
      </w:tr>
      <w:tr w:rsidR="000013E1" w:rsidRPr="002C2332" w14:paraId="15274A62" w14:textId="77777777">
        <w:trPr>
          <w:jc w:val="center"/>
        </w:trPr>
        <w:tc>
          <w:tcPr>
            <w:tcW w:w="2131" w:type="dxa"/>
            <w:tcMar>
              <w:top w:w="75" w:type="dxa"/>
              <w:left w:w="75" w:type="dxa"/>
              <w:bottom w:w="75" w:type="dxa"/>
              <w:right w:w="75" w:type="dxa"/>
            </w:tcMar>
            <w:vAlign w:val="center"/>
          </w:tcPr>
          <w:p w14:paraId="76B417DF" w14:textId="77777777" w:rsidR="00FE7B37" w:rsidRPr="000013E1" w:rsidRDefault="00000000">
            <w:pPr>
              <w:spacing w:after="0"/>
              <w:jc w:val="left"/>
            </w:pPr>
            <w:r w:rsidRPr="000013E1">
              <w:rPr>
                <w:rFonts w:eastAsia="Times New Roman"/>
                <w:sz w:val="16"/>
              </w:rPr>
              <w:t xml:space="preserve">Difficult-to-treat resistant </w:t>
            </w:r>
            <w:r w:rsidRPr="000013E1">
              <w:rPr>
                <w:rFonts w:eastAsia="Times New Roman"/>
                <w:i/>
                <w:sz w:val="16"/>
              </w:rPr>
              <w:t>Pseudomonas aeruginosa</w:t>
            </w:r>
          </w:p>
        </w:tc>
        <w:tc>
          <w:tcPr>
            <w:tcW w:w="2620" w:type="dxa"/>
            <w:tcMar>
              <w:top w:w="75" w:type="dxa"/>
              <w:left w:w="75" w:type="dxa"/>
              <w:bottom w:w="75" w:type="dxa"/>
              <w:right w:w="75" w:type="dxa"/>
            </w:tcMar>
            <w:vAlign w:val="center"/>
          </w:tcPr>
          <w:p w14:paraId="7604BF3E" w14:textId="77777777" w:rsidR="00FE7B37" w:rsidRPr="000013E1" w:rsidRDefault="00000000">
            <w:pPr>
              <w:spacing w:after="0"/>
              <w:jc w:val="left"/>
            </w:pPr>
            <w:r w:rsidRPr="000013E1">
              <w:rPr>
                <w:rFonts w:eastAsia="Times New Roman"/>
                <w:sz w:val="16"/>
              </w:rPr>
              <w:t>Multiple concurrent mechanisms, variable susceptibility and site-specific penetration</w:t>
            </w:r>
          </w:p>
        </w:tc>
        <w:tc>
          <w:tcPr>
            <w:tcW w:w="2448" w:type="dxa"/>
            <w:tcMar>
              <w:top w:w="75" w:type="dxa"/>
              <w:left w:w="75" w:type="dxa"/>
              <w:bottom w:w="75" w:type="dxa"/>
              <w:right w:w="75" w:type="dxa"/>
            </w:tcMar>
            <w:vAlign w:val="center"/>
          </w:tcPr>
          <w:p w14:paraId="2F29A9D5" w14:textId="77777777" w:rsidR="00FE7B37" w:rsidRPr="000013E1" w:rsidRDefault="00000000">
            <w:pPr>
              <w:spacing w:after="0"/>
              <w:jc w:val="left"/>
            </w:pPr>
            <w:r w:rsidRPr="000013E1">
              <w:rPr>
                <w:rFonts w:eastAsia="Times New Roman"/>
                <w:sz w:val="16"/>
              </w:rPr>
              <w:t>Need for precise susceptibility interpretation and avoidance of ineffective recycling of β-lactams</w:t>
            </w:r>
          </w:p>
        </w:tc>
        <w:tc>
          <w:tcPr>
            <w:tcW w:w="2347" w:type="dxa"/>
            <w:tcMar>
              <w:top w:w="75" w:type="dxa"/>
              <w:left w:w="75" w:type="dxa"/>
              <w:bottom w:w="75" w:type="dxa"/>
              <w:right w:w="75" w:type="dxa"/>
            </w:tcMar>
            <w:vAlign w:val="center"/>
          </w:tcPr>
          <w:p w14:paraId="6C65110A" w14:textId="77777777" w:rsidR="00FE7B37" w:rsidRPr="000013E1" w:rsidRDefault="00000000">
            <w:pPr>
              <w:spacing w:after="0"/>
              <w:jc w:val="left"/>
            </w:pPr>
            <w:r w:rsidRPr="000013E1">
              <w:rPr>
                <w:rFonts w:eastAsia="Times New Roman"/>
                <w:sz w:val="16"/>
              </w:rPr>
              <w:t>Spectral, genomic or EHR-based resistance prediction</w:t>
            </w:r>
          </w:p>
        </w:tc>
        <w:tc>
          <w:tcPr>
            <w:tcW w:w="2592" w:type="dxa"/>
            <w:tcMar>
              <w:top w:w="75" w:type="dxa"/>
              <w:left w:w="75" w:type="dxa"/>
              <w:bottom w:w="75" w:type="dxa"/>
              <w:right w:w="75" w:type="dxa"/>
            </w:tcMar>
            <w:vAlign w:val="center"/>
          </w:tcPr>
          <w:p w14:paraId="7C4BA377" w14:textId="77777777" w:rsidR="00FE7B37" w:rsidRPr="000013E1" w:rsidRDefault="00000000">
            <w:pPr>
              <w:spacing w:after="0"/>
              <w:jc w:val="left"/>
            </w:pPr>
            <w:r w:rsidRPr="000013E1">
              <w:rPr>
                <w:rFonts w:eastAsia="Times New Roman"/>
                <w:sz w:val="16"/>
              </w:rPr>
              <w:t>Resistance may be driven by expression and regulatory changes not fully captured by static markers</w:t>
            </w:r>
          </w:p>
        </w:tc>
        <w:tc>
          <w:tcPr>
            <w:tcW w:w="2404" w:type="dxa"/>
            <w:tcMar>
              <w:top w:w="75" w:type="dxa"/>
              <w:left w:w="75" w:type="dxa"/>
              <w:bottom w:w="75" w:type="dxa"/>
              <w:right w:w="75" w:type="dxa"/>
            </w:tcMar>
            <w:vAlign w:val="center"/>
          </w:tcPr>
          <w:p w14:paraId="7CCB0FBA" w14:textId="77777777" w:rsidR="00FE7B37" w:rsidRPr="002C2332" w:rsidRDefault="00000000">
            <w:pPr>
              <w:spacing w:after="0"/>
              <w:jc w:val="left"/>
              <w:rPr>
                <w:lang w:val="nl-BE"/>
              </w:rPr>
            </w:pPr>
            <w:r w:rsidRPr="002C2332">
              <w:rPr>
                <w:rFonts w:eastAsia="Times New Roman"/>
                <w:sz w:val="16"/>
                <w:lang w:val="nl-BE"/>
              </w:rPr>
              <w:t>Tamma et al., 2024; Weis et al., 2022</w:t>
            </w:r>
          </w:p>
        </w:tc>
      </w:tr>
      <w:tr w:rsidR="000013E1" w:rsidRPr="002C2332" w14:paraId="75EE2A69" w14:textId="77777777">
        <w:trPr>
          <w:jc w:val="center"/>
        </w:trPr>
        <w:tc>
          <w:tcPr>
            <w:tcW w:w="2131" w:type="dxa"/>
            <w:tcMar>
              <w:top w:w="75" w:type="dxa"/>
              <w:left w:w="75" w:type="dxa"/>
              <w:bottom w:w="75" w:type="dxa"/>
              <w:right w:w="75" w:type="dxa"/>
            </w:tcMar>
            <w:vAlign w:val="center"/>
          </w:tcPr>
          <w:p w14:paraId="1F5D562A" w14:textId="77777777" w:rsidR="00FE7B37" w:rsidRPr="000013E1" w:rsidRDefault="00000000">
            <w:pPr>
              <w:spacing w:after="0"/>
              <w:jc w:val="left"/>
            </w:pPr>
            <w:r w:rsidRPr="000013E1">
              <w:rPr>
                <w:rFonts w:eastAsia="Times New Roman"/>
                <w:sz w:val="16"/>
              </w:rPr>
              <w:t xml:space="preserve">Carbapenem-resistant </w:t>
            </w:r>
            <w:r w:rsidRPr="000013E1">
              <w:rPr>
                <w:rFonts w:eastAsia="Times New Roman"/>
                <w:i/>
                <w:sz w:val="16"/>
              </w:rPr>
              <w:t>Acinetobacter baumannii</w:t>
            </w:r>
          </w:p>
        </w:tc>
        <w:tc>
          <w:tcPr>
            <w:tcW w:w="2620" w:type="dxa"/>
            <w:tcMar>
              <w:top w:w="75" w:type="dxa"/>
              <w:left w:w="75" w:type="dxa"/>
              <w:bottom w:w="75" w:type="dxa"/>
              <w:right w:w="75" w:type="dxa"/>
            </w:tcMar>
            <w:vAlign w:val="center"/>
          </w:tcPr>
          <w:p w14:paraId="5ABF4473" w14:textId="77777777" w:rsidR="00FE7B37" w:rsidRPr="000013E1" w:rsidRDefault="00000000">
            <w:pPr>
              <w:spacing w:after="0"/>
              <w:jc w:val="left"/>
            </w:pPr>
            <w:r w:rsidRPr="000013E1">
              <w:rPr>
                <w:rFonts w:eastAsia="Times New Roman"/>
                <w:sz w:val="16"/>
              </w:rPr>
              <w:t>Limited reliably active therapies; sulbactam activity and combination choices</w:t>
            </w:r>
          </w:p>
        </w:tc>
        <w:tc>
          <w:tcPr>
            <w:tcW w:w="2448" w:type="dxa"/>
            <w:tcMar>
              <w:top w:w="75" w:type="dxa"/>
              <w:left w:w="75" w:type="dxa"/>
              <w:bottom w:w="75" w:type="dxa"/>
              <w:right w:w="75" w:type="dxa"/>
            </w:tcMar>
            <w:vAlign w:val="center"/>
          </w:tcPr>
          <w:p w14:paraId="76B1DCA5" w14:textId="77777777" w:rsidR="00FE7B37" w:rsidRPr="000013E1" w:rsidRDefault="00000000">
            <w:pPr>
              <w:spacing w:after="0"/>
              <w:jc w:val="left"/>
            </w:pPr>
            <w:r w:rsidRPr="000013E1">
              <w:rPr>
                <w:rFonts w:eastAsia="Times New Roman"/>
                <w:sz w:val="16"/>
              </w:rPr>
              <w:t>Choice among sulbactam-durlobactam, cefiderocol or other active regimens</w:t>
            </w:r>
          </w:p>
        </w:tc>
        <w:tc>
          <w:tcPr>
            <w:tcW w:w="2347" w:type="dxa"/>
            <w:tcMar>
              <w:top w:w="75" w:type="dxa"/>
              <w:left w:w="75" w:type="dxa"/>
              <w:bottom w:w="75" w:type="dxa"/>
              <w:right w:w="75" w:type="dxa"/>
            </w:tcMar>
            <w:vAlign w:val="center"/>
          </w:tcPr>
          <w:p w14:paraId="206AA339" w14:textId="77777777" w:rsidR="00FE7B37" w:rsidRPr="000013E1" w:rsidRDefault="00000000">
            <w:pPr>
              <w:spacing w:after="0"/>
              <w:jc w:val="left"/>
            </w:pPr>
            <w:r w:rsidRPr="000013E1">
              <w:rPr>
                <w:rFonts w:eastAsia="Times New Roman"/>
                <w:sz w:val="16"/>
              </w:rPr>
              <w:t>Rapid identification; resistance prediction; trial matching</w:t>
            </w:r>
          </w:p>
        </w:tc>
        <w:tc>
          <w:tcPr>
            <w:tcW w:w="2592" w:type="dxa"/>
            <w:tcMar>
              <w:top w:w="75" w:type="dxa"/>
              <w:left w:w="75" w:type="dxa"/>
              <w:bottom w:w="75" w:type="dxa"/>
              <w:right w:w="75" w:type="dxa"/>
            </w:tcMar>
            <w:vAlign w:val="center"/>
          </w:tcPr>
          <w:p w14:paraId="36049028" w14:textId="77777777" w:rsidR="00FE7B37" w:rsidRPr="000013E1" w:rsidRDefault="00000000">
            <w:pPr>
              <w:spacing w:after="0"/>
              <w:jc w:val="left"/>
            </w:pPr>
            <w:r w:rsidRPr="000013E1">
              <w:rPr>
                <w:rFonts w:eastAsia="Times New Roman"/>
                <w:sz w:val="16"/>
              </w:rPr>
              <w:t>Strong drug-specific evidence is limited to selected populations and comparators</w:t>
            </w:r>
          </w:p>
        </w:tc>
        <w:tc>
          <w:tcPr>
            <w:tcW w:w="2404" w:type="dxa"/>
            <w:tcMar>
              <w:top w:w="75" w:type="dxa"/>
              <w:left w:w="75" w:type="dxa"/>
              <w:bottom w:w="75" w:type="dxa"/>
              <w:right w:w="75" w:type="dxa"/>
            </w:tcMar>
            <w:vAlign w:val="center"/>
          </w:tcPr>
          <w:p w14:paraId="681B2F30" w14:textId="77777777" w:rsidR="00FE7B37" w:rsidRPr="002C2332" w:rsidRDefault="00000000">
            <w:pPr>
              <w:spacing w:after="0"/>
              <w:jc w:val="left"/>
              <w:rPr>
                <w:lang w:val="nl-BE"/>
              </w:rPr>
            </w:pPr>
            <w:r w:rsidRPr="002C2332">
              <w:rPr>
                <w:rFonts w:eastAsia="Times New Roman"/>
                <w:sz w:val="16"/>
                <w:lang w:val="nl-BE"/>
              </w:rPr>
              <w:t>Kaye et al., 2023; Bassetti et al., 2021; Onorato et al., 2024</w:t>
            </w:r>
          </w:p>
        </w:tc>
      </w:tr>
      <w:tr w:rsidR="000013E1" w:rsidRPr="002C2332" w14:paraId="0ADA5FEC" w14:textId="77777777">
        <w:trPr>
          <w:jc w:val="center"/>
        </w:trPr>
        <w:tc>
          <w:tcPr>
            <w:tcW w:w="2131" w:type="dxa"/>
            <w:tcMar>
              <w:top w:w="75" w:type="dxa"/>
              <w:left w:w="75" w:type="dxa"/>
              <w:bottom w:w="75" w:type="dxa"/>
              <w:right w:w="75" w:type="dxa"/>
            </w:tcMar>
            <w:vAlign w:val="center"/>
          </w:tcPr>
          <w:p w14:paraId="4CDE0683" w14:textId="77777777" w:rsidR="00FE7B37" w:rsidRPr="000013E1" w:rsidRDefault="00000000">
            <w:pPr>
              <w:spacing w:after="0"/>
              <w:jc w:val="left"/>
            </w:pPr>
            <w:r w:rsidRPr="000013E1">
              <w:rPr>
                <w:rFonts w:eastAsia="Times New Roman"/>
                <w:sz w:val="16"/>
              </w:rPr>
              <w:t>MRSA and vancomycin-resistant enterococci</w:t>
            </w:r>
          </w:p>
        </w:tc>
        <w:tc>
          <w:tcPr>
            <w:tcW w:w="2620" w:type="dxa"/>
            <w:tcMar>
              <w:top w:w="75" w:type="dxa"/>
              <w:left w:w="75" w:type="dxa"/>
              <w:bottom w:w="75" w:type="dxa"/>
              <w:right w:w="75" w:type="dxa"/>
            </w:tcMar>
            <w:vAlign w:val="center"/>
          </w:tcPr>
          <w:p w14:paraId="7CACBFE7" w14:textId="77777777" w:rsidR="00FE7B37" w:rsidRPr="000013E1" w:rsidRDefault="00000000">
            <w:pPr>
              <w:spacing w:after="0"/>
              <w:jc w:val="left"/>
            </w:pPr>
            <w:r w:rsidRPr="000013E1">
              <w:rPr>
                <w:rFonts w:eastAsia="Times New Roman"/>
                <w:sz w:val="16"/>
              </w:rPr>
              <w:t>Rapid recognition of resistance determinants and appropriate spectrum</w:t>
            </w:r>
          </w:p>
        </w:tc>
        <w:tc>
          <w:tcPr>
            <w:tcW w:w="2448" w:type="dxa"/>
            <w:tcMar>
              <w:top w:w="75" w:type="dxa"/>
              <w:left w:w="75" w:type="dxa"/>
              <w:bottom w:w="75" w:type="dxa"/>
              <w:right w:w="75" w:type="dxa"/>
            </w:tcMar>
            <w:vAlign w:val="center"/>
          </w:tcPr>
          <w:p w14:paraId="0A4B0BD7" w14:textId="77777777" w:rsidR="00FE7B37" w:rsidRPr="000013E1" w:rsidRDefault="00000000">
            <w:pPr>
              <w:spacing w:after="0"/>
              <w:jc w:val="left"/>
            </w:pPr>
            <w:r w:rsidRPr="000013E1">
              <w:rPr>
                <w:rFonts w:eastAsia="Times New Roman"/>
                <w:sz w:val="16"/>
              </w:rPr>
              <w:t>Avoidance of unnecessary broad Gram-negative or anti-MRSA coverage; targeted therapy</w:t>
            </w:r>
          </w:p>
        </w:tc>
        <w:tc>
          <w:tcPr>
            <w:tcW w:w="2347" w:type="dxa"/>
            <w:tcMar>
              <w:top w:w="75" w:type="dxa"/>
              <w:left w:w="75" w:type="dxa"/>
              <w:bottom w:w="75" w:type="dxa"/>
              <w:right w:w="75" w:type="dxa"/>
            </w:tcMar>
            <w:vAlign w:val="center"/>
          </w:tcPr>
          <w:p w14:paraId="7C11E196" w14:textId="77777777" w:rsidR="00FE7B37" w:rsidRPr="000013E1" w:rsidRDefault="00000000">
            <w:pPr>
              <w:spacing w:after="0"/>
              <w:jc w:val="left"/>
            </w:pPr>
            <w:r w:rsidRPr="000013E1">
              <w:rPr>
                <w:rFonts w:eastAsia="Times New Roman"/>
                <w:sz w:val="16"/>
              </w:rPr>
              <w:t>MALDI-TOF and genomic prediction; personalised empiric coverage</w:t>
            </w:r>
          </w:p>
        </w:tc>
        <w:tc>
          <w:tcPr>
            <w:tcW w:w="2592" w:type="dxa"/>
            <w:tcMar>
              <w:top w:w="75" w:type="dxa"/>
              <w:left w:w="75" w:type="dxa"/>
              <w:bottom w:w="75" w:type="dxa"/>
              <w:right w:w="75" w:type="dxa"/>
            </w:tcMar>
            <w:vAlign w:val="center"/>
          </w:tcPr>
          <w:p w14:paraId="55083752" w14:textId="77777777" w:rsidR="00FE7B37" w:rsidRPr="000013E1" w:rsidRDefault="00000000">
            <w:pPr>
              <w:spacing w:after="0"/>
              <w:jc w:val="left"/>
            </w:pPr>
            <w:r w:rsidRPr="000013E1">
              <w:rPr>
                <w:rFonts w:eastAsia="Times New Roman"/>
                <w:sz w:val="16"/>
              </w:rPr>
              <w:t>Site-level spectral signatures and prevalence can limit transportability</w:t>
            </w:r>
          </w:p>
        </w:tc>
        <w:tc>
          <w:tcPr>
            <w:tcW w:w="2404" w:type="dxa"/>
            <w:tcMar>
              <w:top w:w="75" w:type="dxa"/>
              <w:left w:w="75" w:type="dxa"/>
              <w:bottom w:w="75" w:type="dxa"/>
              <w:right w:w="75" w:type="dxa"/>
            </w:tcMar>
            <w:vAlign w:val="center"/>
          </w:tcPr>
          <w:p w14:paraId="373F1A22" w14:textId="77777777" w:rsidR="00FE7B37" w:rsidRPr="002C2332" w:rsidRDefault="00000000">
            <w:pPr>
              <w:spacing w:after="0"/>
              <w:jc w:val="left"/>
              <w:rPr>
                <w:lang w:val="nl-BE"/>
              </w:rPr>
            </w:pPr>
            <w:r w:rsidRPr="002C2332">
              <w:rPr>
                <w:rFonts w:eastAsia="Times New Roman"/>
                <w:sz w:val="16"/>
                <w:lang w:val="nl-BE"/>
              </w:rPr>
              <w:t>Wang et al., 2024; Weis et al., 2022</w:t>
            </w:r>
          </w:p>
        </w:tc>
      </w:tr>
      <w:tr w:rsidR="000013E1" w:rsidRPr="002C2332" w14:paraId="5DC803CF" w14:textId="77777777">
        <w:trPr>
          <w:jc w:val="center"/>
        </w:trPr>
        <w:tc>
          <w:tcPr>
            <w:tcW w:w="2131" w:type="dxa"/>
            <w:tcMar>
              <w:top w:w="75" w:type="dxa"/>
              <w:left w:w="75" w:type="dxa"/>
              <w:bottom w:w="75" w:type="dxa"/>
              <w:right w:w="75" w:type="dxa"/>
            </w:tcMar>
            <w:vAlign w:val="center"/>
          </w:tcPr>
          <w:p w14:paraId="769EA4D7" w14:textId="77777777" w:rsidR="00FE7B37" w:rsidRPr="000013E1" w:rsidRDefault="00000000">
            <w:pPr>
              <w:spacing w:after="0"/>
              <w:jc w:val="left"/>
            </w:pPr>
            <w:r w:rsidRPr="000013E1">
              <w:rPr>
                <w:rFonts w:eastAsia="Times New Roman"/>
                <w:sz w:val="16"/>
              </w:rPr>
              <w:t>Undifferentiated severe infection with prior MDRO risk</w:t>
            </w:r>
          </w:p>
        </w:tc>
        <w:tc>
          <w:tcPr>
            <w:tcW w:w="2620" w:type="dxa"/>
            <w:tcMar>
              <w:top w:w="75" w:type="dxa"/>
              <w:left w:w="75" w:type="dxa"/>
              <w:bottom w:w="75" w:type="dxa"/>
              <w:right w:w="75" w:type="dxa"/>
            </w:tcMar>
            <w:vAlign w:val="center"/>
          </w:tcPr>
          <w:p w14:paraId="3F26D094" w14:textId="77777777" w:rsidR="00FE7B37" w:rsidRPr="000013E1" w:rsidRDefault="00000000">
            <w:pPr>
              <w:spacing w:after="0"/>
              <w:jc w:val="left"/>
            </w:pPr>
            <w:r w:rsidRPr="000013E1">
              <w:rPr>
                <w:rFonts w:eastAsia="Times New Roman"/>
                <w:sz w:val="16"/>
              </w:rPr>
              <w:t>Need to balance early coverage with collateral selection pressure</w:t>
            </w:r>
          </w:p>
        </w:tc>
        <w:tc>
          <w:tcPr>
            <w:tcW w:w="2448" w:type="dxa"/>
            <w:tcMar>
              <w:top w:w="75" w:type="dxa"/>
              <w:left w:w="75" w:type="dxa"/>
              <w:bottom w:w="75" w:type="dxa"/>
              <w:right w:w="75" w:type="dxa"/>
            </w:tcMar>
            <w:vAlign w:val="center"/>
          </w:tcPr>
          <w:p w14:paraId="4F1C9D00" w14:textId="77777777" w:rsidR="00FE7B37" w:rsidRPr="000013E1" w:rsidRDefault="00000000">
            <w:pPr>
              <w:spacing w:after="0"/>
              <w:jc w:val="left"/>
            </w:pPr>
            <w:r w:rsidRPr="000013E1">
              <w:rPr>
                <w:rFonts w:eastAsia="Times New Roman"/>
                <w:sz w:val="16"/>
              </w:rPr>
              <w:t>Empiric regimen before final organism and AST results</w:t>
            </w:r>
          </w:p>
        </w:tc>
        <w:tc>
          <w:tcPr>
            <w:tcW w:w="2347" w:type="dxa"/>
            <w:tcMar>
              <w:top w:w="75" w:type="dxa"/>
              <w:left w:w="75" w:type="dxa"/>
              <w:bottom w:w="75" w:type="dxa"/>
              <w:right w:w="75" w:type="dxa"/>
            </w:tcMar>
            <w:vAlign w:val="center"/>
          </w:tcPr>
          <w:p w14:paraId="17BFDDAC" w14:textId="77777777" w:rsidR="00FE7B37" w:rsidRPr="000013E1" w:rsidRDefault="00000000">
            <w:pPr>
              <w:spacing w:after="0"/>
              <w:jc w:val="left"/>
            </w:pPr>
            <w:r w:rsidRPr="000013E1">
              <w:rPr>
                <w:rFonts w:eastAsia="Times New Roman"/>
                <w:sz w:val="16"/>
              </w:rPr>
              <w:t>EHR-based resistance-risk models and personalised antibiograms</w:t>
            </w:r>
          </w:p>
        </w:tc>
        <w:tc>
          <w:tcPr>
            <w:tcW w:w="2592" w:type="dxa"/>
            <w:tcMar>
              <w:top w:w="75" w:type="dxa"/>
              <w:left w:w="75" w:type="dxa"/>
              <w:bottom w:w="75" w:type="dxa"/>
              <w:right w:w="75" w:type="dxa"/>
            </w:tcMar>
            <w:vAlign w:val="center"/>
          </w:tcPr>
          <w:p w14:paraId="36A7CCB4" w14:textId="77777777" w:rsidR="00FE7B37" w:rsidRPr="000013E1" w:rsidRDefault="00000000">
            <w:pPr>
              <w:spacing w:after="0"/>
              <w:jc w:val="left"/>
            </w:pPr>
            <w:r w:rsidRPr="000013E1">
              <w:rPr>
                <w:rFonts w:eastAsia="Times New Roman"/>
                <w:sz w:val="16"/>
              </w:rPr>
              <w:t>Retrospective accuracy may not translate into mortality, toxicity or resistance benefit</w:t>
            </w:r>
          </w:p>
        </w:tc>
        <w:tc>
          <w:tcPr>
            <w:tcW w:w="2404" w:type="dxa"/>
            <w:tcMar>
              <w:top w:w="75" w:type="dxa"/>
              <w:left w:w="75" w:type="dxa"/>
              <w:bottom w:w="75" w:type="dxa"/>
              <w:right w:w="75" w:type="dxa"/>
            </w:tcMar>
            <w:vAlign w:val="center"/>
          </w:tcPr>
          <w:p w14:paraId="5E64D83A" w14:textId="77777777" w:rsidR="00FE7B37" w:rsidRPr="002C2332" w:rsidRDefault="00000000">
            <w:pPr>
              <w:spacing w:after="0"/>
              <w:jc w:val="left"/>
              <w:rPr>
                <w:lang w:val="nl-BE"/>
              </w:rPr>
            </w:pPr>
            <w:r w:rsidRPr="002C2332">
              <w:rPr>
                <w:rFonts w:eastAsia="Times New Roman"/>
                <w:sz w:val="16"/>
                <w:lang w:val="nl-BE"/>
              </w:rPr>
              <w:t>Lewin-Epstein et al., 2021; Corbin et al., 2022; Oonsivilai et al., 2018</w:t>
            </w:r>
          </w:p>
        </w:tc>
      </w:tr>
    </w:tbl>
    <w:p w14:paraId="5D46F4C3" w14:textId="77777777" w:rsidR="00FE7B37" w:rsidRPr="000013E1" w:rsidRDefault="00000000">
      <w:pPr>
        <w:pStyle w:val="TableNote"/>
      </w:pPr>
      <w:r w:rsidRPr="000013E1">
        <w:rPr>
          <w:rFonts w:eastAsia="Times New Roman"/>
          <w:i/>
        </w:rPr>
        <w:t>Table note.</w:t>
      </w:r>
      <w:r w:rsidRPr="000013E1">
        <w:rPr>
          <w:rFonts w:eastAsia="Times New Roman"/>
        </w:rPr>
        <w:t xml:space="preserve"> AI = artificial intelligence; AST = antimicrobial susceptibility testing; EHR = electronic health record; MDRO = multidrug-resistant organism; MRSA = methicillin-resistant </w:t>
      </w:r>
      <w:r w:rsidRPr="000013E1">
        <w:rPr>
          <w:rFonts w:eastAsia="Times New Roman"/>
          <w:i/>
        </w:rPr>
        <w:t>Staphylococcus aureus</w:t>
      </w:r>
      <w:r w:rsidRPr="000013E1">
        <w:rPr>
          <w:rFonts w:eastAsia="Times New Roman"/>
        </w:rPr>
        <w:t>.</w:t>
      </w:r>
    </w:p>
    <w:p w14:paraId="0628D182" w14:textId="77777777" w:rsidR="00FE7B37" w:rsidRPr="000013E1" w:rsidRDefault="00FE7B37">
      <w:pPr>
        <w:sectPr w:rsidR="00FE7B37" w:rsidRPr="000013E1">
          <w:pgSz w:w="15840" w:h="12240" w:orient="landscape"/>
          <w:pgMar w:top="648" w:right="648" w:bottom="648" w:left="648" w:header="360" w:footer="360" w:gutter="0"/>
          <w:cols w:space="720"/>
          <w:docGrid w:linePitch="360"/>
        </w:sectPr>
      </w:pPr>
    </w:p>
    <w:p w14:paraId="66FA1495" w14:textId="77777777" w:rsidR="00FE7B37" w:rsidRPr="000013E1" w:rsidRDefault="00000000">
      <w:pPr>
        <w:pStyle w:val="Heading1"/>
        <w:rPr>
          <w:color w:val="auto"/>
        </w:rPr>
      </w:pPr>
      <w:r w:rsidRPr="000013E1">
        <w:rPr>
          <w:rFonts w:ascii="Times New Roman" w:eastAsia="Times New Roman" w:hAnsi="Times New Roman"/>
          <w:color w:val="auto"/>
        </w:rPr>
        <w:lastRenderedPageBreak/>
        <w:t>4. Emerging Therapeutic Strategies: Clinical Progress and Translational Boundaries</w:t>
      </w:r>
    </w:p>
    <w:p w14:paraId="22F4865A" w14:textId="77777777" w:rsidR="00FE7B37" w:rsidRPr="000013E1" w:rsidRDefault="00000000">
      <w:pPr>
        <w:pStyle w:val="Heading2"/>
        <w:rPr>
          <w:color w:val="auto"/>
        </w:rPr>
      </w:pPr>
      <w:r w:rsidRPr="000013E1">
        <w:rPr>
          <w:rFonts w:ascii="Times New Roman" w:eastAsia="Times New Roman" w:hAnsi="Times New Roman"/>
          <w:color w:val="auto"/>
        </w:rPr>
        <w:t>4.1 New Antibacterials and Mechanism-Matched β-Lactam Strategies</w:t>
      </w:r>
    </w:p>
    <w:p w14:paraId="19D2E597" w14:textId="77777777" w:rsidR="00FE7B37" w:rsidRPr="000013E1" w:rsidRDefault="00000000">
      <w:pPr>
        <w:ind w:firstLine="288"/>
      </w:pPr>
      <w:r w:rsidRPr="000013E1">
        <w:rPr>
          <w:rFonts w:eastAsia="Times New Roman"/>
        </w:rPr>
        <w:t>The most clinically mature advance in MDRO management is not AI but the replacement of broad, toxic salvage regimens with agents designed around identifiable resistance mechanisms. This distinction matters because AI will deliver little benefit if it accelerates a diagnostic answer for which no active treatment exists. Conversely, as the number of mechanistically differentiated drugs increases, the value of rapid identification and susceptibility prediction rises. The therapeutic and diagnostic developments are therefore mutually enabling rather than competing innovations.</w:t>
      </w:r>
    </w:p>
    <w:p w14:paraId="4ABEA2DA" w14:textId="77777777" w:rsidR="00FE7B37" w:rsidRPr="000013E1" w:rsidRDefault="00000000">
      <w:pPr>
        <w:ind w:firstLine="288"/>
      </w:pPr>
      <w:r w:rsidRPr="000013E1">
        <w:rPr>
          <w:rFonts w:eastAsia="Times New Roman"/>
        </w:rPr>
        <w:t>For KPC-producing Enterobacterales, meropenem-vaborbactam provides one of the clearest examples. In the TANGO II randomised trial, only 47 patients with confirmed carbapenem-resistant Enterobacteriaceae formed the primary microbiological analysis population, which limits precision, yet clinical cure and renal safety favoured meropenem-vaborbactam over heterogeneous best-available therapy (Wunderink et al., 2018). The comparator arm included agents such as polymyxins, aminoglycosides and tigecycline that represented then-current salvage practice but are no longer equivalent to modern active β-lactam options. The trial therefore established proof that a mechanism-targeted β-lactam/β-lactamase inhibitor could outperform older rescue therapy, but it does not resolve contemporary head-to-head selection among newer agents.</w:t>
      </w:r>
    </w:p>
    <w:p w14:paraId="0E7A6C9A" w14:textId="77777777" w:rsidR="00FE7B37" w:rsidRPr="000013E1" w:rsidRDefault="00000000">
      <w:pPr>
        <w:ind w:firstLine="288"/>
      </w:pPr>
      <w:r w:rsidRPr="000013E1">
        <w:rPr>
          <w:rFonts w:eastAsia="Times New Roman"/>
        </w:rPr>
        <w:t>Observational comparisons address that later question but remain vulnerable to confounding by indication. Ackley et al. (2020) found similar clinical success between ceftazidime-avibactam and meropenem-vaborbactam in a multicentre retrospective cohort, although group size, combination-therapy use and baseline differences complicated causal interpretation. A 2026 propensity-weighted comparison restricted to KPC-producing Enterobacterales likewise found similar 30-day mortality but observed resistance emergence more often after ceftazidime-avibactam than meropenem-vaborbactam (Karaba et al., 2026). The latter finding is biologically plausible and clinically important, yet the cohort contained only 73 patients. It should therefore inform surveillance and drug-preservation strategies rather than be treated as definitive superiority evidence.</w:t>
      </w:r>
    </w:p>
    <w:p w14:paraId="09A4F689" w14:textId="77777777" w:rsidR="00FE7B37" w:rsidRPr="000013E1" w:rsidRDefault="00000000">
      <w:pPr>
        <w:ind w:firstLine="288"/>
      </w:pPr>
      <w:r w:rsidRPr="000013E1">
        <w:rPr>
          <w:rFonts w:eastAsia="Times New Roman"/>
        </w:rPr>
        <w:t>Imipenem-cilastatin-relebactam represents a related mechanism-directed option. Analyses from the RESTORE-IMI 1 programme compared imipenem-relebactam with colistin plus imipenem for imipenem-nonsusceptible infections and supported efficacy with substantially less reliance on nephrotoxic polymyxin exposure (Kaye et al., 2020). Again, the trial population was small. The broader lesson is not that a single new inhibitor is universally preferred, but that β-lactamase biology has become an actionable therapeutic variable. Guidance now appropriately places considerable weight on the likely carbapenemase and on susceptibility to the newer β-lactam agents rather than using one salvage combination for all carbapenem-resistant isolates (Tamma et al., 2024).</w:t>
      </w:r>
    </w:p>
    <w:p w14:paraId="1892AE27" w14:textId="77777777" w:rsidR="00FE7B37" w:rsidRPr="000013E1" w:rsidRDefault="00000000">
      <w:pPr>
        <w:ind w:firstLine="288"/>
      </w:pPr>
      <w:r w:rsidRPr="000013E1">
        <w:rPr>
          <w:rFonts w:eastAsia="Times New Roman"/>
        </w:rPr>
        <w:t xml:space="preserve">Sulbactam-durlobactam has strengthened the evidence base specifically for CRAB. The ATTACK phase 3 trial randomised patients with serious </w:t>
      </w:r>
      <w:r w:rsidRPr="000013E1">
        <w:rPr>
          <w:rFonts w:eastAsia="Times New Roman"/>
          <w:i/>
        </w:rPr>
        <w:t>A. baumannii</w:t>
      </w:r>
      <w:r w:rsidRPr="000013E1">
        <w:rPr>
          <w:rFonts w:eastAsia="Times New Roman"/>
        </w:rPr>
        <w:t xml:space="preserve">-calcoaceticus complex infections to sulbactam-durlobactam or colistin, with both groups receiving imipenem-cilastatin background therapy. In the primary carbapenem-resistant population, 28-day mortality was 19% with sulbactam-durlobactam and 32% with colistin; the trial met its prespecified non-inferiority criterion, while nephrotoxicity was markedly lower with sulbactam-durlobactam (Kaye et al., 2023). The trial is particularly informative because the comparator problem is clinically familiar: colistin can retain in-vitro activity but carries substantial renal toxicity and uncertain pharmacodynamic reliability. The evidence therefore supports a meaningful change in CRAB treatment, although it does not imply that every </w:t>
      </w:r>
      <w:r w:rsidRPr="000013E1">
        <w:rPr>
          <w:rFonts w:eastAsia="Times New Roman"/>
          <w:i/>
        </w:rPr>
        <w:t>A. baumannii</w:t>
      </w:r>
      <w:r w:rsidRPr="000013E1">
        <w:rPr>
          <w:rFonts w:eastAsia="Times New Roman"/>
        </w:rPr>
        <w:t xml:space="preserve"> infection can be managed without susceptibility testing, source control or combination considerations.</w:t>
      </w:r>
    </w:p>
    <w:p w14:paraId="4E2FD37A" w14:textId="77777777" w:rsidR="00FE7B37" w:rsidRPr="000013E1" w:rsidRDefault="00000000">
      <w:pPr>
        <w:ind w:firstLine="288"/>
      </w:pPr>
      <w:r w:rsidRPr="000013E1">
        <w:rPr>
          <w:rFonts w:eastAsia="Times New Roman"/>
        </w:rPr>
        <w:lastRenderedPageBreak/>
        <w:t xml:space="preserve">Cefiderocol illustrates the opposite problem: a drug with unusually broad in-vitro reach but a more complicated clinical signal. In APEKS-NP, cefiderocol was non-inferior to high-dose, extended-infusion meropenem for day-14 mortality in Gram-negative nosocomial pneumonia, a population not restricted to carbapenem-resistant organisms (Wunderink et al., 2021). CREDIBLE-CR then examined severe carbapenem-resistant infections and found similar clinical or microbiological efficacy to best available therapy across heterogeneous syndromes, but mortality was numerically higher in the cefiderocol arm, particularly among patients with </w:t>
      </w:r>
      <w:r w:rsidRPr="000013E1">
        <w:rPr>
          <w:rFonts w:eastAsia="Times New Roman"/>
          <w:i/>
        </w:rPr>
        <w:t>Acinetobacter</w:t>
      </w:r>
      <w:r w:rsidRPr="000013E1">
        <w:rPr>
          <w:rFonts w:eastAsia="Times New Roman"/>
        </w:rPr>
        <w:t xml:space="preserve"> infections (Bassetti et al., 2021). Later observational evidence and meta-analysis have not reproduced a simple conclusion that cefiderocol is inferior for CRAB; Onorato et al. (2024), for example, found lower pooled mortality compared with best available therapy in a literature dominated by observational studies. The discrepancy likely reflects differences in case mix, severity, co-therapy, susceptibility testing, dose exposure and residual confounding. It also demonstrates why an AI treatment recommender trained on observational outcomes could learn unstable associations unless pathogen, syndrome, severity and treatment-era effects are represented explicitly.</w:t>
      </w:r>
    </w:p>
    <w:p w14:paraId="1BD0C9D6" w14:textId="77777777" w:rsidR="00FE7B37" w:rsidRPr="000013E1" w:rsidRDefault="00000000">
      <w:pPr>
        <w:ind w:firstLine="288"/>
      </w:pPr>
      <w:r w:rsidRPr="000013E1">
        <w:rPr>
          <w:rFonts w:eastAsia="Times New Roman"/>
        </w:rPr>
        <w:t>Cefepime-taniborbactam further illustrates the distinction between biochemical spectrum and demonstrated clinical population. The CERTAIN-1 phase 3 trial showed superior composite clinical and microbiological success to meropenem in complicated urinary tract infection, with a broadly similar serious-adverse-event profile (Wagenlehner et al., 2024). Taniborbactam inhibits many serine and metallo-β-lactamases, making the combination conceptually attractive for resistance mechanisms that defeat older inhibitors. Yet the trial was not a dedicated trial of carbapenem-resistant Enterobacterales or metallo-β-lactamase infection. It is therefore methodologically incorrect to convert a successful syndrome trial into direct evidence of superiority for the most resistant target population. Future precision systems should encode such evidential boundaries rather than infer indication breadth from microbiological activity alone.</w:t>
      </w:r>
    </w:p>
    <w:p w14:paraId="33DBDA67" w14:textId="77777777" w:rsidR="00FE7B37" w:rsidRPr="000013E1" w:rsidRDefault="00000000">
      <w:pPr>
        <w:ind w:firstLine="288"/>
      </w:pPr>
      <w:r w:rsidRPr="000013E1">
        <w:rPr>
          <w:rFonts w:eastAsia="Times New Roman"/>
        </w:rPr>
        <w:t>These examples support a hierarchy for clinical deployment. Mechanism-specific randomised evidence should anchor treatment where available; pathogen-specific observational evidence can refine comparative choices when randomisation is impractical; in-vitro activity and genomic mechanism prediction should guide but not substitute for clinical evidence. AI systems that recommend therapy need to preserve this hierarchy. Otherwise, they may over-weight high-dimensional susceptibility data while under-weighting the strength of the treatment evidence itself.</w:t>
      </w:r>
    </w:p>
    <w:p w14:paraId="14567C16" w14:textId="77777777" w:rsidR="00FE7B37" w:rsidRPr="000013E1" w:rsidRDefault="00000000">
      <w:pPr>
        <w:pStyle w:val="Heading2"/>
        <w:rPr>
          <w:color w:val="auto"/>
        </w:rPr>
      </w:pPr>
      <w:r w:rsidRPr="000013E1">
        <w:rPr>
          <w:rFonts w:ascii="Times New Roman" w:eastAsia="Times New Roman" w:hAnsi="Times New Roman"/>
          <w:color w:val="auto"/>
        </w:rPr>
        <w:t>4.2 Bacteriophage Therapy: Precision Without Standardisation</w:t>
      </w:r>
    </w:p>
    <w:p w14:paraId="54E3033A" w14:textId="77777777" w:rsidR="00FE7B37" w:rsidRPr="000013E1" w:rsidRDefault="00000000">
      <w:pPr>
        <w:ind w:firstLine="288"/>
      </w:pPr>
      <w:r w:rsidRPr="000013E1">
        <w:rPr>
          <w:rFonts w:eastAsia="Times New Roman"/>
        </w:rPr>
        <w:t>Bacteriophages are attractive for MDRO treatment because they can be highly specific, replicate in the presence of susceptible bacterial hosts and potentially retain activity against antibiotic-resistant strains. Their specificity is both a therapeutic advantage and a logistical liability. A conventional antibiotic can be stocked before the infecting clone is known; personalised phage therapy may require isolation, host-range testing, cocktail design, purification, regulatory review and repeated adaptation. The therapeutic model therefore resembles a rapid biological manufacturing platform more than a fixed drug product.</w:t>
      </w:r>
    </w:p>
    <w:p w14:paraId="23FF9A7E" w14:textId="77777777" w:rsidR="00FE7B37" w:rsidRPr="000013E1" w:rsidRDefault="00000000">
      <w:pPr>
        <w:ind w:firstLine="288"/>
      </w:pPr>
      <w:r w:rsidRPr="000013E1">
        <w:rPr>
          <w:rFonts w:eastAsia="Times New Roman"/>
        </w:rPr>
        <w:t xml:space="preserve">The widely cited personalised </w:t>
      </w:r>
      <w:r w:rsidRPr="000013E1">
        <w:rPr>
          <w:rFonts w:eastAsia="Times New Roman"/>
          <w:i/>
        </w:rPr>
        <w:t>A. baumannii</w:t>
      </w:r>
      <w:r w:rsidRPr="000013E1">
        <w:rPr>
          <w:rFonts w:eastAsia="Times New Roman"/>
        </w:rPr>
        <w:t xml:space="preserve"> case reported by Schooley et al. (2017) demonstrated that intravenous and locally administered phage cocktails could be assembled for a critically ill patient with refractory disseminated infection. Clinical recovery and microbiological clearance followed treatment, but attribution is inherently uncertain in a single uncontrolled case receiving concurrent interventions. The report is valuable as feasibility evidence, not as an efficacy estimate. Dedrick et al. (2019) subsequently used engineered phages to treat disseminated drug-resistant </w:t>
      </w:r>
      <w:r w:rsidRPr="000013E1">
        <w:rPr>
          <w:rFonts w:eastAsia="Times New Roman"/>
          <w:i/>
        </w:rPr>
        <w:t>Mycobacterium abscessus</w:t>
      </w:r>
      <w:r w:rsidRPr="000013E1">
        <w:rPr>
          <w:rFonts w:eastAsia="Times New Roman"/>
        </w:rPr>
        <w:t xml:space="preserve"> after lung transplantation. That case showed that forward genetics and engineering could expand the usable phage repertoire when natural isolates lacked the required lytic profile. Again, the evidential strength is proof of therapeutic possibility rather than proof of generalisable benefit.</w:t>
      </w:r>
    </w:p>
    <w:p w14:paraId="1FD6A61F" w14:textId="77777777" w:rsidR="00FE7B37" w:rsidRPr="000013E1" w:rsidRDefault="00000000">
      <w:pPr>
        <w:ind w:firstLine="288"/>
      </w:pPr>
      <w:r w:rsidRPr="000013E1">
        <w:rPr>
          <w:rFonts w:eastAsia="Times New Roman"/>
        </w:rPr>
        <w:lastRenderedPageBreak/>
        <w:t xml:space="preserve">PhagoBurn provides an essential counterweight to case-report enthusiasm. The randomised phase 1/2 trial tested a 12-phage topical cocktail for </w:t>
      </w:r>
      <w:r w:rsidRPr="000013E1">
        <w:rPr>
          <w:rFonts w:eastAsia="Times New Roman"/>
          <w:i/>
        </w:rPr>
        <w:t>P. aeruginosa</w:t>
      </w:r>
      <w:r w:rsidRPr="000013E1">
        <w:rPr>
          <w:rFonts w:eastAsia="Times New Roman"/>
        </w:rPr>
        <w:t>-infected burn wounds and was stopped because of insufficient efficacy. Manufacturing-associated loss of phage titre meant that patients received much lower concentrations than intended, and bacterial reduction was slower than with standard topical care (Jault et al., 2019). This was not merely a failed efficacy study; it exposed a distinctive translational problem. Phage identity, titre, pharmacokinetics, neutralising immunity, tissue distribution, bacterial density and resistance evolution can all alter the effective dose during treatment. Recent reviews continue to identify major heterogeneity in in-vivo phage pharmacokinetic and pharmacodynamic methods, which prevents simple extrapolation across phages, pathogens and administration routes (Nguyen et al., 2026; Siopi et al., 2024).</w:t>
      </w:r>
    </w:p>
    <w:p w14:paraId="08AFBEA5" w14:textId="77777777" w:rsidR="00FE7B37" w:rsidRPr="000013E1" w:rsidRDefault="00000000">
      <w:pPr>
        <w:ind w:firstLine="288"/>
      </w:pPr>
      <w:r w:rsidRPr="000013E1">
        <w:rPr>
          <w:rFonts w:eastAsia="Times New Roman"/>
        </w:rPr>
        <w:t>AI could assist phage therapy in several ways: matching phage-host pairs from genomic or phenotypic features, predicting resistance evolution, optimising cocktails, identifying synergistic antibiotic combinations and adapting dosing to longitudinal bacterial burden. Yet these are only useful if the underlying phage library and manufacturing system can deliver the selected product quickly. A sophisticated model cannot compensate for an unavailable phage, insufficient titre or uncharacterised pharmacology. Prospective phage platforms should therefore evaluate the entire chain from isolate acquisition to release of a quality-controlled product, not merely the predictive performance of a host-range algorithm.</w:t>
      </w:r>
    </w:p>
    <w:p w14:paraId="59316913" w14:textId="77777777" w:rsidR="00FE7B37" w:rsidRPr="000013E1" w:rsidRDefault="00000000">
      <w:pPr>
        <w:pStyle w:val="Heading2"/>
        <w:rPr>
          <w:color w:val="auto"/>
        </w:rPr>
      </w:pPr>
      <w:r w:rsidRPr="000013E1">
        <w:rPr>
          <w:rFonts w:ascii="Times New Roman" w:eastAsia="Times New Roman" w:hAnsi="Times New Roman"/>
          <w:color w:val="auto"/>
        </w:rPr>
        <w:t>4.3 CRISPR-Based Antimicrobials and Microbiome Manipulation</w:t>
      </w:r>
    </w:p>
    <w:p w14:paraId="5798F364" w14:textId="77777777" w:rsidR="00FE7B37" w:rsidRPr="000013E1" w:rsidRDefault="00000000">
      <w:pPr>
        <w:ind w:firstLine="288"/>
      </w:pPr>
      <w:r w:rsidRPr="000013E1">
        <w:rPr>
          <w:rFonts w:eastAsia="Times New Roman"/>
        </w:rPr>
        <w:t xml:space="preserve">CRISPR-based antimicrobials offer an even more programmable form of specificity. Citorik et al. (2014) delivered RNA-guided nucleases using phage or conjugative vehicles and demonstrated selective elimination of bacterial populations carrying targeted resistance or virulence sequences, including carbapenem-resistant Enterobacteriaceae, with benefit in an invertebrate infection model. Bikard et al. (2014) similarly used phagemid-delivered Cas9 to target virulent </w:t>
      </w:r>
      <w:r w:rsidRPr="000013E1">
        <w:rPr>
          <w:rFonts w:eastAsia="Times New Roman"/>
          <w:i/>
        </w:rPr>
        <w:t>S. aureus</w:t>
      </w:r>
      <w:r w:rsidRPr="000013E1">
        <w:rPr>
          <w:rFonts w:eastAsia="Times New Roman"/>
        </w:rPr>
        <w:t xml:space="preserve"> and resistance plasmids and demonstrated selective activity in a murine skin-colonisation model. These studies established the concept that an antimicrobial can be defined by sequence rather than by a conserved metabolic target.</w:t>
      </w:r>
    </w:p>
    <w:p w14:paraId="21BE15FA" w14:textId="77777777" w:rsidR="00FE7B37" w:rsidRPr="000013E1" w:rsidRDefault="00000000">
      <w:pPr>
        <w:ind w:firstLine="288"/>
      </w:pPr>
      <w:r w:rsidRPr="000013E1">
        <w:rPr>
          <w:rFonts w:eastAsia="Times New Roman"/>
        </w:rPr>
        <w:t>Clinical translation remains difficult for precisely the reasons that make the platform attractive. Sequence specificity requires accurate knowledge of the target and creates sensitivity to target mutation. Delivery vehicles must reach the relevant bacterial population in vivo, cross anatomical and biofilm barriers, avoid unacceptable host responses and maintain adequate payload. Horizontal gene transfer, plasmid diversity and within-host population heterogeneity may mean that a single guide sequence leaves clinically relevant subpopulations untouched. The ecological consequences are also complex: selective removal of one genotype may alter competition and resistance-gene networks in ways that short laboratory experiments cannot fully anticipate. AI may accelerate guide design and off-target prediction, but these are upstream engineering improvements. They do not remove the need for rigorous delivery, toxicology and clinical outcome studies.</w:t>
      </w:r>
    </w:p>
    <w:p w14:paraId="145DD8B6" w14:textId="77777777" w:rsidR="00FE7B37" w:rsidRPr="000013E1" w:rsidRDefault="00000000">
      <w:pPr>
        <w:ind w:firstLine="288"/>
      </w:pPr>
      <w:r w:rsidRPr="000013E1">
        <w:rPr>
          <w:rFonts w:eastAsia="Times New Roman"/>
        </w:rPr>
        <w:t xml:space="preserve">Microbiome manipulation addresses MDROs from a different direction by attempting to restore colonisation resistance rather than directly killing the pathogen. The concept is clinically important because intestinal carriage of extended-spectrum β-lactamase-producing and carbapenem-resistant Enterobacterales can persist and provide a reservoir for subsequent invasive infection and transmission. Huttner et al. (2019) randomised colonised patients to a short course of non-absorbable antibiotics followed by faecal microbiota transplantation (FMT) or no intervention. Decolonisation was numerically higher with the intervention but not statistically significant, and the trial ended early with a small sample. More recent evidence has not converted that signal into a reliable effect. In a 2026 double-blind, sham-controlled trial involving patients with gastrointestinal disease and persistent MDRO colonisation, a single FMT session did not improve MDRO decolonisation or reduce antimicrobial-resistance gene burden at four weeks compared with sham treatment, </w:t>
      </w:r>
      <w:r w:rsidRPr="000013E1">
        <w:rPr>
          <w:rFonts w:eastAsia="Times New Roman"/>
        </w:rPr>
        <w:lastRenderedPageBreak/>
        <w:t>although microbiome composition changed (Narang et al., 2026). This result is important because it separates biological engraftment from the clinical objective of eliminating resistance carriage.</w:t>
      </w:r>
    </w:p>
    <w:p w14:paraId="6F4F7D21" w14:textId="77777777" w:rsidR="00FE7B37" w:rsidRPr="000013E1" w:rsidRDefault="00000000">
      <w:pPr>
        <w:ind w:firstLine="288"/>
      </w:pPr>
      <w:r w:rsidRPr="000013E1">
        <w:rPr>
          <w:rFonts w:eastAsia="Times New Roman"/>
        </w:rPr>
        <w:t>The negative trial does not close the field. Donor characteristics, repeated dosing, baseline microbiome states, antibiotic exposure and target organism may modify response. It does, however, raise the evidential threshold. AI-driven donor-recipient matching or microbiome-response prediction should not be presented as a route to established MDRO decolonisation until a reproducible clinical intervention exists. Otherwise, modelling may optimise a surrogate that is not causally related to the desired outcome.</w:t>
      </w:r>
    </w:p>
    <w:p w14:paraId="578051F9" w14:textId="77777777" w:rsidR="00FE7B37" w:rsidRPr="000013E1" w:rsidRDefault="00000000">
      <w:pPr>
        <w:pStyle w:val="Heading2"/>
        <w:rPr>
          <w:color w:val="auto"/>
        </w:rPr>
      </w:pPr>
      <w:r w:rsidRPr="000013E1">
        <w:rPr>
          <w:rFonts w:ascii="Times New Roman" w:eastAsia="Times New Roman" w:hAnsi="Times New Roman"/>
          <w:color w:val="auto"/>
        </w:rPr>
        <w:t>4.4 AI-Enabled Antibiotic Discovery: High Discovery Value, Early Clinical Maturity</w:t>
      </w:r>
    </w:p>
    <w:p w14:paraId="70D5A861" w14:textId="77777777" w:rsidR="00FE7B37" w:rsidRPr="000013E1" w:rsidRDefault="00000000">
      <w:pPr>
        <w:ind w:firstLine="288"/>
      </w:pPr>
      <w:r w:rsidRPr="000013E1">
        <w:rPr>
          <w:rFonts w:eastAsia="Times New Roman"/>
        </w:rPr>
        <w:t>Drug discovery is the domain in which AI has produced some of the most visible AMR results, yet it is also the domain where clinical translation is most distant. Stokes et al. (2020) trained a neural network on molecular structures and antibacterial activity, then used it to screen large chemical libraries. The approach identified halicin, a structurally unconventional compound with activity against multiple pathogens and efficacy in murine infection models. The important methodological contribution was not that an approved antibiotic emerged from the model, but that a learned representation could search chemical space without relying on close similarity to existing antibiotic scaffolds.</w:t>
      </w:r>
    </w:p>
    <w:p w14:paraId="4FA972CB" w14:textId="77777777" w:rsidR="00FE7B37" w:rsidRPr="000013E1" w:rsidRDefault="00000000">
      <w:pPr>
        <w:ind w:firstLine="288"/>
      </w:pPr>
      <w:r w:rsidRPr="000013E1">
        <w:rPr>
          <w:rFonts w:eastAsia="Times New Roman"/>
        </w:rPr>
        <w:t xml:space="preserve">Liu et al. (2023) narrowed this strategy to </w:t>
      </w:r>
      <w:r w:rsidRPr="000013E1">
        <w:rPr>
          <w:rFonts w:eastAsia="Times New Roman"/>
          <w:i/>
        </w:rPr>
        <w:t>A. baumannii</w:t>
      </w:r>
      <w:r w:rsidRPr="000013E1">
        <w:rPr>
          <w:rFonts w:eastAsia="Times New Roman"/>
        </w:rPr>
        <w:t xml:space="preserve"> and identified abaucin, a compound with relatively species-selective activity and in-vivo activity in experimental models. This pathogen-targeted discovery strategy is especially relevant to MDRO management because selectivity could reduce microbiome disruption and selection pressure outside the target organism. Wong et al. (2024) advanced a complementary goal by using explainable deep learning to identify chemical substructures associated with antibacterial activity and a new structural class active against MRSA and vancomycin-resistant enterococci in murine models. Wan et al. (2024) expanded the searchable space beyond contemporary molecules by mining ancient proteomic information for antimicrobial peptides through deep-learning-based molecular de-extinction.</w:t>
      </w:r>
    </w:p>
    <w:p w14:paraId="32A5C2C5" w14:textId="77777777" w:rsidR="00FE7B37" w:rsidRPr="000013E1" w:rsidRDefault="00000000">
      <w:pPr>
        <w:ind w:firstLine="288"/>
      </w:pPr>
      <w:r w:rsidRPr="000013E1">
        <w:rPr>
          <w:rFonts w:eastAsia="Times New Roman"/>
        </w:rPr>
        <w:t>These studies demonstrate that AI can alter the discovery process, but none establishes clinical efficacy. The dominant attrition points in antibacterial development remain pharmacokinetics, toxicity, manufacturability, resistance emergence, dosing feasibility and human efficacy. A model can enrich a screening library for biologically active compounds while leaving those downstream barriers untouched. The clinically meaningful endpoint for AI-enabled discovery is therefore not the number of model-selected hits but the rate at which structurally novel, developable molecules progress through validated preclinical packages and human trials. Claims that AI is already solving the antimicrobial pipeline problem are premature.</w:t>
      </w:r>
    </w:p>
    <w:p w14:paraId="1C2DBE0F" w14:textId="77777777" w:rsidR="00FE7B37" w:rsidRPr="000013E1" w:rsidRDefault="00FE7B37">
      <w:pPr>
        <w:sectPr w:rsidR="00FE7B37" w:rsidRPr="000013E1">
          <w:pgSz w:w="12240" w:h="15840"/>
          <w:pgMar w:top="1152" w:right="1224" w:bottom="1080" w:left="1224" w:header="504" w:footer="504" w:gutter="0"/>
          <w:cols w:space="720"/>
          <w:docGrid w:linePitch="360"/>
        </w:sectPr>
      </w:pPr>
    </w:p>
    <w:p w14:paraId="21E10BA9" w14:textId="77777777" w:rsidR="00FE7B37" w:rsidRPr="000013E1" w:rsidRDefault="00000000">
      <w:pPr>
        <w:spacing w:after="140" w:line="240" w:lineRule="auto"/>
      </w:pPr>
      <w:r w:rsidRPr="000013E1">
        <w:rPr>
          <w:rFonts w:eastAsia="Times New Roman"/>
          <w:sz w:val="20"/>
        </w:rPr>
        <w:lastRenderedPageBreak/>
        <w:t>The comparative maturity of major emerging therapies is summarised in Table 2. The evidence is strongest where a defined antimicrobial has been tested against an appropriate clinical comparator and weakest where the intervention remains custom-manufactured or preclinical.</w:t>
      </w:r>
    </w:p>
    <w:p w14:paraId="51890D70" w14:textId="77777777" w:rsidR="00FE7B37" w:rsidRPr="000013E1" w:rsidRDefault="00000000">
      <w:pPr>
        <w:pStyle w:val="TableCaption"/>
      </w:pPr>
      <w:r w:rsidRPr="000013E1">
        <w:rPr>
          <w:rFonts w:eastAsia="Times New Roman"/>
        </w:rPr>
        <w:t>Table 2. Emerging therapeutic strategies for multidrug-resistant bacterial infections and their current evidential maturity</w:t>
      </w:r>
    </w:p>
    <w:tbl>
      <w:tblPr>
        <w:tblStyle w:val="TableGrid"/>
        <w:tblW w:w="0" w:type="auto"/>
        <w:jc w:val="center"/>
        <w:tblLayout w:type="fixed"/>
        <w:tblLook w:val="04A0" w:firstRow="1" w:lastRow="0" w:firstColumn="1" w:lastColumn="0" w:noHBand="0" w:noVBand="1"/>
      </w:tblPr>
      <w:tblGrid>
        <w:gridCol w:w="1728"/>
        <w:gridCol w:w="2188"/>
        <w:gridCol w:w="2232"/>
        <w:gridCol w:w="2088"/>
        <w:gridCol w:w="1987"/>
        <w:gridCol w:w="2131"/>
        <w:gridCol w:w="2188"/>
      </w:tblGrid>
      <w:tr w:rsidR="000013E1" w:rsidRPr="000013E1" w14:paraId="7A59473F" w14:textId="77777777">
        <w:trPr>
          <w:tblHeader/>
          <w:jc w:val="center"/>
        </w:trPr>
        <w:tc>
          <w:tcPr>
            <w:tcW w:w="1728" w:type="dxa"/>
            <w:shd w:val="clear" w:color="auto" w:fill="E7E6E6"/>
            <w:tcMar>
              <w:top w:w="80" w:type="dxa"/>
              <w:left w:w="75" w:type="dxa"/>
              <w:bottom w:w="80" w:type="dxa"/>
              <w:right w:w="75" w:type="dxa"/>
            </w:tcMar>
            <w:vAlign w:val="center"/>
          </w:tcPr>
          <w:p w14:paraId="11D560A0" w14:textId="77777777" w:rsidR="00FE7B37" w:rsidRPr="000013E1" w:rsidRDefault="00000000">
            <w:pPr>
              <w:spacing w:after="0"/>
              <w:jc w:val="center"/>
            </w:pPr>
            <w:r w:rsidRPr="000013E1">
              <w:rPr>
                <w:rFonts w:eastAsia="Times New Roman"/>
                <w:b/>
                <w:sz w:val="16"/>
              </w:rPr>
              <w:t>Strategy</w:t>
            </w:r>
          </w:p>
        </w:tc>
        <w:tc>
          <w:tcPr>
            <w:tcW w:w="2188" w:type="dxa"/>
            <w:shd w:val="clear" w:color="auto" w:fill="E7E6E6"/>
            <w:tcMar>
              <w:top w:w="80" w:type="dxa"/>
              <w:left w:w="75" w:type="dxa"/>
              <w:bottom w:w="80" w:type="dxa"/>
              <w:right w:w="75" w:type="dxa"/>
            </w:tcMar>
            <w:vAlign w:val="center"/>
          </w:tcPr>
          <w:p w14:paraId="41E892EC" w14:textId="77777777" w:rsidR="00FE7B37" w:rsidRPr="000013E1" w:rsidRDefault="00000000">
            <w:pPr>
              <w:spacing w:after="0"/>
              <w:jc w:val="center"/>
            </w:pPr>
            <w:r w:rsidRPr="000013E1">
              <w:rPr>
                <w:rFonts w:eastAsia="Times New Roman"/>
                <w:b/>
                <w:sz w:val="16"/>
              </w:rPr>
              <w:t>Representative evidence</w:t>
            </w:r>
          </w:p>
        </w:tc>
        <w:tc>
          <w:tcPr>
            <w:tcW w:w="2232" w:type="dxa"/>
            <w:shd w:val="clear" w:color="auto" w:fill="E7E6E6"/>
            <w:tcMar>
              <w:top w:w="80" w:type="dxa"/>
              <w:left w:w="75" w:type="dxa"/>
              <w:bottom w:w="80" w:type="dxa"/>
              <w:right w:w="75" w:type="dxa"/>
            </w:tcMar>
            <w:vAlign w:val="center"/>
          </w:tcPr>
          <w:p w14:paraId="12593570" w14:textId="77777777" w:rsidR="00FE7B37" w:rsidRPr="000013E1" w:rsidRDefault="00000000">
            <w:pPr>
              <w:spacing w:after="0"/>
              <w:jc w:val="center"/>
            </w:pPr>
            <w:r w:rsidRPr="000013E1">
              <w:rPr>
                <w:rFonts w:eastAsia="Times New Roman"/>
                <w:b/>
                <w:sz w:val="16"/>
              </w:rPr>
              <w:t>Clinical maturity</w:t>
            </w:r>
          </w:p>
        </w:tc>
        <w:tc>
          <w:tcPr>
            <w:tcW w:w="2088" w:type="dxa"/>
            <w:shd w:val="clear" w:color="auto" w:fill="E7E6E6"/>
            <w:tcMar>
              <w:top w:w="80" w:type="dxa"/>
              <w:left w:w="75" w:type="dxa"/>
              <w:bottom w:w="80" w:type="dxa"/>
              <w:right w:w="75" w:type="dxa"/>
            </w:tcMar>
            <w:vAlign w:val="center"/>
          </w:tcPr>
          <w:p w14:paraId="0363CB07" w14:textId="77777777" w:rsidR="00FE7B37" w:rsidRPr="000013E1" w:rsidRDefault="00000000">
            <w:pPr>
              <w:spacing w:after="0"/>
              <w:jc w:val="center"/>
            </w:pPr>
            <w:r w:rsidRPr="000013E1">
              <w:rPr>
                <w:rFonts w:eastAsia="Times New Roman"/>
                <w:b/>
                <w:sz w:val="16"/>
              </w:rPr>
              <w:t>Potential advantage</w:t>
            </w:r>
          </w:p>
        </w:tc>
        <w:tc>
          <w:tcPr>
            <w:tcW w:w="1987" w:type="dxa"/>
            <w:shd w:val="clear" w:color="auto" w:fill="E7E6E6"/>
            <w:tcMar>
              <w:top w:w="80" w:type="dxa"/>
              <w:left w:w="75" w:type="dxa"/>
              <w:bottom w:w="80" w:type="dxa"/>
              <w:right w:w="75" w:type="dxa"/>
            </w:tcMar>
            <w:vAlign w:val="center"/>
          </w:tcPr>
          <w:p w14:paraId="26708E02" w14:textId="77777777" w:rsidR="00FE7B37" w:rsidRPr="000013E1" w:rsidRDefault="00000000">
            <w:pPr>
              <w:spacing w:after="0"/>
              <w:jc w:val="center"/>
            </w:pPr>
            <w:r w:rsidRPr="000013E1">
              <w:rPr>
                <w:rFonts w:eastAsia="Times New Roman"/>
                <w:b/>
                <w:sz w:val="16"/>
              </w:rPr>
              <w:t>Principal unresolved limitation</w:t>
            </w:r>
          </w:p>
        </w:tc>
        <w:tc>
          <w:tcPr>
            <w:tcW w:w="2131" w:type="dxa"/>
            <w:shd w:val="clear" w:color="auto" w:fill="E7E6E6"/>
            <w:tcMar>
              <w:top w:w="80" w:type="dxa"/>
              <w:left w:w="75" w:type="dxa"/>
              <w:bottom w:w="80" w:type="dxa"/>
              <w:right w:w="75" w:type="dxa"/>
            </w:tcMar>
            <w:vAlign w:val="center"/>
          </w:tcPr>
          <w:p w14:paraId="47049A9F" w14:textId="77777777" w:rsidR="00FE7B37" w:rsidRPr="000013E1" w:rsidRDefault="00000000">
            <w:pPr>
              <w:spacing w:after="0"/>
              <w:jc w:val="center"/>
            </w:pPr>
            <w:r w:rsidRPr="000013E1">
              <w:rPr>
                <w:rFonts w:eastAsia="Times New Roman"/>
                <w:b/>
                <w:sz w:val="16"/>
              </w:rPr>
              <w:t>AI interface</w:t>
            </w:r>
          </w:p>
        </w:tc>
        <w:tc>
          <w:tcPr>
            <w:tcW w:w="2188" w:type="dxa"/>
            <w:shd w:val="clear" w:color="auto" w:fill="E7E6E6"/>
            <w:tcMar>
              <w:top w:w="80" w:type="dxa"/>
              <w:left w:w="75" w:type="dxa"/>
              <w:bottom w:w="80" w:type="dxa"/>
              <w:right w:w="75" w:type="dxa"/>
            </w:tcMar>
            <w:vAlign w:val="center"/>
          </w:tcPr>
          <w:p w14:paraId="16ACB2EF" w14:textId="77777777" w:rsidR="00FE7B37" w:rsidRPr="000013E1" w:rsidRDefault="00000000">
            <w:pPr>
              <w:spacing w:after="0"/>
              <w:jc w:val="center"/>
            </w:pPr>
            <w:r w:rsidRPr="000013E1">
              <w:rPr>
                <w:rFonts w:eastAsia="Times New Roman"/>
                <w:b/>
                <w:sz w:val="16"/>
              </w:rPr>
              <w:t>Supporting references</w:t>
            </w:r>
          </w:p>
        </w:tc>
      </w:tr>
      <w:tr w:rsidR="000013E1" w:rsidRPr="002C2332" w14:paraId="3A2ED5E3" w14:textId="77777777">
        <w:trPr>
          <w:jc w:val="center"/>
        </w:trPr>
        <w:tc>
          <w:tcPr>
            <w:tcW w:w="1728" w:type="dxa"/>
            <w:tcMar>
              <w:top w:w="75" w:type="dxa"/>
              <w:left w:w="75" w:type="dxa"/>
              <w:bottom w:w="75" w:type="dxa"/>
              <w:right w:w="75" w:type="dxa"/>
            </w:tcMar>
            <w:vAlign w:val="center"/>
          </w:tcPr>
          <w:p w14:paraId="4E0F4694" w14:textId="77777777" w:rsidR="00FE7B37" w:rsidRPr="000013E1" w:rsidRDefault="00000000">
            <w:pPr>
              <w:spacing w:after="0"/>
              <w:jc w:val="left"/>
            </w:pPr>
            <w:r w:rsidRPr="000013E1">
              <w:rPr>
                <w:rFonts w:eastAsia="Times New Roman"/>
                <w:sz w:val="16"/>
              </w:rPr>
              <w:t>New β-lactam/β-lactamase inhibitor combinations</w:t>
            </w:r>
          </w:p>
        </w:tc>
        <w:tc>
          <w:tcPr>
            <w:tcW w:w="2188" w:type="dxa"/>
            <w:tcMar>
              <w:top w:w="75" w:type="dxa"/>
              <w:left w:w="75" w:type="dxa"/>
              <w:bottom w:w="75" w:type="dxa"/>
              <w:right w:w="75" w:type="dxa"/>
            </w:tcMar>
            <w:vAlign w:val="center"/>
          </w:tcPr>
          <w:p w14:paraId="3B137DFF" w14:textId="77777777" w:rsidR="00FE7B37" w:rsidRPr="000013E1" w:rsidRDefault="00000000">
            <w:pPr>
              <w:spacing w:after="0"/>
              <w:jc w:val="left"/>
            </w:pPr>
            <w:r w:rsidRPr="000013E1">
              <w:rPr>
                <w:rFonts w:eastAsia="Times New Roman"/>
                <w:sz w:val="16"/>
              </w:rPr>
              <w:t>Randomised and observational evidence for mechanism-matched treatment of resistant Gram-negative infections</w:t>
            </w:r>
          </w:p>
        </w:tc>
        <w:tc>
          <w:tcPr>
            <w:tcW w:w="2232" w:type="dxa"/>
            <w:tcMar>
              <w:top w:w="75" w:type="dxa"/>
              <w:left w:w="75" w:type="dxa"/>
              <w:bottom w:w="75" w:type="dxa"/>
              <w:right w:w="75" w:type="dxa"/>
            </w:tcMar>
            <w:vAlign w:val="center"/>
          </w:tcPr>
          <w:p w14:paraId="75D57E7E" w14:textId="77777777" w:rsidR="00FE7B37" w:rsidRPr="000013E1" w:rsidRDefault="00000000">
            <w:pPr>
              <w:spacing w:after="0"/>
              <w:jc w:val="left"/>
            </w:pPr>
            <w:r w:rsidRPr="000013E1">
              <w:rPr>
                <w:rFonts w:eastAsia="Times New Roman"/>
                <w:sz w:val="16"/>
              </w:rPr>
              <w:t>High for selected approved agents and defined pathogens</w:t>
            </w:r>
          </w:p>
        </w:tc>
        <w:tc>
          <w:tcPr>
            <w:tcW w:w="2088" w:type="dxa"/>
            <w:tcMar>
              <w:top w:w="75" w:type="dxa"/>
              <w:left w:w="75" w:type="dxa"/>
              <w:bottom w:w="75" w:type="dxa"/>
              <w:right w:w="75" w:type="dxa"/>
            </w:tcMar>
            <w:vAlign w:val="center"/>
          </w:tcPr>
          <w:p w14:paraId="1A62A654" w14:textId="77777777" w:rsidR="00FE7B37" w:rsidRPr="000013E1" w:rsidRDefault="00000000">
            <w:pPr>
              <w:spacing w:after="0"/>
              <w:jc w:val="left"/>
            </w:pPr>
            <w:r w:rsidRPr="000013E1">
              <w:rPr>
                <w:rFonts w:eastAsia="Times New Roman"/>
                <w:sz w:val="16"/>
              </w:rPr>
              <w:t>Improved efficacy and reduced toxicity compared with older salvage regimens</w:t>
            </w:r>
          </w:p>
        </w:tc>
        <w:tc>
          <w:tcPr>
            <w:tcW w:w="1987" w:type="dxa"/>
            <w:tcMar>
              <w:top w:w="75" w:type="dxa"/>
              <w:left w:w="75" w:type="dxa"/>
              <w:bottom w:w="75" w:type="dxa"/>
              <w:right w:w="75" w:type="dxa"/>
            </w:tcMar>
            <w:vAlign w:val="center"/>
          </w:tcPr>
          <w:p w14:paraId="5593B669" w14:textId="77777777" w:rsidR="00FE7B37" w:rsidRPr="000013E1" w:rsidRDefault="00000000">
            <w:pPr>
              <w:spacing w:after="0"/>
              <w:jc w:val="left"/>
            </w:pPr>
            <w:r w:rsidRPr="000013E1">
              <w:rPr>
                <w:rFonts w:eastAsia="Times New Roman"/>
                <w:sz w:val="16"/>
              </w:rPr>
              <w:t>Spectrum depends on enzyme class, pathogen and infection site; resistance can emerge</w:t>
            </w:r>
          </w:p>
        </w:tc>
        <w:tc>
          <w:tcPr>
            <w:tcW w:w="2131" w:type="dxa"/>
            <w:tcMar>
              <w:top w:w="75" w:type="dxa"/>
              <w:left w:w="75" w:type="dxa"/>
              <w:bottom w:w="75" w:type="dxa"/>
              <w:right w:w="75" w:type="dxa"/>
            </w:tcMar>
            <w:vAlign w:val="center"/>
          </w:tcPr>
          <w:p w14:paraId="1EC9C871" w14:textId="77777777" w:rsidR="00FE7B37" w:rsidRPr="000013E1" w:rsidRDefault="00000000">
            <w:pPr>
              <w:spacing w:after="0"/>
              <w:jc w:val="left"/>
            </w:pPr>
            <w:r w:rsidRPr="000013E1">
              <w:rPr>
                <w:rFonts w:eastAsia="Times New Roman"/>
                <w:sz w:val="16"/>
              </w:rPr>
              <w:t>Mechanism prediction, susceptibility forecasting and treatment selection</w:t>
            </w:r>
          </w:p>
        </w:tc>
        <w:tc>
          <w:tcPr>
            <w:tcW w:w="2188" w:type="dxa"/>
            <w:tcMar>
              <w:top w:w="75" w:type="dxa"/>
              <w:left w:w="75" w:type="dxa"/>
              <w:bottom w:w="75" w:type="dxa"/>
              <w:right w:w="75" w:type="dxa"/>
            </w:tcMar>
            <w:vAlign w:val="center"/>
          </w:tcPr>
          <w:p w14:paraId="3E1B58EA" w14:textId="77777777" w:rsidR="00FE7B37" w:rsidRPr="002C2332" w:rsidRDefault="00000000">
            <w:pPr>
              <w:spacing w:after="0"/>
              <w:jc w:val="left"/>
              <w:rPr>
                <w:lang w:val="nl-BE"/>
              </w:rPr>
            </w:pPr>
            <w:r w:rsidRPr="002C2332">
              <w:rPr>
                <w:rFonts w:eastAsia="Times New Roman"/>
                <w:sz w:val="16"/>
                <w:lang w:val="nl-BE"/>
              </w:rPr>
              <w:t>Wunderink et al., 2018; Kaye et al., 2020; Ackley et al., 2020; Karaba et al., 2026</w:t>
            </w:r>
          </w:p>
        </w:tc>
      </w:tr>
      <w:tr w:rsidR="000013E1" w:rsidRPr="002C2332" w14:paraId="42983BDF" w14:textId="77777777">
        <w:trPr>
          <w:jc w:val="center"/>
        </w:trPr>
        <w:tc>
          <w:tcPr>
            <w:tcW w:w="1728" w:type="dxa"/>
            <w:tcMar>
              <w:top w:w="75" w:type="dxa"/>
              <w:left w:w="75" w:type="dxa"/>
              <w:bottom w:w="75" w:type="dxa"/>
              <w:right w:w="75" w:type="dxa"/>
            </w:tcMar>
            <w:vAlign w:val="center"/>
          </w:tcPr>
          <w:p w14:paraId="31D026E1" w14:textId="77777777" w:rsidR="00FE7B37" w:rsidRPr="000013E1" w:rsidRDefault="00000000">
            <w:pPr>
              <w:spacing w:after="0"/>
              <w:jc w:val="left"/>
            </w:pPr>
            <w:r w:rsidRPr="000013E1">
              <w:rPr>
                <w:rFonts w:eastAsia="Times New Roman"/>
                <w:sz w:val="16"/>
              </w:rPr>
              <w:t>Sulbactam-</w:t>
            </w:r>
            <w:proofErr w:type="spellStart"/>
            <w:r w:rsidRPr="000013E1">
              <w:rPr>
                <w:rFonts w:eastAsia="Times New Roman"/>
                <w:sz w:val="16"/>
              </w:rPr>
              <w:t>durlobactam</w:t>
            </w:r>
            <w:proofErr w:type="spellEnd"/>
          </w:p>
        </w:tc>
        <w:tc>
          <w:tcPr>
            <w:tcW w:w="2188" w:type="dxa"/>
            <w:tcMar>
              <w:top w:w="75" w:type="dxa"/>
              <w:left w:w="75" w:type="dxa"/>
              <w:bottom w:w="75" w:type="dxa"/>
              <w:right w:w="75" w:type="dxa"/>
            </w:tcMar>
            <w:vAlign w:val="center"/>
          </w:tcPr>
          <w:p w14:paraId="19704F2C" w14:textId="77777777" w:rsidR="00FE7B37" w:rsidRPr="000013E1" w:rsidRDefault="00000000">
            <w:pPr>
              <w:spacing w:after="0"/>
              <w:jc w:val="left"/>
            </w:pPr>
            <w:r w:rsidRPr="000013E1">
              <w:rPr>
                <w:rFonts w:eastAsia="Times New Roman"/>
                <w:sz w:val="16"/>
              </w:rPr>
              <w:t xml:space="preserve">Pathogen-focused phase 3 comparison with colistin-based therapy for serious carbapenem-resistant </w:t>
            </w:r>
            <w:r w:rsidRPr="000013E1">
              <w:rPr>
                <w:rFonts w:eastAsia="Times New Roman"/>
                <w:i/>
                <w:sz w:val="16"/>
              </w:rPr>
              <w:t>A. baumannii</w:t>
            </w:r>
            <w:r w:rsidRPr="000013E1">
              <w:rPr>
                <w:rFonts w:eastAsia="Times New Roman"/>
                <w:sz w:val="16"/>
              </w:rPr>
              <w:t>-calcoaceticus complex infection</w:t>
            </w:r>
          </w:p>
        </w:tc>
        <w:tc>
          <w:tcPr>
            <w:tcW w:w="2232" w:type="dxa"/>
            <w:tcMar>
              <w:top w:w="75" w:type="dxa"/>
              <w:left w:w="75" w:type="dxa"/>
              <w:bottom w:w="75" w:type="dxa"/>
              <w:right w:w="75" w:type="dxa"/>
            </w:tcMar>
            <w:vAlign w:val="center"/>
          </w:tcPr>
          <w:p w14:paraId="0499FEC4" w14:textId="77777777" w:rsidR="00FE7B37" w:rsidRPr="000013E1" w:rsidRDefault="00000000">
            <w:pPr>
              <w:spacing w:after="0"/>
              <w:jc w:val="left"/>
            </w:pPr>
            <w:r w:rsidRPr="000013E1">
              <w:rPr>
                <w:rFonts w:eastAsia="Times New Roman"/>
                <w:sz w:val="16"/>
              </w:rPr>
              <w:t>High for the studied CRAB population</w:t>
            </w:r>
          </w:p>
        </w:tc>
        <w:tc>
          <w:tcPr>
            <w:tcW w:w="2088" w:type="dxa"/>
            <w:tcMar>
              <w:top w:w="75" w:type="dxa"/>
              <w:left w:w="75" w:type="dxa"/>
              <w:bottom w:w="75" w:type="dxa"/>
              <w:right w:w="75" w:type="dxa"/>
            </w:tcMar>
            <w:vAlign w:val="center"/>
          </w:tcPr>
          <w:p w14:paraId="22CF4606" w14:textId="77777777" w:rsidR="00FE7B37" w:rsidRPr="000013E1" w:rsidRDefault="00000000">
            <w:pPr>
              <w:spacing w:after="0"/>
              <w:jc w:val="left"/>
            </w:pPr>
            <w:r w:rsidRPr="000013E1">
              <w:rPr>
                <w:rFonts w:eastAsia="Times New Roman"/>
                <w:sz w:val="16"/>
              </w:rPr>
              <w:t>Pathogen-directed activity with substantially less nephrotoxicity than colistin</w:t>
            </w:r>
          </w:p>
        </w:tc>
        <w:tc>
          <w:tcPr>
            <w:tcW w:w="1987" w:type="dxa"/>
            <w:tcMar>
              <w:top w:w="75" w:type="dxa"/>
              <w:left w:w="75" w:type="dxa"/>
              <w:bottom w:w="75" w:type="dxa"/>
              <w:right w:w="75" w:type="dxa"/>
            </w:tcMar>
            <w:vAlign w:val="center"/>
          </w:tcPr>
          <w:p w14:paraId="04BE1D17" w14:textId="77777777" w:rsidR="00FE7B37" w:rsidRPr="000013E1" w:rsidRDefault="00000000">
            <w:pPr>
              <w:spacing w:after="0"/>
              <w:jc w:val="left"/>
            </w:pPr>
            <w:r w:rsidRPr="000013E1">
              <w:rPr>
                <w:rFonts w:eastAsia="Times New Roman"/>
                <w:sz w:val="16"/>
              </w:rPr>
              <w:t>Need for broader effectiveness data across syndromes, resistance patterns and routine practice</w:t>
            </w:r>
          </w:p>
        </w:tc>
        <w:tc>
          <w:tcPr>
            <w:tcW w:w="2131" w:type="dxa"/>
            <w:tcMar>
              <w:top w:w="75" w:type="dxa"/>
              <w:left w:w="75" w:type="dxa"/>
              <w:bottom w:w="75" w:type="dxa"/>
              <w:right w:w="75" w:type="dxa"/>
            </w:tcMar>
            <w:vAlign w:val="center"/>
          </w:tcPr>
          <w:p w14:paraId="0C6EA4B8" w14:textId="77777777" w:rsidR="00FE7B37" w:rsidRPr="000013E1" w:rsidRDefault="00000000">
            <w:pPr>
              <w:spacing w:after="0"/>
              <w:jc w:val="left"/>
            </w:pPr>
            <w:r w:rsidRPr="000013E1">
              <w:rPr>
                <w:rFonts w:eastAsia="Times New Roman"/>
                <w:sz w:val="16"/>
              </w:rPr>
              <w:t>Rapid organism identification and resistance/mechanism prediction</w:t>
            </w:r>
          </w:p>
        </w:tc>
        <w:tc>
          <w:tcPr>
            <w:tcW w:w="2188" w:type="dxa"/>
            <w:tcMar>
              <w:top w:w="75" w:type="dxa"/>
              <w:left w:w="75" w:type="dxa"/>
              <w:bottom w:w="75" w:type="dxa"/>
              <w:right w:w="75" w:type="dxa"/>
            </w:tcMar>
            <w:vAlign w:val="center"/>
          </w:tcPr>
          <w:p w14:paraId="0BB1E483" w14:textId="77777777" w:rsidR="00FE7B37" w:rsidRPr="002C2332" w:rsidRDefault="00000000">
            <w:pPr>
              <w:spacing w:after="0"/>
              <w:jc w:val="left"/>
              <w:rPr>
                <w:lang w:val="nl-BE"/>
              </w:rPr>
            </w:pPr>
            <w:r w:rsidRPr="002C2332">
              <w:rPr>
                <w:rFonts w:eastAsia="Times New Roman"/>
                <w:sz w:val="16"/>
                <w:lang w:val="nl-BE"/>
              </w:rPr>
              <w:t>Kaye et al., 2023; Tamma et al., 2024</w:t>
            </w:r>
          </w:p>
        </w:tc>
      </w:tr>
      <w:tr w:rsidR="000013E1" w:rsidRPr="002C2332" w14:paraId="59AA8921" w14:textId="77777777">
        <w:trPr>
          <w:jc w:val="center"/>
        </w:trPr>
        <w:tc>
          <w:tcPr>
            <w:tcW w:w="1728" w:type="dxa"/>
            <w:tcMar>
              <w:top w:w="75" w:type="dxa"/>
              <w:left w:w="75" w:type="dxa"/>
              <w:bottom w:w="75" w:type="dxa"/>
              <w:right w:w="75" w:type="dxa"/>
            </w:tcMar>
            <w:vAlign w:val="center"/>
          </w:tcPr>
          <w:p w14:paraId="653DC263" w14:textId="77777777" w:rsidR="00FE7B37" w:rsidRPr="000013E1" w:rsidRDefault="00000000">
            <w:pPr>
              <w:spacing w:after="0"/>
              <w:jc w:val="left"/>
            </w:pPr>
            <w:r w:rsidRPr="000013E1">
              <w:rPr>
                <w:rFonts w:eastAsia="Times New Roman"/>
                <w:sz w:val="16"/>
              </w:rPr>
              <w:t>Cefiderocol</w:t>
            </w:r>
          </w:p>
        </w:tc>
        <w:tc>
          <w:tcPr>
            <w:tcW w:w="2188" w:type="dxa"/>
            <w:tcMar>
              <w:top w:w="75" w:type="dxa"/>
              <w:left w:w="75" w:type="dxa"/>
              <w:bottom w:w="75" w:type="dxa"/>
              <w:right w:w="75" w:type="dxa"/>
            </w:tcMar>
            <w:vAlign w:val="center"/>
          </w:tcPr>
          <w:p w14:paraId="0D572AC8" w14:textId="77777777" w:rsidR="00FE7B37" w:rsidRPr="000013E1" w:rsidRDefault="00000000">
            <w:pPr>
              <w:spacing w:after="0"/>
              <w:jc w:val="left"/>
            </w:pPr>
            <w:r w:rsidRPr="000013E1">
              <w:rPr>
                <w:rFonts w:eastAsia="Times New Roman"/>
                <w:sz w:val="16"/>
              </w:rPr>
              <w:t>Phase 3 trials plus observational cohorts and meta-analysis</w:t>
            </w:r>
          </w:p>
        </w:tc>
        <w:tc>
          <w:tcPr>
            <w:tcW w:w="2232" w:type="dxa"/>
            <w:tcMar>
              <w:top w:w="75" w:type="dxa"/>
              <w:left w:w="75" w:type="dxa"/>
              <w:bottom w:w="75" w:type="dxa"/>
              <w:right w:w="75" w:type="dxa"/>
            </w:tcMar>
            <w:vAlign w:val="center"/>
          </w:tcPr>
          <w:p w14:paraId="6410F3D3" w14:textId="77777777" w:rsidR="00FE7B37" w:rsidRPr="000013E1" w:rsidRDefault="00000000">
            <w:pPr>
              <w:spacing w:after="0"/>
              <w:jc w:val="left"/>
            </w:pPr>
            <w:r w:rsidRPr="000013E1">
              <w:rPr>
                <w:rFonts w:eastAsia="Times New Roman"/>
                <w:sz w:val="16"/>
              </w:rPr>
              <w:t>Moderate to high, but context dependent</w:t>
            </w:r>
          </w:p>
        </w:tc>
        <w:tc>
          <w:tcPr>
            <w:tcW w:w="2088" w:type="dxa"/>
            <w:tcMar>
              <w:top w:w="75" w:type="dxa"/>
              <w:left w:w="75" w:type="dxa"/>
              <w:bottom w:w="75" w:type="dxa"/>
              <w:right w:w="75" w:type="dxa"/>
            </w:tcMar>
            <w:vAlign w:val="center"/>
          </w:tcPr>
          <w:p w14:paraId="7966D631" w14:textId="77777777" w:rsidR="00FE7B37" w:rsidRPr="000013E1" w:rsidRDefault="00000000">
            <w:pPr>
              <w:spacing w:after="0"/>
              <w:jc w:val="left"/>
            </w:pPr>
            <w:r w:rsidRPr="000013E1">
              <w:rPr>
                <w:rFonts w:eastAsia="Times New Roman"/>
                <w:sz w:val="16"/>
              </w:rPr>
              <w:t>Broad activity across several carbapenem-resistant Gram-negative groups</w:t>
            </w:r>
          </w:p>
        </w:tc>
        <w:tc>
          <w:tcPr>
            <w:tcW w:w="1987" w:type="dxa"/>
            <w:tcMar>
              <w:top w:w="75" w:type="dxa"/>
              <w:left w:w="75" w:type="dxa"/>
              <w:bottom w:w="75" w:type="dxa"/>
              <w:right w:w="75" w:type="dxa"/>
            </w:tcMar>
            <w:vAlign w:val="center"/>
          </w:tcPr>
          <w:p w14:paraId="79340F42" w14:textId="77777777" w:rsidR="00FE7B37" w:rsidRPr="000013E1" w:rsidRDefault="00000000">
            <w:pPr>
              <w:spacing w:after="0"/>
              <w:jc w:val="left"/>
            </w:pPr>
            <w:r w:rsidRPr="000013E1">
              <w:rPr>
                <w:rFonts w:eastAsia="Times New Roman"/>
                <w:sz w:val="16"/>
              </w:rPr>
              <w:t>Mortality signal in CREDIBLE-CR; susceptibility testing and pathogen-specific uncertainty</w:t>
            </w:r>
          </w:p>
        </w:tc>
        <w:tc>
          <w:tcPr>
            <w:tcW w:w="2131" w:type="dxa"/>
            <w:tcMar>
              <w:top w:w="75" w:type="dxa"/>
              <w:left w:w="75" w:type="dxa"/>
              <w:bottom w:w="75" w:type="dxa"/>
              <w:right w:w="75" w:type="dxa"/>
            </w:tcMar>
            <w:vAlign w:val="center"/>
          </w:tcPr>
          <w:p w14:paraId="5D3A41BF" w14:textId="77777777" w:rsidR="00FE7B37" w:rsidRPr="000013E1" w:rsidRDefault="00000000">
            <w:pPr>
              <w:spacing w:after="0"/>
              <w:jc w:val="left"/>
            </w:pPr>
            <w:r w:rsidRPr="000013E1">
              <w:rPr>
                <w:rFonts w:eastAsia="Times New Roman"/>
                <w:sz w:val="16"/>
              </w:rPr>
              <w:t>Prediction of susceptibility and patient selection</w:t>
            </w:r>
          </w:p>
        </w:tc>
        <w:tc>
          <w:tcPr>
            <w:tcW w:w="2188" w:type="dxa"/>
            <w:tcMar>
              <w:top w:w="75" w:type="dxa"/>
              <w:left w:w="75" w:type="dxa"/>
              <w:bottom w:w="75" w:type="dxa"/>
              <w:right w:w="75" w:type="dxa"/>
            </w:tcMar>
            <w:vAlign w:val="center"/>
          </w:tcPr>
          <w:p w14:paraId="1EF93672" w14:textId="77777777" w:rsidR="00FE7B37" w:rsidRPr="002C2332" w:rsidRDefault="00000000">
            <w:pPr>
              <w:spacing w:after="0"/>
              <w:jc w:val="left"/>
              <w:rPr>
                <w:lang w:val="nl-BE"/>
              </w:rPr>
            </w:pPr>
            <w:r w:rsidRPr="002C2332">
              <w:rPr>
                <w:rFonts w:eastAsia="Times New Roman"/>
                <w:sz w:val="16"/>
                <w:lang w:val="nl-BE"/>
              </w:rPr>
              <w:t>Bassetti et al., 2021; Wunderink et al., 2021; Onorato et al., 2024</w:t>
            </w:r>
          </w:p>
        </w:tc>
      </w:tr>
      <w:tr w:rsidR="000013E1" w:rsidRPr="002C2332" w14:paraId="08EC993D" w14:textId="77777777">
        <w:trPr>
          <w:jc w:val="center"/>
        </w:trPr>
        <w:tc>
          <w:tcPr>
            <w:tcW w:w="1728" w:type="dxa"/>
            <w:tcMar>
              <w:top w:w="75" w:type="dxa"/>
              <w:left w:w="75" w:type="dxa"/>
              <w:bottom w:w="75" w:type="dxa"/>
              <w:right w:w="75" w:type="dxa"/>
            </w:tcMar>
            <w:vAlign w:val="center"/>
          </w:tcPr>
          <w:p w14:paraId="7E5BAF65" w14:textId="77777777" w:rsidR="00FE7B37" w:rsidRPr="000013E1" w:rsidRDefault="00000000">
            <w:pPr>
              <w:spacing w:after="0"/>
              <w:jc w:val="left"/>
            </w:pPr>
            <w:r w:rsidRPr="000013E1">
              <w:rPr>
                <w:rFonts w:eastAsia="Times New Roman"/>
                <w:sz w:val="16"/>
              </w:rPr>
              <w:t>Bacteriophage therapy</w:t>
            </w:r>
          </w:p>
        </w:tc>
        <w:tc>
          <w:tcPr>
            <w:tcW w:w="2188" w:type="dxa"/>
            <w:tcMar>
              <w:top w:w="75" w:type="dxa"/>
              <w:left w:w="75" w:type="dxa"/>
              <w:bottom w:w="75" w:type="dxa"/>
              <w:right w:w="75" w:type="dxa"/>
            </w:tcMar>
            <w:vAlign w:val="center"/>
          </w:tcPr>
          <w:p w14:paraId="1E64B1ED" w14:textId="77777777" w:rsidR="00FE7B37" w:rsidRPr="000013E1" w:rsidRDefault="00000000">
            <w:pPr>
              <w:spacing w:after="0"/>
              <w:jc w:val="left"/>
            </w:pPr>
            <w:r w:rsidRPr="000013E1">
              <w:rPr>
                <w:rFonts w:eastAsia="Times New Roman"/>
                <w:sz w:val="16"/>
              </w:rPr>
              <w:t>Case reports, early trials and heterogeneous translational studies</w:t>
            </w:r>
          </w:p>
        </w:tc>
        <w:tc>
          <w:tcPr>
            <w:tcW w:w="2232" w:type="dxa"/>
            <w:tcMar>
              <w:top w:w="75" w:type="dxa"/>
              <w:left w:w="75" w:type="dxa"/>
              <w:bottom w:w="75" w:type="dxa"/>
              <w:right w:w="75" w:type="dxa"/>
            </w:tcMar>
            <w:vAlign w:val="center"/>
          </w:tcPr>
          <w:p w14:paraId="180A8ADF" w14:textId="77777777" w:rsidR="00FE7B37" w:rsidRPr="000013E1" w:rsidRDefault="00000000">
            <w:pPr>
              <w:spacing w:after="0"/>
              <w:jc w:val="left"/>
            </w:pPr>
            <w:r w:rsidRPr="000013E1">
              <w:rPr>
                <w:rFonts w:eastAsia="Times New Roman"/>
                <w:sz w:val="16"/>
              </w:rPr>
              <w:t>Low to moderate</w:t>
            </w:r>
          </w:p>
        </w:tc>
        <w:tc>
          <w:tcPr>
            <w:tcW w:w="2088" w:type="dxa"/>
            <w:tcMar>
              <w:top w:w="75" w:type="dxa"/>
              <w:left w:w="75" w:type="dxa"/>
              <w:bottom w:w="75" w:type="dxa"/>
              <w:right w:w="75" w:type="dxa"/>
            </w:tcMar>
            <w:vAlign w:val="center"/>
          </w:tcPr>
          <w:p w14:paraId="677E4235" w14:textId="77777777" w:rsidR="00FE7B37" w:rsidRPr="000013E1" w:rsidRDefault="00000000">
            <w:pPr>
              <w:spacing w:after="0"/>
              <w:jc w:val="left"/>
            </w:pPr>
            <w:r w:rsidRPr="000013E1">
              <w:rPr>
                <w:rFonts w:eastAsia="Times New Roman"/>
                <w:sz w:val="16"/>
              </w:rPr>
              <w:t>Pathogen specificity, potential activity despite antibiotic resistance, adaptable cocktails</w:t>
            </w:r>
          </w:p>
        </w:tc>
        <w:tc>
          <w:tcPr>
            <w:tcW w:w="1987" w:type="dxa"/>
            <w:tcMar>
              <w:top w:w="75" w:type="dxa"/>
              <w:left w:w="75" w:type="dxa"/>
              <w:bottom w:w="75" w:type="dxa"/>
              <w:right w:w="75" w:type="dxa"/>
            </w:tcMar>
            <w:vAlign w:val="center"/>
          </w:tcPr>
          <w:p w14:paraId="71BEEA1B" w14:textId="77777777" w:rsidR="00FE7B37" w:rsidRPr="000013E1" w:rsidRDefault="00000000">
            <w:pPr>
              <w:spacing w:after="0"/>
              <w:jc w:val="left"/>
            </w:pPr>
            <w:r w:rsidRPr="000013E1">
              <w:rPr>
                <w:rFonts w:eastAsia="Times New Roman"/>
                <w:sz w:val="16"/>
              </w:rPr>
              <w:t>Host range, manufacturing, titre, PK/PD, immunity and phage resistance</w:t>
            </w:r>
          </w:p>
        </w:tc>
        <w:tc>
          <w:tcPr>
            <w:tcW w:w="2131" w:type="dxa"/>
            <w:tcMar>
              <w:top w:w="75" w:type="dxa"/>
              <w:left w:w="75" w:type="dxa"/>
              <w:bottom w:w="75" w:type="dxa"/>
              <w:right w:w="75" w:type="dxa"/>
            </w:tcMar>
            <w:vAlign w:val="center"/>
          </w:tcPr>
          <w:p w14:paraId="4427FB81" w14:textId="77777777" w:rsidR="00FE7B37" w:rsidRPr="000013E1" w:rsidRDefault="00000000">
            <w:pPr>
              <w:spacing w:after="0"/>
              <w:jc w:val="left"/>
            </w:pPr>
            <w:r w:rsidRPr="000013E1">
              <w:rPr>
                <w:rFonts w:eastAsia="Times New Roman"/>
                <w:sz w:val="16"/>
              </w:rPr>
              <w:t>Phage-host matching, cocktail optimisation and resistance forecasting</w:t>
            </w:r>
          </w:p>
        </w:tc>
        <w:tc>
          <w:tcPr>
            <w:tcW w:w="2188" w:type="dxa"/>
            <w:tcMar>
              <w:top w:w="75" w:type="dxa"/>
              <w:left w:w="75" w:type="dxa"/>
              <w:bottom w:w="75" w:type="dxa"/>
              <w:right w:w="75" w:type="dxa"/>
            </w:tcMar>
            <w:vAlign w:val="center"/>
          </w:tcPr>
          <w:p w14:paraId="4CE85AB4" w14:textId="77777777" w:rsidR="00FE7B37" w:rsidRPr="002C2332" w:rsidRDefault="00000000">
            <w:pPr>
              <w:spacing w:after="0"/>
              <w:jc w:val="left"/>
              <w:rPr>
                <w:lang w:val="nl-BE"/>
              </w:rPr>
            </w:pPr>
            <w:r w:rsidRPr="002C2332">
              <w:rPr>
                <w:rFonts w:eastAsia="Times New Roman"/>
                <w:sz w:val="16"/>
                <w:lang w:val="nl-BE"/>
              </w:rPr>
              <w:t>Schooley et al., 2017; Dedrick et al., 2019; Jault et al., 2019; Siopi et al., 2024</w:t>
            </w:r>
          </w:p>
        </w:tc>
      </w:tr>
      <w:tr w:rsidR="000013E1" w:rsidRPr="002C2332" w14:paraId="7A9B028C" w14:textId="77777777">
        <w:trPr>
          <w:jc w:val="center"/>
        </w:trPr>
        <w:tc>
          <w:tcPr>
            <w:tcW w:w="1728" w:type="dxa"/>
            <w:tcMar>
              <w:top w:w="75" w:type="dxa"/>
              <w:left w:w="75" w:type="dxa"/>
              <w:bottom w:w="75" w:type="dxa"/>
              <w:right w:w="75" w:type="dxa"/>
            </w:tcMar>
            <w:vAlign w:val="center"/>
          </w:tcPr>
          <w:p w14:paraId="77BF7793" w14:textId="77777777" w:rsidR="00FE7B37" w:rsidRPr="000013E1" w:rsidRDefault="00000000">
            <w:pPr>
              <w:spacing w:after="0"/>
              <w:jc w:val="left"/>
            </w:pPr>
            <w:r w:rsidRPr="000013E1">
              <w:rPr>
                <w:rFonts w:eastAsia="Times New Roman"/>
                <w:sz w:val="16"/>
              </w:rPr>
              <w:t>CRISPR-based antimicrobials</w:t>
            </w:r>
          </w:p>
        </w:tc>
        <w:tc>
          <w:tcPr>
            <w:tcW w:w="2188" w:type="dxa"/>
            <w:tcMar>
              <w:top w:w="75" w:type="dxa"/>
              <w:left w:w="75" w:type="dxa"/>
              <w:bottom w:w="75" w:type="dxa"/>
              <w:right w:w="75" w:type="dxa"/>
            </w:tcMar>
            <w:vAlign w:val="center"/>
          </w:tcPr>
          <w:p w14:paraId="075B2802" w14:textId="77777777" w:rsidR="00FE7B37" w:rsidRPr="000013E1" w:rsidRDefault="00000000">
            <w:pPr>
              <w:spacing w:after="0"/>
              <w:jc w:val="left"/>
            </w:pPr>
            <w:r w:rsidRPr="000013E1">
              <w:rPr>
                <w:rFonts w:eastAsia="Times New Roman"/>
                <w:sz w:val="16"/>
              </w:rPr>
              <w:t>Preclinical sequence-specific killing and experimental infection models</w:t>
            </w:r>
          </w:p>
        </w:tc>
        <w:tc>
          <w:tcPr>
            <w:tcW w:w="2232" w:type="dxa"/>
            <w:tcMar>
              <w:top w:w="75" w:type="dxa"/>
              <w:left w:w="75" w:type="dxa"/>
              <w:bottom w:w="75" w:type="dxa"/>
              <w:right w:w="75" w:type="dxa"/>
            </w:tcMar>
            <w:vAlign w:val="center"/>
          </w:tcPr>
          <w:p w14:paraId="4F1A93E4" w14:textId="77777777" w:rsidR="00FE7B37" w:rsidRPr="000013E1" w:rsidRDefault="00000000">
            <w:pPr>
              <w:spacing w:after="0"/>
              <w:jc w:val="left"/>
            </w:pPr>
            <w:r w:rsidRPr="000013E1">
              <w:rPr>
                <w:rFonts w:eastAsia="Times New Roman"/>
                <w:sz w:val="16"/>
              </w:rPr>
              <w:t>Low</w:t>
            </w:r>
          </w:p>
        </w:tc>
        <w:tc>
          <w:tcPr>
            <w:tcW w:w="2088" w:type="dxa"/>
            <w:tcMar>
              <w:top w:w="75" w:type="dxa"/>
              <w:left w:w="75" w:type="dxa"/>
              <w:bottom w:w="75" w:type="dxa"/>
              <w:right w:w="75" w:type="dxa"/>
            </w:tcMar>
            <w:vAlign w:val="center"/>
          </w:tcPr>
          <w:p w14:paraId="49A87063" w14:textId="77777777" w:rsidR="00FE7B37" w:rsidRPr="000013E1" w:rsidRDefault="00000000">
            <w:pPr>
              <w:spacing w:after="0"/>
              <w:jc w:val="left"/>
            </w:pPr>
            <w:r w:rsidRPr="000013E1">
              <w:rPr>
                <w:rFonts w:eastAsia="Times New Roman"/>
                <w:sz w:val="16"/>
              </w:rPr>
              <w:t>Programmable targeting of resistance or virulence determinants</w:t>
            </w:r>
          </w:p>
        </w:tc>
        <w:tc>
          <w:tcPr>
            <w:tcW w:w="1987" w:type="dxa"/>
            <w:tcMar>
              <w:top w:w="75" w:type="dxa"/>
              <w:left w:w="75" w:type="dxa"/>
              <w:bottom w:w="75" w:type="dxa"/>
              <w:right w:w="75" w:type="dxa"/>
            </w:tcMar>
            <w:vAlign w:val="center"/>
          </w:tcPr>
          <w:p w14:paraId="5DEC68A5" w14:textId="77777777" w:rsidR="00FE7B37" w:rsidRPr="000013E1" w:rsidRDefault="00000000">
            <w:pPr>
              <w:spacing w:after="0"/>
              <w:jc w:val="left"/>
            </w:pPr>
            <w:r w:rsidRPr="000013E1">
              <w:rPr>
                <w:rFonts w:eastAsia="Times New Roman"/>
                <w:sz w:val="16"/>
              </w:rPr>
              <w:t>Delivery, target escape, ecological effects and human safety</w:t>
            </w:r>
          </w:p>
        </w:tc>
        <w:tc>
          <w:tcPr>
            <w:tcW w:w="2131" w:type="dxa"/>
            <w:tcMar>
              <w:top w:w="75" w:type="dxa"/>
              <w:left w:w="75" w:type="dxa"/>
              <w:bottom w:w="75" w:type="dxa"/>
              <w:right w:w="75" w:type="dxa"/>
            </w:tcMar>
            <w:vAlign w:val="center"/>
          </w:tcPr>
          <w:p w14:paraId="5177643F" w14:textId="77777777" w:rsidR="00FE7B37" w:rsidRPr="000013E1" w:rsidRDefault="00000000">
            <w:pPr>
              <w:spacing w:after="0"/>
              <w:jc w:val="left"/>
            </w:pPr>
            <w:r w:rsidRPr="000013E1">
              <w:rPr>
                <w:rFonts w:eastAsia="Times New Roman"/>
                <w:sz w:val="16"/>
              </w:rPr>
              <w:t>Guide design, target selection and off-target prediction</w:t>
            </w:r>
          </w:p>
        </w:tc>
        <w:tc>
          <w:tcPr>
            <w:tcW w:w="2188" w:type="dxa"/>
            <w:tcMar>
              <w:top w:w="75" w:type="dxa"/>
              <w:left w:w="75" w:type="dxa"/>
              <w:bottom w:w="75" w:type="dxa"/>
              <w:right w:w="75" w:type="dxa"/>
            </w:tcMar>
            <w:vAlign w:val="center"/>
          </w:tcPr>
          <w:p w14:paraId="6C4DAAB6" w14:textId="77777777" w:rsidR="00FE7B37" w:rsidRPr="002C2332" w:rsidRDefault="00000000">
            <w:pPr>
              <w:spacing w:after="0"/>
              <w:jc w:val="left"/>
              <w:rPr>
                <w:lang w:val="nl-BE"/>
              </w:rPr>
            </w:pPr>
            <w:r w:rsidRPr="002C2332">
              <w:rPr>
                <w:rFonts w:eastAsia="Times New Roman"/>
                <w:sz w:val="16"/>
                <w:lang w:val="nl-BE"/>
              </w:rPr>
              <w:t>Citorik et al., 2014; Bikard et al., 2014</w:t>
            </w:r>
          </w:p>
        </w:tc>
      </w:tr>
      <w:tr w:rsidR="000013E1" w:rsidRPr="002C2332" w14:paraId="59EAC586" w14:textId="77777777">
        <w:trPr>
          <w:jc w:val="center"/>
        </w:trPr>
        <w:tc>
          <w:tcPr>
            <w:tcW w:w="1728" w:type="dxa"/>
            <w:tcMar>
              <w:top w:w="75" w:type="dxa"/>
              <w:left w:w="75" w:type="dxa"/>
              <w:bottom w:w="75" w:type="dxa"/>
              <w:right w:w="75" w:type="dxa"/>
            </w:tcMar>
            <w:vAlign w:val="center"/>
          </w:tcPr>
          <w:p w14:paraId="27BDAD92" w14:textId="77777777" w:rsidR="00FE7B37" w:rsidRPr="000013E1" w:rsidRDefault="00000000">
            <w:pPr>
              <w:spacing w:after="0"/>
              <w:jc w:val="left"/>
            </w:pPr>
            <w:r w:rsidRPr="000013E1">
              <w:rPr>
                <w:rFonts w:eastAsia="Times New Roman"/>
                <w:sz w:val="16"/>
              </w:rPr>
              <w:t xml:space="preserve">Microbiome/FMT </w:t>
            </w:r>
            <w:proofErr w:type="spellStart"/>
            <w:r w:rsidRPr="000013E1">
              <w:rPr>
                <w:rFonts w:eastAsia="Times New Roman"/>
                <w:sz w:val="16"/>
              </w:rPr>
              <w:t>decolonisation</w:t>
            </w:r>
            <w:proofErr w:type="spellEnd"/>
          </w:p>
        </w:tc>
        <w:tc>
          <w:tcPr>
            <w:tcW w:w="2188" w:type="dxa"/>
            <w:tcMar>
              <w:top w:w="75" w:type="dxa"/>
              <w:left w:w="75" w:type="dxa"/>
              <w:bottom w:w="75" w:type="dxa"/>
              <w:right w:w="75" w:type="dxa"/>
            </w:tcMar>
            <w:vAlign w:val="center"/>
          </w:tcPr>
          <w:p w14:paraId="32B8857E" w14:textId="77777777" w:rsidR="00FE7B37" w:rsidRPr="000013E1" w:rsidRDefault="00000000">
            <w:pPr>
              <w:spacing w:after="0"/>
              <w:jc w:val="left"/>
            </w:pPr>
            <w:r w:rsidRPr="000013E1">
              <w:rPr>
                <w:rFonts w:eastAsia="Times New Roman"/>
                <w:sz w:val="16"/>
              </w:rPr>
              <w:t>Small randomised trial and recent sham-controlled randomised trial</w:t>
            </w:r>
          </w:p>
        </w:tc>
        <w:tc>
          <w:tcPr>
            <w:tcW w:w="2232" w:type="dxa"/>
            <w:tcMar>
              <w:top w:w="75" w:type="dxa"/>
              <w:left w:w="75" w:type="dxa"/>
              <w:bottom w:w="75" w:type="dxa"/>
              <w:right w:w="75" w:type="dxa"/>
            </w:tcMar>
            <w:vAlign w:val="center"/>
          </w:tcPr>
          <w:p w14:paraId="6BE6093D" w14:textId="77777777" w:rsidR="00FE7B37" w:rsidRPr="000013E1" w:rsidRDefault="00000000">
            <w:pPr>
              <w:spacing w:after="0"/>
              <w:jc w:val="left"/>
            </w:pPr>
            <w:r w:rsidRPr="000013E1">
              <w:rPr>
                <w:rFonts w:eastAsia="Times New Roman"/>
                <w:sz w:val="16"/>
              </w:rPr>
              <w:t>Low for MDRO decolonisation</w:t>
            </w:r>
          </w:p>
        </w:tc>
        <w:tc>
          <w:tcPr>
            <w:tcW w:w="2088" w:type="dxa"/>
            <w:tcMar>
              <w:top w:w="75" w:type="dxa"/>
              <w:left w:w="75" w:type="dxa"/>
              <w:bottom w:w="75" w:type="dxa"/>
              <w:right w:w="75" w:type="dxa"/>
            </w:tcMar>
            <w:vAlign w:val="center"/>
          </w:tcPr>
          <w:p w14:paraId="72FD5A86" w14:textId="77777777" w:rsidR="00FE7B37" w:rsidRPr="000013E1" w:rsidRDefault="00000000">
            <w:pPr>
              <w:spacing w:after="0"/>
              <w:jc w:val="left"/>
            </w:pPr>
            <w:r w:rsidRPr="000013E1">
              <w:rPr>
                <w:rFonts w:eastAsia="Times New Roman"/>
                <w:sz w:val="16"/>
              </w:rPr>
              <w:t>Potential restoration of colonisation resistance without chronic suppressive antibiotics</w:t>
            </w:r>
          </w:p>
        </w:tc>
        <w:tc>
          <w:tcPr>
            <w:tcW w:w="1987" w:type="dxa"/>
            <w:tcMar>
              <w:top w:w="75" w:type="dxa"/>
              <w:left w:w="75" w:type="dxa"/>
              <w:bottom w:w="75" w:type="dxa"/>
              <w:right w:w="75" w:type="dxa"/>
            </w:tcMar>
            <w:vAlign w:val="center"/>
          </w:tcPr>
          <w:p w14:paraId="7C86C023" w14:textId="77777777" w:rsidR="00FE7B37" w:rsidRPr="000013E1" w:rsidRDefault="00000000">
            <w:pPr>
              <w:spacing w:after="0"/>
              <w:jc w:val="left"/>
            </w:pPr>
            <w:r w:rsidRPr="000013E1">
              <w:rPr>
                <w:rFonts w:eastAsia="Times New Roman"/>
                <w:sz w:val="16"/>
              </w:rPr>
              <w:t>Clinical decolonisation benefit has not been consistently demonstrated</w:t>
            </w:r>
          </w:p>
        </w:tc>
        <w:tc>
          <w:tcPr>
            <w:tcW w:w="2131" w:type="dxa"/>
            <w:tcMar>
              <w:top w:w="75" w:type="dxa"/>
              <w:left w:w="75" w:type="dxa"/>
              <w:bottom w:w="75" w:type="dxa"/>
              <w:right w:w="75" w:type="dxa"/>
            </w:tcMar>
            <w:vAlign w:val="center"/>
          </w:tcPr>
          <w:p w14:paraId="5885E97D" w14:textId="77777777" w:rsidR="00FE7B37" w:rsidRPr="000013E1" w:rsidRDefault="00000000">
            <w:pPr>
              <w:spacing w:after="0"/>
              <w:jc w:val="left"/>
            </w:pPr>
            <w:r w:rsidRPr="000013E1">
              <w:rPr>
                <w:rFonts w:eastAsia="Times New Roman"/>
                <w:sz w:val="16"/>
              </w:rPr>
              <w:t>Recipient stratification and donor-response modelling are investigational</w:t>
            </w:r>
          </w:p>
        </w:tc>
        <w:tc>
          <w:tcPr>
            <w:tcW w:w="2188" w:type="dxa"/>
            <w:tcMar>
              <w:top w:w="75" w:type="dxa"/>
              <w:left w:w="75" w:type="dxa"/>
              <w:bottom w:w="75" w:type="dxa"/>
              <w:right w:w="75" w:type="dxa"/>
            </w:tcMar>
            <w:vAlign w:val="center"/>
          </w:tcPr>
          <w:p w14:paraId="245B341B" w14:textId="77777777" w:rsidR="00FE7B37" w:rsidRPr="002C2332" w:rsidRDefault="00000000">
            <w:pPr>
              <w:spacing w:after="0"/>
              <w:jc w:val="left"/>
              <w:rPr>
                <w:lang w:val="nl-BE"/>
              </w:rPr>
            </w:pPr>
            <w:r w:rsidRPr="002C2332">
              <w:rPr>
                <w:rFonts w:eastAsia="Times New Roman"/>
                <w:sz w:val="16"/>
                <w:lang w:val="nl-BE"/>
              </w:rPr>
              <w:t>Huttner et al., 2019; Narang et al., 2026</w:t>
            </w:r>
          </w:p>
        </w:tc>
      </w:tr>
      <w:tr w:rsidR="000013E1" w:rsidRPr="002C2332" w14:paraId="0D9846F2" w14:textId="77777777">
        <w:trPr>
          <w:jc w:val="center"/>
        </w:trPr>
        <w:tc>
          <w:tcPr>
            <w:tcW w:w="1728" w:type="dxa"/>
            <w:tcMar>
              <w:top w:w="75" w:type="dxa"/>
              <w:left w:w="75" w:type="dxa"/>
              <w:bottom w:w="75" w:type="dxa"/>
              <w:right w:w="75" w:type="dxa"/>
            </w:tcMar>
            <w:vAlign w:val="center"/>
          </w:tcPr>
          <w:p w14:paraId="1EA89E18" w14:textId="77777777" w:rsidR="00FE7B37" w:rsidRPr="000013E1" w:rsidRDefault="00000000">
            <w:pPr>
              <w:spacing w:after="0"/>
              <w:jc w:val="left"/>
            </w:pPr>
            <w:r w:rsidRPr="000013E1">
              <w:rPr>
                <w:rFonts w:eastAsia="Times New Roman"/>
                <w:sz w:val="16"/>
              </w:rPr>
              <w:t>AI-guided antibiotic discovery</w:t>
            </w:r>
          </w:p>
        </w:tc>
        <w:tc>
          <w:tcPr>
            <w:tcW w:w="2188" w:type="dxa"/>
            <w:tcMar>
              <w:top w:w="75" w:type="dxa"/>
              <w:left w:w="75" w:type="dxa"/>
              <w:bottom w:w="75" w:type="dxa"/>
              <w:right w:w="75" w:type="dxa"/>
            </w:tcMar>
            <w:vAlign w:val="center"/>
          </w:tcPr>
          <w:p w14:paraId="45C5AE39" w14:textId="77777777" w:rsidR="00FE7B37" w:rsidRPr="000013E1" w:rsidRDefault="00000000">
            <w:pPr>
              <w:spacing w:after="0"/>
              <w:jc w:val="left"/>
            </w:pPr>
            <w:r w:rsidRPr="000013E1">
              <w:rPr>
                <w:rFonts w:eastAsia="Times New Roman"/>
                <w:sz w:val="16"/>
              </w:rPr>
              <w:t>Deep-learning-selected small molecules and peptides validated preclinically</w:t>
            </w:r>
          </w:p>
        </w:tc>
        <w:tc>
          <w:tcPr>
            <w:tcW w:w="2232" w:type="dxa"/>
            <w:tcMar>
              <w:top w:w="75" w:type="dxa"/>
              <w:left w:w="75" w:type="dxa"/>
              <w:bottom w:w="75" w:type="dxa"/>
              <w:right w:w="75" w:type="dxa"/>
            </w:tcMar>
            <w:vAlign w:val="center"/>
          </w:tcPr>
          <w:p w14:paraId="4BB9A0B1" w14:textId="77777777" w:rsidR="00FE7B37" w:rsidRPr="000013E1" w:rsidRDefault="00000000">
            <w:pPr>
              <w:spacing w:after="0"/>
              <w:jc w:val="left"/>
            </w:pPr>
            <w:r w:rsidRPr="000013E1">
              <w:rPr>
                <w:rFonts w:eastAsia="Times New Roman"/>
                <w:sz w:val="16"/>
              </w:rPr>
              <w:t>Preclinical</w:t>
            </w:r>
          </w:p>
        </w:tc>
        <w:tc>
          <w:tcPr>
            <w:tcW w:w="2088" w:type="dxa"/>
            <w:tcMar>
              <w:top w:w="75" w:type="dxa"/>
              <w:left w:w="75" w:type="dxa"/>
              <w:bottom w:w="75" w:type="dxa"/>
              <w:right w:w="75" w:type="dxa"/>
            </w:tcMar>
            <w:vAlign w:val="center"/>
          </w:tcPr>
          <w:p w14:paraId="2B5673EE" w14:textId="77777777" w:rsidR="00FE7B37" w:rsidRPr="000013E1" w:rsidRDefault="00000000">
            <w:pPr>
              <w:spacing w:after="0"/>
              <w:jc w:val="left"/>
            </w:pPr>
            <w:r w:rsidRPr="000013E1">
              <w:rPr>
                <w:rFonts w:eastAsia="Times New Roman"/>
                <w:sz w:val="16"/>
              </w:rPr>
              <w:t>Exploration of large chemical and biological spaces; potential structural novelty</w:t>
            </w:r>
          </w:p>
        </w:tc>
        <w:tc>
          <w:tcPr>
            <w:tcW w:w="1987" w:type="dxa"/>
            <w:tcMar>
              <w:top w:w="75" w:type="dxa"/>
              <w:left w:w="75" w:type="dxa"/>
              <w:bottom w:w="75" w:type="dxa"/>
              <w:right w:w="75" w:type="dxa"/>
            </w:tcMar>
            <w:vAlign w:val="center"/>
          </w:tcPr>
          <w:p w14:paraId="2EAA2BD5" w14:textId="77777777" w:rsidR="00FE7B37" w:rsidRPr="000013E1" w:rsidRDefault="00000000">
            <w:pPr>
              <w:spacing w:after="0"/>
              <w:jc w:val="left"/>
            </w:pPr>
            <w:r w:rsidRPr="000013E1">
              <w:rPr>
                <w:rFonts w:eastAsia="Times New Roman"/>
                <w:sz w:val="16"/>
              </w:rPr>
              <w:t>Human PK, toxicity, manufacturability, resistance and efficacy remain unproven</w:t>
            </w:r>
          </w:p>
        </w:tc>
        <w:tc>
          <w:tcPr>
            <w:tcW w:w="2131" w:type="dxa"/>
            <w:tcMar>
              <w:top w:w="75" w:type="dxa"/>
              <w:left w:w="75" w:type="dxa"/>
              <w:bottom w:w="75" w:type="dxa"/>
              <w:right w:w="75" w:type="dxa"/>
            </w:tcMar>
            <w:vAlign w:val="center"/>
          </w:tcPr>
          <w:p w14:paraId="516050F6" w14:textId="77777777" w:rsidR="00FE7B37" w:rsidRPr="000013E1" w:rsidRDefault="00000000">
            <w:pPr>
              <w:spacing w:after="0"/>
              <w:jc w:val="left"/>
            </w:pPr>
            <w:r w:rsidRPr="000013E1">
              <w:rPr>
                <w:rFonts w:eastAsia="Times New Roman"/>
                <w:sz w:val="16"/>
              </w:rPr>
              <w:t>Core discovery engine</w:t>
            </w:r>
          </w:p>
        </w:tc>
        <w:tc>
          <w:tcPr>
            <w:tcW w:w="2188" w:type="dxa"/>
            <w:tcMar>
              <w:top w:w="75" w:type="dxa"/>
              <w:left w:w="75" w:type="dxa"/>
              <w:bottom w:w="75" w:type="dxa"/>
              <w:right w:w="75" w:type="dxa"/>
            </w:tcMar>
            <w:vAlign w:val="center"/>
          </w:tcPr>
          <w:p w14:paraId="770ECB40" w14:textId="77777777" w:rsidR="00FE7B37" w:rsidRPr="002C2332" w:rsidRDefault="00000000">
            <w:pPr>
              <w:spacing w:after="0"/>
              <w:jc w:val="left"/>
              <w:rPr>
                <w:lang w:val="nl-BE"/>
              </w:rPr>
            </w:pPr>
            <w:r w:rsidRPr="002C2332">
              <w:rPr>
                <w:rFonts w:eastAsia="Times New Roman"/>
                <w:sz w:val="16"/>
                <w:lang w:val="nl-BE"/>
              </w:rPr>
              <w:t>Stokes et al., 2020; Liu et al., 2023; Wong et al., 2024; Wan et al., 2024</w:t>
            </w:r>
          </w:p>
        </w:tc>
      </w:tr>
    </w:tbl>
    <w:p w14:paraId="25E66C96" w14:textId="77777777" w:rsidR="00FE7B37" w:rsidRPr="000013E1" w:rsidRDefault="00000000">
      <w:pPr>
        <w:pStyle w:val="TableNote"/>
      </w:pPr>
      <w:r w:rsidRPr="000013E1">
        <w:rPr>
          <w:rFonts w:eastAsia="Times New Roman"/>
          <w:i/>
        </w:rPr>
        <w:t>Table note.</w:t>
      </w:r>
      <w:r w:rsidRPr="000013E1">
        <w:rPr>
          <w:rFonts w:eastAsia="Times New Roman"/>
        </w:rPr>
        <w:t xml:space="preserve"> AI = artificial intelligence; CRAB = carbapenem-resistant </w:t>
      </w:r>
      <w:r w:rsidRPr="000013E1">
        <w:rPr>
          <w:rFonts w:eastAsia="Times New Roman"/>
          <w:i/>
        </w:rPr>
        <w:t>Acinetobacter baumannii</w:t>
      </w:r>
      <w:r w:rsidRPr="000013E1">
        <w:rPr>
          <w:rFonts w:eastAsia="Times New Roman"/>
        </w:rPr>
        <w:t>; FMT = faecal microbiota transplantation; PK/PD = pharmacokinetics/pharmacodynamics.</w:t>
      </w:r>
    </w:p>
    <w:p w14:paraId="13E07296" w14:textId="77777777" w:rsidR="00FE7B37" w:rsidRPr="000013E1" w:rsidRDefault="00FE7B37">
      <w:pPr>
        <w:sectPr w:rsidR="00FE7B37" w:rsidRPr="000013E1">
          <w:pgSz w:w="15840" w:h="12240" w:orient="landscape"/>
          <w:pgMar w:top="648" w:right="648" w:bottom="648" w:left="648" w:header="360" w:footer="360" w:gutter="0"/>
          <w:cols w:space="720"/>
          <w:docGrid w:linePitch="360"/>
        </w:sectPr>
      </w:pPr>
    </w:p>
    <w:p w14:paraId="2498B1E5" w14:textId="77777777" w:rsidR="00FE7B37" w:rsidRPr="000013E1" w:rsidRDefault="00000000">
      <w:pPr>
        <w:pStyle w:val="Heading1"/>
        <w:rPr>
          <w:color w:val="auto"/>
        </w:rPr>
      </w:pPr>
      <w:r w:rsidRPr="000013E1">
        <w:rPr>
          <w:rFonts w:ascii="Times New Roman" w:eastAsia="Times New Roman" w:hAnsi="Times New Roman"/>
          <w:color w:val="auto"/>
        </w:rPr>
        <w:lastRenderedPageBreak/>
        <w:t>5. AI-Enabled Predictive Diagnostics for Antimicrobial Resistance</w:t>
      </w:r>
    </w:p>
    <w:p w14:paraId="10ED6A06" w14:textId="77777777" w:rsidR="00FE7B37" w:rsidRPr="000013E1" w:rsidRDefault="00000000">
      <w:pPr>
        <w:pStyle w:val="Heading2"/>
        <w:rPr>
          <w:color w:val="auto"/>
        </w:rPr>
      </w:pPr>
      <w:r w:rsidRPr="000013E1">
        <w:rPr>
          <w:rFonts w:ascii="Times New Roman" w:eastAsia="Times New Roman" w:hAnsi="Times New Roman"/>
          <w:color w:val="auto"/>
        </w:rPr>
        <w:t>5.1 MALDI-TOF Mass Spectrometry as a Predictive Substrate</w:t>
      </w:r>
    </w:p>
    <w:p w14:paraId="7F0914C2" w14:textId="77777777" w:rsidR="00FE7B37" w:rsidRPr="000013E1" w:rsidRDefault="00000000">
      <w:pPr>
        <w:ind w:firstLine="288"/>
      </w:pPr>
      <w:r w:rsidRPr="000013E1">
        <w:rPr>
          <w:rFonts w:eastAsia="Times New Roman"/>
        </w:rPr>
        <w:t xml:space="preserve">MALDI-TOF MS is already embedded in many clinical microbiology laboratories for rapid organism identification, making resistance prediction from the same spectra operationally attractive. The model does not need a new biological sample; it attempts to extract resistance-associated information from data generated during routine identification. Weis et al. (2022) assembled more than 300,000 mass spectra linked to more than 750,000 resistance phenotypes across four institutions and trained calibrated machine-learning classifiers. Reported discrimination varied by organism, with areas under the receiver operating characteristic curve around 0.80 for </w:t>
      </w:r>
      <w:r w:rsidRPr="000013E1">
        <w:rPr>
          <w:rFonts w:eastAsia="Times New Roman"/>
          <w:i/>
        </w:rPr>
        <w:t>S. aureus</w:t>
      </w:r>
      <w:r w:rsidRPr="000013E1">
        <w:rPr>
          <w:rFonts w:eastAsia="Times New Roman"/>
        </w:rPr>
        <w:t xml:space="preserve"> and lower values for </w:t>
      </w:r>
      <w:r w:rsidRPr="000013E1">
        <w:rPr>
          <w:rFonts w:eastAsia="Times New Roman"/>
          <w:i/>
        </w:rPr>
        <w:t>Escherichia coli</w:t>
      </w:r>
      <w:r w:rsidRPr="000013E1">
        <w:rPr>
          <w:rFonts w:eastAsia="Times New Roman"/>
        </w:rPr>
        <w:t xml:space="preserve"> and </w:t>
      </w:r>
      <w:r w:rsidRPr="000013E1">
        <w:rPr>
          <w:rFonts w:eastAsia="Times New Roman"/>
          <w:i/>
        </w:rPr>
        <w:t>Klebsiella pneumoniae</w:t>
      </w:r>
      <w:r w:rsidRPr="000013E1">
        <w:rPr>
          <w:rFonts w:eastAsia="Times New Roman"/>
        </w:rPr>
        <w:t>. The scale and multi-institutional design were strengths, but the performance also showed that resistance is not uniformly encoded in proteomic spectra.</w:t>
      </w:r>
    </w:p>
    <w:p w14:paraId="1A6E599B" w14:textId="77777777" w:rsidR="00FE7B37" w:rsidRPr="000013E1" w:rsidRDefault="00000000">
      <w:pPr>
        <w:ind w:firstLine="288"/>
      </w:pPr>
      <w:r w:rsidRPr="000013E1">
        <w:rPr>
          <w:rFonts w:eastAsia="Times New Roman"/>
        </w:rPr>
        <w:t>The biological explanation is important. MALDI-TOF spectra capture abundant proteins and other ionisable features, not resistance genes directly. Strong performance can arise when resistance is linked to a successful clone whose proteomic signature is stable. Such a model may appear to predict resistance while actually recognising lineage. If the relationship between lineage and resistance changes, or if the model is transferred to a hospital with different strain structure, performance can deteriorate. External validation must therefore be geographically and temporally independent rather than a random split of pooled spectra.</w:t>
      </w:r>
    </w:p>
    <w:p w14:paraId="16703DFE" w14:textId="77777777" w:rsidR="00FE7B37" w:rsidRPr="000013E1" w:rsidRDefault="00000000">
      <w:pPr>
        <w:ind w:firstLine="288"/>
      </w:pPr>
      <w:r w:rsidRPr="000013E1">
        <w:rPr>
          <w:rFonts w:eastAsia="Times New Roman"/>
        </w:rPr>
        <w:t xml:space="preserve">Wang et al. (2024) tested MALDI-TOF/ML prediction of antimicrobial resistance and </w:t>
      </w:r>
      <w:r w:rsidRPr="000013E1">
        <w:rPr>
          <w:rFonts w:eastAsia="Times New Roman"/>
          <w:i/>
        </w:rPr>
        <w:t>mecA</w:t>
      </w:r>
      <w:r w:rsidRPr="000013E1">
        <w:rPr>
          <w:rFonts w:eastAsia="Times New Roman"/>
        </w:rPr>
        <w:t xml:space="preserve">-associated status in clinical </w:t>
      </w:r>
      <w:r w:rsidRPr="000013E1">
        <w:rPr>
          <w:rFonts w:eastAsia="Times New Roman"/>
          <w:i/>
        </w:rPr>
        <w:t>S. aureus</w:t>
      </w:r>
      <w:r w:rsidRPr="000013E1">
        <w:rPr>
          <w:rFonts w:eastAsia="Times New Roman"/>
        </w:rPr>
        <w:t xml:space="preserve"> across an international public database and a Taiwanese dataset. Performance depended on the database and algorithm, reinforcing the site-dependence concern. This does not make spectral prediction clinically unhelpful. Rather, it suggests a role as a probabilistic early signal that is locally calibrated and continuously monitored, particularly when it can safely advance or de-escalate coverage before standard AST.</w:t>
      </w:r>
    </w:p>
    <w:p w14:paraId="6B06F2F7" w14:textId="77777777" w:rsidR="00FE7B37" w:rsidRPr="000013E1" w:rsidRDefault="00000000">
      <w:pPr>
        <w:ind w:firstLine="288"/>
      </w:pPr>
      <w:r w:rsidRPr="000013E1">
        <w:rPr>
          <w:rFonts w:eastAsia="Times New Roman"/>
        </w:rPr>
        <w:t>The principal implementation question is not whether a spectral classifier can exceed a selected AUC threshold but whether it changes treatment earlier than existing rapid resistance assays. Where inexpensive molecular tests already identify a dominant resistance determinant, the incremental value of a complex spectral model may be modest. Where resistance is polygenic or no single molecular marker is sufficient, spectral prediction may be more attractive, but the risk of non-causal lineage learning also rises.</w:t>
      </w:r>
    </w:p>
    <w:p w14:paraId="04A3E8B1" w14:textId="77777777" w:rsidR="00FE7B37" w:rsidRPr="000013E1" w:rsidRDefault="00000000">
      <w:pPr>
        <w:pStyle w:val="Heading2"/>
        <w:rPr>
          <w:color w:val="auto"/>
        </w:rPr>
      </w:pPr>
      <w:r w:rsidRPr="000013E1">
        <w:rPr>
          <w:rFonts w:ascii="Times New Roman" w:eastAsia="Times New Roman" w:hAnsi="Times New Roman"/>
          <w:color w:val="auto"/>
        </w:rPr>
        <w:t>5.2 Whole-Genome Sequencing and Genotype-to-Phenotype Prediction</w:t>
      </w:r>
    </w:p>
    <w:p w14:paraId="1F2284A0" w14:textId="77777777" w:rsidR="00FE7B37" w:rsidRPr="000013E1" w:rsidRDefault="00000000">
      <w:pPr>
        <w:ind w:firstLine="288"/>
      </w:pPr>
      <w:r w:rsidRPr="000013E1">
        <w:rPr>
          <w:rFonts w:eastAsia="Times New Roman"/>
        </w:rPr>
        <w:t>WGS offers a more direct representation of resistance biology. Known resistance genes, target mutations, promoter variation, gene copy number and broader genomic context can all contribute to prediction. The challenge is that genotype does not map perfectly to phenotype. Expression, epistasis, permeability and efflux can modify the clinical susceptibility phenotype, while reference AST itself contains measurement error near breakpoints. Machine learning is therefore used to learn relationships that exceed simple rule-based resistance-gene lookup.</w:t>
      </w:r>
    </w:p>
    <w:p w14:paraId="0A46BC0E" w14:textId="77777777" w:rsidR="00FE7B37" w:rsidRPr="000013E1" w:rsidRDefault="00000000">
      <w:pPr>
        <w:ind w:firstLine="288"/>
      </w:pPr>
      <w:r w:rsidRPr="000013E1">
        <w:rPr>
          <w:rFonts w:eastAsia="Times New Roman"/>
        </w:rPr>
        <w:t xml:space="preserve">Ren et al. (2022) compared logistic regression, support vector machines, random forests and convolutional neural networks using WGS-derived representations for resistance prediction. Independent validation showed high discrimination for several drug-organism tasks, but the study also demonstrated that model performance depends on feature representation and antibiotic-specific biology. Systematic reviews have reached a similar conclusion. Ardila et al. (2024) identified strong average discrimination across WGS/ML studies of critical pathogens, but study designs, validation practices and algorithms were heterogeneous. Lv and Wang (2024), reviewing broader ML resistance-prediction models, found substantial heterogeneity and high risk of bias </w:t>
      </w:r>
      <w:r w:rsidRPr="000013E1">
        <w:rPr>
          <w:rFonts w:eastAsia="Times New Roman"/>
        </w:rPr>
        <w:lastRenderedPageBreak/>
        <w:t>despite encouraging pooled discrimination. These findings caution against treating a pooled accuracy estimate as a universal property of WGS-based prediction.</w:t>
      </w:r>
    </w:p>
    <w:p w14:paraId="56A914F7" w14:textId="77777777" w:rsidR="00FE7B37" w:rsidRPr="000013E1" w:rsidRDefault="00000000">
      <w:pPr>
        <w:ind w:firstLine="288"/>
      </w:pPr>
      <w:r w:rsidRPr="000013E1">
        <w:rPr>
          <w:rFonts w:eastAsia="Times New Roman"/>
        </w:rPr>
        <w:t xml:space="preserve">More recent work illustrates both progress and the continuing need for external validation. Jia et al. (2026) used 5,239 </w:t>
      </w:r>
      <w:r w:rsidRPr="000013E1">
        <w:rPr>
          <w:rFonts w:eastAsia="Times New Roman"/>
          <w:i/>
        </w:rPr>
        <w:t>K. pneumoniae</w:t>
      </w:r>
      <w:r w:rsidRPr="000013E1">
        <w:rPr>
          <w:rFonts w:eastAsia="Times New Roman"/>
        </w:rPr>
        <w:t xml:space="preserve"> genomes from geographically and temporally diverse cohorts to predict resistance at multiple levels across eleven antibiotics. The study reported high discrimination and low categorical error across several settings, making it stronger than single-centre random-split evaluations. Nonetheless, clinical deployment would still require validation against the laboratory workflow, breakpoint system and resistance ecology of the intended site. Models can also become outdated when new resistance mechanisms enter a population. Unlike a fixed diagnostic assay with transparent molecular targets, a high-dimensional ML predictor may degrade silently unless drift surveillance is built into governance.</w:t>
      </w:r>
    </w:p>
    <w:p w14:paraId="2F962431" w14:textId="77777777" w:rsidR="00FE7B37" w:rsidRPr="000013E1" w:rsidRDefault="00000000">
      <w:pPr>
        <w:ind w:firstLine="288"/>
      </w:pPr>
      <w:r w:rsidRPr="000013E1">
        <w:rPr>
          <w:rFonts w:eastAsia="Times New Roman"/>
        </w:rPr>
        <w:t>WGS prediction also faces a timing issue. Sequencing has become faster, but culture, DNA preparation, sequencing and bioinformatics may still be slower than targeted molecular assays or direct phenotypic platforms in urgent infection. The highest-value use may therefore vary: direct clinical decision support where sequencing is rapid; confirmation and mechanism resolution after early phenotypic testing; and surveillance or model retraining at system level. Treating WGS as a universal replacement for phenotypic AST would ignore the fact that phenotype remains the clinical reference for many drug-organism combinations.</w:t>
      </w:r>
    </w:p>
    <w:p w14:paraId="2DF74B30" w14:textId="77777777" w:rsidR="00FE7B37" w:rsidRPr="000013E1" w:rsidRDefault="00000000">
      <w:pPr>
        <w:pStyle w:val="Heading2"/>
        <w:rPr>
          <w:color w:val="auto"/>
        </w:rPr>
      </w:pPr>
      <w:r w:rsidRPr="000013E1">
        <w:rPr>
          <w:rFonts w:ascii="Times New Roman" w:eastAsia="Times New Roman" w:hAnsi="Times New Roman"/>
          <w:color w:val="auto"/>
        </w:rPr>
        <w:t>5.3 Image-Based and Rapid Phenotypic AI</w:t>
      </w:r>
    </w:p>
    <w:p w14:paraId="030C2CAF" w14:textId="77777777" w:rsidR="00FE7B37" w:rsidRPr="000013E1" w:rsidRDefault="00000000">
      <w:pPr>
        <w:ind w:firstLine="288"/>
      </w:pPr>
      <w:r w:rsidRPr="000013E1">
        <w:rPr>
          <w:rFonts w:eastAsia="Times New Roman"/>
        </w:rPr>
        <w:t>Image-based methods attempt to preserve the conceptual strength of phenotypic AST while shortening the observation period. Yu et al. (2018) used deep-learning video microscopy to classify antibiotic effects on bacterial motion and morphology and demonstrated rapid minimum inhibitory concentration determination in spiked urine and a clinical isolate within a proof-of-concept setting. The attraction is obvious: rather than infer susceptibility from genotype or lineage, the model observes the bacterial response to the antibiotic. This can, in principle, capture unknown resistance mechanisms because the label of interest is growth inhibition itself.</w:t>
      </w:r>
    </w:p>
    <w:p w14:paraId="051AEA8D" w14:textId="77777777" w:rsidR="00FE7B37" w:rsidRPr="000013E1" w:rsidRDefault="00000000">
      <w:pPr>
        <w:ind w:firstLine="288"/>
      </w:pPr>
      <w:r w:rsidRPr="000013E1">
        <w:rPr>
          <w:rFonts w:eastAsia="Times New Roman"/>
        </w:rPr>
        <w:t>The difficulty is that an imaging system has to standardise sample preparation, bacterial concentration, image acquisition, drug exposure and classification across a much wider range of clinical specimens and species than a laboratory proof of concept. Models can exploit image artefacts, batch effects or growth characteristics unrelated to the intended biological feature. In addition, rapid phenotypic systems still need rigorous comparison against reference broth microdilution, with particular attention to very major errors because false susceptibility is the most dangerous failure mode. Breakpoint revisions create another maintenance problem: a model trained to predict categorical labels may become obsolete even if its underlying image measurements remain valid.</w:t>
      </w:r>
    </w:p>
    <w:p w14:paraId="74A4E6CF" w14:textId="77777777" w:rsidR="00FE7B37" w:rsidRPr="000013E1" w:rsidRDefault="00000000">
      <w:pPr>
        <w:ind w:firstLine="288"/>
      </w:pPr>
      <w:r w:rsidRPr="000013E1">
        <w:rPr>
          <w:rFonts w:eastAsia="Times New Roman"/>
        </w:rPr>
        <w:t>The most defensible diagnostic architecture may therefore be hybrid. Species identification can be combined with a rapid phenotypic response, resistance-gene information and local epidemiology. AI can fuse these data and quantify uncertainty, but the final recommendation should preserve traceability to the evidence source. A clinician should be able to distinguish a high-confidence phenotypic response from a lower-confidence prediction based primarily on historical patient risk.</w:t>
      </w:r>
    </w:p>
    <w:p w14:paraId="75377DE3" w14:textId="77777777" w:rsidR="00FE7B37" w:rsidRPr="000013E1" w:rsidRDefault="00000000">
      <w:pPr>
        <w:pStyle w:val="Heading2"/>
        <w:rPr>
          <w:color w:val="auto"/>
        </w:rPr>
      </w:pPr>
      <w:r w:rsidRPr="000013E1">
        <w:rPr>
          <w:rFonts w:ascii="Times New Roman" w:eastAsia="Times New Roman" w:hAnsi="Times New Roman"/>
          <w:color w:val="auto"/>
        </w:rPr>
        <w:t>5.4 Validation, Calibration and the Translation Gap</w:t>
      </w:r>
    </w:p>
    <w:p w14:paraId="6CE55158" w14:textId="77777777" w:rsidR="00FE7B37" w:rsidRPr="000013E1" w:rsidRDefault="00000000">
      <w:pPr>
        <w:ind w:firstLine="288"/>
      </w:pPr>
      <w:r w:rsidRPr="000013E1">
        <w:rPr>
          <w:rFonts w:eastAsia="Times New Roman"/>
        </w:rPr>
        <w:t xml:space="preserve">Across diagnostic AI, four recurring weaknesses limit inference. First, many studies optimise discrimination without demonstrating calibration. A predicted probability of 90% resistance has no actionable meaning if 90% predictions are not actually resistant in the deployment population. Second, random train-test splitting can leak clone, patient or institutional structure, making external performance appear stronger than it is. Third, resistant classes are often smaller than susceptible classes, so apparently high accuracy can coexist </w:t>
      </w:r>
      <w:r w:rsidRPr="000013E1">
        <w:rPr>
          <w:rFonts w:eastAsia="Times New Roman"/>
        </w:rPr>
        <w:lastRenderedPageBreak/>
        <w:t>with clinically unacceptable false-susceptible errors. Fourth, the reference label may itself be unstable when laboratories use different platforms or breakpoint versions.</w:t>
      </w:r>
    </w:p>
    <w:p w14:paraId="346E7BC1" w14:textId="77777777" w:rsidR="00FE7B37" w:rsidRPr="000013E1" w:rsidRDefault="00000000">
      <w:pPr>
        <w:ind w:firstLine="288"/>
      </w:pPr>
      <w:r w:rsidRPr="000013E1">
        <w:rPr>
          <w:rFonts w:eastAsia="Times New Roman"/>
        </w:rPr>
        <w:t>These weaknesses have direct stewardship consequences. If a model systematically overpredicts resistance, clinicians may increase use of newer broad-spectrum agents. The system could therefore worsen the ecological outcome it was designed to prevent. Conversely, an underprediction bias could delay active treatment for the sickest patients. Model evaluation should thus include spectrum-weighted prescribing consequences, time to active therapy, time to de-escalation and error severity, not only statistical metrics.</w:t>
      </w:r>
    </w:p>
    <w:p w14:paraId="0D8E6C6A" w14:textId="77777777" w:rsidR="00FE7B37" w:rsidRPr="000013E1" w:rsidRDefault="00000000">
      <w:pPr>
        <w:ind w:firstLine="288"/>
      </w:pPr>
      <w:r w:rsidRPr="000013E1">
        <w:rPr>
          <w:rFonts w:eastAsia="Times New Roman"/>
        </w:rPr>
        <w:t>The evidence also remains concentrated in institutions with high-quality digital microbiology and curated datasets. Generalisability to low-resource laboratories, where the burden of resistance may be high and conventional AST capacity constrained, is uncertain. Oonsivilai et al. (2018) showed that locally tailored ML using relatively accessible clinical variables could generate informative susceptibility predictions in a Cambodian children's hospital, but the sample of bloodstream infections was small. The study nevertheless highlights an important principle: a simpler local model with transparent inputs may be more useful than a globally trained system that depends on infrastructure unavailable at the point of care.</w:t>
      </w:r>
    </w:p>
    <w:p w14:paraId="2BE1D50F" w14:textId="77777777" w:rsidR="00FE7B37" w:rsidRPr="000013E1" w:rsidRDefault="00FE7B37">
      <w:pPr>
        <w:sectPr w:rsidR="00FE7B37" w:rsidRPr="000013E1">
          <w:pgSz w:w="12240" w:h="15840"/>
          <w:pgMar w:top="1152" w:right="1224" w:bottom="1080" w:left="1224" w:header="504" w:footer="504" w:gutter="0"/>
          <w:cols w:space="720"/>
          <w:docGrid w:linePitch="360"/>
        </w:sectPr>
      </w:pPr>
    </w:p>
    <w:p w14:paraId="11B75CEB" w14:textId="77777777" w:rsidR="00FE7B37" w:rsidRPr="000013E1" w:rsidRDefault="00000000">
      <w:pPr>
        <w:spacing w:after="140" w:line="240" w:lineRule="auto"/>
      </w:pPr>
      <w:r w:rsidRPr="000013E1">
        <w:rPr>
          <w:rFonts w:eastAsia="Times New Roman"/>
          <w:sz w:val="20"/>
        </w:rPr>
        <w:lastRenderedPageBreak/>
        <w:t>Table 3 compares the principal AI-enabled diagnostic modalities. Their key differences concern what is being predicted, how close that prediction is to phenotype, and the operational time at which the information becomes available.</w:t>
      </w:r>
    </w:p>
    <w:p w14:paraId="42746D40" w14:textId="77777777" w:rsidR="00FE7B37" w:rsidRPr="000013E1" w:rsidRDefault="00000000">
      <w:pPr>
        <w:pStyle w:val="TableCaption"/>
      </w:pPr>
      <w:r w:rsidRPr="000013E1">
        <w:rPr>
          <w:rFonts w:eastAsia="Times New Roman"/>
        </w:rPr>
        <w:t>Table 3. Artificial intelligence-enabled approaches to predicting antimicrobial resistance or susceptibility</w:t>
      </w:r>
    </w:p>
    <w:tbl>
      <w:tblPr>
        <w:tblStyle w:val="TableGrid"/>
        <w:tblW w:w="0" w:type="auto"/>
        <w:jc w:val="center"/>
        <w:tblLayout w:type="fixed"/>
        <w:tblLook w:val="04A0" w:firstRow="1" w:lastRow="0" w:firstColumn="1" w:lastColumn="0" w:noHBand="0" w:noVBand="1"/>
      </w:tblPr>
      <w:tblGrid>
        <w:gridCol w:w="1728"/>
        <w:gridCol w:w="2188"/>
        <w:gridCol w:w="2232"/>
        <w:gridCol w:w="2088"/>
        <w:gridCol w:w="1987"/>
        <w:gridCol w:w="2131"/>
        <w:gridCol w:w="2188"/>
      </w:tblGrid>
      <w:tr w:rsidR="000013E1" w:rsidRPr="000013E1" w14:paraId="4F6DF773" w14:textId="77777777">
        <w:trPr>
          <w:tblHeader/>
          <w:jc w:val="center"/>
        </w:trPr>
        <w:tc>
          <w:tcPr>
            <w:tcW w:w="1728" w:type="dxa"/>
            <w:shd w:val="clear" w:color="auto" w:fill="E7E6E6"/>
            <w:tcMar>
              <w:top w:w="80" w:type="dxa"/>
              <w:left w:w="75" w:type="dxa"/>
              <w:bottom w:w="80" w:type="dxa"/>
              <w:right w:w="75" w:type="dxa"/>
            </w:tcMar>
            <w:vAlign w:val="center"/>
          </w:tcPr>
          <w:p w14:paraId="07900DD7" w14:textId="77777777" w:rsidR="00FE7B37" w:rsidRPr="000013E1" w:rsidRDefault="00000000">
            <w:pPr>
              <w:spacing w:after="0"/>
              <w:jc w:val="center"/>
            </w:pPr>
            <w:r w:rsidRPr="000013E1">
              <w:rPr>
                <w:rFonts w:eastAsia="Times New Roman"/>
                <w:b/>
                <w:sz w:val="16"/>
              </w:rPr>
              <w:t>Data modality</w:t>
            </w:r>
          </w:p>
        </w:tc>
        <w:tc>
          <w:tcPr>
            <w:tcW w:w="2188" w:type="dxa"/>
            <w:shd w:val="clear" w:color="auto" w:fill="E7E6E6"/>
            <w:tcMar>
              <w:top w:w="80" w:type="dxa"/>
              <w:left w:w="75" w:type="dxa"/>
              <w:bottom w:w="80" w:type="dxa"/>
              <w:right w:w="75" w:type="dxa"/>
            </w:tcMar>
            <w:vAlign w:val="center"/>
          </w:tcPr>
          <w:p w14:paraId="3C6F9F90" w14:textId="77777777" w:rsidR="00FE7B37" w:rsidRPr="000013E1" w:rsidRDefault="00000000">
            <w:pPr>
              <w:spacing w:after="0"/>
              <w:jc w:val="center"/>
            </w:pPr>
            <w:r w:rsidRPr="000013E1">
              <w:rPr>
                <w:rFonts w:eastAsia="Times New Roman"/>
                <w:b/>
                <w:sz w:val="16"/>
              </w:rPr>
              <w:t>What the model learns</w:t>
            </w:r>
          </w:p>
        </w:tc>
        <w:tc>
          <w:tcPr>
            <w:tcW w:w="2232" w:type="dxa"/>
            <w:shd w:val="clear" w:color="auto" w:fill="E7E6E6"/>
            <w:tcMar>
              <w:top w:w="80" w:type="dxa"/>
              <w:left w:w="75" w:type="dxa"/>
              <w:bottom w:w="80" w:type="dxa"/>
              <w:right w:w="75" w:type="dxa"/>
            </w:tcMar>
            <w:vAlign w:val="center"/>
          </w:tcPr>
          <w:p w14:paraId="21492278" w14:textId="77777777" w:rsidR="00FE7B37" w:rsidRPr="000013E1" w:rsidRDefault="00000000">
            <w:pPr>
              <w:spacing w:after="0"/>
              <w:jc w:val="center"/>
            </w:pPr>
            <w:r w:rsidRPr="000013E1">
              <w:rPr>
                <w:rFonts w:eastAsia="Times New Roman"/>
                <w:b/>
                <w:sz w:val="16"/>
              </w:rPr>
              <w:t>Representative strength</w:t>
            </w:r>
          </w:p>
        </w:tc>
        <w:tc>
          <w:tcPr>
            <w:tcW w:w="2088" w:type="dxa"/>
            <w:shd w:val="clear" w:color="auto" w:fill="E7E6E6"/>
            <w:tcMar>
              <w:top w:w="80" w:type="dxa"/>
              <w:left w:w="75" w:type="dxa"/>
              <w:bottom w:w="80" w:type="dxa"/>
              <w:right w:w="75" w:type="dxa"/>
            </w:tcMar>
            <w:vAlign w:val="center"/>
          </w:tcPr>
          <w:p w14:paraId="0DBC1031" w14:textId="77777777" w:rsidR="00FE7B37" w:rsidRPr="000013E1" w:rsidRDefault="00000000">
            <w:pPr>
              <w:spacing w:after="0"/>
              <w:jc w:val="center"/>
            </w:pPr>
            <w:r w:rsidRPr="000013E1">
              <w:rPr>
                <w:rFonts w:eastAsia="Times New Roman"/>
                <w:b/>
                <w:sz w:val="16"/>
              </w:rPr>
              <w:t>Key clinical opportunity</w:t>
            </w:r>
          </w:p>
        </w:tc>
        <w:tc>
          <w:tcPr>
            <w:tcW w:w="1987" w:type="dxa"/>
            <w:shd w:val="clear" w:color="auto" w:fill="E7E6E6"/>
            <w:tcMar>
              <w:top w:w="80" w:type="dxa"/>
              <w:left w:w="75" w:type="dxa"/>
              <w:bottom w:w="80" w:type="dxa"/>
              <w:right w:w="75" w:type="dxa"/>
            </w:tcMar>
            <w:vAlign w:val="center"/>
          </w:tcPr>
          <w:p w14:paraId="02C5DCEE" w14:textId="77777777" w:rsidR="00FE7B37" w:rsidRPr="000013E1" w:rsidRDefault="00000000">
            <w:pPr>
              <w:spacing w:after="0"/>
              <w:jc w:val="center"/>
            </w:pPr>
            <w:r w:rsidRPr="000013E1">
              <w:rPr>
                <w:rFonts w:eastAsia="Times New Roman"/>
                <w:b/>
                <w:sz w:val="16"/>
              </w:rPr>
              <w:t>Main validation risk</w:t>
            </w:r>
          </w:p>
        </w:tc>
        <w:tc>
          <w:tcPr>
            <w:tcW w:w="2131" w:type="dxa"/>
            <w:shd w:val="clear" w:color="auto" w:fill="E7E6E6"/>
            <w:tcMar>
              <w:top w:w="80" w:type="dxa"/>
              <w:left w:w="75" w:type="dxa"/>
              <w:bottom w:w="80" w:type="dxa"/>
              <w:right w:w="75" w:type="dxa"/>
            </w:tcMar>
            <w:vAlign w:val="center"/>
          </w:tcPr>
          <w:p w14:paraId="7BB9419E" w14:textId="77777777" w:rsidR="00FE7B37" w:rsidRPr="000013E1" w:rsidRDefault="00000000">
            <w:pPr>
              <w:spacing w:after="0"/>
              <w:jc w:val="center"/>
            </w:pPr>
            <w:r w:rsidRPr="000013E1">
              <w:rPr>
                <w:rFonts w:eastAsia="Times New Roman"/>
                <w:b/>
                <w:sz w:val="16"/>
              </w:rPr>
              <w:t>Current evidential position</w:t>
            </w:r>
          </w:p>
        </w:tc>
        <w:tc>
          <w:tcPr>
            <w:tcW w:w="2188" w:type="dxa"/>
            <w:shd w:val="clear" w:color="auto" w:fill="E7E6E6"/>
            <w:tcMar>
              <w:top w:w="80" w:type="dxa"/>
              <w:left w:w="75" w:type="dxa"/>
              <w:bottom w:w="80" w:type="dxa"/>
              <w:right w:w="75" w:type="dxa"/>
            </w:tcMar>
            <w:vAlign w:val="center"/>
          </w:tcPr>
          <w:p w14:paraId="0D173C38" w14:textId="77777777" w:rsidR="00FE7B37" w:rsidRPr="000013E1" w:rsidRDefault="00000000">
            <w:pPr>
              <w:spacing w:after="0"/>
              <w:jc w:val="center"/>
            </w:pPr>
            <w:r w:rsidRPr="000013E1">
              <w:rPr>
                <w:rFonts w:eastAsia="Times New Roman"/>
                <w:b/>
                <w:sz w:val="16"/>
              </w:rPr>
              <w:t>Supporting references</w:t>
            </w:r>
          </w:p>
        </w:tc>
      </w:tr>
      <w:tr w:rsidR="000013E1" w:rsidRPr="002C2332" w14:paraId="2B756A87" w14:textId="77777777">
        <w:trPr>
          <w:jc w:val="center"/>
        </w:trPr>
        <w:tc>
          <w:tcPr>
            <w:tcW w:w="1728" w:type="dxa"/>
            <w:tcMar>
              <w:top w:w="75" w:type="dxa"/>
              <w:left w:w="75" w:type="dxa"/>
              <w:bottom w:w="75" w:type="dxa"/>
              <w:right w:w="75" w:type="dxa"/>
            </w:tcMar>
            <w:vAlign w:val="center"/>
          </w:tcPr>
          <w:p w14:paraId="48BADF14" w14:textId="77777777" w:rsidR="00FE7B37" w:rsidRPr="000013E1" w:rsidRDefault="00000000">
            <w:pPr>
              <w:spacing w:after="0"/>
              <w:jc w:val="left"/>
            </w:pPr>
            <w:r w:rsidRPr="000013E1">
              <w:rPr>
                <w:rFonts w:eastAsia="Times New Roman"/>
                <w:sz w:val="16"/>
              </w:rPr>
              <w:t>MALDI-TOF mass spectra</w:t>
            </w:r>
          </w:p>
        </w:tc>
        <w:tc>
          <w:tcPr>
            <w:tcW w:w="2188" w:type="dxa"/>
            <w:tcMar>
              <w:top w:w="75" w:type="dxa"/>
              <w:left w:w="75" w:type="dxa"/>
              <w:bottom w:w="75" w:type="dxa"/>
              <w:right w:w="75" w:type="dxa"/>
            </w:tcMar>
            <w:vAlign w:val="center"/>
          </w:tcPr>
          <w:p w14:paraId="440CD61C" w14:textId="77777777" w:rsidR="00FE7B37" w:rsidRPr="000013E1" w:rsidRDefault="00000000">
            <w:pPr>
              <w:spacing w:after="0"/>
              <w:jc w:val="left"/>
            </w:pPr>
            <w:r w:rsidRPr="000013E1">
              <w:rPr>
                <w:rFonts w:eastAsia="Times New Roman"/>
                <w:sz w:val="16"/>
              </w:rPr>
              <w:t>Proteomic/spectral correlates of resistance, often partly linked to lineage</w:t>
            </w:r>
          </w:p>
        </w:tc>
        <w:tc>
          <w:tcPr>
            <w:tcW w:w="2232" w:type="dxa"/>
            <w:tcMar>
              <w:top w:w="75" w:type="dxa"/>
              <w:left w:w="75" w:type="dxa"/>
              <w:bottom w:w="75" w:type="dxa"/>
              <w:right w:w="75" w:type="dxa"/>
            </w:tcMar>
            <w:vAlign w:val="center"/>
          </w:tcPr>
          <w:p w14:paraId="3B7ED3D4" w14:textId="77777777" w:rsidR="00FE7B37" w:rsidRPr="000013E1" w:rsidRDefault="00000000">
            <w:pPr>
              <w:spacing w:after="0"/>
              <w:jc w:val="left"/>
            </w:pPr>
            <w:r w:rsidRPr="000013E1">
              <w:rPr>
                <w:rFonts w:eastAsia="Times New Roman"/>
                <w:sz w:val="16"/>
              </w:rPr>
              <w:t>Large routine datasets can be reused without a new assay</w:t>
            </w:r>
          </w:p>
        </w:tc>
        <w:tc>
          <w:tcPr>
            <w:tcW w:w="2088" w:type="dxa"/>
            <w:tcMar>
              <w:top w:w="75" w:type="dxa"/>
              <w:left w:w="75" w:type="dxa"/>
              <w:bottom w:w="75" w:type="dxa"/>
              <w:right w:w="75" w:type="dxa"/>
            </w:tcMar>
            <w:vAlign w:val="center"/>
          </w:tcPr>
          <w:p w14:paraId="0B9135D3" w14:textId="77777777" w:rsidR="00FE7B37" w:rsidRPr="000013E1" w:rsidRDefault="00000000">
            <w:pPr>
              <w:spacing w:after="0"/>
              <w:jc w:val="left"/>
            </w:pPr>
            <w:r w:rsidRPr="000013E1">
              <w:rPr>
                <w:rFonts w:eastAsia="Times New Roman"/>
                <w:sz w:val="16"/>
              </w:rPr>
              <w:t>Resistance estimate soon after organism identification</w:t>
            </w:r>
          </w:p>
        </w:tc>
        <w:tc>
          <w:tcPr>
            <w:tcW w:w="1987" w:type="dxa"/>
            <w:tcMar>
              <w:top w:w="75" w:type="dxa"/>
              <w:left w:w="75" w:type="dxa"/>
              <w:bottom w:w="75" w:type="dxa"/>
              <w:right w:w="75" w:type="dxa"/>
            </w:tcMar>
            <w:vAlign w:val="center"/>
          </w:tcPr>
          <w:p w14:paraId="5CCA8FE8" w14:textId="77777777" w:rsidR="00FE7B37" w:rsidRPr="000013E1" w:rsidRDefault="00000000">
            <w:pPr>
              <w:spacing w:after="0"/>
              <w:jc w:val="left"/>
            </w:pPr>
            <w:r w:rsidRPr="000013E1">
              <w:rPr>
                <w:rFonts w:eastAsia="Times New Roman"/>
                <w:sz w:val="16"/>
              </w:rPr>
              <w:t>Site and clone dependence; indirect biological signal; temporal drift</w:t>
            </w:r>
          </w:p>
        </w:tc>
        <w:tc>
          <w:tcPr>
            <w:tcW w:w="2131" w:type="dxa"/>
            <w:tcMar>
              <w:top w:w="75" w:type="dxa"/>
              <w:left w:w="75" w:type="dxa"/>
              <w:bottom w:w="75" w:type="dxa"/>
              <w:right w:w="75" w:type="dxa"/>
            </w:tcMar>
            <w:vAlign w:val="center"/>
          </w:tcPr>
          <w:p w14:paraId="61FF9038" w14:textId="77777777" w:rsidR="00FE7B37" w:rsidRPr="000013E1" w:rsidRDefault="00000000">
            <w:pPr>
              <w:spacing w:after="0"/>
              <w:jc w:val="left"/>
            </w:pPr>
            <w:r w:rsidRPr="000013E1">
              <w:rPr>
                <w:rFonts w:eastAsia="Times New Roman"/>
                <w:sz w:val="16"/>
              </w:rPr>
              <w:t>Promising multi-institutional retrospective validation, but variable transportability</w:t>
            </w:r>
          </w:p>
        </w:tc>
        <w:tc>
          <w:tcPr>
            <w:tcW w:w="2188" w:type="dxa"/>
            <w:tcMar>
              <w:top w:w="75" w:type="dxa"/>
              <w:left w:w="75" w:type="dxa"/>
              <w:bottom w:w="75" w:type="dxa"/>
              <w:right w:w="75" w:type="dxa"/>
            </w:tcMar>
            <w:vAlign w:val="center"/>
          </w:tcPr>
          <w:p w14:paraId="244CA57D" w14:textId="77777777" w:rsidR="00FE7B37" w:rsidRPr="002C2332" w:rsidRDefault="00000000">
            <w:pPr>
              <w:spacing w:after="0"/>
              <w:jc w:val="left"/>
              <w:rPr>
                <w:lang w:val="nl-BE"/>
              </w:rPr>
            </w:pPr>
            <w:r w:rsidRPr="002C2332">
              <w:rPr>
                <w:rFonts w:eastAsia="Times New Roman"/>
                <w:sz w:val="16"/>
                <w:lang w:val="nl-BE"/>
              </w:rPr>
              <w:t>Weis et al., 2022; Wang et al., 2024</w:t>
            </w:r>
          </w:p>
        </w:tc>
      </w:tr>
      <w:tr w:rsidR="000013E1" w:rsidRPr="002C2332" w14:paraId="2236117B" w14:textId="77777777">
        <w:trPr>
          <w:jc w:val="center"/>
        </w:trPr>
        <w:tc>
          <w:tcPr>
            <w:tcW w:w="1728" w:type="dxa"/>
            <w:tcMar>
              <w:top w:w="75" w:type="dxa"/>
              <w:left w:w="75" w:type="dxa"/>
              <w:bottom w:w="75" w:type="dxa"/>
              <w:right w:w="75" w:type="dxa"/>
            </w:tcMar>
            <w:vAlign w:val="center"/>
          </w:tcPr>
          <w:p w14:paraId="528486C6" w14:textId="77777777" w:rsidR="00FE7B37" w:rsidRPr="000013E1" w:rsidRDefault="00000000">
            <w:pPr>
              <w:spacing w:after="0"/>
              <w:jc w:val="left"/>
            </w:pPr>
            <w:r w:rsidRPr="000013E1">
              <w:rPr>
                <w:rFonts w:eastAsia="Times New Roman"/>
                <w:sz w:val="16"/>
              </w:rPr>
              <w:t>Whole-genome sequencing</w:t>
            </w:r>
          </w:p>
        </w:tc>
        <w:tc>
          <w:tcPr>
            <w:tcW w:w="2188" w:type="dxa"/>
            <w:tcMar>
              <w:top w:w="75" w:type="dxa"/>
              <w:left w:w="75" w:type="dxa"/>
              <w:bottom w:w="75" w:type="dxa"/>
              <w:right w:w="75" w:type="dxa"/>
            </w:tcMar>
            <w:vAlign w:val="center"/>
          </w:tcPr>
          <w:p w14:paraId="41332994" w14:textId="77777777" w:rsidR="00FE7B37" w:rsidRPr="000013E1" w:rsidRDefault="00000000">
            <w:pPr>
              <w:spacing w:after="0"/>
              <w:jc w:val="left"/>
            </w:pPr>
            <w:r w:rsidRPr="000013E1">
              <w:rPr>
                <w:rFonts w:eastAsia="Times New Roman"/>
                <w:sz w:val="16"/>
              </w:rPr>
              <w:t>Resistance genes, mutations and high-dimensional genomic patterns</w:t>
            </w:r>
          </w:p>
        </w:tc>
        <w:tc>
          <w:tcPr>
            <w:tcW w:w="2232" w:type="dxa"/>
            <w:tcMar>
              <w:top w:w="75" w:type="dxa"/>
              <w:left w:w="75" w:type="dxa"/>
              <w:bottom w:w="75" w:type="dxa"/>
              <w:right w:w="75" w:type="dxa"/>
            </w:tcMar>
            <w:vAlign w:val="center"/>
          </w:tcPr>
          <w:p w14:paraId="62CEEFD3" w14:textId="77777777" w:rsidR="00FE7B37" w:rsidRPr="000013E1" w:rsidRDefault="00000000">
            <w:pPr>
              <w:spacing w:after="0"/>
              <w:jc w:val="left"/>
            </w:pPr>
            <w:r w:rsidRPr="000013E1">
              <w:rPr>
                <w:rFonts w:eastAsia="Times New Roman"/>
                <w:sz w:val="16"/>
              </w:rPr>
              <w:t>Mechanistic richness and ability to detect complex genomic signatures</w:t>
            </w:r>
          </w:p>
        </w:tc>
        <w:tc>
          <w:tcPr>
            <w:tcW w:w="2088" w:type="dxa"/>
            <w:tcMar>
              <w:top w:w="75" w:type="dxa"/>
              <w:left w:w="75" w:type="dxa"/>
              <w:bottom w:w="75" w:type="dxa"/>
              <w:right w:w="75" w:type="dxa"/>
            </w:tcMar>
            <w:vAlign w:val="center"/>
          </w:tcPr>
          <w:p w14:paraId="37D3626C" w14:textId="77777777" w:rsidR="00FE7B37" w:rsidRPr="000013E1" w:rsidRDefault="00000000">
            <w:pPr>
              <w:spacing w:after="0"/>
              <w:jc w:val="left"/>
            </w:pPr>
            <w:r w:rsidRPr="000013E1">
              <w:rPr>
                <w:rFonts w:eastAsia="Times New Roman"/>
                <w:sz w:val="16"/>
              </w:rPr>
              <w:t>Mechanism resolution and phenotype prediction before full conventional AST in rapid workflows</w:t>
            </w:r>
          </w:p>
        </w:tc>
        <w:tc>
          <w:tcPr>
            <w:tcW w:w="1987" w:type="dxa"/>
            <w:tcMar>
              <w:top w:w="75" w:type="dxa"/>
              <w:left w:w="75" w:type="dxa"/>
              <w:bottom w:w="75" w:type="dxa"/>
              <w:right w:w="75" w:type="dxa"/>
            </w:tcMar>
            <w:vAlign w:val="center"/>
          </w:tcPr>
          <w:p w14:paraId="43738ADF" w14:textId="77777777" w:rsidR="00FE7B37" w:rsidRPr="000013E1" w:rsidRDefault="00000000">
            <w:pPr>
              <w:spacing w:after="0"/>
              <w:jc w:val="left"/>
            </w:pPr>
            <w:r w:rsidRPr="000013E1">
              <w:rPr>
                <w:rFonts w:eastAsia="Times New Roman"/>
                <w:sz w:val="16"/>
              </w:rPr>
              <w:t>Novel mechanisms, expression effects, breakpoint changes and population shift</w:t>
            </w:r>
          </w:p>
        </w:tc>
        <w:tc>
          <w:tcPr>
            <w:tcW w:w="2131" w:type="dxa"/>
            <w:tcMar>
              <w:top w:w="75" w:type="dxa"/>
              <w:left w:w="75" w:type="dxa"/>
              <w:bottom w:w="75" w:type="dxa"/>
              <w:right w:w="75" w:type="dxa"/>
            </w:tcMar>
            <w:vAlign w:val="center"/>
          </w:tcPr>
          <w:p w14:paraId="42A36B59" w14:textId="77777777" w:rsidR="00FE7B37" w:rsidRPr="000013E1" w:rsidRDefault="00000000">
            <w:pPr>
              <w:spacing w:after="0"/>
              <w:jc w:val="left"/>
            </w:pPr>
            <w:r w:rsidRPr="000013E1">
              <w:rPr>
                <w:rFonts w:eastAsia="Times New Roman"/>
                <w:sz w:val="16"/>
              </w:rPr>
              <w:t>Strong retrospective performance in several species; clinical implementation remains uneven</w:t>
            </w:r>
          </w:p>
        </w:tc>
        <w:tc>
          <w:tcPr>
            <w:tcW w:w="2188" w:type="dxa"/>
            <w:tcMar>
              <w:top w:w="75" w:type="dxa"/>
              <w:left w:w="75" w:type="dxa"/>
              <w:bottom w:w="75" w:type="dxa"/>
              <w:right w:w="75" w:type="dxa"/>
            </w:tcMar>
            <w:vAlign w:val="center"/>
          </w:tcPr>
          <w:p w14:paraId="125A031C" w14:textId="77777777" w:rsidR="00FE7B37" w:rsidRPr="002C2332" w:rsidRDefault="00000000">
            <w:pPr>
              <w:spacing w:after="0"/>
              <w:jc w:val="left"/>
              <w:rPr>
                <w:lang w:val="nl-BE"/>
              </w:rPr>
            </w:pPr>
            <w:r w:rsidRPr="002C2332">
              <w:rPr>
                <w:rFonts w:eastAsia="Times New Roman"/>
                <w:sz w:val="16"/>
                <w:lang w:val="nl-BE"/>
              </w:rPr>
              <w:t>Ren et al., 2022; Ardila et al., 2024; Jia et al., 2026</w:t>
            </w:r>
          </w:p>
        </w:tc>
      </w:tr>
      <w:tr w:rsidR="000013E1" w:rsidRPr="000013E1" w14:paraId="63C2449E" w14:textId="77777777">
        <w:trPr>
          <w:jc w:val="center"/>
        </w:trPr>
        <w:tc>
          <w:tcPr>
            <w:tcW w:w="1728" w:type="dxa"/>
            <w:tcMar>
              <w:top w:w="75" w:type="dxa"/>
              <w:left w:w="75" w:type="dxa"/>
              <w:bottom w:w="75" w:type="dxa"/>
              <w:right w:w="75" w:type="dxa"/>
            </w:tcMar>
            <w:vAlign w:val="center"/>
          </w:tcPr>
          <w:p w14:paraId="0F495A07" w14:textId="77777777" w:rsidR="00FE7B37" w:rsidRPr="000013E1" w:rsidRDefault="00000000">
            <w:pPr>
              <w:spacing w:after="0"/>
              <w:jc w:val="left"/>
            </w:pPr>
            <w:r w:rsidRPr="000013E1">
              <w:rPr>
                <w:rFonts w:eastAsia="Times New Roman"/>
                <w:sz w:val="16"/>
              </w:rPr>
              <w:t>Rapid image/video phenotyping</w:t>
            </w:r>
          </w:p>
        </w:tc>
        <w:tc>
          <w:tcPr>
            <w:tcW w:w="2188" w:type="dxa"/>
            <w:tcMar>
              <w:top w:w="75" w:type="dxa"/>
              <w:left w:w="75" w:type="dxa"/>
              <w:bottom w:w="75" w:type="dxa"/>
              <w:right w:w="75" w:type="dxa"/>
            </w:tcMar>
            <w:vAlign w:val="center"/>
          </w:tcPr>
          <w:p w14:paraId="0C0F76D1" w14:textId="77777777" w:rsidR="00FE7B37" w:rsidRPr="000013E1" w:rsidRDefault="00000000">
            <w:pPr>
              <w:spacing w:after="0"/>
              <w:jc w:val="left"/>
            </w:pPr>
            <w:r w:rsidRPr="000013E1">
              <w:rPr>
                <w:rFonts w:eastAsia="Times New Roman"/>
                <w:sz w:val="16"/>
              </w:rPr>
              <w:t>Early cellular response to antibiotic exposure</w:t>
            </w:r>
          </w:p>
        </w:tc>
        <w:tc>
          <w:tcPr>
            <w:tcW w:w="2232" w:type="dxa"/>
            <w:tcMar>
              <w:top w:w="75" w:type="dxa"/>
              <w:left w:w="75" w:type="dxa"/>
              <w:bottom w:w="75" w:type="dxa"/>
              <w:right w:w="75" w:type="dxa"/>
            </w:tcMar>
            <w:vAlign w:val="center"/>
          </w:tcPr>
          <w:p w14:paraId="484DF336" w14:textId="77777777" w:rsidR="00FE7B37" w:rsidRPr="000013E1" w:rsidRDefault="00000000">
            <w:pPr>
              <w:spacing w:after="0"/>
              <w:jc w:val="left"/>
            </w:pPr>
            <w:r w:rsidRPr="000013E1">
              <w:rPr>
                <w:rFonts w:eastAsia="Times New Roman"/>
                <w:sz w:val="16"/>
              </w:rPr>
              <w:t>Measures phenotype directly rather than inferring from lineage</w:t>
            </w:r>
          </w:p>
        </w:tc>
        <w:tc>
          <w:tcPr>
            <w:tcW w:w="2088" w:type="dxa"/>
            <w:tcMar>
              <w:top w:w="75" w:type="dxa"/>
              <w:left w:w="75" w:type="dxa"/>
              <w:bottom w:w="75" w:type="dxa"/>
              <w:right w:w="75" w:type="dxa"/>
            </w:tcMar>
            <w:vAlign w:val="center"/>
          </w:tcPr>
          <w:p w14:paraId="71783CCD" w14:textId="77777777" w:rsidR="00FE7B37" w:rsidRPr="000013E1" w:rsidRDefault="00000000">
            <w:pPr>
              <w:spacing w:after="0"/>
              <w:jc w:val="left"/>
            </w:pPr>
            <w:r w:rsidRPr="000013E1">
              <w:rPr>
                <w:rFonts w:eastAsia="Times New Roman"/>
                <w:sz w:val="16"/>
              </w:rPr>
              <w:t>Potentially very rapid AST with fewer assumptions about known mechanisms</w:t>
            </w:r>
          </w:p>
        </w:tc>
        <w:tc>
          <w:tcPr>
            <w:tcW w:w="1987" w:type="dxa"/>
            <w:tcMar>
              <w:top w:w="75" w:type="dxa"/>
              <w:left w:w="75" w:type="dxa"/>
              <w:bottom w:w="75" w:type="dxa"/>
              <w:right w:w="75" w:type="dxa"/>
            </w:tcMar>
            <w:vAlign w:val="center"/>
          </w:tcPr>
          <w:p w14:paraId="2CC16AAD" w14:textId="77777777" w:rsidR="00FE7B37" w:rsidRPr="000013E1" w:rsidRDefault="00000000">
            <w:pPr>
              <w:spacing w:after="0"/>
              <w:jc w:val="left"/>
            </w:pPr>
            <w:r w:rsidRPr="000013E1">
              <w:rPr>
                <w:rFonts w:eastAsia="Times New Roman"/>
                <w:sz w:val="16"/>
              </w:rPr>
              <w:t>Sample preparation, imaging artefacts, standardisation and very-major-error control</w:t>
            </w:r>
          </w:p>
        </w:tc>
        <w:tc>
          <w:tcPr>
            <w:tcW w:w="2131" w:type="dxa"/>
            <w:tcMar>
              <w:top w:w="75" w:type="dxa"/>
              <w:left w:w="75" w:type="dxa"/>
              <w:bottom w:w="75" w:type="dxa"/>
              <w:right w:w="75" w:type="dxa"/>
            </w:tcMar>
            <w:vAlign w:val="center"/>
          </w:tcPr>
          <w:p w14:paraId="13263F66" w14:textId="77777777" w:rsidR="00FE7B37" w:rsidRPr="000013E1" w:rsidRDefault="00000000">
            <w:pPr>
              <w:spacing w:after="0"/>
              <w:jc w:val="left"/>
            </w:pPr>
            <w:r w:rsidRPr="000013E1">
              <w:rPr>
                <w:rFonts w:eastAsia="Times New Roman"/>
                <w:sz w:val="16"/>
              </w:rPr>
              <w:t>Proof-of-concept to early translational evidence</w:t>
            </w:r>
          </w:p>
        </w:tc>
        <w:tc>
          <w:tcPr>
            <w:tcW w:w="2188" w:type="dxa"/>
            <w:tcMar>
              <w:top w:w="75" w:type="dxa"/>
              <w:left w:w="75" w:type="dxa"/>
              <w:bottom w:w="75" w:type="dxa"/>
              <w:right w:w="75" w:type="dxa"/>
            </w:tcMar>
            <w:vAlign w:val="center"/>
          </w:tcPr>
          <w:p w14:paraId="3D5AE9A5" w14:textId="77777777" w:rsidR="00FE7B37" w:rsidRPr="000013E1" w:rsidRDefault="00000000">
            <w:pPr>
              <w:spacing w:after="0"/>
              <w:jc w:val="left"/>
            </w:pPr>
            <w:r w:rsidRPr="000013E1">
              <w:rPr>
                <w:rFonts w:eastAsia="Times New Roman"/>
                <w:sz w:val="16"/>
              </w:rPr>
              <w:t>Yu et al., 2018</w:t>
            </w:r>
          </w:p>
        </w:tc>
      </w:tr>
      <w:tr w:rsidR="000013E1" w:rsidRPr="002C2332" w14:paraId="09F70E44" w14:textId="77777777">
        <w:trPr>
          <w:jc w:val="center"/>
        </w:trPr>
        <w:tc>
          <w:tcPr>
            <w:tcW w:w="1728" w:type="dxa"/>
            <w:tcMar>
              <w:top w:w="75" w:type="dxa"/>
              <w:left w:w="75" w:type="dxa"/>
              <w:bottom w:w="75" w:type="dxa"/>
              <w:right w:w="75" w:type="dxa"/>
            </w:tcMar>
            <w:vAlign w:val="center"/>
          </w:tcPr>
          <w:p w14:paraId="2ECF4DE5" w14:textId="77777777" w:rsidR="00FE7B37" w:rsidRPr="000013E1" w:rsidRDefault="00000000">
            <w:pPr>
              <w:spacing w:after="0"/>
              <w:jc w:val="left"/>
            </w:pPr>
            <w:r w:rsidRPr="000013E1">
              <w:rPr>
                <w:rFonts w:eastAsia="Times New Roman"/>
                <w:sz w:val="16"/>
              </w:rPr>
              <w:t>EHR-based resistance prediction</w:t>
            </w:r>
          </w:p>
        </w:tc>
        <w:tc>
          <w:tcPr>
            <w:tcW w:w="2188" w:type="dxa"/>
            <w:tcMar>
              <w:top w:w="75" w:type="dxa"/>
              <w:left w:w="75" w:type="dxa"/>
              <w:bottom w:w="75" w:type="dxa"/>
              <w:right w:w="75" w:type="dxa"/>
            </w:tcMar>
            <w:vAlign w:val="center"/>
          </w:tcPr>
          <w:p w14:paraId="61EC24A1" w14:textId="77777777" w:rsidR="00FE7B37" w:rsidRPr="000013E1" w:rsidRDefault="00000000">
            <w:pPr>
              <w:spacing w:after="0"/>
              <w:jc w:val="left"/>
            </w:pPr>
            <w:r w:rsidRPr="000013E1">
              <w:rPr>
                <w:rFonts w:eastAsia="Times New Roman"/>
                <w:sz w:val="16"/>
              </w:rPr>
              <w:t>Patient history, prior microbiology, exposure and local epidemiology</w:t>
            </w:r>
          </w:p>
        </w:tc>
        <w:tc>
          <w:tcPr>
            <w:tcW w:w="2232" w:type="dxa"/>
            <w:tcMar>
              <w:top w:w="75" w:type="dxa"/>
              <w:left w:w="75" w:type="dxa"/>
              <w:bottom w:w="75" w:type="dxa"/>
              <w:right w:w="75" w:type="dxa"/>
            </w:tcMar>
            <w:vAlign w:val="center"/>
          </w:tcPr>
          <w:p w14:paraId="3B46178B" w14:textId="77777777" w:rsidR="00FE7B37" w:rsidRPr="000013E1" w:rsidRDefault="00000000">
            <w:pPr>
              <w:spacing w:after="0"/>
              <w:jc w:val="left"/>
            </w:pPr>
            <w:r w:rsidRPr="000013E1">
              <w:rPr>
                <w:rFonts w:eastAsia="Times New Roman"/>
                <w:sz w:val="16"/>
              </w:rPr>
              <w:t>Can operate before a new isolate has full AST</w:t>
            </w:r>
          </w:p>
        </w:tc>
        <w:tc>
          <w:tcPr>
            <w:tcW w:w="2088" w:type="dxa"/>
            <w:tcMar>
              <w:top w:w="75" w:type="dxa"/>
              <w:left w:w="75" w:type="dxa"/>
              <w:bottom w:w="75" w:type="dxa"/>
              <w:right w:w="75" w:type="dxa"/>
            </w:tcMar>
            <w:vAlign w:val="center"/>
          </w:tcPr>
          <w:p w14:paraId="0B020E49" w14:textId="77777777" w:rsidR="00FE7B37" w:rsidRPr="000013E1" w:rsidRDefault="00000000">
            <w:pPr>
              <w:spacing w:after="0"/>
              <w:jc w:val="left"/>
            </w:pPr>
            <w:r w:rsidRPr="000013E1">
              <w:rPr>
                <w:rFonts w:eastAsia="Times New Roman"/>
                <w:sz w:val="16"/>
              </w:rPr>
              <w:t>Personalised empiric coverage while awaiting laboratory data</w:t>
            </w:r>
          </w:p>
        </w:tc>
        <w:tc>
          <w:tcPr>
            <w:tcW w:w="1987" w:type="dxa"/>
            <w:tcMar>
              <w:top w:w="75" w:type="dxa"/>
              <w:left w:w="75" w:type="dxa"/>
              <w:bottom w:w="75" w:type="dxa"/>
              <w:right w:w="75" w:type="dxa"/>
            </w:tcMar>
            <w:vAlign w:val="center"/>
          </w:tcPr>
          <w:p w14:paraId="68EAB160" w14:textId="77777777" w:rsidR="00FE7B37" w:rsidRPr="000013E1" w:rsidRDefault="00000000">
            <w:pPr>
              <w:spacing w:after="0"/>
              <w:jc w:val="left"/>
            </w:pPr>
            <w:r w:rsidRPr="000013E1">
              <w:rPr>
                <w:rFonts w:eastAsia="Times New Roman"/>
                <w:sz w:val="16"/>
              </w:rPr>
              <w:t>Confounding, changing prescribing patterns, missing data and institution-specific prevalence</w:t>
            </w:r>
          </w:p>
        </w:tc>
        <w:tc>
          <w:tcPr>
            <w:tcW w:w="2131" w:type="dxa"/>
            <w:tcMar>
              <w:top w:w="75" w:type="dxa"/>
              <w:left w:w="75" w:type="dxa"/>
              <w:bottom w:w="75" w:type="dxa"/>
              <w:right w:w="75" w:type="dxa"/>
            </w:tcMar>
            <w:vAlign w:val="center"/>
          </w:tcPr>
          <w:p w14:paraId="0EA3AC2F" w14:textId="77777777" w:rsidR="00FE7B37" w:rsidRPr="000013E1" w:rsidRDefault="00000000">
            <w:pPr>
              <w:spacing w:after="0"/>
              <w:jc w:val="left"/>
            </w:pPr>
            <w:r w:rsidRPr="000013E1">
              <w:rPr>
                <w:rFonts w:eastAsia="Times New Roman"/>
                <w:sz w:val="16"/>
              </w:rPr>
              <w:t>Predominantly retrospective; clinical outcome evidence limited</w:t>
            </w:r>
          </w:p>
        </w:tc>
        <w:tc>
          <w:tcPr>
            <w:tcW w:w="2188" w:type="dxa"/>
            <w:tcMar>
              <w:top w:w="75" w:type="dxa"/>
              <w:left w:w="75" w:type="dxa"/>
              <w:bottom w:w="75" w:type="dxa"/>
              <w:right w:w="75" w:type="dxa"/>
            </w:tcMar>
            <w:vAlign w:val="center"/>
          </w:tcPr>
          <w:p w14:paraId="381147AA" w14:textId="77777777" w:rsidR="00FE7B37" w:rsidRPr="002C2332" w:rsidRDefault="00000000">
            <w:pPr>
              <w:spacing w:after="0"/>
              <w:jc w:val="left"/>
              <w:rPr>
                <w:lang w:val="nl-BE"/>
              </w:rPr>
            </w:pPr>
            <w:r w:rsidRPr="002C2332">
              <w:rPr>
                <w:rFonts w:eastAsia="Times New Roman"/>
                <w:sz w:val="16"/>
                <w:lang w:val="nl-BE"/>
              </w:rPr>
              <w:t>Lewin-Epstein et al., 2021; Corbin et al., 2022; Oonsivilai et al., 2018</w:t>
            </w:r>
          </w:p>
        </w:tc>
      </w:tr>
      <w:tr w:rsidR="000013E1" w:rsidRPr="002C2332" w14:paraId="22CDE318" w14:textId="77777777">
        <w:trPr>
          <w:jc w:val="center"/>
        </w:trPr>
        <w:tc>
          <w:tcPr>
            <w:tcW w:w="1728" w:type="dxa"/>
            <w:tcMar>
              <w:top w:w="75" w:type="dxa"/>
              <w:left w:w="75" w:type="dxa"/>
              <w:bottom w:w="75" w:type="dxa"/>
              <w:right w:w="75" w:type="dxa"/>
            </w:tcMar>
            <w:vAlign w:val="center"/>
          </w:tcPr>
          <w:p w14:paraId="65EB0172" w14:textId="77777777" w:rsidR="00FE7B37" w:rsidRPr="000013E1" w:rsidRDefault="00000000">
            <w:pPr>
              <w:spacing w:after="0"/>
              <w:jc w:val="left"/>
            </w:pPr>
            <w:r w:rsidRPr="000013E1">
              <w:rPr>
                <w:rFonts w:eastAsia="Times New Roman"/>
                <w:sz w:val="16"/>
              </w:rPr>
              <w:t>Hybrid multimodal prediction</w:t>
            </w:r>
          </w:p>
        </w:tc>
        <w:tc>
          <w:tcPr>
            <w:tcW w:w="2188" w:type="dxa"/>
            <w:tcMar>
              <w:top w:w="75" w:type="dxa"/>
              <w:left w:w="75" w:type="dxa"/>
              <w:bottom w:w="75" w:type="dxa"/>
              <w:right w:w="75" w:type="dxa"/>
            </w:tcMar>
            <w:vAlign w:val="center"/>
          </w:tcPr>
          <w:p w14:paraId="03A35BD8" w14:textId="77777777" w:rsidR="00FE7B37" w:rsidRPr="000013E1" w:rsidRDefault="00000000">
            <w:pPr>
              <w:spacing w:after="0"/>
              <w:jc w:val="left"/>
            </w:pPr>
            <w:r w:rsidRPr="000013E1">
              <w:rPr>
                <w:rFonts w:eastAsia="Times New Roman"/>
                <w:sz w:val="16"/>
              </w:rPr>
              <w:t>Combined organism, genome, phenotype and patient context</w:t>
            </w:r>
          </w:p>
        </w:tc>
        <w:tc>
          <w:tcPr>
            <w:tcW w:w="2232" w:type="dxa"/>
            <w:tcMar>
              <w:top w:w="75" w:type="dxa"/>
              <w:left w:w="75" w:type="dxa"/>
              <w:bottom w:w="75" w:type="dxa"/>
              <w:right w:w="75" w:type="dxa"/>
            </w:tcMar>
            <w:vAlign w:val="center"/>
          </w:tcPr>
          <w:p w14:paraId="2D071063" w14:textId="77777777" w:rsidR="00FE7B37" w:rsidRPr="000013E1" w:rsidRDefault="00000000">
            <w:pPr>
              <w:spacing w:after="0"/>
              <w:jc w:val="left"/>
            </w:pPr>
            <w:r w:rsidRPr="000013E1">
              <w:rPr>
                <w:rFonts w:eastAsia="Times New Roman"/>
                <w:sz w:val="16"/>
              </w:rPr>
              <w:t>Can represent both biological mechanism and clinical prior probability</w:t>
            </w:r>
          </w:p>
        </w:tc>
        <w:tc>
          <w:tcPr>
            <w:tcW w:w="2088" w:type="dxa"/>
            <w:tcMar>
              <w:top w:w="75" w:type="dxa"/>
              <w:left w:w="75" w:type="dxa"/>
              <w:bottom w:w="75" w:type="dxa"/>
              <w:right w:w="75" w:type="dxa"/>
            </w:tcMar>
            <w:vAlign w:val="center"/>
          </w:tcPr>
          <w:p w14:paraId="030C722C" w14:textId="77777777" w:rsidR="00FE7B37" w:rsidRPr="000013E1" w:rsidRDefault="00000000">
            <w:pPr>
              <w:spacing w:after="0"/>
              <w:jc w:val="left"/>
            </w:pPr>
            <w:r w:rsidRPr="000013E1">
              <w:rPr>
                <w:rFonts w:eastAsia="Times New Roman"/>
                <w:sz w:val="16"/>
              </w:rPr>
              <w:t>Integrated early decision support with uncertainty estimates</w:t>
            </w:r>
          </w:p>
        </w:tc>
        <w:tc>
          <w:tcPr>
            <w:tcW w:w="1987" w:type="dxa"/>
            <w:tcMar>
              <w:top w:w="75" w:type="dxa"/>
              <w:left w:w="75" w:type="dxa"/>
              <w:bottom w:w="75" w:type="dxa"/>
              <w:right w:w="75" w:type="dxa"/>
            </w:tcMar>
            <w:vAlign w:val="center"/>
          </w:tcPr>
          <w:p w14:paraId="0F84AB0C" w14:textId="77777777" w:rsidR="00FE7B37" w:rsidRPr="000013E1" w:rsidRDefault="00000000">
            <w:pPr>
              <w:spacing w:after="0"/>
              <w:jc w:val="left"/>
            </w:pPr>
            <w:r w:rsidRPr="000013E1">
              <w:rPr>
                <w:rFonts w:eastAsia="Times New Roman"/>
                <w:sz w:val="16"/>
              </w:rPr>
              <w:t>Complexity, missing modalities, opaque failure modes and governance burden</w:t>
            </w:r>
          </w:p>
        </w:tc>
        <w:tc>
          <w:tcPr>
            <w:tcW w:w="2131" w:type="dxa"/>
            <w:tcMar>
              <w:top w:w="75" w:type="dxa"/>
              <w:left w:w="75" w:type="dxa"/>
              <w:bottom w:w="75" w:type="dxa"/>
              <w:right w:w="75" w:type="dxa"/>
            </w:tcMar>
            <w:vAlign w:val="center"/>
          </w:tcPr>
          <w:p w14:paraId="6FA2B384" w14:textId="77777777" w:rsidR="00FE7B37" w:rsidRPr="000013E1" w:rsidRDefault="00000000">
            <w:pPr>
              <w:spacing w:after="0"/>
              <w:jc w:val="left"/>
            </w:pPr>
            <w:r w:rsidRPr="000013E1">
              <w:rPr>
                <w:rFonts w:eastAsia="Times New Roman"/>
                <w:sz w:val="16"/>
              </w:rPr>
              <w:t>Conceptually compelling but not yet established as a routine standard</w:t>
            </w:r>
          </w:p>
        </w:tc>
        <w:tc>
          <w:tcPr>
            <w:tcW w:w="2188" w:type="dxa"/>
            <w:tcMar>
              <w:top w:w="75" w:type="dxa"/>
              <w:left w:w="75" w:type="dxa"/>
              <w:bottom w:w="75" w:type="dxa"/>
              <w:right w:w="75" w:type="dxa"/>
            </w:tcMar>
            <w:vAlign w:val="center"/>
          </w:tcPr>
          <w:p w14:paraId="4FCDBCB9" w14:textId="77777777" w:rsidR="00FE7B37" w:rsidRPr="002C2332" w:rsidRDefault="00000000">
            <w:pPr>
              <w:spacing w:after="0"/>
              <w:jc w:val="left"/>
              <w:rPr>
                <w:lang w:val="nl-BE"/>
              </w:rPr>
            </w:pPr>
            <w:r w:rsidRPr="002C2332">
              <w:rPr>
                <w:rFonts w:eastAsia="Times New Roman"/>
                <w:sz w:val="16"/>
                <w:lang w:val="nl-BE"/>
              </w:rPr>
              <w:t>Ardila et al., 2024; Giacobbe et al., 2024</w:t>
            </w:r>
          </w:p>
        </w:tc>
      </w:tr>
    </w:tbl>
    <w:p w14:paraId="4F8DDA0C" w14:textId="77777777" w:rsidR="00FE7B37" w:rsidRPr="000013E1" w:rsidRDefault="00000000">
      <w:pPr>
        <w:pStyle w:val="TableNote"/>
      </w:pPr>
      <w:r w:rsidRPr="000013E1">
        <w:rPr>
          <w:rFonts w:eastAsia="Times New Roman"/>
          <w:i/>
        </w:rPr>
        <w:t>Table note.</w:t>
      </w:r>
      <w:r w:rsidRPr="000013E1">
        <w:rPr>
          <w:rFonts w:eastAsia="Times New Roman"/>
        </w:rPr>
        <w:t xml:space="preserve"> AI = artificial intelligence; AST = antimicrobial susceptibility testing; EHR = electronic health record; MALDI-TOF = matrix-assisted laser desorption/ionisation-time-of-flight; WGS = whole-genome sequencing.</w:t>
      </w:r>
    </w:p>
    <w:p w14:paraId="0FF2DF65" w14:textId="77777777" w:rsidR="00FE7B37" w:rsidRPr="000013E1" w:rsidRDefault="00FE7B37">
      <w:pPr>
        <w:sectPr w:rsidR="00FE7B37" w:rsidRPr="000013E1">
          <w:pgSz w:w="15840" w:h="12240" w:orient="landscape"/>
          <w:pgMar w:top="648" w:right="648" w:bottom="648" w:left="648" w:header="360" w:footer="360" w:gutter="0"/>
          <w:cols w:space="720"/>
          <w:docGrid w:linePitch="360"/>
        </w:sectPr>
      </w:pPr>
    </w:p>
    <w:p w14:paraId="7370E1C8" w14:textId="77777777" w:rsidR="00FE7B37" w:rsidRPr="000013E1" w:rsidRDefault="00000000">
      <w:pPr>
        <w:pStyle w:val="Heading1"/>
        <w:rPr>
          <w:color w:val="auto"/>
        </w:rPr>
      </w:pPr>
      <w:r w:rsidRPr="000013E1">
        <w:rPr>
          <w:rFonts w:ascii="Times New Roman" w:eastAsia="Times New Roman" w:hAnsi="Times New Roman"/>
          <w:color w:val="auto"/>
        </w:rPr>
        <w:lastRenderedPageBreak/>
        <w:t>6. Artificial Intelligence in Antimicrobial Stewardship</w:t>
      </w:r>
    </w:p>
    <w:p w14:paraId="4C92A96C" w14:textId="77777777" w:rsidR="00FE7B37" w:rsidRPr="000013E1" w:rsidRDefault="00000000">
      <w:pPr>
        <w:pStyle w:val="Heading2"/>
        <w:rPr>
          <w:color w:val="auto"/>
        </w:rPr>
      </w:pPr>
      <w:r w:rsidRPr="000013E1">
        <w:rPr>
          <w:rFonts w:ascii="Times New Roman" w:eastAsia="Times New Roman" w:hAnsi="Times New Roman"/>
          <w:color w:val="auto"/>
        </w:rPr>
        <w:t>6.1 Personalising Empiric Therapy</w:t>
      </w:r>
    </w:p>
    <w:p w14:paraId="317A6023" w14:textId="77777777" w:rsidR="00FE7B37" w:rsidRPr="000013E1" w:rsidRDefault="00000000">
      <w:pPr>
        <w:ind w:firstLine="288"/>
      </w:pPr>
      <w:r w:rsidRPr="000013E1">
        <w:rPr>
          <w:rFonts w:eastAsia="Times New Roman"/>
        </w:rPr>
        <w:t>Antimicrobial stewardship has traditionally relied on local antibiograms, formulary restriction, prospective audit with feedback, guideline pathways and post-prescription review. These approaches are effective conceptually but use population averages at moments when the clinical question is individual: what is the narrowest empiric regimen that retains an acceptable probability of activity for this patient? Machine learning is well suited to that problem because prior cultures, recent admissions, antibiotic exposures, comorbidity, care location and time-varying hospital epidemiology can all modify the probability of resistance.</w:t>
      </w:r>
    </w:p>
    <w:p w14:paraId="3EC6F8A1" w14:textId="77777777" w:rsidR="00FE7B37" w:rsidRPr="000013E1" w:rsidRDefault="00000000">
      <w:pPr>
        <w:ind w:firstLine="288"/>
      </w:pPr>
      <w:r w:rsidRPr="000013E1">
        <w:rPr>
          <w:rFonts w:eastAsia="Times New Roman"/>
        </w:rPr>
        <w:t>Lewin-Epstein et al. (2021) trained models on EHR data to predict resistance to several antibiotics in hospitalised patients. Discrimination improved when organism identity was known, which is clinically intuitive and reinforces the value of linking patient-level and microbiological data rather than using either alone. However, the study was retrospective; it did not test whether model-informed prescribing improved outcomes. The distinction is fundamental. A prediction can be statistically accurate yet operationally irrelevant if it arrives after antibiotics are given, recommends an unavailable regimen or does not change clinician behaviour.</w:t>
      </w:r>
    </w:p>
    <w:p w14:paraId="723D1120" w14:textId="77777777" w:rsidR="00FE7B37" w:rsidRPr="000013E1" w:rsidRDefault="00000000">
      <w:pPr>
        <w:ind w:firstLine="288"/>
      </w:pPr>
      <w:r w:rsidRPr="000013E1">
        <w:rPr>
          <w:rFonts w:eastAsia="Times New Roman"/>
        </w:rPr>
        <w:t>Corbin et al. (2022) developed personalised antibiograms in two US health systems and modelled antibiotic allocation under coverage constraints. The system could preserve estimated coverage while reducing some broad-spectrum choices. This work advances stewardship beyond simple resistance prediction because it explicitly optimises a clinical objective. Yet its simulated allocation assumes that historical susceptibility labels and treatment options adequately represent the counterfactual choices that would be made prospectively. Real-world deployment could produce feedback: as prescribing changes, local resistance ecology and the dataset used for retraining may also change. A self-updating stewardship model therefore needs causal and ecological monitoring, not only periodic AUC calculation.</w:t>
      </w:r>
    </w:p>
    <w:p w14:paraId="2BC6F442" w14:textId="77777777" w:rsidR="00FE7B37" w:rsidRPr="000013E1" w:rsidRDefault="00000000">
      <w:pPr>
        <w:ind w:firstLine="288"/>
      </w:pPr>
      <w:r w:rsidRPr="000013E1">
        <w:rPr>
          <w:rFonts w:eastAsia="Times New Roman"/>
        </w:rPr>
        <w:t>The Cambodian study by Oonsivilai et al. (2018) is informative from an equity perspective. Using a modest number of clinical and demographic variables, random forests produced useful predictions of susceptibility to common empiric regimens in paediatric bloodstream infection. The dataset was small and single-centre, so the model itself cannot be exported. The broader lesson is that locally tailored prediction is feasible without the data density of a major tertiary health system. Future implementation should resist the assumption that AI stewardship requires a highly complex model; the appropriate complexity is the lowest level that produces stable net benefit in the intended environment.</w:t>
      </w:r>
    </w:p>
    <w:p w14:paraId="0A9556BB" w14:textId="77777777" w:rsidR="00FE7B37" w:rsidRPr="000013E1" w:rsidRDefault="00000000">
      <w:pPr>
        <w:pStyle w:val="Heading2"/>
        <w:rPr>
          <w:color w:val="auto"/>
        </w:rPr>
      </w:pPr>
      <w:r w:rsidRPr="000013E1">
        <w:rPr>
          <w:rFonts w:ascii="Times New Roman" w:eastAsia="Times New Roman" w:hAnsi="Times New Roman"/>
          <w:color w:val="auto"/>
        </w:rPr>
        <w:t>6.2 Prioritising Stewardship Work and De-escalation</w:t>
      </w:r>
    </w:p>
    <w:p w14:paraId="1E2CF3BE" w14:textId="77777777" w:rsidR="00FE7B37" w:rsidRPr="000013E1" w:rsidRDefault="00000000">
      <w:pPr>
        <w:ind w:firstLine="288"/>
      </w:pPr>
      <w:r w:rsidRPr="000013E1">
        <w:rPr>
          <w:rFonts w:eastAsia="Times New Roman"/>
        </w:rPr>
        <w:t>AI may be more immediately useful for stewardship triage than for direct prescribing. Stewardship teams often cannot review every antimicrobial order daily. A model that ranks patients by expected benefit from intervention can convert limited specialist time into higher coverage of actionable cases. Bystritsky et al. (2020) compared logistic regression with boosted trees for predicting whether patients receiving broad-spectrum agents would require a stewardship intervention. Both approaches showed only fair discrimination, and the number of patients requiring review to identify one actionable case remained high at a sensitivity chosen to avoid missed opportunities. The study is valuable precisely because it demonstrates that machine learning does not automatically outperform simpler statistical models enough to justify implementation.</w:t>
      </w:r>
    </w:p>
    <w:p w14:paraId="3D8F6F27" w14:textId="77777777" w:rsidR="00FE7B37" w:rsidRPr="000013E1" w:rsidRDefault="00000000">
      <w:pPr>
        <w:ind w:firstLine="288"/>
      </w:pPr>
      <w:r w:rsidRPr="000013E1">
        <w:rPr>
          <w:rFonts w:eastAsia="Times New Roman"/>
        </w:rPr>
        <w:t xml:space="preserve">Tran-The et al. (2024) subsequently developed explainable machine-learning models to prioritise discontinuation, intravenous-to-oral conversion and early or late de-escalation. Using more than 130,000 patient-days, the models achieved moderate to strong discrimination and identified more actionable cases than </w:t>
      </w:r>
      <w:r w:rsidRPr="000013E1">
        <w:rPr>
          <w:rFonts w:eastAsia="Times New Roman"/>
        </w:rPr>
        <w:lastRenderedPageBreak/>
        <w:t>a simple length-of-therapy strategy at an equivalent review workload. This operational endpoint is more relevant than AUC alone because stewardship programmes have fixed human capacity. Nevertheless, the study still used historical stewardship actions as labels. That creates a circularity risk: the model may learn the preferences, omissions and workload patterns of the local team rather than an objective definition of optimal care.</w:t>
      </w:r>
    </w:p>
    <w:p w14:paraId="42A80EAC" w14:textId="77777777" w:rsidR="00FE7B37" w:rsidRPr="000013E1" w:rsidRDefault="00000000">
      <w:pPr>
        <w:ind w:firstLine="288"/>
      </w:pPr>
      <w:r w:rsidRPr="000013E1">
        <w:rPr>
          <w:rFonts w:eastAsia="Times New Roman"/>
        </w:rPr>
        <w:t>This label problem is pervasive. In many AI stewardship studies, the target is “appropriate therapy”, “need for intervention” or an expert decision. Such labels contain clinical judgement and can vary among institutions. Models may consequently reproduce local prescribing culture, including systematic overuse or under-recognition of minority patient groups. External validation should therefore evaluate not only model performance against a new institution's labels but also agreement with independently defined stewardship standards and patient outcomes.</w:t>
      </w:r>
    </w:p>
    <w:p w14:paraId="4447BEB7" w14:textId="77777777" w:rsidR="00FE7B37" w:rsidRPr="000013E1" w:rsidRDefault="00000000">
      <w:pPr>
        <w:pStyle w:val="Heading2"/>
        <w:rPr>
          <w:color w:val="auto"/>
        </w:rPr>
      </w:pPr>
      <w:r w:rsidRPr="000013E1">
        <w:rPr>
          <w:rFonts w:ascii="Times New Roman" w:eastAsia="Times New Roman" w:hAnsi="Times New Roman"/>
          <w:color w:val="auto"/>
        </w:rPr>
        <w:t>6.3 Explainability, Large Language Models and Automation Risk</w:t>
      </w:r>
    </w:p>
    <w:p w14:paraId="0F6C5158" w14:textId="77777777" w:rsidR="00FE7B37" w:rsidRPr="000013E1" w:rsidRDefault="00000000">
      <w:pPr>
        <w:ind w:firstLine="288"/>
      </w:pPr>
      <w:r w:rsidRPr="000013E1">
        <w:rPr>
          <w:rFonts w:eastAsia="Times New Roman"/>
        </w:rPr>
        <w:t>Explainability has special importance in antimicrobial stewardship because recommendations are conditional on evolving microbiology and because the harm of an incorrect recommendation can be immediate. Giacobbe et al. (2024) argue that interpretable and explainable ML may improve clinician understanding and help reveal unintended bias. The useful question is not whether every complex model can be reduced to a simple rule, but whether a clinician can identify the variables that materially drove the recommendation, determine whether those variables remain valid, and recognise when the model is extrapolating beyond its training distribution.</w:t>
      </w:r>
    </w:p>
    <w:p w14:paraId="49794ECC" w14:textId="77777777" w:rsidR="00FE7B37" w:rsidRPr="000013E1" w:rsidRDefault="00000000">
      <w:pPr>
        <w:ind w:firstLine="288"/>
      </w:pPr>
      <w:r w:rsidRPr="000013E1">
        <w:rPr>
          <w:rFonts w:eastAsia="Times New Roman"/>
        </w:rPr>
        <w:t>Feature-attribution methods such as SHAP can provide local explanations, but an explanation of a model is not necessarily an explanation of the clinical mechanism. If prior carbapenem exposure strongly influences a prediction of carbapenem resistance, the association is clinically plausible. If an administrative variable or hospital ward code dominates, the model may be using a proxy for unmeasured epidemiology. That proxy can work temporarily while failing abruptly after a ward reorganisation or outbreak. Governance should therefore include feature review, drift monitoring and predefined conditions under which recommendations are suppressed.</w:t>
      </w:r>
    </w:p>
    <w:p w14:paraId="4DD0B9EE" w14:textId="77777777" w:rsidR="00FE7B37" w:rsidRPr="000013E1" w:rsidRDefault="00000000">
      <w:pPr>
        <w:ind w:firstLine="288"/>
      </w:pPr>
      <w:r w:rsidRPr="000013E1">
        <w:rPr>
          <w:rFonts w:eastAsia="Times New Roman"/>
        </w:rPr>
        <w:t>Large language models (LLMs) add a different capability: they can synthesise narrative clinical information and generate prescribing recommendations in natural language. Their fluency can obscure uncertainty. In a 2025 evaluation of 14 LLMs across 60 clinical scenarios with antibiograms, prescribing accuracy varied materially between models and fell as cases became more complex, particularly for difficult-to-treat microorganisms (De Vito et al., 2025). This is exactly the circumstance in which MDRO management requires the greatest precision. The study used vignettes rather than prospective patients, so it cannot establish clinical safety; if anything, the controlled format probably underestimates problems caused by missing, contradictory or temporally evolving real-world data.</w:t>
      </w:r>
    </w:p>
    <w:p w14:paraId="5B79C6C9" w14:textId="77777777" w:rsidR="00FE7B37" w:rsidRPr="000013E1" w:rsidRDefault="00000000">
      <w:pPr>
        <w:ind w:firstLine="288"/>
      </w:pPr>
      <w:r w:rsidRPr="000013E1">
        <w:rPr>
          <w:rFonts w:eastAsia="Times New Roman"/>
        </w:rPr>
        <w:t>An LLM should therefore not function as an autonomous antimicrobial prescriber. A more defensible role is as a retrieval-grounded interface that summarises current microbiology, flags discordance with local guidance, drafts stewardship rationale and makes the provenance of each recommendation visible. Deterministic checks can constrain dose, renal adjustment, allergy status and pathogen-specific contraindications. The system should default to uncertainty when the required evidence is absent. This architecture uses the language model for information organisation rather than allowing it to invent the decision boundary.</w:t>
      </w:r>
    </w:p>
    <w:p w14:paraId="69CBF95D" w14:textId="77777777" w:rsidR="00FE7B37" w:rsidRPr="000013E1" w:rsidRDefault="00000000">
      <w:pPr>
        <w:pStyle w:val="Heading2"/>
        <w:rPr>
          <w:color w:val="auto"/>
        </w:rPr>
      </w:pPr>
      <w:r w:rsidRPr="000013E1">
        <w:rPr>
          <w:rFonts w:ascii="Times New Roman" w:eastAsia="Times New Roman" w:hAnsi="Times New Roman"/>
          <w:color w:val="auto"/>
        </w:rPr>
        <w:lastRenderedPageBreak/>
        <w:t>6.4 What the Evidence Actually Shows</w:t>
      </w:r>
    </w:p>
    <w:p w14:paraId="512A57A6" w14:textId="77777777" w:rsidR="00FE7B37" w:rsidRPr="000013E1" w:rsidRDefault="00000000">
      <w:pPr>
        <w:ind w:firstLine="288"/>
      </w:pPr>
      <w:r w:rsidRPr="000013E1">
        <w:rPr>
          <w:rFonts w:eastAsia="Times New Roman"/>
        </w:rPr>
        <w:t>Systematic reviews confirm broad research activity but also reveal that outcome evidence is immature. Pinto-de-Sá et al. (2024) identified observational studies using AI for tasks including inappropriate-prescribing detection, resistance prediction and therapy selection, with wide variation in model performance and settings. Pennisi et al. (2025) synthesised a larger literature and reported encouraging predictive and diagnostic performance, but the included studies were heterogeneous and dominated by model-development or retrospective validation designs. Lv and Wang (2024), focusing on resistance-prediction models more broadly, likewise found high heterogeneity and methodological bias. These findings should temper claims that AI has already transformed stewardship.</w:t>
      </w:r>
    </w:p>
    <w:p w14:paraId="6071669A" w14:textId="77777777" w:rsidR="00FE7B37" w:rsidRPr="000013E1" w:rsidRDefault="00000000">
      <w:pPr>
        <w:ind w:firstLine="288"/>
      </w:pPr>
      <w:r w:rsidRPr="000013E1">
        <w:rPr>
          <w:rFonts w:eastAsia="Times New Roman"/>
        </w:rPr>
        <w:t>The appropriate evidential ladder is straightforward. Retrospective discrimination demonstrates technical feasibility. Temporal validation tests stability. External validation tests transportability. Silent prospective deployment tests data pipelines and behaviour without changing care. Pragmatic impact trials test whether recommendations improve clinically meaningful outcomes. Post-deployment surveillance tests drift, equity and unintended consequences. Most current AI stewardship studies sit in the first three stages. The gap is therefore not a shortage of models but a shortage of rigorously evaluated implementations.</w:t>
      </w:r>
    </w:p>
    <w:p w14:paraId="7979FFFA" w14:textId="77777777" w:rsidR="00FE7B37" w:rsidRPr="000013E1" w:rsidRDefault="00FE7B37">
      <w:pPr>
        <w:sectPr w:rsidR="00FE7B37" w:rsidRPr="000013E1">
          <w:pgSz w:w="12240" w:h="15840"/>
          <w:pgMar w:top="1152" w:right="1224" w:bottom="1080" w:left="1224" w:header="504" w:footer="504" w:gutter="0"/>
          <w:cols w:space="720"/>
          <w:docGrid w:linePitch="360"/>
        </w:sectPr>
      </w:pPr>
    </w:p>
    <w:p w14:paraId="585E1873" w14:textId="77777777" w:rsidR="00FE7B37" w:rsidRPr="000013E1" w:rsidRDefault="00000000">
      <w:pPr>
        <w:spacing w:after="140" w:line="240" w:lineRule="auto"/>
      </w:pPr>
      <w:r w:rsidRPr="000013E1">
        <w:rPr>
          <w:rFonts w:eastAsia="Times New Roman"/>
          <w:sz w:val="20"/>
        </w:rPr>
        <w:lastRenderedPageBreak/>
        <w:t>Table 4 summarises major stewardship applications and the corresponding evidence gap. Across all applications, the decisive endpoint is whether AI changes antimicrobial exposure and patient outcomes without increasing treatment failure or resistance selection.</w:t>
      </w:r>
    </w:p>
    <w:p w14:paraId="2CDCCCB8" w14:textId="77777777" w:rsidR="00FE7B37" w:rsidRPr="000013E1" w:rsidRDefault="00000000">
      <w:pPr>
        <w:pStyle w:val="TableCaption"/>
      </w:pPr>
      <w:r w:rsidRPr="000013E1">
        <w:rPr>
          <w:rFonts w:eastAsia="Times New Roman"/>
        </w:rPr>
        <w:t>Table 4. Artificial intelligence applications in antimicrobial stewardship: practical value and evidence gaps</w:t>
      </w:r>
    </w:p>
    <w:tbl>
      <w:tblPr>
        <w:tblStyle w:val="TableGrid"/>
        <w:tblW w:w="0" w:type="auto"/>
        <w:jc w:val="center"/>
        <w:tblLayout w:type="fixed"/>
        <w:tblLook w:val="04A0" w:firstRow="1" w:lastRow="0" w:firstColumn="1" w:lastColumn="0" w:noHBand="0" w:noVBand="1"/>
      </w:tblPr>
      <w:tblGrid>
        <w:gridCol w:w="1728"/>
        <w:gridCol w:w="2188"/>
        <w:gridCol w:w="2232"/>
        <w:gridCol w:w="2088"/>
        <w:gridCol w:w="1987"/>
        <w:gridCol w:w="2131"/>
        <w:gridCol w:w="2188"/>
      </w:tblGrid>
      <w:tr w:rsidR="000013E1" w:rsidRPr="000013E1" w14:paraId="6F44EF6B" w14:textId="77777777">
        <w:trPr>
          <w:tblHeader/>
          <w:jc w:val="center"/>
        </w:trPr>
        <w:tc>
          <w:tcPr>
            <w:tcW w:w="1728" w:type="dxa"/>
            <w:shd w:val="clear" w:color="auto" w:fill="E7E6E6"/>
            <w:tcMar>
              <w:top w:w="80" w:type="dxa"/>
              <w:left w:w="75" w:type="dxa"/>
              <w:bottom w:w="80" w:type="dxa"/>
              <w:right w:w="75" w:type="dxa"/>
            </w:tcMar>
            <w:vAlign w:val="center"/>
          </w:tcPr>
          <w:p w14:paraId="2DA679A0" w14:textId="77777777" w:rsidR="00FE7B37" w:rsidRPr="000013E1" w:rsidRDefault="00000000">
            <w:pPr>
              <w:spacing w:after="0"/>
              <w:jc w:val="center"/>
            </w:pPr>
            <w:r w:rsidRPr="000013E1">
              <w:rPr>
                <w:rFonts w:eastAsia="Times New Roman"/>
                <w:b/>
                <w:sz w:val="16"/>
              </w:rPr>
              <w:t>Stewardship function</w:t>
            </w:r>
          </w:p>
        </w:tc>
        <w:tc>
          <w:tcPr>
            <w:tcW w:w="2188" w:type="dxa"/>
            <w:shd w:val="clear" w:color="auto" w:fill="E7E6E6"/>
            <w:tcMar>
              <w:top w:w="80" w:type="dxa"/>
              <w:left w:w="75" w:type="dxa"/>
              <w:bottom w:w="80" w:type="dxa"/>
              <w:right w:w="75" w:type="dxa"/>
            </w:tcMar>
            <w:vAlign w:val="center"/>
          </w:tcPr>
          <w:p w14:paraId="6694AD3D" w14:textId="77777777" w:rsidR="00FE7B37" w:rsidRPr="000013E1" w:rsidRDefault="00000000">
            <w:pPr>
              <w:spacing w:after="0"/>
              <w:jc w:val="center"/>
            </w:pPr>
            <w:r w:rsidRPr="000013E1">
              <w:rPr>
                <w:rFonts w:eastAsia="Times New Roman"/>
                <w:b/>
                <w:sz w:val="16"/>
              </w:rPr>
              <w:t>Typical model input</w:t>
            </w:r>
          </w:p>
        </w:tc>
        <w:tc>
          <w:tcPr>
            <w:tcW w:w="2232" w:type="dxa"/>
            <w:shd w:val="clear" w:color="auto" w:fill="E7E6E6"/>
            <w:tcMar>
              <w:top w:w="80" w:type="dxa"/>
              <w:left w:w="75" w:type="dxa"/>
              <w:bottom w:w="80" w:type="dxa"/>
              <w:right w:w="75" w:type="dxa"/>
            </w:tcMar>
            <w:vAlign w:val="center"/>
          </w:tcPr>
          <w:p w14:paraId="70C6ED40" w14:textId="77777777" w:rsidR="00FE7B37" w:rsidRPr="000013E1" w:rsidRDefault="00000000">
            <w:pPr>
              <w:spacing w:after="0"/>
              <w:jc w:val="center"/>
            </w:pPr>
            <w:r w:rsidRPr="000013E1">
              <w:rPr>
                <w:rFonts w:eastAsia="Times New Roman"/>
                <w:b/>
                <w:sz w:val="16"/>
              </w:rPr>
              <w:t>Intended clinical action</w:t>
            </w:r>
          </w:p>
        </w:tc>
        <w:tc>
          <w:tcPr>
            <w:tcW w:w="2088" w:type="dxa"/>
            <w:shd w:val="clear" w:color="auto" w:fill="E7E6E6"/>
            <w:tcMar>
              <w:top w:w="80" w:type="dxa"/>
              <w:left w:w="75" w:type="dxa"/>
              <w:bottom w:w="80" w:type="dxa"/>
              <w:right w:w="75" w:type="dxa"/>
            </w:tcMar>
            <w:vAlign w:val="center"/>
          </w:tcPr>
          <w:p w14:paraId="1A88A644" w14:textId="77777777" w:rsidR="00FE7B37" w:rsidRPr="000013E1" w:rsidRDefault="00000000">
            <w:pPr>
              <w:spacing w:after="0"/>
              <w:jc w:val="center"/>
            </w:pPr>
            <w:r w:rsidRPr="000013E1">
              <w:rPr>
                <w:rFonts w:eastAsia="Times New Roman"/>
                <w:b/>
                <w:sz w:val="16"/>
              </w:rPr>
              <w:t>Evidence to date</w:t>
            </w:r>
          </w:p>
        </w:tc>
        <w:tc>
          <w:tcPr>
            <w:tcW w:w="1987" w:type="dxa"/>
            <w:shd w:val="clear" w:color="auto" w:fill="E7E6E6"/>
            <w:tcMar>
              <w:top w:w="80" w:type="dxa"/>
              <w:left w:w="75" w:type="dxa"/>
              <w:bottom w:w="80" w:type="dxa"/>
              <w:right w:w="75" w:type="dxa"/>
            </w:tcMar>
            <w:vAlign w:val="center"/>
          </w:tcPr>
          <w:p w14:paraId="075F357B" w14:textId="77777777" w:rsidR="00FE7B37" w:rsidRPr="000013E1" w:rsidRDefault="00000000">
            <w:pPr>
              <w:spacing w:after="0"/>
              <w:jc w:val="center"/>
            </w:pPr>
            <w:r w:rsidRPr="000013E1">
              <w:rPr>
                <w:rFonts w:eastAsia="Times New Roman"/>
                <w:b/>
                <w:sz w:val="16"/>
              </w:rPr>
              <w:t>Principal risk</w:t>
            </w:r>
          </w:p>
        </w:tc>
        <w:tc>
          <w:tcPr>
            <w:tcW w:w="2131" w:type="dxa"/>
            <w:shd w:val="clear" w:color="auto" w:fill="E7E6E6"/>
            <w:tcMar>
              <w:top w:w="80" w:type="dxa"/>
              <w:left w:w="75" w:type="dxa"/>
              <w:bottom w:w="80" w:type="dxa"/>
              <w:right w:w="75" w:type="dxa"/>
            </w:tcMar>
            <w:vAlign w:val="center"/>
          </w:tcPr>
          <w:p w14:paraId="6A935AB1" w14:textId="77777777" w:rsidR="00FE7B37" w:rsidRPr="000013E1" w:rsidRDefault="00000000">
            <w:pPr>
              <w:spacing w:after="0"/>
              <w:jc w:val="center"/>
            </w:pPr>
            <w:r w:rsidRPr="000013E1">
              <w:rPr>
                <w:rFonts w:eastAsia="Times New Roman"/>
                <w:b/>
                <w:sz w:val="16"/>
              </w:rPr>
              <w:t>Priority outcome for prospective evaluation</w:t>
            </w:r>
          </w:p>
        </w:tc>
        <w:tc>
          <w:tcPr>
            <w:tcW w:w="2188" w:type="dxa"/>
            <w:shd w:val="clear" w:color="auto" w:fill="E7E6E6"/>
            <w:tcMar>
              <w:top w:w="80" w:type="dxa"/>
              <w:left w:w="75" w:type="dxa"/>
              <w:bottom w:w="80" w:type="dxa"/>
              <w:right w:w="75" w:type="dxa"/>
            </w:tcMar>
            <w:vAlign w:val="center"/>
          </w:tcPr>
          <w:p w14:paraId="320B1C2E" w14:textId="77777777" w:rsidR="00FE7B37" w:rsidRPr="000013E1" w:rsidRDefault="00000000">
            <w:pPr>
              <w:spacing w:after="0"/>
              <w:jc w:val="center"/>
            </w:pPr>
            <w:r w:rsidRPr="000013E1">
              <w:rPr>
                <w:rFonts w:eastAsia="Times New Roman"/>
                <w:b/>
                <w:sz w:val="16"/>
              </w:rPr>
              <w:t>Supporting references</w:t>
            </w:r>
          </w:p>
        </w:tc>
      </w:tr>
      <w:tr w:rsidR="000013E1" w:rsidRPr="002C2332" w14:paraId="56F9581D" w14:textId="77777777">
        <w:trPr>
          <w:jc w:val="center"/>
        </w:trPr>
        <w:tc>
          <w:tcPr>
            <w:tcW w:w="1728" w:type="dxa"/>
            <w:tcMar>
              <w:top w:w="75" w:type="dxa"/>
              <w:left w:w="75" w:type="dxa"/>
              <w:bottom w:w="75" w:type="dxa"/>
              <w:right w:w="75" w:type="dxa"/>
            </w:tcMar>
            <w:vAlign w:val="center"/>
          </w:tcPr>
          <w:p w14:paraId="42A1CC7D" w14:textId="77777777" w:rsidR="00FE7B37" w:rsidRPr="000013E1" w:rsidRDefault="00000000">
            <w:pPr>
              <w:spacing w:after="0"/>
              <w:jc w:val="left"/>
            </w:pPr>
            <w:proofErr w:type="spellStart"/>
            <w:r w:rsidRPr="000013E1">
              <w:rPr>
                <w:rFonts w:eastAsia="Times New Roman"/>
                <w:sz w:val="16"/>
              </w:rPr>
              <w:t>Personalised</w:t>
            </w:r>
            <w:proofErr w:type="spellEnd"/>
            <w:r w:rsidRPr="000013E1">
              <w:rPr>
                <w:rFonts w:eastAsia="Times New Roman"/>
                <w:sz w:val="16"/>
              </w:rPr>
              <w:t xml:space="preserve"> empiric therapy</w:t>
            </w:r>
          </w:p>
        </w:tc>
        <w:tc>
          <w:tcPr>
            <w:tcW w:w="2188" w:type="dxa"/>
            <w:tcMar>
              <w:top w:w="75" w:type="dxa"/>
              <w:left w:w="75" w:type="dxa"/>
              <w:bottom w:w="75" w:type="dxa"/>
              <w:right w:w="75" w:type="dxa"/>
            </w:tcMar>
            <w:vAlign w:val="center"/>
          </w:tcPr>
          <w:p w14:paraId="542EB18C" w14:textId="77777777" w:rsidR="00FE7B37" w:rsidRPr="000013E1" w:rsidRDefault="00000000">
            <w:pPr>
              <w:spacing w:after="0"/>
              <w:jc w:val="left"/>
            </w:pPr>
            <w:r w:rsidRPr="000013E1">
              <w:rPr>
                <w:rFonts w:eastAsia="Times New Roman"/>
                <w:sz w:val="16"/>
              </w:rPr>
              <w:t>Prior cultures, antibiotic exposure, comorbidity, location, organism identity and local ecology</w:t>
            </w:r>
          </w:p>
        </w:tc>
        <w:tc>
          <w:tcPr>
            <w:tcW w:w="2232" w:type="dxa"/>
            <w:tcMar>
              <w:top w:w="75" w:type="dxa"/>
              <w:left w:w="75" w:type="dxa"/>
              <w:bottom w:w="75" w:type="dxa"/>
              <w:right w:w="75" w:type="dxa"/>
            </w:tcMar>
            <w:vAlign w:val="center"/>
          </w:tcPr>
          <w:p w14:paraId="1E5E3568" w14:textId="77777777" w:rsidR="00FE7B37" w:rsidRPr="000013E1" w:rsidRDefault="00000000">
            <w:pPr>
              <w:spacing w:after="0"/>
              <w:jc w:val="left"/>
            </w:pPr>
            <w:r w:rsidRPr="000013E1">
              <w:rPr>
                <w:rFonts w:eastAsia="Times New Roman"/>
                <w:sz w:val="16"/>
              </w:rPr>
              <w:t>Select the narrowest regimen with adequate expected coverage</w:t>
            </w:r>
          </w:p>
        </w:tc>
        <w:tc>
          <w:tcPr>
            <w:tcW w:w="2088" w:type="dxa"/>
            <w:tcMar>
              <w:top w:w="75" w:type="dxa"/>
              <w:left w:w="75" w:type="dxa"/>
              <w:bottom w:w="75" w:type="dxa"/>
              <w:right w:w="75" w:type="dxa"/>
            </w:tcMar>
            <w:vAlign w:val="center"/>
          </w:tcPr>
          <w:p w14:paraId="1F339FB0" w14:textId="77777777" w:rsidR="00FE7B37" w:rsidRPr="000013E1" w:rsidRDefault="00000000">
            <w:pPr>
              <w:spacing w:after="0"/>
              <w:jc w:val="left"/>
            </w:pPr>
            <w:r w:rsidRPr="000013E1">
              <w:rPr>
                <w:rFonts w:eastAsia="Times New Roman"/>
                <w:sz w:val="16"/>
              </w:rPr>
              <w:t>Retrospective multi-site and single-site modelling shows feasibility</w:t>
            </w:r>
          </w:p>
        </w:tc>
        <w:tc>
          <w:tcPr>
            <w:tcW w:w="1987" w:type="dxa"/>
            <w:tcMar>
              <w:top w:w="75" w:type="dxa"/>
              <w:left w:w="75" w:type="dxa"/>
              <w:bottom w:w="75" w:type="dxa"/>
              <w:right w:w="75" w:type="dxa"/>
            </w:tcMar>
            <w:vAlign w:val="center"/>
          </w:tcPr>
          <w:p w14:paraId="1A81F2AA" w14:textId="77777777" w:rsidR="00FE7B37" w:rsidRPr="000013E1" w:rsidRDefault="00000000">
            <w:pPr>
              <w:spacing w:after="0"/>
              <w:jc w:val="left"/>
            </w:pPr>
            <w:r w:rsidRPr="000013E1">
              <w:rPr>
                <w:rFonts w:eastAsia="Times New Roman"/>
                <w:sz w:val="16"/>
              </w:rPr>
              <w:t>False susceptibility may delay active therapy; predictions are site dependent</w:t>
            </w:r>
          </w:p>
        </w:tc>
        <w:tc>
          <w:tcPr>
            <w:tcW w:w="2131" w:type="dxa"/>
            <w:tcMar>
              <w:top w:w="75" w:type="dxa"/>
              <w:left w:w="75" w:type="dxa"/>
              <w:bottom w:w="75" w:type="dxa"/>
              <w:right w:w="75" w:type="dxa"/>
            </w:tcMar>
            <w:vAlign w:val="center"/>
          </w:tcPr>
          <w:p w14:paraId="0647216D" w14:textId="77777777" w:rsidR="00FE7B37" w:rsidRPr="000013E1" w:rsidRDefault="00000000">
            <w:pPr>
              <w:spacing w:after="0"/>
              <w:jc w:val="left"/>
            </w:pPr>
            <w:r w:rsidRPr="000013E1">
              <w:rPr>
                <w:rFonts w:eastAsia="Times New Roman"/>
                <w:sz w:val="16"/>
              </w:rPr>
              <w:t>Time to active therapy, spectrum of empiric therapy, mortality and adverse events</w:t>
            </w:r>
          </w:p>
        </w:tc>
        <w:tc>
          <w:tcPr>
            <w:tcW w:w="2188" w:type="dxa"/>
            <w:tcMar>
              <w:top w:w="75" w:type="dxa"/>
              <w:left w:w="75" w:type="dxa"/>
              <w:bottom w:w="75" w:type="dxa"/>
              <w:right w:w="75" w:type="dxa"/>
            </w:tcMar>
            <w:vAlign w:val="center"/>
          </w:tcPr>
          <w:p w14:paraId="71DA18E1" w14:textId="77777777" w:rsidR="00FE7B37" w:rsidRPr="002C2332" w:rsidRDefault="00000000">
            <w:pPr>
              <w:spacing w:after="0"/>
              <w:jc w:val="left"/>
              <w:rPr>
                <w:lang w:val="nl-BE"/>
              </w:rPr>
            </w:pPr>
            <w:r w:rsidRPr="002C2332">
              <w:rPr>
                <w:rFonts w:eastAsia="Times New Roman"/>
                <w:sz w:val="16"/>
                <w:lang w:val="nl-BE"/>
              </w:rPr>
              <w:t>Lewin-Epstein et al., 2021; Corbin et al., 2022; Oonsivilai et al., 2018</w:t>
            </w:r>
          </w:p>
        </w:tc>
      </w:tr>
      <w:tr w:rsidR="000013E1" w:rsidRPr="000013E1" w14:paraId="38D0BC48" w14:textId="77777777">
        <w:trPr>
          <w:jc w:val="center"/>
        </w:trPr>
        <w:tc>
          <w:tcPr>
            <w:tcW w:w="1728" w:type="dxa"/>
            <w:tcMar>
              <w:top w:w="75" w:type="dxa"/>
              <w:left w:w="75" w:type="dxa"/>
              <w:bottom w:w="75" w:type="dxa"/>
              <w:right w:w="75" w:type="dxa"/>
            </w:tcMar>
            <w:vAlign w:val="center"/>
          </w:tcPr>
          <w:p w14:paraId="36B62B6D" w14:textId="77777777" w:rsidR="00FE7B37" w:rsidRPr="000013E1" w:rsidRDefault="00000000">
            <w:pPr>
              <w:spacing w:after="0"/>
              <w:jc w:val="left"/>
            </w:pPr>
            <w:proofErr w:type="spellStart"/>
            <w:r w:rsidRPr="000013E1">
              <w:rPr>
                <w:rFonts w:eastAsia="Times New Roman"/>
                <w:sz w:val="16"/>
              </w:rPr>
              <w:t>Prioritisation</w:t>
            </w:r>
            <w:proofErr w:type="spellEnd"/>
            <w:r w:rsidRPr="000013E1">
              <w:rPr>
                <w:rFonts w:eastAsia="Times New Roman"/>
                <w:sz w:val="16"/>
              </w:rPr>
              <w:t xml:space="preserve"> of stewardship review</w:t>
            </w:r>
          </w:p>
        </w:tc>
        <w:tc>
          <w:tcPr>
            <w:tcW w:w="2188" w:type="dxa"/>
            <w:tcMar>
              <w:top w:w="75" w:type="dxa"/>
              <w:left w:w="75" w:type="dxa"/>
              <w:bottom w:w="75" w:type="dxa"/>
              <w:right w:w="75" w:type="dxa"/>
            </w:tcMar>
            <w:vAlign w:val="center"/>
          </w:tcPr>
          <w:p w14:paraId="05ACB4BD" w14:textId="77777777" w:rsidR="00FE7B37" w:rsidRPr="000013E1" w:rsidRDefault="00000000">
            <w:pPr>
              <w:spacing w:after="0"/>
              <w:jc w:val="left"/>
            </w:pPr>
            <w:r w:rsidRPr="000013E1">
              <w:rPr>
                <w:rFonts w:eastAsia="Times New Roman"/>
                <w:sz w:val="16"/>
              </w:rPr>
              <w:t>Medication orders, laboratory results, microbiology and patient status</w:t>
            </w:r>
          </w:p>
        </w:tc>
        <w:tc>
          <w:tcPr>
            <w:tcW w:w="2232" w:type="dxa"/>
            <w:tcMar>
              <w:top w:w="75" w:type="dxa"/>
              <w:left w:w="75" w:type="dxa"/>
              <w:bottom w:w="75" w:type="dxa"/>
              <w:right w:w="75" w:type="dxa"/>
            </w:tcMar>
            <w:vAlign w:val="center"/>
          </w:tcPr>
          <w:p w14:paraId="4D9E7CB8" w14:textId="77777777" w:rsidR="00FE7B37" w:rsidRPr="000013E1" w:rsidRDefault="00000000">
            <w:pPr>
              <w:spacing w:after="0"/>
              <w:jc w:val="left"/>
            </w:pPr>
            <w:r w:rsidRPr="000013E1">
              <w:rPr>
                <w:rFonts w:eastAsia="Times New Roman"/>
                <w:sz w:val="16"/>
              </w:rPr>
              <w:t>Rank patients most likely to benefit from expert review</w:t>
            </w:r>
          </w:p>
        </w:tc>
        <w:tc>
          <w:tcPr>
            <w:tcW w:w="2088" w:type="dxa"/>
            <w:tcMar>
              <w:top w:w="75" w:type="dxa"/>
              <w:left w:w="75" w:type="dxa"/>
              <w:bottom w:w="75" w:type="dxa"/>
              <w:right w:w="75" w:type="dxa"/>
            </w:tcMar>
            <w:vAlign w:val="center"/>
          </w:tcPr>
          <w:p w14:paraId="54237250" w14:textId="77777777" w:rsidR="00FE7B37" w:rsidRPr="000013E1" w:rsidRDefault="00000000">
            <w:pPr>
              <w:spacing w:after="0"/>
              <w:jc w:val="left"/>
            </w:pPr>
            <w:r w:rsidRPr="000013E1">
              <w:rPr>
                <w:rFonts w:eastAsia="Times New Roman"/>
                <w:sz w:val="16"/>
              </w:rPr>
              <w:t>Moderate discrimination; newer models improve yield relative to simple review rules</w:t>
            </w:r>
          </w:p>
        </w:tc>
        <w:tc>
          <w:tcPr>
            <w:tcW w:w="1987" w:type="dxa"/>
            <w:tcMar>
              <w:top w:w="75" w:type="dxa"/>
              <w:left w:w="75" w:type="dxa"/>
              <w:bottom w:w="75" w:type="dxa"/>
              <w:right w:w="75" w:type="dxa"/>
            </w:tcMar>
            <w:vAlign w:val="center"/>
          </w:tcPr>
          <w:p w14:paraId="6EE54E3C" w14:textId="77777777" w:rsidR="00FE7B37" w:rsidRPr="000013E1" w:rsidRDefault="00000000">
            <w:pPr>
              <w:spacing w:after="0"/>
              <w:jc w:val="left"/>
            </w:pPr>
            <w:r w:rsidRPr="000013E1">
              <w:rPr>
                <w:rFonts w:eastAsia="Times New Roman"/>
                <w:sz w:val="16"/>
              </w:rPr>
              <w:t>Historical stewardship actions can encode local bias and workload artefacts</w:t>
            </w:r>
          </w:p>
        </w:tc>
        <w:tc>
          <w:tcPr>
            <w:tcW w:w="2131" w:type="dxa"/>
            <w:tcMar>
              <w:top w:w="75" w:type="dxa"/>
              <w:left w:w="75" w:type="dxa"/>
              <w:bottom w:w="75" w:type="dxa"/>
              <w:right w:w="75" w:type="dxa"/>
            </w:tcMar>
            <w:vAlign w:val="center"/>
          </w:tcPr>
          <w:p w14:paraId="6DF75891" w14:textId="77777777" w:rsidR="00FE7B37" w:rsidRPr="000013E1" w:rsidRDefault="00000000">
            <w:pPr>
              <w:spacing w:after="0"/>
              <w:jc w:val="left"/>
            </w:pPr>
            <w:r w:rsidRPr="000013E1">
              <w:rPr>
                <w:rFonts w:eastAsia="Times New Roman"/>
                <w:sz w:val="16"/>
              </w:rPr>
              <w:t>Intervention yield per reviewer-hour, inappropriate days of therapy and missed high-risk cases</w:t>
            </w:r>
          </w:p>
        </w:tc>
        <w:tc>
          <w:tcPr>
            <w:tcW w:w="2188" w:type="dxa"/>
            <w:tcMar>
              <w:top w:w="75" w:type="dxa"/>
              <w:left w:w="75" w:type="dxa"/>
              <w:bottom w:w="75" w:type="dxa"/>
              <w:right w:w="75" w:type="dxa"/>
            </w:tcMar>
            <w:vAlign w:val="center"/>
          </w:tcPr>
          <w:p w14:paraId="450DADC8" w14:textId="77777777" w:rsidR="00FE7B37" w:rsidRPr="000013E1" w:rsidRDefault="00000000">
            <w:pPr>
              <w:spacing w:after="0"/>
              <w:jc w:val="left"/>
            </w:pPr>
            <w:r w:rsidRPr="000013E1">
              <w:rPr>
                <w:rFonts w:eastAsia="Times New Roman"/>
                <w:sz w:val="16"/>
              </w:rPr>
              <w:t>Bystritsky et al., 2020; Tran-The et al., 2024</w:t>
            </w:r>
          </w:p>
        </w:tc>
      </w:tr>
      <w:tr w:rsidR="000013E1" w:rsidRPr="000013E1" w14:paraId="0B69DA03" w14:textId="77777777">
        <w:trPr>
          <w:jc w:val="center"/>
        </w:trPr>
        <w:tc>
          <w:tcPr>
            <w:tcW w:w="1728" w:type="dxa"/>
            <w:tcMar>
              <w:top w:w="75" w:type="dxa"/>
              <w:left w:w="75" w:type="dxa"/>
              <w:bottom w:w="75" w:type="dxa"/>
              <w:right w:w="75" w:type="dxa"/>
            </w:tcMar>
            <w:vAlign w:val="center"/>
          </w:tcPr>
          <w:p w14:paraId="3AD3DBD7" w14:textId="77777777" w:rsidR="00FE7B37" w:rsidRPr="000013E1" w:rsidRDefault="00000000">
            <w:pPr>
              <w:spacing w:after="0"/>
              <w:jc w:val="left"/>
            </w:pPr>
            <w:r w:rsidRPr="000013E1">
              <w:rPr>
                <w:rFonts w:eastAsia="Times New Roman"/>
                <w:sz w:val="16"/>
              </w:rPr>
              <w:t>De-escalation and IV-to-oral conversion</w:t>
            </w:r>
          </w:p>
        </w:tc>
        <w:tc>
          <w:tcPr>
            <w:tcW w:w="2188" w:type="dxa"/>
            <w:tcMar>
              <w:top w:w="75" w:type="dxa"/>
              <w:left w:w="75" w:type="dxa"/>
              <w:bottom w:w="75" w:type="dxa"/>
              <w:right w:w="75" w:type="dxa"/>
            </w:tcMar>
            <w:vAlign w:val="center"/>
          </w:tcPr>
          <w:p w14:paraId="6CA59E18" w14:textId="77777777" w:rsidR="00FE7B37" w:rsidRPr="000013E1" w:rsidRDefault="00000000">
            <w:pPr>
              <w:spacing w:after="0"/>
              <w:jc w:val="left"/>
            </w:pPr>
            <w:r w:rsidRPr="000013E1">
              <w:rPr>
                <w:rFonts w:eastAsia="Times New Roman"/>
                <w:sz w:val="16"/>
              </w:rPr>
              <w:t>Clinical stability, culture results, treatment duration and route</w:t>
            </w:r>
          </w:p>
        </w:tc>
        <w:tc>
          <w:tcPr>
            <w:tcW w:w="2232" w:type="dxa"/>
            <w:tcMar>
              <w:top w:w="75" w:type="dxa"/>
              <w:left w:w="75" w:type="dxa"/>
              <w:bottom w:w="75" w:type="dxa"/>
              <w:right w:w="75" w:type="dxa"/>
            </w:tcMar>
            <w:vAlign w:val="center"/>
          </w:tcPr>
          <w:p w14:paraId="28AEFA81" w14:textId="77777777" w:rsidR="00FE7B37" w:rsidRPr="000013E1" w:rsidRDefault="00000000">
            <w:pPr>
              <w:spacing w:after="0"/>
              <w:jc w:val="left"/>
            </w:pPr>
            <w:r w:rsidRPr="000013E1">
              <w:rPr>
                <w:rFonts w:eastAsia="Times New Roman"/>
                <w:sz w:val="16"/>
              </w:rPr>
              <w:t>Prompt narrowing, discontinuation or route conversion</w:t>
            </w:r>
          </w:p>
        </w:tc>
        <w:tc>
          <w:tcPr>
            <w:tcW w:w="2088" w:type="dxa"/>
            <w:tcMar>
              <w:top w:w="75" w:type="dxa"/>
              <w:left w:w="75" w:type="dxa"/>
              <w:bottom w:w="75" w:type="dxa"/>
              <w:right w:w="75" w:type="dxa"/>
            </w:tcMar>
            <w:vAlign w:val="center"/>
          </w:tcPr>
          <w:p w14:paraId="5BCCDD09" w14:textId="77777777" w:rsidR="00FE7B37" w:rsidRPr="000013E1" w:rsidRDefault="00000000">
            <w:pPr>
              <w:spacing w:after="0"/>
              <w:jc w:val="left"/>
            </w:pPr>
            <w:r w:rsidRPr="000013E1">
              <w:rPr>
                <w:rFonts w:eastAsia="Times New Roman"/>
                <w:sz w:val="16"/>
              </w:rPr>
              <w:t>Retrospective explainable models are promising</w:t>
            </w:r>
          </w:p>
        </w:tc>
        <w:tc>
          <w:tcPr>
            <w:tcW w:w="1987" w:type="dxa"/>
            <w:tcMar>
              <w:top w:w="75" w:type="dxa"/>
              <w:left w:w="75" w:type="dxa"/>
              <w:bottom w:w="75" w:type="dxa"/>
              <w:right w:w="75" w:type="dxa"/>
            </w:tcMar>
            <w:vAlign w:val="center"/>
          </w:tcPr>
          <w:p w14:paraId="5D48889F" w14:textId="77777777" w:rsidR="00FE7B37" w:rsidRPr="000013E1" w:rsidRDefault="00000000">
            <w:pPr>
              <w:spacing w:after="0"/>
              <w:jc w:val="left"/>
            </w:pPr>
            <w:r w:rsidRPr="000013E1">
              <w:rPr>
                <w:rFonts w:eastAsia="Times New Roman"/>
                <w:sz w:val="16"/>
              </w:rPr>
              <w:t>Automation may act before source control or clinical context is adequately represented</w:t>
            </w:r>
          </w:p>
        </w:tc>
        <w:tc>
          <w:tcPr>
            <w:tcW w:w="2131" w:type="dxa"/>
            <w:tcMar>
              <w:top w:w="75" w:type="dxa"/>
              <w:left w:w="75" w:type="dxa"/>
              <w:bottom w:w="75" w:type="dxa"/>
              <w:right w:w="75" w:type="dxa"/>
            </w:tcMar>
            <w:vAlign w:val="center"/>
          </w:tcPr>
          <w:p w14:paraId="42AE1A3F" w14:textId="77777777" w:rsidR="00FE7B37" w:rsidRPr="000013E1" w:rsidRDefault="00000000">
            <w:pPr>
              <w:spacing w:after="0"/>
              <w:jc w:val="left"/>
            </w:pPr>
            <w:r w:rsidRPr="000013E1">
              <w:rPr>
                <w:rFonts w:eastAsia="Times New Roman"/>
                <w:sz w:val="16"/>
              </w:rPr>
              <w:t>Days of broad-spectrum therapy, relapse, readmission, treatment failure and length of stay</w:t>
            </w:r>
          </w:p>
        </w:tc>
        <w:tc>
          <w:tcPr>
            <w:tcW w:w="2188" w:type="dxa"/>
            <w:tcMar>
              <w:top w:w="75" w:type="dxa"/>
              <w:left w:w="75" w:type="dxa"/>
              <w:bottom w:w="75" w:type="dxa"/>
              <w:right w:w="75" w:type="dxa"/>
            </w:tcMar>
            <w:vAlign w:val="center"/>
          </w:tcPr>
          <w:p w14:paraId="2C31BE9A" w14:textId="77777777" w:rsidR="00FE7B37" w:rsidRPr="000013E1" w:rsidRDefault="00000000">
            <w:pPr>
              <w:spacing w:after="0"/>
              <w:jc w:val="left"/>
            </w:pPr>
            <w:r w:rsidRPr="000013E1">
              <w:rPr>
                <w:rFonts w:eastAsia="Times New Roman"/>
                <w:sz w:val="16"/>
              </w:rPr>
              <w:t>Tran-The et al., 2024</w:t>
            </w:r>
          </w:p>
        </w:tc>
      </w:tr>
      <w:tr w:rsidR="000013E1" w:rsidRPr="002C2332" w14:paraId="24D1264A" w14:textId="77777777">
        <w:trPr>
          <w:jc w:val="center"/>
        </w:trPr>
        <w:tc>
          <w:tcPr>
            <w:tcW w:w="1728" w:type="dxa"/>
            <w:tcMar>
              <w:top w:w="75" w:type="dxa"/>
              <w:left w:w="75" w:type="dxa"/>
              <w:bottom w:w="75" w:type="dxa"/>
              <w:right w:w="75" w:type="dxa"/>
            </w:tcMar>
            <w:vAlign w:val="center"/>
          </w:tcPr>
          <w:p w14:paraId="76DD642D" w14:textId="77777777" w:rsidR="00FE7B37" w:rsidRPr="000013E1" w:rsidRDefault="00000000">
            <w:pPr>
              <w:spacing w:after="0"/>
              <w:jc w:val="left"/>
            </w:pPr>
            <w:r w:rsidRPr="000013E1">
              <w:rPr>
                <w:rFonts w:eastAsia="Times New Roman"/>
                <w:sz w:val="16"/>
              </w:rPr>
              <w:t>Resistance-risk prediction</w:t>
            </w:r>
          </w:p>
        </w:tc>
        <w:tc>
          <w:tcPr>
            <w:tcW w:w="2188" w:type="dxa"/>
            <w:tcMar>
              <w:top w:w="75" w:type="dxa"/>
              <w:left w:w="75" w:type="dxa"/>
              <w:bottom w:w="75" w:type="dxa"/>
              <w:right w:w="75" w:type="dxa"/>
            </w:tcMar>
            <w:vAlign w:val="center"/>
          </w:tcPr>
          <w:p w14:paraId="2659104E" w14:textId="77777777" w:rsidR="00FE7B37" w:rsidRPr="000013E1" w:rsidRDefault="00000000">
            <w:pPr>
              <w:spacing w:after="0"/>
              <w:jc w:val="left"/>
            </w:pPr>
            <w:r w:rsidRPr="000013E1">
              <w:rPr>
                <w:rFonts w:eastAsia="Times New Roman"/>
                <w:sz w:val="16"/>
              </w:rPr>
              <w:t>EHR history plus early microbiology</w:t>
            </w:r>
          </w:p>
        </w:tc>
        <w:tc>
          <w:tcPr>
            <w:tcW w:w="2232" w:type="dxa"/>
            <w:tcMar>
              <w:top w:w="75" w:type="dxa"/>
              <w:left w:w="75" w:type="dxa"/>
              <w:bottom w:w="75" w:type="dxa"/>
              <w:right w:w="75" w:type="dxa"/>
            </w:tcMar>
            <w:vAlign w:val="center"/>
          </w:tcPr>
          <w:p w14:paraId="41D340D9" w14:textId="77777777" w:rsidR="00FE7B37" w:rsidRPr="000013E1" w:rsidRDefault="00000000">
            <w:pPr>
              <w:spacing w:after="0"/>
              <w:jc w:val="left"/>
            </w:pPr>
            <w:r w:rsidRPr="000013E1">
              <w:rPr>
                <w:rFonts w:eastAsia="Times New Roman"/>
                <w:sz w:val="16"/>
              </w:rPr>
              <w:t>Escalate or avoid selected empiric agents</w:t>
            </w:r>
          </w:p>
        </w:tc>
        <w:tc>
          <w:tcPr>
            <w:tcW w:w="2088" w:type="dxa"/>
            <w:tcMar>
              <w:top w:w="75" w:type="dxa"/>
              <w:left w:w="75" w:type="dxa"/>
              <w:bottom w:w="75" w:type="dxa"/>
              <w:right w:w="75" w:type="dxa"/>
            </w:tcMar>
            <w:vAlign w:val="center"/>
          </w:tcPr>
          <w:p w14:paraId="606BADBB" w14:textId="77777777" w:rsidR="00FE7B37" w:rsidRPr="000013E1" w:rsidRDefault="00000000">
            <w:pPr>
              <w:spacing w:after="0"/>
              <w:jc w:val="left"/>
            </w:pPr>
            <w:r w:rsidRPr="000013E1">
              <w:rPr>
                <w:rFonts w:eastAsia="Times New Roman"/>
                <w:sz w:val="16"/>
              </w:rPr>
              <w:t>Multiple retrospective models with variable transportability</w:t>
            </w:r>
          </w:p>
        </w:tc>
        <w:tc>
          <w:tcPr>
            <w:tcW w:w="1987" w:type="dxa"/>
            <w:tcMar>
              <w:top w:w="75" w:type="dxa"/>
              <w:left w:w="75" w:type="dxa"/>
              <w:bottom w:w="75" w:type="dxa"/>
              <w:right w:w="75" w:type="dxa"/>
            </w:tcMar>
            <w:vAlign w:val="center"/>
          </w:tcPr>
          <w:p w14:paraId="1DF4C42A" w14:textId="77777777" w:rsidR="00FE7B37" w:rsidRPr="000013E1" w:rsidRDefault="00000000">
            <w:pPr>
              <w:spacing w:after="0"/>
              <w:jc w:val="left"/>
            </w:pPr>
            <w:r w:rsidRPr="000013E1">
              <w:rPr>
                <w:rFonts w:eastAsia="Times New Roman"/>
                <w:sz w:val="16"/>
              </w:rPr>
              <w:t>Model drift as resistance epidemiology and prescribing change</w:t>
            </w:r>
          </w:p>
        </w:tc>
        <w:tc>
          <w:tcPr>
            <w:tcW w:w="2131" w:type="dxa"/>
            <w:tcMar>
              <w:top w:w="75" w:type="dxa"/>
              <w:left w:w="75" w:type="dxa"/>
              <w:bottom w:w="75" w:type="dxa"/>
              <w:right w:w="75" w:type="dxa"/>
            </w:tcMar>
            <w:vAlign w:val="center"/>
          </w:tcPr>
          <w:p w14:paraId="521641F1" w14:textId="77777777" w:rsidR="00FE7B37" w:rsidRPr="000013E1" w:rsidRDefault="00000000">
            <w:pPr>
              <w:spacing w:after="0"/>
              <w:jc w:val="left"/>
            </w:pPr>
            <w:r w:rsidRPr="000013E1">
              <w:rPr>
                <w:rFonts w:eastAsia="Times New Roman"/>
                <w:sz w:val="16"/>
              </w:rPr>
              <w:t>Calibration over time, subgroup safety and net clinical benefit</w:t>
            </w:r>
          </w:p>
        </w:tc>
        <w:tc>
          <w:tcPr>
            <w:tcW w:w="2188" w:type="dxa"/>
            <w:tcMar>
              <w:top w:w="75" w:type="dxa"/>
              <w:left w:w="75" w:type="dxa"/>
              <w:bottom w:w="75" w:type="dxa"/>
              <w:right w:w="75" w:type="dxa"/>
            </w:tcMar>
            <w:vAlign w:val="center"/>
          </w:tcPr>
          <w:p w14:paraId="3AECADB7" w14:textId="77777777" w:rsidR="00FE7B37" w:rsidRPr="002C2332" w:rsidRDefault="00000000">
            <w:pPr>
              <w:spacing w:after="0"/>
              <w:jc w:val="left"/>
              <w:rPr>
                <w:lang w:val="nl-BE"/>
              </w:rPr>
            </w:pPr>
            <w:r w:rsidRPr="002C2332">
              <w:rPr>
                <w:rFonts w:eastAsia="Times New Roman"/>
                <w:sz w:val="16"/>
                <w:lang w:val="nl-BE"/>
              </w:rPr>
              <w:t>Lewin-Epstein et al., 2021; Lv &amp; Wang, 2024; Pennisi et al., 2025</w:t>
            </w:r>
          </w:p>
        </w:tc>
      </w:tr>
      <w:tr w:rsidR="000013E1" w:rsidRPr="002C2332" w14:paraId="21876BF5" w14:textId="77777777">
        <w:trPr>
          <w:jc w:val="center"/>
        </w:trPr>
        <w:tc>
          <w:tcPr>
            <w:tcW w:w="1728" w:type="dxa"/>
            <w:tcMar>
              <w:top w:w="75" w:type="dxa"/>
              <w:left w:w="75" w:type="dxa"/>
              <w:bottom w:w="75" w:type="dxa"/>
              <w:right w:w="75" w:type="dxa"/>
            </w:tcMar>
            <w:vAlign w:val="center"/>
          </w:tcPr>
          <w:p w14:paraId="06B6B270" w14:textId="77777777" w:rsidR="00FE7B37" w:rsidRPr="000013E1" w:rsidRDefault="00000000">
            <w:pPr>
              <w:spacing w:after="0"/>
              <w:jc w:val="left"/>
            </w:pPr>
            <w:r w:rsidRPr="000013E1">
              <w:rPr>
                <w:rFonts w:eastAsia="Times New Roman"/>
                <w:sz w:val="16"/>
              </w:rPr>
              <w:t>LLM-assisted prescribing and stewardship communication</w:t>
            </w:r>
          </w:p>
        </w:tc>
        <w:tc>
          <w:tcPr>
            <w:tcW w:w="2188" w:type="dxa"/>
            <w:tcMar>
              <w:top w:w="75" w:type="dxa"/>
              <w:left w:w="75" w:type="dxa"/>
              <w:bottom w:w="75" w:type="dxa"/>
              <w:right w:w="75" w:type="dxa"/>
            </w:tcMar>
            <w:vAlign w:val="center"/>
          </w:tcPr>
          <w:p w14:paraId="29E82617" w14:textId="77777777" w:rsidR="00FE7B37" w:rsidRPr="000013E1" w:rsidRDefault="00000000">
            <w:pPr>
              <w:spacing w:after="0"/>
              <w:jc w:val="left"/>
            </w:pPr>
            <w:r w:rsidRPr="000013E1">
              <w:rPr>
                <w:rFonts w:eastAsia="Times New Roman"/>
                <w:sz w:val="16"/>
              </w:rPr>
              <w:t>Free-text clinical context, guidelines and antibiograms</w:t>
            </w:r>
          </w:p>
        </w:tc>
        <w:tc>
          <w:tcPr>
            <w:tcW w:w="2232" w:type="dxa"/>
            <w:tcMar>
              <w:top w:w="75" w:type="dxa"/>
              <w:left w:w="75" w:type="dxa"/>
              <w:bottom w:w="75" w:type="dxa"/>
              <w:right w:w="75" w:type="dxa"/>
            </w:tcMar>
            <w:vAlign w:val="center"/>
          </w:tcPr>
          <w:p w14:paraId="4A0A0B0F" w14:textId="77777777" w:rsidR="00FE7B37" w:rsidRPr="000013E1" w:rsidRDefault="00000000">
            <w:pPr>
              <w:spacing w:after="0"/>
              <w:jc w:val="left"/>
            </w:pPr>
            <w:r w:rsidRPr="000013E1">
              <w:rPr>
                <w:rFonts w:eastAsia="Times New Roman"/>
                <w:sz w:val="16"/>
              </w:rPr>
              <w:t>Generate or explain antibiotic recommendations</w:t>
            </w:r>
          </w:p>
        </w:tc>
        <w:tc>
          <w:tcPr>
            <w:tcW w:w="2088" w:type="dxa"/>
            <w:tcMar>
              <w:top w:w="75" w:type="dxa"/>
              <w:left w:w="75" w:type="dxa"/>
              <w:bottom w:w="75" w:type="dxa"/>
              <w:right w:w="75" w:type="dxa"/>
            </w:tcMar>
            <w:vAlign w:val="center"/>
          </w:tcPr>
          <w:p w14:paraId="7E571BF5" w14:textId="77777777" w:rsidR="00FE7B37" w:rsidRPr="000013E1" w:rsidRDefault="00000000">
            <w:pPr>
              <w:spacing w:after="0"/>
              <w:jc w:val="left"/>
            </w:pPr>
            <w:r w:rsidRPr="000013E1">
              <w:rPr>
                <w:rFonts w:eastAsia="Times New Roman"/>
                <w:sz w:val="16"/>
              </w:rPr>
              <w:t>Vignette studies show variable performance and reduced accuracy in complex MDRO scenarios</w:t>
            </w:r>
          </w:p>
        </w:tc>
        <w:tc>
          <w:tcPr>
            <w:tcW w:w="1987" w:type="dxa"/>
            <w:tcMar>
              <w:top w:w="75" w:type="dxa"/>
              <w:left w:w="75" w:type="dxa"/>
              <w:bottom w:w="75" w:type="dxa"/>
              <w:right w:w="75" w:type="dxa"/>
            </w:tcMar>
            <w:vAlign w:val="center"/>
          </w:tcPr>
          <w:p w14:paraId="6ED87A37" w14:textId="77777777" w:rsidR="00FE7B37" w:rsidRPr="000013E1" w:rsidRDefault="00000000">
            <w:pPr>
              <w:spacing w:after="0"/>
              <w:jc w:val="left"/>
            </w:pPr>
            <w:r w:rsidRPr="000013E1">
              <w:rPr>
                <w:rFonts w:eastAsia="Times New Roman"/>
                <w:sz w:val="16"/>
              </w:rPr>
              <w:t>Hallucination, outdated guidance, inconsistent dosing and persuasive overconfidence</w:t>
            </w:r>
          </w:p>
        </w:tc>
        <w:tc>
          <w:tcPr>
            <w:tcW w:w="2131" w:type="dxa"/>
            <w:tcMar>
              <w:top w:w="75" w:type="dxa"/>
              <w:left w:w="75" w:type="dxa"/>
              <w:bottom w:w="75" w:type="dxa"/>
              <w:right w:w="75" w:type="dxa"/>
            </w:tcMar>
            <w:vAlign w:val="center"/>
          </w:tcPr>
          <w:p w14:paraId="01D585B2" w14:textId="77777777" w:rsidR="00FE7B37" w:rsidRPr="000013E1" w:rsidRDefault="00000000">
            <w:pPr>
              <w:spacing w:after="0"/>
              <w:jc w:val="left"/>
            </w:pPr>
            <w:r w:rsidRPr="000013E1">
              <w:rPr>
                <w:rFonts w:eastAsia="Times New Roman"/>
                <w:sz w:val="16"/>
              </w:rPr>
              <w:t>Prospective safety under retrieval grounding and clinician supervision</w:t>
            </w:r>
          </w:p>
        </w:tc>
        <w:tc>
          <w:tcPr>
            <w:tcW w:w="2188" w:type="dxa"/>
            <w:tcMar>
              <w:top w:w="75" w:type="dxa"/>
              <w:left w:w="75" w:type="dxa"/>
              <w:bottom w:w="75" w:type="dxa"/>
              <w:right w:w="75" w:type="dxa"/>
            </w:tcMar>
            <w:vAlign w:val="center"/>
          </w:tcPr>
          <w:p w14:paraId="7776BEEC" w14:textId="77777777" w:rsidR="00FE7B37" w:rsidRPr="002C2332" w:rsidRDefault="00000000">
            <w:pPr>
              <w:spacing w:after="0"/>
              <w:jc w:val="left"/>
              <w:rPr>
                <w:lang w:val="nl-BE"/>
              </w:rPr>
            </w:pPr>
            <w:r w:rsidRPr="002C2332">
              <w:rPr>
                <w:rFonts w:eastAsia="Times New Roman"/>
                <w:sz w:val="16"/>
                <w:lang w:val="nl-BE"/>
              </w:rPr>
              <w:t>De Vito et al., 2025; Giacobbe et al., 2024</w:t>
            </w:r>
          </w:p>
        </w:tc>
      </w:tr>
    </w:tbl>
    <w:p w14:paraId="63456919" w14:textId="77777777" w:rsidR="00FE7B37" w:rsidRPr="000013E1" w:rsidRDefault="00000000">
      <w:pPr>
        <w:pStyle w:val="TableNote"/>
      </w:pPr>
      <w:r w:rsidRPr="000013E1">
        <w:rPr>
          <w:rFonts w:eastAsia="Times New Roman"/>
          <w:i/>
        </w:rPr>
        <w:t>Table note.</w:t>
      </w:r>
      <w:r w:rsidRPr="000013E1">
        <w:rPr>
          <w:rFonts w:eastAsia="Times New Roman"/>
        </w:rPr>
        <w:t xml:space="preserve"> EHR = electronic health record; IV = intravenous; LLM = large language model; MDRO = multidrug-resistant organism.</w:t>
      </w:r>
    </w:p>
    <w:p w14:paraId="78DDCEC7" w14:textId="77777777" w:rsidR="00FE7B37" w:rsidRPr="000013E1" w:rsidRDefault="00FE7B37">
      <w:pPr>
        <w:sectPr w:rsidR="00FE7B37" w:rsidRPr="000013E1">
          <w:pgSz w:w="15840" w:h="12240" w:orient="landscape"/>
          <w:pgMar w:top="648" w:right="648" w:bottom="648" w:left="648" w:header="360" w:footer="360" w:gutter="0"/>
          <w:cols w:space="720"/>
          <w:docGrid w:linePitch="360"/>
        </w:sectPr>
      </w:pPr>
    </w:p>
    <w:p w14:paraId="70529B4E" w14:textId="77777777" w:rsidR="00FE7B37" w:rsidRPr="000013E1" w:rsidRDefault="00000000">
      <w:pPr>
        <w:pStyle w:val="Heading1"/>
        <w:rPr>
          <w:color w:val="auto"/>
        </w:rPr>
      </w:pPr>
      <w:r w:rsidRPr="000013E1">
        <w:rPr>
          <w:rFonts w:ascii="Times New Roman" w:eastAsia="Times New Roman" w:hAnsi="Times New Roman"/>
          <w:color w:val="auto"/>
        </w:rPr>
        <w:lastRenderedPageBreak/>
        <w:t>7. From Models to Clinical Systems: Integrating Diagnostics, Therapeutics and Stewardship</w:t>
      </w:r>
    </w:p>
    <w:p w14:paraId="2C1CF8A5" w14:textId="77777777" w:rsidR="00FE7B37" w:rsidRPr="000013E1" w:rsidRDefault="00000000">
      <w:pPr>
        <w:pStyle w:val="Heading2"/>
        <w:rPr>
          <w:color w:val="auto"/>
        </w:rPr>
      </w:pPr>
      <w:r w:rsidRPr="000013E1">
        <w:rPr>
          <w:rFonts w:ascii="Times New Roman" w:eastAsia="Times New Roman" w:hAnsi="Times New Roman"/>
          <w:color w:val="auto"/>
        </w:rPr>
        <w:t>7.1 A Closed-Loop Decision Architecture</w:t>
      </w:r>
    </w:p>
    <w:p w14:paraId="6E7BAEC6" w14:textId="77777777" w:rsidR="00FE7B37" w:rsidRPr="000013E1" w:rsidRDefault="00000000">
      <w:pPr>
        <w:ind w:firstLine="288"/>
      </w:pPr>
      <w:r w:rsidRPr="000013E1">
        <w:rPr>
          <w:rFonts w:eastAsia="Times New Roman"/>
        </w:rPr>
        <w:t>The strongest case for AI in MDRO management emerges when the three domains examined above are integrated. A patient with suspected severe infection enters care with an uncertain pathogen and an uncertain probability of resistance. Early EHR information can estimate prior MDRO risk and guide empiric coverage. Rapid organism identification then updates that estimate. MALDI-TOF, molecular markers, WGS or early phenotypic signals can further narrow the likely susceptibility profile. Once a resistance mechanism and phenotype are sufficiently characterised, the therapeutic choice should be constrained by pathogen-specific clinical evidence and patient factors. Stewardship algorithms can then identify the earliest safe point for narrowing, route conversion or discontinuation. Finally, observed outcomes and confirmed AST feed back into local surveillance and model recalibration.</w:t>
      </w:r>
    </w:p>
    <w:p w14:paraId="19ECE428" w14:textId="77777777" w:rsidR="00FE7B37" w:rsidRPr="000013E1" w:rsidRDefault="00000000">
      <w:pPr>
        <w:ind w:firstLine="288"/>
      </w:pPr>
      <w:r w:rsidRPr="000013E1">
        <w:rPr>
          <w:rFonts w:eastAsia="Times New Roman"/>
        </w:rPr>
        <w:t xml:space="preserve">This architecture is different from an autonomous prescribing engine. It is a sequence of bounded models and deterministic clinical rules, each associated with a defined decision time. The approach can preserve the strengths of conventional microbiology while reducing avoidable delay. It can also expose uncertainty. A model could, for example, provide a high predicted probability that a </w:t>
      </w:r>
      <w:r w:rsidRPr="000013E1">
        <w:rPr>
          <w:rFonts w:eastAsia="Times New Roman"/>
          <w:i/>
        </w:rPr>
        <w:t>K. pneumoniae</w:t>
      </w:r>
      <w:r w:rsidRPr="000013E1">
        <w:rPr>
          <w:rFonts w:eastAsia="Times New Roman"/>
        </w:rPr>
        <w:t xml:space="preserve"> bloodstream isolate is resistant to meropenem but only moderate confidence about the carbapenemase class. In a critically ill patient, that may justify early transition from an empiric carbapenem to a newer broad active agent while awaiting definitive mechanism testing. In a stable patient, the same uncertainty may support waiting for phenotypic confirmation. The appropriate threshold is therefore linked to clinical loss, not to a universal score.</w:t>
      </w:r>
    </w:p>
    <w:p w14:paraId="2FF9A0AF" w14:textId="77777777" w:rsidR="00FE7B37" w:rsidRPr="000013E1" w:rsidRDefault="00000000">
      <w:pPr>
        <w:ind w:firstLine="288"/>
      </w:pPr>
      <w:r w:rsidRPr="000013E1">
        <w:rPr>
          <w:rFonts w:eastAsia="Times New Roman"/>
        </w:rPr>
        <w:t xml:space="preserve">A treatment knowledge layer is essential. The AI diagnostic output should not directly map to a drug name without considering evidence quality. ATTACK supports sulbactam-durlobactam for serious carbapenem-resistant </w:t>
      </w:r>
      <w:r w:rsidRPr="000013E1">
        <w:rPr>
          <w:rFonts w:eastAsia="Times New Roman"/>
          <w:i/>
        </w:rPr>
        <w:t>A. baumannii</w:t>
      </w:r>
      <w:r w:rsidRPr="000013E1">
        <w:rPr>
          <w:rFonts w:eastAsia="Times New Roman"/>
        </w:rPr>
        <w:t>-calcoaceticus complex infection in a way that no analogous randomised trial supports CRISPR or personalised phage therapy (Kaye et al., 2023). CREDIBLE-CR and subsequent observational evidence create a more conditional cefiderocol decision, especially for CRAB (Bassetti et al., 2021; Onorato et al., 2024). Encoding these distinctions protects against a common failure of generic decision systems: treating every active option as evidentially equivalent.</w:t>
      </w:r>
    </w:p>
    <w:p w14:paraId="16961E5C" w14:textId="77777777" w:rsidR="00FE7B37" w:rsidRPr="000013E1" w:rsidRDefault="00000000">
      <w:pPr>
        <w:pStyle w:val="Heading2"/>
        <w:rPr>
          <w:color w:val="auto"/>
        </w:rPr>
      </w:pPr>
      <w:r w:rsidRPr="000013E1">
        <w:rPr>
          <w:rFonts w:ascii="Times New Roman" w:eastAsia="Times New Roman" w:hAnsi="Times New Roman"/>
          <w:color w:val="auto"/>
        </w:rPr>
        <w:t>7.2 Clinical Utility Requires More Than Predictive Accuracy</w:t>
      </w:r>
    </w:p>
    <w:p w14:paraId="18177F86" w14:textId="77777777" w:rsidR="00FE7B37" w:rsidRPr="000013E1" w:rsidRDefault="00000000">
      <w:pPr>
        <w:ind w:firstLine="288"/>
      </w:pPr>
      <w:r w:rsidRPr="000013E1">
        <w:rPr>
          <w:rFonts w:eastAsia="Times New Roman"/>
        </w:rPr>
        <w:t>AI implementation should be evaluated against the counterfactual workflow it replaces. A resistance model that produces a result two hours earlier than standard AST but is ignored by clinicians has no utility. A model that reduces broad-spectrum days while increasing delays in active therapy can be harmful despite meeting stewardship targets. A triage model that increases intervention yield but systematically overlooks patients with missing data can produce inequity. These examples show why technical performance and clinical utility are separate constructs.</w:t>
      </w:r>
    </w:p>
    <w:p w14:paraId="5883F1D3" w14:textId="77777777" w:rsidR="00FE7B37" w:rsidRPr="000013E1" w:rsidRDefault="00000000">
      <w:pPr>
        <w:ind w:firstLine="288"/>
      </w:pPr>
      <w:r w:rsidRPr="000013E1">
        <w:rPr>
          <w:rFonts w:eastAsia="Times New Roman"/>
        </w:rPr>
        <w:t xml:space="preserve">Prospective evaluation should use endpoints mapped to the decision being changed. For empiric therapy, the key endpoints include time to active therapy, unnecessary broad-spectrum exposure, early clinical deterioration and mortality. For de-escalation, they include broad-spectrum days, treatment failure, relapse, </w:t>
      </w:r>
      <w:r w:rsidRPr="000013E1">
        <w:rPr>
          <w:rFonts w:eastAsia="Times New Roman"/>
          <w:i/>
        </w:rPr>
        <w:t>Clostridioides difficile</w:t>
      </w:r>
      <w:r w:rsidRPr="000013E1">
        <w:rPr>
          <w:rFonts w:eastAsia="Times New Roman"/>
        </w:rPr>
        <w:t xml:space="preserve"> infection and drug toxicity. For diagnostic prediction, error rates should be reported by organism, drug, resistance prevalence and clinically important subgroups, with particular attention to very major errors. For system-level stewardship, resistance ecology and selection pressure need longer follow-up than a conventional software performance study.</w:t>
      </w:r>
    </w:p>
    <w:p w14:paraId="58E103B1" w14:textId="77777777" w:rsidR="00FE7B37" w:rsidRPr="000013E1" w:rsidRDefault="00000000">
      <w:pPr>
        <w:ind w:firstLine="288"/>
      </w:pPr>
      <w:r w:rsidRPr="000013E1">
        <w:rPr>
          <w:rFonts w:eastAsia="Times New Roman"/>
        </w:rPr>
        <w:lastRenderedPageBreak/>
        <w:t>Calibration should also be treated as a patient-safety property. A well-calibrated risk score allows thresholds to be adjusted according to illness severity and local drug policy. An uncalibrated model forces clinicians to interpret opaque scores whose meaning may change between sites. External recalibration can sometimes preserve a model whose ranking performance remains stable, but if feature-outcome relationships have shifted, retraining may be required. Governance should therefore distinguish simple prevalence drift from concept drift.</w:t>
      </w:r>
    </w:p>
    <w:p w14:paraId="4B57878C" w14:textId="77777777" w:rsidR="00FE7B37" w:rsidRPr="000013E1" w:rsidRDefault="00000000">
      <w:pPr>
        <w:pStyle w:val="Heading2"/>
        <w:rPr>
          <w:color w:val="auto"/>
        </w:rPr>
      </w:pPr>
      <w:r w:rsidRPr="000013E1">
        <w:rPr>
          <w:rFonts w:ascii="Times New Roman" w:eastAsia="Times New Roman" w:hAnsi="Times New Roman"/>
          <w:color w:val="auto"/>
        </w:rPr>
        <w:t>7.3 Data Quality, Bias and Equity</w:t>
      </w:r>
    </w:p>
    <w:p w14:paraId="77F7F56D" w14:textId="77777777" w:rsidR="00FE7B37" w:rsidRPr="000013E1" w:rsidRDefault="00000000">
      <w:pPr>
        <w:ind w:firstLine="288"/>
      </w:pPr>
      <w:r w:rsidRPr="000013E1">
        <w:rPr>
          <w:rFonts w:eastAsia="Times New Roman"/>
        </w:rPr>
        <w:t>AMR datasets are unusually susceptible to selection bias. Cultures are not obtained randomly; clinicians order them when infection is suspected, often after antibiotics have started. AST panels are conditional on organism, laboratory platform and formulary. Resistant isolates may be preferentially sent for sequencing. Prior culture history is richer for patients with frequent healthcare contact. A model trained on such data learns the healthcare process as well as the biology. This can be useful, because healthcare exposure is genuinely predictive of resistance, but it can also reproduce ascertainment bias.</w:t>
      </w:r>
    </w:p>
    <w:p w14:paraId="7E8F4231" w14:textId="77777777" w:rsidR="00FE7B37" w:rsidRPr="000013E1" w:rsidRDefault="00000000">
      <w:pPr>
        <w:ind w:firstLine="288"/>
      </w:pPr>
      <w:r w:rsidRPr="000013E1">
        <w:rPr>
          <w:rFonts w:eastAsia="Times New Roman"/>
        </w:rPr>
        <w:t>Low- and middle-income settings create an additional challenge. Resistance burden may be high while microbiology coverage, EHR completeness and access to newer antibiotics are constrained. A model trained in a high-resource health system may recommend drugs that are locally unavailable or rely on predictors that are inconsistently recorded. Conversely, locally collected datasets may be too small for high-capacity models. The Cambodian experience demonstrates that smaller, locally tailored models can still provide clinically relevant information, but uncertainty should be explicit and external claims restrained (Oonsivilai et al., 2018). Equity therefore requires not only representative training data but also a model whose input and recommended action are feasible in the deployment setting.</w:t>
      </w:r>
    </w:p>
    <w:p w14:paraId="58EB4BB5" w14:textId="77777777" w:rsidR="00FE7B37" w:rsidRPr="000013E1" w:rsidRDefault="00000000">
      <w:pPr>
        <w:ind w:firstLine="288"/>
      </w:pPr>
      <w:r w:rsidRPr="000013E1">
        <w:rPr>
          <w:rFonts w:eastAsia="Times New Roman"/>
        </w:rPr>
        <w:t>The same concern applies to AI-enabled drug discovery and personalised biologics. If sophisticated discovery platforms generate therapies that are too costly or operationally complex for regions carrying much of the AMR burden, they may have limited population impact. Access should therefore be considered during translational development rather than after regulatory approval.</w:t>
      </w:r>
    </w:p>
    <w:p w14:paraId="55C44CF9" w14:textId="77777777" w:rsidR="00FE7B37" w:rsidRPr="000013E1" w:rsidRDefault="00000000">
      <w:pPr>
        <w:pStyle w:val="Heading2"/>
        <w:rPr>
          <w:color w:val="auto"/>
        </w:rPr>
      </w:pPr>
      <w:r w:rsidRPr="000013E1">
        <w:rPr>
          <w:rFonts w:ascii="Times New Roman" w:eastAsia="Times New Roman" w:hAnsi="Times New Roman"/>
          <w:color w:val="auto"/>
        </w:rPr>
        <w:t>7.4 Governance, Human Oversight and Model Maintenance</w:t>
      </w:r>
    </w:p>
    <w:p w14:paraId="66C9CDB6" w14:textId="77777777" w:rsidR="00FE7B37" w:rsidRPr="000013E1" w:rsidRDefault="00000000">
      <w:pPr>
        <w:ind w:firstLine="288"/>
      </w:pPr>
      <w:r w:rsidRPr="000013E1">
        <w:rPr>
          <w:rFonts w:eastAsia="Times New Roman"/>
        </w:rPr>
        <w:t>MDRO decision support is a high-consequence clinical application. Governance should specify model ownership, intended use, excluded populations, update frequency, alert thresholds, escalation pathways and the circumstances under which recommendations are disabled. Human oversight is not a generic ethical safeguard; it is an operational control for known failure modes. Infectious-disease and microbiology expertise remains necessary to recognise discordance between model output and biological plausibility, particularly when a rare resistance mechanism appears.</w:t>
      </w:r>
    </w:p>
    <w:p w14:paraId="66E5B67A" w14:textId="77777777" w:rsidR="00FE7B37" w:rsidRPr="000013E1" w:rsidRDefault="00000000">
      <w:pPr>
        <w:ind w:firstLine="288"/>
      </w:pPr>
      <w:r w:rsidRPr="000013E1">
        <w:rPr>
          <w:rFonts w:eastAsia="Times New Roman"/>
        </w:rPr>
        <w:t>Explainability can support this oversight if it is used to reveal data provenance and uncertainty rather than to create post hoc reassurance. A recommendation should expose the key microbiological result, relevant prior cultures, model confidence, local resistance context and the treatment evidence on which the drug ranking is based. For LLM interfaces, retrieval grounding should be restricted to current local protocols and verified external guidance. Free-form generation should not be allowed to override dosing constraints or invent a susceptibility result.</w:t>
      </w:r>
    </w:p>
    <w:p w14:paraId="15964DB9" w14:textId="77777777" w:rsidR="00FE7B37" w:rsidRPr="000013E1" w:rsidRDefault="00000000">
      <w:pPr>
        <w:ind w:firstLine="288"/>
      </w:pPr>
      <w:r w:rsidRPr="000013E1">
        <w:rPr>
          <w:rFonts w:eastAsia="Times New Roman"/>
        </w:rPr>
        <w:t>Model maintenance must also accommodate evolving breakpoint standards and therapeutic options. A susceptibility label produced under one breakpoint may change category after guideline revision without any biological change in the isolate. Similarly, introduction of a new β-lactam/β-lactamase inhibitor can alter prescribing patterns and selective pressures. Static models are therefore particularly risky in AMR because the target environment is adaptive by definition.</w:t>
      </w:r>
    </w:p>
    <w:p w14:paraId="42307F29" w14:textId="77777777" w:rsidR="00FE7B37" w:rsidRPr="000013E1" w:rsidRDefault="00FE7B37">
      <w:pPr>
        <w:sectPr w:rsidR="00FE7B37" w:rsidRPr="000013E1">
          <w:pgSz w:w="12240" w:h="15840"/>
          <w:pgMar w:top="1152" w:right="1224" w:bottom="1080" w:left="1224" w:header="504" w:footer="504" w:gutter="0"/>
          <w:cols w:space="720"/>
          <w:docGrid w:linePitch="360"/>
        </w:sectPr>
      </w:pPr>
    </w:p>
    <w:p w14:paraId="598B1046" w14:textId="77777777" w:rsidR="00FE7B37" w:rsidRPr="000013E1" w:rsidRDefault="00000000">
      <w:pPr>
        <w:spacing w:after="140" w:line="240" w:lineRule="auto"/>
      </w:pPr>
      <w:r w:rsidRPr="000013E1">
        <w:rPr>
          <w:rFonts w:eastAsia="Times New Roman"/>
          <w:sz w:val="20"/>
        </w:rPr>
        <w:lastRenderedPageBreak/>
        <w:t>Table 5 translates these requirements into a deployment framework. The most important principle is that each AI component should have a bounded clinical purpose, a measurable outcome and a fallback workflow when uncertainty exceeds the validated range.</w:t>
      </w:r>
    </w:p>
    <w:p w14:paraId="46FC391A" w14:textId="77777777" w:rsidR="00FE7B37" w:rsidRPr="000013E1" w:rsidRDefault="00000000">
      <w:pPr>
        <w:pStyle w:val="TableCaption"/>
      </w:pPr>
      <w:r w:rsidRPr="000013E1">
        <w:rPr>
          <w:rFonts w:eastAsia="Times New Roman"/>
        </w:rPr>
        <w:t>Table 5. Requirements for responsible integration of artificial intelligence into multidrug-resistant organism management</w:t>
      </w:r>
    </w:p>
    <w:tbl>
      <w:tblPr>
        <w:tblStyle w:val="TableGrid"/>
        <w:tblW w:w="0" w:type="auto"/>
        <w:jc w:val="center"/>
        <w:tblLayout w:type="fixed"/>
        <w:tblLook w:val="04A0" w:firstRow="1" w:lastRow="0" w:firstColumn="1" w:lastColumn="0" w:noHBand="0" w:noVBand="1"/>
      </w:tblPr>
      <w:tblGrid>
        <w:gridCol w:w="2131"/>
        <w:gridCol w:w="2620"/>
        <w:gridCol w:w="2448"/>
        <w:gridCol w:w="2347"/>
        <w:gridCol w:w="2592"/>
        <w:gridCol w:w="2404"/>
      </w:tblGrid>
      <w:tr w:rsidR="000013E1" w:rsidRPr="000013E1" w14:paraId="74D074C3" w14:textId="77777777">
        <w:trPr>
          <w:tblHeader/>
          <w:jc w:val="center"/>
        </w:trPr>
        <w:tc>
          <w:tcPr>
            <w:tcW w:w="2131" w:type="dxa"/>
            <w:shd w:val="clear" w:color="auto" w:fill="E7E6E6"/>
            <w:tcMar>
              <w:top w:w="80" w:type="dxa"/>
              <w:left w:w="75" w:type="dxa"/>
              <w:bottom w:w="80" w:type="dxa"/>
              <w:right w:w="75" w:type="dxa"/>
            </w:tcMar>
            <w:vAlign w:val="center"/>
          </w:tcPr>
          <w:p w14:paraId="552774F5" w14:textId="77777777" w:rsidR="00FE7B37" w:rsidRPr="000013E1" w:rsidRDefault="00000000">
            <w:pPr>
              <w:spacing w:after="0"/>
              <w:jc w:val="center"/>
            </w:pPr>
            <w:r w:rsidRPr="000013E1">
              <w:rPr>
                <w:rFonts w:eastAsia="Times New Roman"/>
                <w:b/>
                <w:sz w:val="16"/>
              </w:rPr>
              <w:t>System component</w:t>
            </w:r>
          </w:p>
        </w:tc>
        <w:tc>
          <w:tcPr>
            <w:tcW w:w="2620" w:type="dxa"/>
            <w:shd w:val="clear" w:color="auto" w:fill="E7E6E6"/>
            <w:tcMar>
              <w:top w:w="80" w:type="dxa"/>
              <w:left w:w="75" w:type="dxa"/>
              <w:bottom w:w="80" w:type="dxa"/>
              <w:right w:w="75" w:type="dxa"/>
            </w:tcMar>
            <w:vAlign w:val="center"/>
          </w:tcPr>
          <w:p w14:paraId="65BEC507" w14:textId="77777777" w:rsidR="00FE7B37" w:rsidRPr="000013E1" w:rsidRDefault="00000000">
            <w:pPr>
              <w:spacing w:after="0"/>
              <w:jc w:val="center"/>
            </w:pPr>
            <w:r w:rsidRPr="000013E1">
              <w:rPr>
                <w:rFonts w:eastAsia="Times New Roman"/>
                <w:b/>
                <w:sz w:val="16"/>
              </w:rPr>
              <w:t>Minimum requirement before deployment</w:t>
            </w:r>
          </w:p>
        </w:tc>
        <w:tc>
          <w:tcPr>
            <w:tcW w:w="2448" w:type="dxa"/>
            <w:shd w:val="clear" w:color="auto" w:fill="E7E6E6"/>
            <w:tcMar>
              <w:top w:w="80" w:type="dxa"/>
              <w:left w:w="75" w:type="dxa"/>
              <w:bottom w:w="80" w:type="dxa"/>
              <w:right w:w="75" w:type="dxa"/>
            </w:tcMar>
            <w:vAlign w:val="center"/>
          </w:tcPr>
          <w:p w14:paraId="62997834" w14:textId="77777777" w:rsidR="00FE7B37" w:rsidRPr="000013E1" w:rsidRDefault="00000000">
            <w:pPr>
              <w:spacing w:after="0"/>
              <w:jc w:val="center"/>
            </w:pPr>
            <w:r w:rsidRPr="000013E1">
              <w:rPr>
                <w:rFonts w:eastAsia="Times New Roman"/>
                <w:b/>
                <w:sz w:val="16"/>
              </w:rPr>
              <w:t>Prospective performance measure</w:t>
            </w:r>
          </w:p>
        </w:tc>
        <w:tc>
          <w:tcPr>
            <w:tcW w:w="2347" w:type="dxa"/>
            <w:shd w:val="clear" w:color="auto" w:fill="E7E6E6"/>
            <w:tcMar>
              <w:top w:w="80" w:type="dxa"/>
              <w:left w:w="75" w:type="dxa"/>
              <w:bottom w:w="80" w:type="dxa"/>
              <w:right w:w="75" w:type="dxa"/>
            </w:tcMar>
            <w:vAlign w:val="center"/>
          </w:tcPr>
          <w:p w14:paraId="34A55ADA" w14:textId="77777777" w:rsidR="00FE7B37" w:rsidRPr="000013E1" w:rsidRDefault="00000000">
            <w:pPr>
              <w:spacing w:after="0"/>
              <w:jc w:val="center"/>
            </w:pPr>
            <w:r w:rsidRPr="000013E1">
              <w:rPr>
                <w:rFonts w:eastAsia="Times New Roman"/>
                <w:b/>
                <w:sz w:val="16"/>
              </w:rPr>
              <w:t>Failure mode to monitor</w:t>
            </w:r>
          </w:p>
        </w:tc>
        <w:tc>
          <w:tcPr>
            <w:tcW w:w="2592" w:type="dxa"/>
            <w:shd w:val="clear" w:color="auto" w:fill="E7E6E6"/>
            <w:tcMar>
              <w:top w:w="80" w:type="dxa"/>
              <w:left w:w="75" w:type="dxa"/>
              <w:bottom w:w="80" w:type="dxa"/>
              <w:right w:w="75" w:type="dxa"/>
            </w:tcMar>
            <w:vAlign w:val="center"/>
          </w:tcPr>
          <w:p w14:paraId="469B2F9E" w14:textId="77777777" w:rsidR="00FE7B37" w:rsidRPr="000013E1" w:rsidRDefault="00000000">
            <w:pPr>
              <w:spacing w:after="0"/>
              <w:jc w:val="center"/>
            </w:pPr>
            <w:r w:rsidRPr="000013E1">
              <w:rPr>
                <w:rFonts w:eastAsia="Times New Roman"/>
                <w:b/>
                <w:sz w:val="16"/>
              </w:rPr>
              <w:t>Governance response</w:t>
            </w:r>
          </w:p>
        </w:tc>
        <w:tc>
          <w:tcPr>
            <w:tcW w:w="2404" w:type="dxa"/>
            <w:shd w:val="clear" w:color="auto" w:fill="E7E6E6"/>
            <w:tcMar>
              <w:top w:w="80" w:type="dxa"/>
              <w:left w:w="75" w:type="dxa"/>
              <w:bottom w:w="80" w:type="dxa"/>
              <w:right w:w="75" w:type="dxa"/>
            </w:tcMar>
            <w:vAlign w:val="center"/>
          </w:tcPr>
          <w:p w14:paraId="4A7E92BF" w14:textId="77777777" w:rsidR="00FE7B37" w:rsidRPr="000013E1" w:rsidRDefault="00000000">
            <w:pPr>
              <w:spacing w:after="0"/>
              <w:jc w:val="center"/>
            </w:pPr>
            <w:r w:rsidRPr="000013E1">
              <w:rPr>
                <w:rFonts w:eastAsia="Times New Roman"/>
                <w:b/>
                <w:sz w:val="16"/>
              </w:rPr>
              <w:t>Supporting references</w:t>
            </w:r>
          </w:p>
        </w:tc>
      </w:tr>
      <w:tr w:rsidR="000013E1" w:rsidRPr="002C2332" w14:paraId="66BF9347" w14:textId="77777777">
        <w:trPr>
          <w:jc w:val="center"/>
        </w:trPr>
        <w:tc>
          <w:tcPr>
            <w:tcW w:w="2131" w:type="dxa"/>
            <w:tcMar>
              <w:top w:w="75" w:type="dxa"/>
              <w:left w:w="75" w:type="dxa"/>
              <w:bottom w:w="75" w:type="dxa"/>
              <w:right w:w="75" w:type="dxa"/>
            </w:tcMar>
            <w:vAlign w:val="center"/>
          </w:tcPr>
          <w:p w14:paraId="7C1C52B3" w14:textId="77777777" w:rsidR="00FE7B37" w:rsidRPr="000013E1" w:rsidRDefault="00000000">
            <w:pPr>
              <w:spacing w:after="0"/>
              <w:jc w:val="left"/>
            </w:pPr>
            <w:r w:rsidRPr="000013E1">
              <w:rPr>
                <w:rFonts w:eastAsia="Times New Roman"/>
                <w:sz w:val="16"/>
              </w:rPr>
              <w:t>Empiric resistance-risk model</w:t>
            </w:r>
          </w:p>
        </w:tc>
        <w:tc>
          <w:tcPr>
            <w:tcW w:w="2620" w:type="dxa"/>
            <w:tcMar>
              <w:top w:w="75" w:type="dxa"/>
              <w:left w:w="75" w:type="dxa"/>
              <w:bottom w:w="75" w:type="dxa"/>
              <w:right w:w="75" w:type="dxa"/>
            </w:tcMar>
            <w:vAlign w:val="center"/>
          </w:tcPr>
          <w:p w14:paraId="659D9296" w14:textId="77777777" w:rsidR="00FE7B37" w:rsidRPr="000013E1" w:rsidRDefault="00000000">
            <w:pPr>
              <w:spacing w:after="0"/>
              <w:jc w:val="left"/>
            </w:pPr>
            <w:r w:rsidRPr="000013E1">
              <w:rPr>
                <w:rFonts w:eastAsia="Times New Roman"/>
                <w:sz w:val="16"/>
              </w:rPr>
              <w:t>Temporal and external validation; calibrated probabilities; clinically defined thresholds</w:t>
            </w:r>
          </w:p>
        </w:tc>
        <w:tc>
          <w:tcPr>
            <w:tcW w:w="2448" w:type="dxa"/>
            <w:tcMar>
              <w:top w:w="75" w:type="dxa"/>
              <w:left w:w="75" w:type="dxa"/>
              <w:bottom w:w="75" w:type="dxa"/>
              <w:right w:w="75" w:type="dxa"/>
            </w:tcMar>
            <w:vAlign w:val="center"/>
          </w:tcPr>
          <w:p w14:paraId="690D848B" w14:textId="77777777" w:rsidR="00FE7B37" w:rsidRPr="000013E1" w:rsidRDefault="00000000">
            <w:pPr>
              <w:spacing w:after="0"/>
              <w:jc w:val="left"/>
            </w:pPr>
            <w:r w:rsidRPr="000013E1">
              <w:rPr>
                <w:rFonts w:eastAsia="Times New Roman"/>
                <w:sz w:val="16"/>
              </w:rPr>
              <w:t>Time to active therapy and broad-spectrum exposure</w:t>
            </w:r>
          </w:p>
        </w:tc>
        <w:tc>
          <w:tcPr>
            <w:tcW w:w="2347" w:type="dxa"/>
            <w:tcMar>
              <w:top w:w="75" w:type="dxa"/>
              <w:left w:w="75" w:type="dxa"/>
              <w:bottom w:w="75" w:type="dxa"/>
              <w:right w:w="75" w:type="dxa"/>
            </w:tcMar>
            <w:vAlign w:val="center"/>
          </w:tcPr>
          <w:p w14:paraId="46A2B298" w14:textId="77777777" w:rsidR="00FE7B37" w:rsidRPr="000013E1" w:rsidRDefault="00000000">
            <w:pPr>
              <w:spacing w:after="0"/>
              <w:jc w:val="left"/>
            </w:pPr>
            <w:r w:rsidRPr="000013E1">
              <w:rPr>
                <w:rFonts w:eastAsia="Times New Roman"/>
                <w:sz w:val="16"/>
              </w:rPr>
              <w:t>Prevalence or concept drift causing systematic over- or undertreatment</w:t>
            </w:r>
          </w:p>
        </w:tc>
        <w:tc>
          <w:tcPr>
            <w:tcW w:w="2592" w:type="dxa"/>
            <w:tcMar>
              <w:top w:w="75" w:type="dxa"/>
              <w:left w:w="75" w:type="dxa"/>
              <w:bottom w:w="75" w:type="dxa"/>
              <w:right w:w="75" w:type="dxa"/>
            </w:tcMar>
            <w:vAlign w:val="center"/>
          </w:tcPr>
          <w:p w14:paraId="6AAA52D9" w14:textId="77777777" w:rsidR="00FE7B37" w:rsidRPr="000013E1" w:rsidRDefault="00000000">
            <w:pPr>
              <w:spacing w:after="0"/>
              <w:jc w:val="left"/>
            </w:pPr>
            <w:r w:rsidRPr="000013E1">
              <w:rPr>
                <w:rFonts w:eastAsia="Times New Roman"/>
                <w:sz w:val="16"/>
              </w:rPr>
              <w:t>Scheduled calibration review, drift alarms and rapid rollback</w:t>
            </w:r>
          </w:p>
        </w:tc>
        <w:tc>
          <w:tcPr>
            <w:tcW w:w="2404" w:type="dxa"/>
            <w:tcMar>
              <w:top w:w="75" w:type="dxa"/>
              <w:left w:w="75" w:type="dxa"/>
              <w:bottom w:w="75" w:type="dxa"/>
              <w:right w:w="75" w:type="dxa"/>
            </w:tcMar>
            <w:vAlign w:val="center"/>
          </w:tcPr>
          <w:p w14:paraId="233942AC" w14:textId="77777777" w:rsidR="00FE7B37" w:rsidRPr="002C2332" w:rsidRDefault="00000000">
            <w:pPr>
              <w:spacing w:after="0"/>
              <w:jc w:val="left"/>
              <w:rPr>
                <w:lang w:val="nl-BE"/>
              </w:rPr>
            </w:pPr>
            <w:r w:rsidRPr="002C2332">
              <w:rPr>
                <w:rFonts w:eastAsia="Times New Roman"/>
                <w:sz w:val="16"/>
                <w:lang w:val="nl-BE"/>
              </w:rPr>
              <w:t>Lewin-Epstein et al., 2021; Corbin et al., 2022; Pennisi et al., 2025</w:t>
            </w:r>
          </w:p>
        </w:tc>
      </w:tr>
      <w:tr w:rsidR="000013E1" w:rsidRPr="002C2332" w14:paraId="4D05F471" w14:textId="77777777">
        <w:trPr>
          <w:jc w:val="center"/>
        </w:trPr>
        <w:tc>
          <w:tcPr>
            <w:tcW w:w="2131" w:type="dxa"/>
            <w:tcMar>
              <w:top w:w="75" w:type="dxa"/>
              <w:left w:w="75" w:type="dxa"/>
              <w:bottom w:w="75" w:type="dxa"/>
              <w:right w:w="75" w:type="dxa"/>
            </w:tcMar>
            <w:vAlign w:val="center"/>
          </w:tcPr>
          <w:p w14:paraId="5E81FFFB" w14:textId="77777777" w:rsidR="00FE7B37" w:rsidRPr="000013E1" w:rsidRDefault="00000000">
            <w:pPr>
              <w:spacing w:after="0"/>
              <w:jc w:val="left"/>
            </w:pPr>
            <w:r w:rsidRPr="000013E1">
              <w:rPr>
                <w:rFonts w:eastAsia="Times New Roman"/>
                <w:sz w:val="16"/>
              </w:rPr>
              <w:t>AI-enhanced microbiology diagnostic</w:t>
            </w:r>
          </w:p>
        </w:tc>
        <w:tc>
          <w:tcPr>
            <w:tcW w:w="2620" w:type="dxa"/>
            <w:tcMar>
              <w:top w:w="75" w:type="dxa"/>
              <w:left w:w="75" w:type="dxa"/>
              <w:bottom w:w="75" w:type="dxa"/>
              <w:right w:w="75" w:type="dxa"/>
            </w:tcMar>
            <w:vAlign w:val="center"/>
          </w:tcPr>
          <w:p w14:paraId="3C461D52" w14:textId="77777777" w:rsidR="00FE7B37" w:rsidRPr="000013E1" w:rsidRDefault="00000000">
            <w:pPr>
              <w:spacing w:after="0"/>
              <w:jc w:val="left"/>
            </w:pPr>
            <w:r w:rsidRPr="000013E1">
              <w:rPr>
                <w:rFonts w:eastAsia="Times New Roman"/>
                <w:sz w:val="16"/>
              </w:rPr>
              <w:t>Comparison with accepted reference AST; drug- and species-specific error reporting</w:t>
            </w:r>
          </w:p>
        </w:tc>
        <w:tc>
          <w:tcPr>
            <w:tcW w:w="2448" w:type="dxa"/>
            <w:tcMar>
              <w:top w:w="75" w:type="dxa"/>
              <w:left w:w="75" w:type="dxa"/>
              <w:bottom w:w="75" w:type="dxa"/>
              <w:right w:w="75" w:type="dxa"/>
            </w:tcMar>
            <w:vAlign w:val="center"/>
          </w:tcPr>
          <w:p w14:paraId="68DFA429" w14:textId="77777777" w:rsidR="00FE7B37" w:rsidRPr="000013E1" w:rsidRDefault="00000000">
            <w:pPr>
              <w:spacing w:after="0"/>
              <w:jc w:val="left"/>
            </w:pPr>
            <w:r w:rsidRPr="000013E1">
              <w:rPr>
                <w:rFonts w:eastAsia="Times New Roman"/>
                <w:sz w:val="16"/>
              </w:rPr>
              <w:t>Time saved to actionable susceptibility plus very major/major error rates</w:t>
            </w:r>
          </w:p>
        </w:tc>
        <w:tc>
          <w:tcPr>
            <w:tcW w:w="2347" w:type="dxa"/>
            <w:tcMar>
              <w:top w:w="75" w:type="dxa"/>
              <w:left w:w="75" w:type="dxa"/>
              <w:bottom w:w="75" w:type="dxa"/>
              <w:right w:w="75" w:type="dxa"/>
            </w:tcMar>
            <w:vAlign w:val="center"/>
          </w:tcPr>
          <w:p w14:paraId="66A99CC6" w14:textId="77777777" w:rsidR="00FE7B37" w:rsidRPr="000013E1" w:rsidRDefault="00000000">
            <w:pPr>
              <w:spacing w:after="0"/>
              <w:jc w:val="left"/>
            </w:pPr>
            <w:r w:rsidRPr="000013E1">
              <w:rPr>
                <w:rFonts w:eastAsia="Times New Roman"/>
                <w:sz w:val="16"/>
              </w:rPr>
              <w:t>Clone-specific performance, breakpoint change or laboratory-platform shift</w:t>
            </w:r>
          </w:p>
        </w:tc>
        <w:tc>
          <w:tcPr>
            <w:tcW w:w="2592" w:type="dxa"/>
            <w:tcMar>
              <w:top w:w="75" w:type="dxa"/>
              <w:left w:w="75" w:type="dxa"/>
              <w:bottom w:w="75" w:type="dxa"/>
              <w:right w:w="75" w:type="dxa"/>
            </w:tcMar>
            <w:vAlign w:val="center"/>
          </w:tcPr>
          <w:p w14:paraId="13F036A4" w14:textId="77777777" w:rsidR="00FE7B37" w:rsidRPr="000013E1" w:rsidRDefault="00000000">
            <w:pPr>
              <w:spacing w:after="0"/>
              <w:jc w:val="left"/>
            </w:pPr>
            <w:r w:rsidRPr="000013E1">
              <w:rPr>
                <w:rFonts w:eastAsia="Times New Roman"/>
                <w:sz w:val="16"/>
              </w:rPr>
              <w:t>Local verification after platform or breakpoint changes; confirmatory testing rules</w:t>
            </w:r>
          </w:p>
        </w:tc>
        <w:tc>
          <w:tcPr>
            <w:tcW w:w="2404" w:type="dxa"/>
            <w:tcMar>
              <w:top w:w="75" w:type="dxa"/>
              <w:left w:w="75" w:type="dxa"/>
              <w:bottom w:w="75" w:type="dxa"/>
              <w:right w:w="75" w:type="dxa"/>
            </w:tcMar>
            <w:vAlign w:val="center"/>
          </w:tcPr>
          <w:p w14:paraId="016CFBD6" w14:textId="77777777" w:rsidR="00FE7B37" w:rsidRPr="002C2332" w:rsidRDefault="00000000">
            <w:pPr>
              <w:spacing w:after="0"/>
              <w:jc w:val="left"/>
              <w:rPr>
                <w:lang w:val="nl-BE"/>
              </w:rPr>
            </w:pPr>
            <w:r w:rsidRPr="002C2332">
              <w:rPr>
                <w:rFonts w:eastAsia="Times New Roman"/>
                <w:sz w:val="16"/>
                <w:lang w:val="nl-BE"/>
              </w:rPr>
              <w:t>Weis et al., 2022; Ren et al., 2022; Yu et al., 2018</w:t>
            </w:r>
          </w:p>
        </w:tc>
      </w:tr>
      <w:tr w:rsidR="000013E1" w:rsidRPr="002C2332" w14:paraId="42B858D3" w14:textId="77777777">
        <w:trPr>
          <w:jc w:val="center"/>
        </w:trPr>
        <w:tc>
          <w:tcPr>
            <w:tcW w:w="2131" w:type="dxa"/>
            <w:tcMar>
              <w:top w:w="75" w:type="dxa"/>
              <w:left w:w="75" w:type="dxa"/>
              <w:bottom w:w="75" w:type="dxa"/>
              <w:right w:w="75" w:type="dxa"/>
            </w:tcMar>
            <w:vAlign w:val="center"/>
          </w:tcPr>
          <w:p w14:paraId="787F79A0" w14:textId="77777777" w:rsidR="00FE7B37" w:rsidRPr="000013E1" w:rsidRDefault="00000000">
            <w:pPr>
              <w:spacing w:after="0"/>
              <w:jc w:val="left"/>
            </w:pPr>
            <w:r w:rsidRPr="000013E1">
              <w:rPr>
                <w:rFonts w:eastAsia="Times New Roman"/>
                <w:sz w:val="16"/>
              </w:rPr>
              <w:t>Therapy recommender</w:t>
            </w:r>
          </w:p>
        </w:tc>
        <w:tc>
          <w:tcPr>
            <w:tcW w:w="2620" w:type="dxa"/>
            <w:tcMar>
              <w:top w:w="75" w:type="dxa"/>
              <w:left w:w="75" w:type="dxa"/>
              <w:bottom w:w="75" w:type="dxa"/>
              <w:right w:w="75" w:type="dxa"/>
            </w:tcMar>
            <w:vAlign w:val="center"/>
          </w:tcPr>
          <w:p w14:paraId="4D69EDFA" w14:textId="77777777" w:rsidR="00FE7B37" w:rsidRPr="000013E1" w:rsidRDefault="00000000">
            <w:pPr>
              <w:spacing w:after="0"/>
              <w:jc w:val="left"/>
            </w:pPr>
            <w:r w:rsidRPr="000013E1">
              <w:rPr>
                <w:rFonts w:eastAsia="Times New Roman"/>
                <w:sz w:val="16"/>
              </w:rPr>
              <w:t>Mechanism-aware drug knowledge base linked to evidence quality and local formulary</w:t>
            </w:r>
          </w:p>
        </w:tc>
        <w:tc>
          <w:tcPr>
            <w:tcW w:w="2448" w:type="dxa"/>
            <w:tcMar>
              <w:top w:w="75" w:type="dxa"/>
              <w:left w:w="75" w:type="dxa"/>
              <w:bottom w:w="75" w:type="dxa"/>
              <w:right w:w="75" w:type="dxa"/>
            </w:tcMar>
            <w:vAlign w:val="center"/>
          </w:tcPr>
          <w:p w14:paraId="73DB7D96" w14:textId="77777777" w:rsidR="00FE7B37" w:rsidRPr="000013E1" w:rsidRDefault="00000000">
            <w:pPr>
              <w:spacing w:after="0"/>
              <w:jc w:val="left"/>
            </w:pPr>
            <w:r w:rsidRPr="000013E1">
              <w:rPr>
                <w:rFonts w:eastAsia="Times New Roman"/>
                <w:sz w:val="16"/>
              </w:rPr>
              <w:t>Concordance with expert treatment plus patient outcomes</w:t>
            </w:r>
          </w:p>
        </w:tc>
        <w:tc>
          <w:tcPr>
            <w:tcW w:w="2347" w:type="dxa"/>
            <w:tcMar>
              <w:top w:w="75" w:type="dxa"/>
              <w:left w:w="75" w:type="dxa"/>
              <w:bottom w:w="75" w:type="dxa"/>
              <w:right w:w="75" w:type="dxa"/>
            </w:tcMar>
            <w:vAlign w:val="center"/>
          </w:tcPr>
          <w:p w14:paraId="466DE7AA" w14:textId="77777777" w:rsidR="00FE7B37" w:rsidRPr="000013E1" w:rsidRDefault="00000000">
            <w:pPr>
              <w:spacing w:after="0"/>
              <w:jc w:val="left"/>
            </w:pPr>
            <w:r w:rsidRPr="000013E1">
              <w:rPr>
                <w:rFonts w:eastAsia="Times New Roman"/>
                <w:sz w:val="16"/>
              </w:rPr>
              <w:t>Treating in-vitro activity as equivalent to clinical evidence</w:t>
            </w:r>
          </w:p>
        </w:tc>
        <w:tc>
          <w:tcPr>
            <w:tcW w:w="2592" w:type="dxa"/>
            <w:tcMar>
              <w:top w:w="75" w:type="dxa"/>
              <w:left w:w="75" w:type="dxa"/>
              <w:bottom w:w="75" w:type="dxa"/>
              <w:right w:w="75" w:type="dxa"/>
            </w:tcMar>
            <w:vAlign w:val="center"/>
          </w:tcPr>
          <w:p w14:paraId="015D4E7C" w14:textId="77777777" w:rsidR="00FE7B37" w:rsidRPr="000013E1" w:rsidRDefault="00000000">
            <w:pPr>
              <w:spacing w:after="0"/>
              <w:jc w:val="left"/>
            </w:pPr>
            <w:r w:rsidRPr="000013E1">
              <w:rPr>
                <w:rFonts w:eastAsia="Times New Roman"/>
                <w:sz w:val="16"/>
              </w:rPr>
              <w:t>Evidence-tier constraints and specialist override for high-risk infections</w:t>
            </w:r>
          </w:p>
        </w:tc>
        <w:tc>
          <w:tcPr>
            <w:tcW w:w="2404" w:type="dxa"/>
            <w:tcMar>
              <w:top w:w="75" w:type="dxa"/>
              <w:left w:w="75" w:type="dxa"/>
              <w:bottom w:w="75" w:type="dxa"/>
              <w:right w:w="75" w:type="dxa"/>
            </w:tcMar>
            <w:vAlign w:val="center"/>
          </w:tcPr>
          <w:p w14:paraId="7398A9D5" w14:textId="77777777" w:rsidR="00FE7B37" w:rsidRPr="002C2332" w:rsidRDefault="00000000">
            <w:pPr>
              <w:spacing w:after="0"/>
              <w:jc w:val="left"/>
              <w:rPr>
                <w:lang w:val="nl-BE"/>
              </w:rPr>
            </w:pPr>
            <w:r w:rsidRPr="002C2332">
              <w:rPr>
                <w:rFonts w:eastAsia="Times New Roman"/>
                <w:sz w:val="16"/>
                <w:lang w:val="nl-BE"/>
              </w:rPr>
              <w:t>Kaye et al., 2023; Tamma et al., 2024; Bassetti et al., 2021</w:t>
            </w:r>
          </w:p>
        </w:tc>
      </w:tr>
      <w:tr w:rsidR="000013E1" w:rsidRPr="000013E1" w14:paraId="21BC49FC" w14:textId="77777777">
        <w:trPr>
          <w:jc w:val="center"/>
        </w:trPr>
        <w:tc>
          <w:tcPr>
            <w:tcW w:w="2131" w:type="dxa"/>
            <w:tcMar>
              <w:top w:w="75" w:type="dxa"/>
              <w:left w:w="75" w:type="dxa"/>
              <w:bottom w:w="75" w:type="dxa"/>
              <w:right w:w="75" w:type="dxa"/>
            </w:tcMar>
            <w:vAlign w:val="center"/>
          </w:tcPr>
          <w:p w14:paraId="35347331" w14:textId="77777777" w:rsidR="00FE7B37" w:rsidRPr="000013E1" w:rsidRDefault="00000000">
            <w:pPr>
              <w:spacing w:after="0"/>
              <w:jc w:val="left"/>
            </w:pPr>
            <w:r w:rsidRPr="000013E1">
              <w:rPr>
                <w:rFonts w:eastAsia="Times New Roman"/>
                <w:sz w:val="16"/>
              </w:rPr>
              <w:t xml:space="preserve">Stewardship </w:t>
            </w:r>
            <w:proofErr w:type="spellStart"/>
            <w:r w:rsidRPr="000013E1">
              <w:rPr>
                <w:rFonts w:eastAsia="Times New Roman"/>
                <w:sz w:val="16"/>
              </w:rPr>
              <w:t>prioritisation</w:t>
            </w:r>
            <w:proofErr w:type="spellEnd"/>
            <w:r w:rsidRPr="000013E1">
              <w:rPr>
                <w:rFonts w:eastAsia="Times New Roman"/>
                <w:sz w:val="16"/>
              </w:rPr>
              <w:t xml:space="preserve"> model</w:t>
            </w:r>
          </w:p>
        </w:tc>
        <w:tc>
          <w:tcPr>
            <w:tcW w:w="2620" w:type="dxa"/>
            <w:tcMar>
              <w:top w:w="75" w:type="dxa"/>
              <w:left w:w="75" w:type="dxa"/>
              <w:bottom w:w="75" w:type="dxa"/>
              <w:right w:w="75" w:type="dxa"/>
            </w:tcMar>
            <w:vAlign w:val="center"/>
          </w:tcPr>
          <w:p w14:paraId="3833DECA" w14:textId="77777777" w:rsidR="00FE7B37" w:rsidRPr="000013E1" w:rsidRDefault="00000000">
            <w:pPr>
              <w:spacing w:after="0"/>
              <w:jc w:val="left"/>
            </w:pPr>
            <w:r w:rsidRPr="000013E1">
              <w:rPr>
                <w:rFonts w:eastAsia="Times New Roman"/>
                <w:sz w:val="16"/>
              </w:rPr>
              <w:t>Transparent target definition and prospective silent validation</w:t>
            </w:r>
          </w:p>
        </w:tc>
        <w:tc>
          <w:tcPr>
            <w:tcW w:w="2448" w:type="dxa"/>
            <w:tcMar>
              <w:top w:w="75" w:type="dxa"/>
              <w:left w:w="75" w:type="dxa"/>
              <w:bottom w:w="75" w:type="dxa"/>
              <w:right w:w="75" w:type="dxa"/>
            </w:tcMar>
            <w:vAlign w:val="center"/>
          </w:tcPr>
          <w:p w14:paraId="38F6C9DE" w14:textId="77777777" w:rsidR="00FE7B37" w:rsidRPr="000013E1" w:rsidRDefault="00000000">
            <w:pPr>
              <w:spacing w:after="0"/>
              <w:jc w:val="left"/>
            </w:pPr>
            <w:r w:rsidRPr="000013E1">
              <w:rPr>
                <w:rFonts w:eastAsia="Times New Roman"/>
                <w:sz w:val="16"/>
              </w:rPr>
              <w:t>Actionable interventions per reviewer-hour and inappropriate days of therapy</w:t>
            </w:r>
          </w:p>
        </w:tc>
        <w:tc>
          <w:tcPr>
            <w:tcW w:w="2347" w:type="dxa"/>
            <w:tcMar>
              <w:top w:w="75" w:type="dxa"/>
              <w:left w:w="75" w:type="dxa"/>
              <w:bottom w:w="75" w:type="dxa"/>
              <w:right w:w="75" w:type="dxa"/>
            </w:tcMar>
            <w:vAlign w:val="center"/>
          </w:tcPr>
          <w:p w14:paraId="6EAB255C" w14:textId="77777777" w:rsidR="00FE7B37" w:rsidRPr="000013E1" w:rsidRDefault="00000000">
            <w:pPr>
              <w:spacing w:after="0"/>
              <w:jc w:val="left"/>
            </w:pPr>
            <w:r w:rsidRPr="000013E1">
              <w:rPr>
                <w:rFonts w:eastAsia="Times New Roman"/>
                <w:sz w:val="16"/>
              </w:rPr>
              <w:t>Learning historical team bias or missing-data patterns</w:t>
            </w:r>
          </w:p>
        </w:tc>
        <w:tc>
          <w:tcPr>
            <w:tcW w:w="2592" w:type="dxa"/>
            <w:tcMar>
              <w:top w:w="75" w:type="dxa"/>
              <w:left w:w="75" w:type="dxa"/>
              <w:bottom w:w="75" w:type="dxa"/>
              <w:right w:w="75" w:type="dxa"/>
            </w:tcMar>
            <w:vAlign w:val="center"/>
          </w:tcPr>
          <w:p w14:paraId="36C520DA" w14:textId="77777777" w:rsidR="00FE7B37" w:rsidRPr="000013E1" w:rsidRDefault="00000000">
            <w:pPr>
              <w:spacing w:after="0"/>
              <w:jc w:val="left"/>
            </w:pPr>
            <w:r w:rsidRPr="000013E1">
              <w:rPr>
                <w:rFonts w:eastAsia="Times New Roman"/>
                <w:sz w:val="16"/>
              </w:rPr>
              <w:t>Periodic relabelling audit and subgroup fairness review</w:t>
            </w:r>
          </w:p>
        </w:tc>
        <w:tc>
          <w:tcPr>
            <w:tcW w:w="2404" w:type="dxa"/>
            <w:tcMar>
              <w:top w:w="75" w:type="dxa"/>
              <w:left w:w="75" w:type="dxa"/>
              <w:bottom w:w="75" w:type="dxa"/>
              <w:right w:w="75" w:type="dxa"/>
            </w:tcMar>
            <w:vAlign w:val="center"/>
          </w:tcPr>
          <w:p w14:paraId="438A0A5C" w14:textId="77777777" w:rsidR="00FE7B37" w:rsidRPr="000013E1" w:rsidRDefault="00000000">
            <w:pPr>
              <w:spacing w:after="0"/>
              <w:jc w:val="left"/>
            </w:pPr>
            <w:r w:rsidRPr="000013E1">
              <w:rPr>
                <w:rFonts w:eastAsia="Times New Roman"/>
                <w:sz w:val="16"/>
              </w:rPr>
              <w:t>Bystritsky et al., 2020; Tran-The et al., 2024; Giacobbe et al., 2024</w:t>
            </w:r>
          </w:p>
        </w:tc>
      </w:tr>
      <w:tr w:rsidR="000013E1" w:rsidRPr="002C2332" w14:paraId="10696743" w14:textId="77777777">
        <w:trPr>
          <w:jc w:val="center"/>
        </w:trPr>
        <w:tc>
          <w:tcPr>
            <w:tcW w:w="2131" w:type="dxa"/>
            <w:tcMar>
              <w:top w:w="75" w:type="dxa"/>
              <w:left w:w="75" w:type="dxa"/>
              <w:bottom w:w="75" w:type="dxa"/>
              <w:right w:w="75" w:type="dxa"/>
            </w:tcMar>
            <w:vAlign w:val="center"/>
          </w:tcPr>
          <w:p w14:paraId="4F6F04DD" w14:textId="77777777" w:rsidR="00FE7B37" w:rsidRPr="000013E1" w:rsidRDefault="00000000">
            <w:pPr>
              <w:spacing w:after="0"/>
              <w:jc w:val="left"/>
            </w:pPr>
            <w:r w:rsidRPr="000013E1">
              <w:rPr>
                <w:rFonts w:eastAsia="Times New Roman"/>
                <w:sz w:val="16"/>
              </w:rPr>
              <w:t>LLM interface</w:t>
            </w:r>
          </w:p>
        </w:tc>
        <w:tc>
          <w:tcPr>
            <w:tcW w:w="2620" w:type="dxa"/>
            <w:tcMar>
              <w:top w:w="75" w:type="dxa"/>
              <w:left w:w="75" w:type="dxa"/>
              <w:bottom w:w="75" w:type="dxa"/>
              <w:right w:w="75" w:type="dxa"/>
            </w:tcMar>
            <w:vAlign w:val="center"/>
          </w:tcPr>
          <w:p w14:paraId="711A7497" w14:textId="77777777" w:rsidR="00FE7B37" w:rsidRPr="000013E1" w:rsidRDefault="00000000">
            <w:pPr>
              <w:spacing w:after="0"/>
              <w:jc w:val="left"/>
            </w:pPr>
            <w:r w:rsidRPr="000013E1">
              <w:rPr>
                <w:rFonts w:eastAsia="Times New Roman"/>
                <w:sz w:val="16"/>
              </w:rPr>
              <w:t>Retrieval grounding, source display, deterministic dosing constraints and clinician sign-off</w:t>
            </w:r>
          </w:p>
        </w:tc>
        <w:tc>
          <w:tcPr>
            <w:tcW w:w="2448" w:type="dxa"/>
            <w:tcMar>
              <w:top w:w="75" w:type="dxa"/>
              <w:left w:w="75" w:type="dxa"/>
              <w:bottom w:w="75" w:type="dxa"/>
              <w:right w:w="75" w:type="dxa"/>
            </w:tcMar>
            <w:vAlign w:val="center"/>
          </w:tcPr>
          <w:p w14:paraId="1EF7AAAF" w14:textId="77777777" w:rsidR="00FE7B37" w:rsidRPr="000013E1" w:rsidRDefault="00000000">
            <w:pPr>
              <w:spacing w:after="0"/>
              <w:jc w:val="left"/>
            </w:pPr>
            <w:r w:rsidRPr="000013E1">
              <w:rPr>
                <w:rFonts w:eastAsia="Times New Roman"/>
                <w:sz w:val="16"/>
              </w:rPr>
              <w:t>Error rate, override rate, unsupported recommendation rate and workflow time</w:t>
            </w:r>
          </w:p>
        </w:tc>
        <w:tc>
          <w:tcPr>
            <w:tcW w:w="2347" w:type="dxa"/>
            <w:tcMar>
              <w:top w:w="75" w:type="dxa"/>
              <w:left w:w="75" w:type="dxa"/>
              <w:bottom w:w="75" w:type="dxa"/>
              <w:right w:w="75" w:type="dxa"/>
            </w:tcMar>
            <w:vAlign w:val="center"/>
          </w:tcPr>
          <w:p w14:paraId="1E5BCFB9" w14:textId="77777777" w:rsidR="00FE7B37" w:rsidRPr="000013E1" w:rsidRDefault="00000000">
            <w:pPr>
              <w:spacing w:after="0"/>
              <w:jc w:val="left"/>
            </w:pPr>
            <w:r w:rsidRPr="000013E1">
              <w:rPr>
                <w:rFonts w:eastAsia="Times New Roman"/>
                <w:sz w:val="16"/>
              </w:rPr>
              <w:t>Hallucinated therapy, outdated guidance or confident response under missing data</w:t>
            </w:r>
          </w:p>
        </w:tc>
        <w:tc>
          <w:tcPr>
            <w:tcW w:w="2592" w:type="dxa"/>
            <w:tcMar>
              <w:top w:w="75" w:type="dxa"/>
              <w:left w:w="75" w:type="dxa"/>
              <w:bottom w:w="75" w:type="dxa"/>
              <w:right w:w="75" w:type="dxa"/>
            </w:tcMar>
            <w:vAlign w:val="center"/>
          </w:tcPr>
          <w:p w14:paraId="433C9F02" w14:textId="77777777" w:rsidR="00FE7B37" w:rsidRPr="000013E1" w:rsidRDefault="00000000">
            <w:pPr>
              <w:spacing w:after="0"/>
              <w:jc w:val="left"/>
            </w:pPr>
            <w:r w:rsidRPr="000013E1">
              <w:rPr>
                <w:rFonts w:eastAsia="Times New Roman"/>
                <w:sz w:val="16"/>
              </w:rPr>
              <w:t>Restricted generation, provenance display and automatic abstention rules</w:t>
            </w:r>
          </w:p>
        </w:tc>
        <w:tc>
          <w:tcPr>
            <w:tcW w:w="2404" w:type="dxa"/>
            <w:tcMar>
              <w:top w:w="75" w:type="dxa"/>
              <w:left w:w="75" w:type="dxa"/>
              <w:bottom w:w="75" w:type="dxa"/>
              <w:right w:w="75" w:type="dxa"/>
            </w:tcMar>
            <w:vAlign w:val="center"/>
          </w:tcPr>
          <w:p w14:paraId="07ACEF6A" w14:textId="77777777" w:rsidR="00FE7B37" w:rsidRPr="002C2332" w:rsidRDefault="00000000">
            <w:pPr>
              <w:spacing w:after="0"/>
              <w:jc w:val="left"/>
              <w:rPr>
                <w:lang w:val="nl-BE"/>
              </w:rPr>
            </w:pPr>
            <w:r w:rsidRPr="002C2332">
              <w:rPr>
                <w:rFonts w:eastAsia="Times New Roman"/>
                <w:sz w:val="16"/>
                <w:lang w:val="nl-BE"/>
              </w:rPr>
              <w:t>De Vito et al., 2025; Giacobbe et al., 2024</w:t>
            </w:r>
          </w:p>
        </w:tc>
      </w:tr>
    </w:tbl>
    <w:p w14:paraId="36AB4032" w14:textId="77777777" w:rsidR="00FE7B37" w:rsidRPr="000013E1" w:rsidRDefault="00000000">
      <w:pPr>
        <w:pStyle w:val="TableNote"/>
      </w:pPr>
      <w:r w:rsidRPr="000013E1">
        <w:rPr>
          <w:rFonts w:eastAsia="Times New Roman"/>
          <w:i/>
        </w:rPr>
        <w:t>Table note.</w:t>
      </w:r>
      <w:r w:rsidRPr="000013E1">
        <w:rPr>
          <w:rFonts w:eastAsia="Times New Roman"/>
        </w:rPr>
        <w:t xml:space="preserve"> AI = artificial intelligence; AST = antimicrobial susceptibility testing; LLM = large language model; MDRO = multidrug-resistant organism.</w:t>
      </w:r>
    </w:p>
    <w:p w14:paraId="62CA833F" w14:textId="77777777" w:rsidR="00FE7B37" w:rsidRPr="000013E1" w:rsidRDefault="00FE7B37">
      <w:pPr>
        <w:sectPr w:rsidR="00FE7B37" w:rsidRPr="000013E1">
          <w:pgSz w:w="15840" w:h="12240" w:orient="landscape"/>
          <w:pgMar w:top="648" w:right="648" w:bottom="648" w:left="648" w:header="360" w:footer="360" w:gutter="0"/>
          <w:cols w:space="720"/>
          <w:docGrid w:linePitch="360"/>
        </w:sectPr>
      </w:pPr>
    </w:p>
    <w:p w14:paraId="0E19F3DD" w14:textId="77777777" w:rsidR="00FE7B37" w:rsidRPr="000013E1" w:rsidRDefault="00000000">
      <w:pPr>
        <w:pStyle w:val="Heading1"/>
        <w:rPr>
          <w:color w:val="auto"/>
        </w:rPr>
      </w:pPr>
      <w:r w:rsidRPr="000013E1">
        <w:rPr>
          <w:rFonts w:ascii="Times New Roman" w:eastAsia="Times New Roman" w:hAnsi="Times New Roman"/>
          <w:color w:val="auto"/>
        </w:rPr>
        <w:lastRenderedPageBreak/>
        <w:t>8. Future Directions</w:t>
      </w:r>
    </w:p>
    <w:p w14:paraId="14AD0EF3" w14:textId="77777777" w:rsidR="00FE7B37" w:rsidRPr="000013E1" w:rsidRDefault="00000000">
      <w:pPr>
        <w:ind w:firstLine="288"/>
      </w:pPr>
      <w:r w:rsidRPr="000013E1">
        <w:rPr>
          <w:rFonts w:eastAsia="Times New Roman"/>
        </w:rPr>
        <w:t xml:space="preserve">The immediate research priority is to move AI for MDRO management from retrospective prediction to prospective decision evaluation. The field has produced many models that discriminate resistant from susceptible isolates or identify patients likely to trigger stewardship action, but relatively few studies establish that model-informed care improves outcomes. Pragmatic trials should therefore randomise wards, services or time periods to AI-supported versus standard decision pathways while preserving clinician oversight. The primary outcomes should match the clinical decision being altered. For empiric therapy, these include time to active treatment, unnecessary exposure to last-line agents, early treatment failure and mortality. For de-escalation, days of broad-spectrum therapy, relapse, readmission, adverse drug effects and </w:t>
      </w:r>
      <w:r w:rsidRPr="000013E1">
        <w:rPr>
          <w:rFonts w:eastAsia="Times New Roman"/>
          <w:i/>
        </w:rPr>
        <w:t>Clostridioides difficile</w:t>
      </w:r>
      <w:r w:rsidRPr="000013E1">
        <w:rPr>
          <w:rFonts w:eastAsia="Times New Roman"/>
        </w:rPr>
        <w:t xml:space="preserve"> infection are more informative than model AUC. Longer follow-up should assess whether reduced exposure translates into measurable changes in resistance ecology rather than assuming such a benefit.</w:t>
      </w:r>
    </w:p>
    <w:p w14:paraId="4E233374" w14:textId="77777777" w:rsidR="00FE7B37" w:rsidRPr="000013E1" w:rsidRDefault="00000000">
      <w:pPr>
        <w:ind w:firstLine="288"/>
      </w:pPr>
      <w:r w:rsidRPr="000013E1">
        <w:rPr>
          <w:rFonts w:eastAsia="Times New Roman"/>
        </w:rPr>
        <w:t>A second immediate priority is prospective multimodal validation. The most useful resistance estimate will rarely come from a single source. Patient history provides a prior probability; organism identification changes that probability; rapid phenotypic, spectral or genomic data provide increasingly direct evidence. Studies should compare staged decision models with conventional sequential testing, rather than testing each AI modality in isolation. An appropriate design would record how often the model changes empiric therapy, how often those changes are correct according to final AST and clinical adjudication, and how much actionable time is gained. Missing-data behaviour must be prespecified because a clinically deployed system will frequently encounter incomplete prior cultures, delayed specimens or discordant tests.</w:t>
      </w:r>
    </w:p>
    <w:p w14:paraId="3779C54E" w14:textId="77777777" w:rsidR="00FE7B37" w:rsidRPr="000013E1" w:rsidRDefault="00000000">
      <w:pPr>
        <w:ind w:firstLine="288"/>
      </w:pPr>
      <w:r w:rsidRPr="000013E1">
        <w:rPr>
          <w:rFonts w:eastAsia="Times New Roman"/>
        </w:rPr>
        <w:t>Diagnostic model research also needs stronger attention to calibration and clinically weighted errors. Future WGS and MALDI-TOF studies should report calibration curves, drug-specific very major and major error rates, performance by sequence type and resistance prevalence, and truly external temporal validation. Model development should avoid random splitting that places related clonal isolates in both training and test sets. Where the model's apparent accuracy is driven by lineage, investigators should state this explicitly and test robustness after the lineage-resistance association changes. This is particularly important for MDROs because successful resistant clones can expand rapidly and then be displaced by new lineages.</w:t>
      </w:r>
    </w:p>
    <w:p w14:paraId="559304D8" w14:textId="77777777" w:rsidR="00FE7B37" w:rsidRPr="000013E1" w:rsidRDefault="00000000">
      <w:pPr>
        <w:ind w:firstLine="288"/>
      </w:pPr>
      <w:r w:rsidRPr="000013E1">
        <w:rPr>
          <w:rFonts w:eastAsia="Times New Roman"/>
        </w:rPr>
        <w:t>The therapeutic knowledge layer requires parallel development. New β-lactam and β-lactamase inhibitor combinations are increasingly mechanism specific, so rapid diagnostics should be linked to evidence-based drug selection rather than only to categorical resistance predictions. Prospective studies could compare an integrated carbapenemase-aware pathway with standard susceptibility-guided care, using active-therapy delay, toxicity, treatment failure and resistance emergence as outcomes. The comparison should include contemporary active agents rather than obsolete salvage regimens. Evidence from TANGO II, ATTACK, CREDIBLE-CR and newer comparative cohorts shows that historical comparator choice can strongly affect apparent therapeutic advantage (Bassetti et al., 2021; Karaba et al., 2026; Kaye et al., 2023; Wunderink et al., 2018). Future AI treatment models should therefore incorporate the date and evidential status of therapeutic data rather than treating historical outcomes as timeless labels.</w:t>
      </w:r>
    </w:p>
    <w:p w14:paraId="042DC590" w14:textId="77777777" w:rsidR="00FE7B37" w:rsidRPr="000013E1" w:rsidRDefault="00000000">
      <w:pPr>
        <w:ind w:firstLine="288"/>
      </w:pPr>
      <w:r w:rsidRPr="000013E1">
        <w:rPr>
          <w:rFonts w:eastAsia="Times New Roman"/>
        </w:rPr>
        <w:t>For CRAB, multicentre comparative-effectiveness studies should clarify how sulbactam-durlobactam, cefiderocol and other active regimens perform across pneumonia, bloodstream infection, deep-seated infection and differing susceptibility backgrounds. ATTACK provides an important randomised foundation for sulbactam-durlobactam, whereas cefiderocol evidence remains more heterogeneous (Bassetti et al., 2021; Kaye et al., 2023; Onorato et al., 2024). A prospective registry with harmonised severity measures, drug exposure, source control, resistance mechanisms and longitudinal isolates could provide better real-world evidence than disconnected retrospective cohorts. Serial genomic and phenotypic sampling would also allow AI models to predict not only baseline susceptibility but the probability of resistance emerging during therapy.</w:t>
      </w:r>
    </w:p>
    <w:p w14:paraId="6B00D8C9" w14:textId="77777777" w:rsidR="00FE7B37" w:rsidRPr="000013E1" w:rsidRDefault="00000000">
      <w:pPr>
        <w:ind w:firstLine="288"/>
      </w:pPr>
      <w:r w:rsidRPr="000013E1">
        <w:rPr>
          <w:rFonts w:eastAsia="Times New Roman"/>
        </w:rPr>
        <w:lastRenderedPageBreak/>
        <w:t>Phage research requires standardisation before sophisticated personalisation can be judged fairly. Priority studies should harmonise phage characterisation, potency, purity, multiplicity of infection, route, neutralising-antibody measurement and pharmacokinetic sampling. Adaptive platform trials could evaluate phage therapy as an adjunct to optimised antibiotics in narrowly defined pathogen-syndrome combinations, rather than pooling biologically different infections. Rapid phage-host matching is an obvious AI use case, but its endpoint should be time from isolate to release of an active, quality-controlled product and subsequent clinical response. PhagoBurn showed that manufacturing and titre failure can dominate biological promise, while personalised case reports demonstrate feasibility rather than average treatment effect (Jault et al., 2019; Schooley et al., 2017). Future work should therefore optimise the full production-and-treatment pathway.</w:t>
      </w:r>
    </w:p>
    <w:p w14:paraId="1A898F0F" w14:textId="77777777" w:rsidR="00FE7B37" w:rsidRPr="000013E1" w:rsidRDefault="00000000">
      <w:pPr>
        <w:ind w:firstLine="288"/>
      </w:pPr>
      <w:r w:rsidRPr="000013E1">
        <w:rPr>
          <w:rFonts w:eastAsia="Times New Roman"/>
        </w:rPr>
        <w:t>CRISPR antimicrobials require a different translational sequence. Near-term studies should prioritise delivery efficiency, pharmacology, target escape and ecological effects in complex microbial communities. Guide-selection algorithms should be evaluated not only for predicted sequence specificity but for population coverage across circulating strains and plasmids. Multiplex targeting may reduce single-site escape, but it could also increase delivery burden and unintended ecological selection. Preclinical models should include clinically relevant biofilms, mixed populations and resistance-gene transfer rather than only homogeneous laboratory strains. Human trials are premature until the delivery platform itself is reproducible and safe (Bikard et al., 2014; Citorik et al., 2014).</w:t>
      </w:r>
    </w:p>
    <w:p w14:paraId="2A41E5A0" w14:textId="77777777" w:rsidR="00FE7B37" w:rsidRPr="000013E1" w:rsidRDefault="00000000">
      <w:pPr>
        <w:ind w:firstLine="288"/>
      </w:pPr>
      <w:r w:rsidRPr="000013E1">
        <w:rPr>
          <w:rFonts w:eastAsia="Times New Roman"/>
        </w:rPr>
        <w:t>Microbiome-directed decolonisation needs similarly disciplined endpoint selection. The negative sham-controlled FMT trial reported by Narang et al. (2026) indicates that changing microbiome composition is not equivalent to eliminating MDRO carriage. Future studies should enrich for patients at high risk of subsequent invasive infection, test repeat or defined microbial consortia where biologically justified, and follow both decolonisation durability and clinical infection. AI may ultimately help identify responder phenotypes, but predictive modelling should be nested within randomised interventions so that response signatures are not mistaken for causal determinants.</w:t>
      </w:r>
    </w:p>
    <w:p w14:paraId="3D13074A" w14:textId="77777777" w:rsidR="00FE7B37" w:rsidRPr="000013E1" w:rsidRDefault="00000000">
      <w:pPr>
        <w:ind w:firstLine="288"/>
      </w:pPr>
      <w:r w:rsidRPr="000013E1">
        <w:rPr>
          <w:rFonts w:eastAsia="Times New Roman"/>
        </w:rPr>
        <w:t>AI-enabled antibiotic discovery should be assessed using development productivity rather than headline screening size. The next generation of studies should prospectively compare AI-prioritised and conventional medicinal-chemistry pipelines on hit novelty, confirmatory activity, selectivity, resistance frequency, pharmacokinetics, toxicity and progression to candidate status. The halicin, abaucin and explainable-deep-learning studies show that models can identify structurally unusual antibacterial candidates, but the clinically decisive attrition occurs downstream (Liu et al., 2023; Stokes et al., 2020; Wong et al., 2024). Hybrid systems that integrate predicted activity with synthesizability, toxicity and resistance potential may be more valuable than models optimised solely for antibacterial activity.</w:t>
      </w:r>
    </w:p>
    <w:p w14:paraId="1E0B6565" w14:textId="77777777" w:rsidR="00FE7B37" w:rsidRPr="000013E1" w:rsidRDefault="00000000">
      <w:pPr>
        <w:ind w:firstLine="288"/>
      </w:pPr>
      <w:r w:rsidRPr="000013E1">
        <w:rPr>
          <w:rFonts w:eastAsia="Times New Roman"/>
        </w:rPr>
        <w:t>Large language models require especially cautious research design. Vignette accuracy should no longer be treated as sufficient evidence. Prospective studies should compare retrieval-grounded LLM support with conventional stewardship resources in real clinical workflows, measure unsupported recommendations and clinician over-reliance, and include deliberately difficult MDRO cases. Because model behaviour changes between versions, the exact deployed model and retrieval corpus must be versioned. Recommendation provenance should be visible, and abstention should be rewarded when the evidence is insufficient. The observed decline in LLM prescribing performance for complex difficult-to-treat organisms makes this a safety requirement rather than a cosmetic design preference (De Vito et al., 2025).</w:t>
      </w:r>
    </w:p>
    <w:p w14:paraId="363DA06B" w14:textId="77777777" w:rsidR="00FE7B37" w:rsidRPr="000013E1" w:rsidRDefault="00000000">
      <w:pPr>
        <w:ind w:firstLine="288"/>
      </w:pPr>
      <w:r w:rsidRPr="000013E1">
        <w:rPr>
          <w:rFonts w:eastAsia="Times New Roman"/>
        </w:rPr>
        <w:t xml:space="preserve">Longer-term research should treat AMR as an adaptive system. Antibiotic recommendations change selection pressure, selection pressure changes resistance prevalence, and resistance prevalence changes the model's future labels. Conventional predictive validation assumes a largely stationary relationship between inputs and outcomes; MDRO management violates that assumption. Causal and reinforcement-learning approaches may eventually help optimise sequential policies, but only if safety constraints and counterfactual </w:t>
      </w:r>
      <w:r w:rsidRPr="000013E1">
        <w:rPr>
          <w:rFonts w:eastAsia="Times New Roman"/>
        </w:rPr>
        <w:lastRenderedPageBreak/>
        <w:t>assumptions are explicit. Early experiments should therefore be conducted in simulation or silent mode using rich longitudinal data before any autonomous policy is permitted to alter treatment.</w:t>
      </w:r>
    </w:p>
    <w:p w14:paraId="754002B5" w14:textId="77777777" w:rsidR="00FE7B37" w:rsidRPr="000013E1" w:rsidRDefault="00000000">
      <w:pPr>
        <w:ind w:firstLine="288"/>
      </w:pPr>
      <w:r w:rsidRPr="000013E1">
        <w:rPr>
          <w:rFonts w:eastAsia="Times New Roman"/>
        </w:rPr>
        <w:t>Finally, global implementation research must be treated as a core scientific priority. Models developed in high-resource hospitals should be tested in regions with different pathogen distributions, laboratory capacities, antibiotic availability and data completeness. Locally feasible models using a small number of reliable variables may outperform imported complex systems in net benefit. Shared open benchmarking datasets can improve method comparison, but deployment datasets should remain locally representative. The most meaningful long-term success criterion is not whether AI raises average predictive performance; it is whether integrated systems reduce preventable delay, preserve antimicrobial effectiveness and make high-quality MDRO care more accessible without amplifying existing inequities.</w:t>
      </w:r>
    </w:p>
    <w:p w14:paraId="33B4D1CA" w14:textId="77777777" w:rsidR="00FE7B37" w:rsidRPr="000013E1" w:rsidRDefault="00000000">
      <w:pPr>
        <w:pStyle w:val="Heading1"/>
        <w:rPr>
          <w:color w:val="auto"/>
        </w:rPr>
      </w:pPr>
      <w:r w:rsidRPr="000013E1">
        <w:rPr>
          <w:rFonts w:ascii="Times New Roman" w:eastAsia="Times New Roman" w:hAnsi="Times New Roman"/>
          <w:color w:val="auto"/>
        </w:rPr>
        <w:t>9. Conclusions</w:t>
      </w:r>
    </w:p>
    <w:p w14:paraId="3AE10BEC" w14:textId="77777777" w:rsidR="00FE7B37" w:rsidRPr="000013E1" w:rsidRDefault="00000000">
      <w:pPr>
        <w:ind w:firstLine="288"/>
      </w:pPr>
      <w:r w:rsidRPr="000013E1">
        <w:rPr>
          <w:rFonts w:eastAsia="Times New Roman"/>
        </w:rPr>
        <w:t>Management of multidrug-resistant bacterial infections is becoming more precise because resistance mechanisms, diagnostic information and therapeutic spectra can increasingly be linked at the level of the individual patient. The strongest current therapeutic advances are mechanism-matched antibacterial agents supported by clinical trials or comparative clinical evidence. These agents have reduced dependence on toxic salvage regimens for several resistant Gram-negative infections, although effectiveness remains contingent on pathogen, resistance mechanism, infection site and host context. Bacteriophage therapy, CRISPR-based antimicrobials, microbiome manipulation and AI-discovered antibiotics broaden the conceptual therapeutic space but remain at earlier stages of clinical maturity.</w:t>
      </w:r>
    </w:p>
    <w:p w14:paraId="669338E5" w14:textId="77777777" w:rsidR="00FE7B37" w:rsidRPr="000013E1" w:rsidRDefault="00000000">
      <w:pPr>
        <w:ind w:firstLine="288"/>
      </w:pPr>
      <w:r w:rsidRPr="000013E1">
        <w:rPr>
          <w:rFonts w:eastAsia="Times New Roman"/>
        </w:rPr>
        <w:t>AI has credible near-term value when it shortens a defined information bottleneck. Machine-learning models can extract useful resistance signals from MALDI-TOF spectra, genomic data, rapid phenotypic imaging and EHR histories, while stewardship models can prioritise expert review and personalise empiric coverage. The evidence does not yet support autonomous treatment selection. Transportability, calibration, class imbalance, changing resistance epidemiology and the difference between retrospective accuracy and prospective patient benefit remain substantial constraints. Large language models are particularly vulnerable to persuasive but incorrect recommendations in complex MDRO scenarios and should be restricted to governed decision support rather than independent prescribing.</w:t>
      </w:r>
    </w:p>
    <w:p w14:paraId="38FA9311" w14:textId="77777777" w:rsidR="00FE7B37" w:rsidRPr="000013E1" w:rsidRDefault="00000000">
      <w:pPr>
        <w:ind w:firstLine="288"/>
      </w:pPr>
      <w:r w:rsidRPr="000013E1">
        <w:rPr>
          <w:rFonts w:eastAsia="Times New Roman"/>
        </w:rPr>
        <w:t>The most defensible integration model is therefore a closed-loop clinical system in which AI augments, rather than replaces, microbiological measurement and specialist judgement. Early patient-level risk estimates should be updated by progressively stronger laboratory evidence; treatment recommendations should be constrained by mechanism-specific clinical evidence and local availability; stewardship should reassess therapy as uncertainty resolves; and confirmed outcomes should feed surveillance and model maintenance. Such a system must expose uncertainty and data provenance, maintain a validated fallback pathway and be evaluated by clinical and ecological outcomes rather than algorithmic performance alone.</w:t>
      </w:r>
    </w:p>
    <w:p w14:paraId="7FE8BFE6" w14:textId="77777777" w:rsidR="00FE7B37" w:rsidRPr="000013E1" w:rsidRDefault="00000000">
      <w:pPr>
        <w:ind w:firstLine="288"/>
      </w:pPr>
      <w:r w:rsidRPr="000013E1">
        <w:rPr>
          <w:rFonts w:eastAsia="Times New Roman"/>
        </w:rPr>
        <w:t>The field is technically ready to progress from model development to prospective implementation science. Whether AI materially improves MDRO management will depend less on producing another high-performing classifier than on demonstrating that integrated decision support delivers active therapy sooner, narrows treatment safely, preserves newer agents, detects failure modes and remains reliable as bacterial populations, breakpoints and treatment options evolve.</w:t>
      </w:r>
    </w:p>
    <w:p w14:paraId="1F16DAC2" w14:textId="77777777" w:rsidR="00FE7B37" w:rsidRPr="000013E1" w:rsidRDefault="00000000">
      <w:pPr>
        <w:pStyle w:val="Heading1"/>
        <w:rPr>
          <w:color w:val="auto"/>
        </w:rPr>
      </w:pPr>
      <w:r w:rsidRPr="000013E1">
        <w:rPr>
          <w:rFonts w:ascii="Times New Roman" w:eastAsia="Times New Roman" w:hAnsi="Times New Roman"/>
          <w:color w:val="auto"/>
        </w:rPr>
        <w:t>10. Limitations</w:t>
      </w:r>
    </w:p>
    <w:p w14:paraId="4AD31639" w14:textId="77777777" w:rsidR="00FE7B37" w:rsidRPr="000013E1" w:rsidRDefault="00000000">
      <w:pPr>
        <w:ind w:firstLine="288"/>
      </w:pPr>
      <w:r w:rsidRPr="000013E1">
        <w:rPr>
          <w:rFonts w:eastAsia="Times New Roman"/>
        </w:rPr>
        <w:t xml:space="preserve">As a critical narrative review, this synthesis is intrinsically vulnerable to selection and interpretive bias despite the use of a transparent search, explicit eligibility criteria and structured appraisal. It was designed to </w:t>
      </w:r>
      <w:r w:rsidRPr="000013E1">
        <w:rPr>
          <w:rFonts w:eastAsia="Times New Roman"/>
        </w:rPr>
        <w:lastRenderedPageBreak/>
        <w:t>integrate heterogeneous therapeutic, diagnostic and stewardship evidence rather than to identify an exhaustive set of studies or calculate pooled treatment effects. Consequently, the absence of formal systematic screening counts and quantitative synthesis limits reproducibility relative to a systematic review or meta-analysis.</w:t>
      </w:r>
    </w:p>
    <w:p w14:paraId="1F086911" w14:textId="77777777" w:rsidR="00FE7B37" w:rsidRPr="000013E1" w:rsidRDefault="00000000">
      <w:pPr>
        <w:ind w:firstLine="288"/>
      </w:pPr>
      <w:r w:rsidRPr="000013E1">
        <w:rPr>
          <w:rFonts w:eastAsia="Times New Roman"/>
        </w:rPr>
        <w:t>The evidence base itself is heterogeneous. Therapeutic conclusions range from pathogen-specific randomised trials to uncontrolled personalised-treatment reports, while AI studies vary in data source, target label, validation design and performance metric. Direct comparison across these evidence classes is therefore necessarily qualitative. Many AI studies are retrospective and institution specific, and prospective effects on patient outcomes, antimicrobial consumption or resistance ecology are uncommon. Publication bias towards technically successful models and positive proof-of-concept studies is likely.</w:t>
      </w:r>
    </w:p>
    <w:p w14:paraId="20B37B48" w14:textId="77777777" w:rsidR="00FE7B37" w:rsidRDefault="00000000">
      <w:pPr>
        <w:ind w:firstLine="288"/>
        <w:rPr>
          <w:rFonts w:eastAsia="Times New Roman"/>
        </w:rPr>
      </w:pPr>
      <w:r w:rsidRPr="000013E1">
        <w:rPr>
          <w:rFonts w:eastAsia="Times New Roman"/>
        </w:rPr>
        <w:t>Only English-language sources were considered, and access was centred on open scholarly databases and accessible full-text or authoritative bibliographic records. Relevant studies available only through inaccessible subscription resources may therefore have been missed. The rapidly changing nature of both AI and antimicrobial therapeutics creates additional temporal limitation: new model versions, resistance mechanisms, breakpoint changes and therapeutic approvals can alter conclusions quickly. Finally, the review focuses on bacterial MDROs in human clinical care and does not attempt comprehensive treatment of multidrug-resistant fungi, tuberculosis programme management, veterinary AMR or environmental resistance reservoirs. These exclusions were necessary to maintain a coherent management pathway but limit generalisation beyond the defined scope.</w:t>
      </w:r>
    </w:p>
    <w:p w14:paraId="208D4549" w14:textId="77777777" w:rsidR="001846C6" w:rsidRDefault="001846C6">
      <w:pPr>
        <w:ind w:firstLine="288"/>
        <w:rPr>
          <w:rFonts w:eastAsia="Times New Roman"/>
        </w:rPr>
      </w:pPr>
    </w:p>
    <w:p w14:paraId="66A7C9F9" w14:textId="77777777" w:rsidR="001846C6" w:rsidRPr="001846C6" w:rsidRDefault="001846C6" w:rsidP="001846C6">
      <w:pPr>
        <w:spacing w:after="0" w:line="240" w:lineRule="auto"/>
        <w:jc w:val="left"/>
        <w:rPr>
          <w:rFonts w:ascii="Arial" w:eastAsia="Calibri" w:hAnsi="Arial" w:cs="Arial"/>
          <w:b/>
          <w:sz w:val="20"/>
          <w:szCs w:val="20"/>
        </w:rPr>
      </w:pPr>
      <w:r w:rsidRPr="001846C6">
        <w:rPr>
          <w:rFonts w:ascii="Arial" w:eastAsia="Calibri" w:hAnsi="Arial" w:cs="Arial"/>
          <w:b/>
          <w:sz w:val="20"/>
          <w:szCs w:val="20"/>
        </w:rPr>
        <w:t>Declaration of AI Use</w:t>
      </w:r>
    </w:p>
    <w:p w14:paraId="4DFC4819" w14:textId="77777777" w:rsidR="001846C6" w:rsidRPr="001846C6" w:rsidRDefault="001846C6" w:rsidP="001846C6">
      <w:pPr>
        <w:spacing w:after="0" w:line="240" w:lineRule="auto"/>
        <w:jc w:val="left"/>
        <w:rPr>
          <w:rFonts w:ascii="Arial" w:eastAsia="Calibri" w:hAnsi="Arial" w:cs="Arial"/>
          <w:sz w:val="20"/>
          <w:szCs w:val="20"/>
        </w:rPr>
      </w:pPr>
    </w:p>
    <w:p w14:paraId="6266BD79" w14:textId="77777777" w:rsidR="001846C6" w:rsidRPr="001846C6" w:rsidRDefault="001846C6" w:rsidP="001846C6">
      <w:pPr>
        <w:spacing w:after="0" w:line="240" w:lineRule="auto"/>
        <w:jc w:val="left"/>
        <w:rPr>
          <w:rFonts w:ascii="Arial" w:eastAsia="Calibri" w:hAnsi="Arial" w:cs="Arial"/>
          <w:sz w:val="20"/>
          <w:szCs w:val="20"/>
        </w:rPr>
      </w:pPr>
      <w:r w:rsidRPr="001846C6">
        <w:rPr>
          <w:rFonts w:ascii="Arial" w:eastAsia="Calibri"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A7FB55C" w14:textId="77777777" w:rsidR="001846C6" w:rsidRPr="001846C6" w:rsidRDefault="001846C6" w:rsidP="001846C6">
      <w:pPr>
        <w:spacing w:after="0" w:line="240" w:lineRule="auto"/>
        <w:rPr>
          <w:rFonts w:eastAsia="Calibri" w:cs="Times New Roman"/>
        </w:rPr>
      </w:pPr>
    </w:p>
    <w:p w14:paraId="305D3B34" w14:textId="77777777" w:rsidR="001846C6" w:rsidRPr="001846C6" w:rsidRDefault="001846C6" w:rsidP="001846C6">
      <w:pPr>
        <w:spacing w:after="0" w:line="240" w:lineRule="auto"/>
        <w:rPr>
          <w:rFonts w:eastAsia="Calibri" w:cs="Times New Roman"/>
        </w:rPr>
      </w:pPr>
    </w:p>
    <w:p w14:paraId="03B4F6E3" w14:textId="77777777" w:rsidR="001846C6" w:rsidRPr="001846C6" w:rsidRDefault="001846C6" w:rsidP="001846C6">
      <w:pPr>
        <w:spacing w:after="200"/>
        <w:jc w:val="left"/>
        <w:rPr>
          <w:rFonts w:ascii="Cambria" w:eastAsia="Times New Roman" w:hAnsi="Cambria" w:cs="Arial"/>
          <w:b/>
          <w:bCs/>
          <w:lang w:val="en-GB" w:eastAsia="en-GB"/>
        </w:rPr>
      </w:pPr>
      <w:r w:rsidRPr="001846C6">
        <w:rPr>
          <w:rFonts w:ascii="Cambria" w:eastAsia="Times New Roman" w:hAnsi="Cambria" w:cs="Arial"/>
          <w:b/>
          <w:bCs/>
          <w:lang w:val="en-GB" w:eastAsia="en-GB"/>
        </w:rPr>
        <w:t>COMPETING INTERESTS DISCLAIMER:</w:t>
      </w:r>
    </w:p>
    <w:p w14:paraId="50701065" w14:textId="77777777" w:rsidR="001846C6" w:rsidRPr="001846C6" w:rsidRDefault="001846C6" w:rsidP="001846C6">
      <w:pPr>
        <w:spacing w:after="200"/>
        <w:jc w:val="left"/>
        <w:rPr>
          <w:rFonts w:ascii="Cambria" w:eastAsia="Times New Roman" w:hAnsi="Cambria" w:cs="Times New Roman"/>
          <w:lang w:val="en-GB" w:eastAsia="en-GB"/>
        </w:rPr>
      </w:pPr>
      <w:r w:rsidRPr="001846C6">
        <w:rPr>
          <w:rFonts w:ascii="Cambria" w:eastAsia="Times New Roman" w:hAnsi="Cambria" w:cs="Arial"/>
          <w:lang w:val="en-GB" w:eastAsia="en-GB"/>
        </w:rPr>
        <w:t>Authors have declared that they have no known competing financial interests OR non-financial interests OR personal relationships that could have appeared to influence the work reported in this paper.</w:t>
      </w:r>
    </w:p>
    <w:p w14:paraId="7631D9CA" w14:textId="77777777" w:rsidR="001846C6" w:rsidRPr="000013E1" w:rsidRDefault="001846C6">
      <w:pPr>
        <w:ind w:firstLine="288"/>
      </w:pPr>
    </w:p>
    <w:p w14:paraId="717D182F" w14:textId="77777777" w:rsidR="00FE7B37" w:rsidRPr="000013E1" w:rsidRDefault="00000000">
      <w:pPr>
        <w:pStyle w:val="Heading1"/>
        <w:rPr>
          <w:rFonts w:ascii="Times New Roman" w:eastAsia="Times New Roman" w:hAnsi="Times New Roman"/>
          <w:color w:val="auto"/>
        </w:rPr>
      </w:pPr>
      <w:r w:rsidRPr="000013E1">
        <w:rPr>
          <w:rFonts w:ascii="Times New Roman" w:eastAsia="Times New Roman" w:hAnsi="Times New Roman"/>
          <w:color w:val="auto"/>
        </w:rPr>
        <w:t>References</w:t>
      </w:r>
    </w:p>
    <w:p w14:paraId="22456F4B" w14:textId="5CF25AE6" w:rsidR="002C2332" w:rsidRPr="002C2332" w:rsidRDefault="002C2332" w:rsidP="002C2332">
      <w:pPr>
        <w:spacing w:after="0" w:line="240" w:lineRule="auto"/>
        <w:ind w:left="540" w:hanging="540"/>
        <w:rPr>
          <w:rFonts w:eastAsia="Times New Roman" w:cs="Times New Roman"/>
          <w:sz w:val="24"/>
          <w:szCs w:val="24"/>
        </w:rPr>
      </w:pPr>
      <w:r w:rsidRPr="002C2332">
        <w:rPr>
          <w:rFonts w:eastAsia="Times New Roman" w:cs="Times New Roman"/>
          <w:sz w:val="24"/>
          <w:szCs w:val="24"/>
        </w:rPr>
        <w:t>Ackley, R., Roshdy, D., Meredith, J., Minor, S., Anderson, W. E., Capraro, G. A., &amp; Polk, C. (2020). Meropenem-</w:t>
      </w:r>
      <w:proofErr w:type="spellStart"/>
      <w:r w:rsidRPr="002C2332">
        <w:rPr>
          <w:rFonts w:eastAsia="Times New Roman" w:cs="Times New Roman"/>
          <w:sz w:val="24"/>
          <w:szCs w:val="24"/>
        </w:rPr>
        <w:t>vaborbactam</w:t>
      </w:r>
      <w:proofErr w:type="spellEnd"/>
      <w:r w:rsidRPr="002C2332">
        <w:rPr>
          <w:rFonts w:eastAsia="Times New Roman" w:cs="Times New Roman"/>
          <w:sz w:val="24"/>
          <w:szCs w:val="24"/>
        </w:rPr>
        <w:t xml:space="preserve"> versus ceftazidime-avibactam for treatment of carbapenem-resistant Enterobacteriaceae infections. </w:t>
      </w:r>
      <w:r w:rsidRPr="002C2332">
        <w:rPr>
          <w:rFonts w:eastAsia="Times New Roman" w:cs="Times New Roman"/>
          <w:i/>
          <w:iCs/>
          <w:sz w:val="24"/>
          <w:szCs w:val="24"/>
        </w:rPr>
        <w:t>Antimicrobial Agents and Chemotherapy, 64</w:t>
      </w:r>
      <w:r w:rsidRPr="002C2332">
        <w:rPr>
          <w:rFonts w:eastAsia="Times New Roman" w:cs="Times New Roman"/>
          <w:sz w:val="24"/>
          <w:szCs w:val="24"/>
        </w:rPr>
        <w:t xml:space="preserve">(5), e02313-19. </w:t>
      </w:r>
      <w:hyperlink r:id="rId14" w:history="1">
        <w:r w:rsidRPr="002C2332">
          <w:rPr>
            <w:rFonts w:eastAsia="Times New Roman" w:cs="Times New Roman"/>
            <w:color w:val="0000FF"/>
            <w:sz w:val="24"/>
            <w:szCs w:val="24"/>
            <w:u w:val="single"/>
          </w:rPr>
          <w:t>https://doi.org/10.1128/AAC.02313-19</w:t>
        </w:r>
      </w:hyperlink>
    </w:p>
    <w:p w14:paraId="5CCB56D4" w14:textId="3DEA3292" w:rsidR="002C2332" w:rsidRPr="002C2332" w:rsidRDefault="002C2332" w:rsidP="002C2332">
      <w:pPr>
        <w:spacing w:after="0" w:line="240" w:lineRule="auto"/>
        <w:ind w:left="540" w:hanging="540"/>
        <w:rPr>
          <w:rFonts w:eastAsia="Times New Roman" w:cs="Times New Roman"/>
          <w:sz w:val="24"/>
          <w:szCs w:val="24"/>
        </w:rPr>
      </w:pPr>
      <w:proofErr w:type="spellStart"/>
      <w:r w:rsidRPr="002C2332">
        <w:rPr>
          <w:rFonts w:eastAsia="Times New Roman" w:cs="Times New Roman"/>
          <w:sz w:val="24"/>
          <w:szCs w:val="24"/>
        </w:rPr>
        <w:t>AlGain</w:t>
      </w:r>
      <w:proofErr w:type="spellEnd"/>
      <w:r w:rsidRPr="002C2332">
        <w:rPr>
          <w:rFonts w:eastAsia="Times New Roman" w:cs="Times New Roman"/>
          <w:sz w:val="24"/>
          <w:szCs w:val="24"/>
        </w:rPr>
        <w:t xml:space="preserve">, S., Marra, A. R., Kobayashi, T., Marra, P. S., </w:t>
      </w:r>
      <w:proofErr w:type="spellStart"/>
      <w:r w:rsidRPr="002C2332">
        <w:rPr>
          <w:rFonts w:eastAsia="Times New Roman" w:cs="Times New Roman"/>
          <w:sz w:val="24"/>
          <w:szCs w:val="24"/>
        </w:rPr>
        <w:t>Celeghini</w:t>
      </w:r>
      <w:proofErr w:type="spellEnd"/>
      <w:r w:rsidRPr="002C2332">
        <w:rPr>
          <w:rFonts w:eastAsia="Times New Roman" w:cs="Times New Roman"/>
          <w:sz w:val="24"/>
          <w:szCs w:val="24"/>
        </w:rPr>
        <w:t xml:space="preserve">, P. D., Hsieh, M. K., Shatari, M. A., </w:t>
      </w:r>
      <w:proofErr w:type="spellStart"/>
      <w:r w:rsidRPr="002C2332">
        <w:rPr>
          <w:rFonts w:eastAsia="Times New Roman" w:cs="Times New Roman"/>
          <w:sz w:val="24"/>
          <w:szCs w:val="24"/>
        </w:rPr>
        <w:t>Althagafi</w:t>
      </w:r>
      <w:proofErr w:type="spellEnd"/>
      <w:r w:rsidRPr="002C2332">
        <w:rPr>
          <w:rFonts w:eastAsia="Times New Roman" w:cs="Times New Roman"/>
          <w:sz w:val="24"/>
          <w:szCs w:val="24"/>
        </w:rPr>
        <w:t xml:space="preserve">, S., </w:t>
      </w:r>
      <w:proofErr w:type="spellStart"/>
      <w:r w:rsidRPr="002C2332">
        <w:rPr>
          <w:rFonts w:eastAsia="Times New Roman" w:cs="Times New Roman"/>
          <w:sz w:val="24"/>
          <w:szCs w:val="24"/>
        </w:rPr>
        <w:t>Alayed</w:t>
      </w:r>
      <w:proofErr w:type="spellEnd"/>
      <w:r w:rsidRPr="002C2332">
        <w:rPr>
          <w:rFonts w:eastAsia="Times New Roman" w:cs="Times New Roman"/>
          <w:sz w:val="24"/>
          <w:szCs w:val="24"/>
        </w:rPr>
        <w:t xml:space="preserve">, M., </w:t>
      </w:r>
      <w:proofErr w:type="spellStart"/>
      <w:r w:rsidRPr="002C2332">
        <w:rPr>
          <w:rFonts w:eastAsia="Times New Roman" w:cs="Times New Roman"/>
          <w:sz w:val="24"/>
          <w:szCs w:val="24"/>
        </w:rPr>
        <w:t>Ranavaya</w:t>
      </w:r>
      <w:proofErr w:type="spellEnd"/>
      <w:r w:rsidRPr="002C2332">
        <w:rPr>
          <w:rFonts w:eastAsia="Times New Roman" w:cs="Times New Roman"/>
          <w:sz w:val="24"/>
          <w:szCs w:val="24"/>
        </w:rPr>
        <w:t xml:space="preserve">, J. I., Boodhoo, N. A., Meade, N. O., Fu, D., Sampson, M. M., Rodriguez-Nava, G., Zimmet, A. N., Ha, D., </w:t>
      </w:r>
      <w:proofErr w:type="spellStart"/>
      <w:r w:rsidRPr="002C2332">
        <w:rPr>
          <w:rFonts w:eastAsia="Times New Roman" w:cs="Times New Roman"/>
          <w:sz w:val="24"/>
          <w:szCs w:val="24"/>
        </w:rPr>
        <w:t>Alsuhaibani</w:t>
      </w:r>
      <w:proofErr w:type="spellEnd"/>
      <w:r w:rsidRPr="002C2332">
        <w:rPr>
          <w:rFonts w:eastAsia="Times New Roman" w:cs="Times New Roman"/>
          <w:sz w:val="24"/>
          <w:szCs w:val="24"/>
        </w:rPr>
        <w:t xml:space="preserve">, M., Huddleston, B. S., &amp; Salinas, J. L. (2025). Can we rely on artificial intelligence to guide antimicrobial therapy? A systematic literature review. </w:t>
      </w:r>
      <w:r w:rsidRPr="002C2332">
        <w:rPr>
          <w:rFonts w:eastAsia="Times New Roman" w:cs="Times New Roman"/>
          <w:i/>
          <w:iCs/>
          <w:sz w:val="24"/>
          <w:szCs w:val="24"/>
        </w:rPr>
        <w:t>Antimicrobial Stewardship &amp; Healthcare Epidemiology, 5</w:t>
      </w:r>
      <w:r w:rsidRPr="002C2332">
        <w:rPr>
          <w:rFonts w:eastAsia="Times New Roman" w:cs="Times New Roman"/>
          <w:sz w:val="24"/>
          <w:szCs w:val="24"/>
        </w:rPr>
        <w:t xml:space="preserve">(1), e90. </w:t>
      </w:r>
      <w:hyperlink r:id="rId15" w:history="1">
        <w:r w:rsidRPr="002C2332">
          <w:rPr>
            <w:rFonts w:eastAsia="Times New Roman" w:cs="Times New Roman"/>
            <w:color w:val="0000FF"/>
            <w:sz w:val="24"/>
            <w:szCs w:val="24"/>
            <w:u w:val="single"/>
          </w:rPr>
          <w:t>https://doi.org/10.1017/ash.2025.47</w:t>
        </w:r>
      </w:hyperlink>
    </w:p>
    <w:p w14:paraId="7FCEE0E6" w14:textId="5DF89744" w:rsidR="002C2332" w:rsidRPr="002C2332" w:rsidRDefault="002C2332" w:rsidP="002C2332">
      <w:pPr>
        <w:spacing w:after="0" w:line="240" w:lineRule="auto"/>
        <w:ind w:left="540" w:hanging="540"/>
        <w:rPr>
          <w:rFonts w:eastAsia="Times New Roman" w:cs="Times New Roman"/>
          <w:sz w:val="24"/>
          <w:szCs w:val="24"/>
        </w:rPr>
      </w:pPr>
      <w:r w:rsidRPr="002C2332">
        <w:rPr>
          <w:rFonts w:eastAsia="Times New Roman" w:cs="Times New Roman"/>
          <w:sz w:val="24"/>
          <w:szCs w:val="24"/>
        </w:rPr>
        <w:lastRenderedPageBreak/>
        <w:t xml:space="preserve">Antimicrobial Resistance Collaborators. (2022). Global burden of bacterial antimicrobial resistance in 2019: A systematic analysis. </w:t>
      </w:r>
      <w:r w:rsidRPr="002C2332">
        <w:rPr>
          <w:rFonts w:eastAsia="Times New Roman" w:cs="Times New Roman"/>
          <w:i/>
          <w:iCs/>
          <w:sz w:val="24"/>
          <w:szCs w:val="24"/>
        </w:rPr>
        <w:t>The Lancet, 399</w:t>
      </w:r>
      <w:r w:rsidRPr="002C2332">
        <w:rPr>
          <w:rFonts w:eastAsia="Times New Roman" w:cs="Times New Roman"/>
          <w:sz w:val="24"/>
          <w:szCs w:val="24"/>
        </w:rPr>
        <w:t xml:space="preserve">(10325), 629–655. </w:t>
      </w:r>
      <w:hyperlink r:id="rId16" w:history="1">
        <w:r w:rsidRPr="002C2332">
          <w:rPr>
            <w:rFonts w:eastAsia="Times New Roman" w:cs="Times New Roman"/>
            <w:color w:val="0000FF"/>
            <w:sz w:val="24"/>
            <w:szCs w:val="24"/>
            <w:u w:val="single"/>
          </w:rPr>
          <w:t>https://doi.org/10.1016/S0140-6736(21)02724-0</w:t>
        </w:r>
      </w:hyperlink>
    </w:p>
    <w:p w14:paraId="3E96C83F" w14:textId="747043C8" w:rsidR="002C2332" w:rsidRPr="002C2332" w:rsidRDefault="002C2332" w:rsidP="002C2332">
      <w:pPr>
        <w:spacing w:after="0" w:line="240" w:lineRule="auto"/>
        <w:ind w:left="540" w:hanging="540"/>
        <w:rPr>
          <w:rFonts w:eastAsia="Times New Roman" w:cs="Times New Roman"/>
          <w:sz w:val="24"/>
          <w:szCs w:val="24"/>
        </w:rPr>
      </w:pPr>
      <w:r w:rsidRPr="002C2332">
        <w:rPr>
          <w:rFonts w:eastAsia="Times New Roman" w:cs="Times New Roman"/>
          <w:sz w:val="24"/>
          <w:szCs w:val="24"/>
        </w:rPr>
        <w:t xml:space="preserve">Ardila, C. M., Yadalam, P. K., &amp; González-Arroyave, D. (2024). Integrating whole genome sequencing and machine learning for predicting antimicrobial resistance in critical pathogens: A systematic review of antimicrobial susceptibility tests. </w:t>
      </w:r>
      <w:proofErr w:type="spellStart"/>
      <w:r w:rsidRPr="002C2332">
        <w:rPr>
          <w:rFonts w:eastAsia="Times New Roman" w:cs="Times New Roman"/>
          <w:i/>
          <w:iCs/>
          <w:sz w:val="24"/>
          <w:szCs w:val="24"/>
        </w:rPr>
        <w:t>PeerJ</w:t>
      </w:r>
      <w:proofErr w:type="spellEnd"/>
      <w:r w:rsidRPr="002C2332">
        <w:rPr>
          <w:rFonts w:eastAsia="Times New Roman" w:cs="Times New Roman"/>
          <w:i/>
          <w:iCs/>
          <w:sz w:val="24"/>
          <w:szCs w:val="24"/>
        </w:rPr>
        <w:t>, 12</w:t>
      </w:r>
      <w:r w:rsidRPr="002C2332">
        <w:rPr>
          <w:rFonts w:eastAsia="Times New Roman" w:cs="Times New Roman"/>
          <w:sz w:val="24"/>
          <w:szCs w:val="24"/>
        </w:rPr>
        <w:t xml:space="preserve">, e18213. </w:t>
      </w:r>
      <w:hyperlink r:id="rId17" w:history="1">
        <w:r w:rsidRPr="002C2332">
          <w:rPr>
            <w:rFonts w:eastAsia="Times New Roman" w:cs="Times New Roman"/>
            <w:color w:val="0000FF"/>
            <w:sz w:val="24"/>
            <w:szCs w:val="24"/>
            <w:u w:val="single"/>
          </w:rPr>
          <w:t>https://doi.org/10.7717/peerj.18213</w:t>
        </w:r>
      </w:hyperlink>
    </w:p>
    <w:p w14:paraId="398CF9EB" w14:textId="03FEAAE8" w:rsidR="002C2332" w:rsidRPr="002C2332" w:rsidRDefault="002C2332" w:rsidP="002C2332">
      <w:pPr>
        <w:spacing w:after="0" w:line="240" w:lineRule="auto"/>
        <w:ind w:left="540" w:hanging="540"/>
        <w:rPr>
          <w:rFonts w:eastAsia="Times New Roman" w:cs="Times New Roman"/>
          <w:sz w:val="24"/>
          <w:szCs w:val="24"/>
        </w:rPr>
      </w:pPr>
      <w:r w:rsidRPr="002C2332">
        <w:rPr>
          <w:rFonts w:eastAsia="Times New Roman" w:cs="Times New Roman"/>
          <w:sz w:val="24"/>
          <w:szCs w:val="24"/>
        </w:rPr>
        <w:t xml:space="preserve">Arnold, A., McLellan, S., &amp; Stokes, J. M. (2025). How AI can help us beat AMR. </w:t>
      </w:r>
      <w:proofErr w:type="spellStart"/>
      <w:r w:rsidRPr="002C2332">
        <w:rPr>
          <w:rFonts w:eastAsia="Times New Roman" w:cs="Times New Roman"/>
          <w:i/>
          <w:iCs/>
          <w:sz w:val="24"/>
          <w:szCs w:val="24"/>
        </w:rPr>
        <w:t>npj</w:t>
      </w:r>
      <w:proofErr w:type="spellEnd"/>
      <w:r w:rsidRPr="002C2332">
        <w:rPr>
          <w:rFonts w:eastAsia="Times New Roman" w:cs="Times New Roman"/>
          <w:i/>
          <w:iCs/>
          <w:sz w:val="24"/>
          <w:szCs w:val="24"/>
        </w:rPr>
        <w:t xml:space="preserve"> Antimicrobials and Resistance, 3</w:t>
      </w:r>
      <w:r w:rsidRPr="002C2332">
        <w:rPr>
          <w:rFonts w:eastAsia="Times New Roman" w:cs="Times New Roman"/>
          <w:sz w:val="24"/>
          <w:szCs w:val="24"/>
        </w:rPr>
        <w:t xml:space="preserve">, 18. </w:t>
      </w:r>
      <w:hyperlink r:id="rId18" w:history="1">
        <w:r w:rsidRPr="002C2332">
          <w:rPr>
            <w:rFonts w:eastAsia="Times New Roman" w:cs="Times New Roman"/>
            <w:color w:val="0000FF"/>
            <w:sz w:val="24"/>
            <w:szCs w:val="24"/>
            <w:u w:val="single"/>
          </w:rPr>
          <w:t>https://doi.org/10.1038/s44259-025-00085-4</w:t>
        </w:r>
      </w:hyperlink>
    </w:p>
    <w:p w14:paraId="705C8ED3" w14:textId="382E9740" w:rsidR="002C2332" w:rsidRPr="002C2332" w:rsidRDefault="002C2332" w:rsidP="002C2332">
      <w:pPr>
        <w:spacing w:after="0" w:line="240" w:lineRule="auto"/>
        <w:ind w:left="540" w:hanging="540"/>
        <w:rPr>
          <w:rFonts w:eastAsia="Times New Roman" w:cs="Times New Roman"/>
          <w:sz w:val="24"/>
          <w:szCs w:val="24"/>
        </w:rPr>
      </w:pPr>
      <w:proofErr w:type="spellStart"/>
      <w:r w:rsidRPr="002C2332">
        <w:rPr>
          <w:rFonts w:eastAsia="Times New Roman" w:cs="Times New Roman"/>
          <w:sz w:val="24"/>
          <w:szCs w:val="24"/>
        </w:rPr>
        <w:t>Avershina</w:t>
      </w:r>
      <w:proofErr w:type="spellEnd"/>
      <w:r w:rsidRPr="002C2332">
        <w:rPr>
          <w:rFonts w:eastAsia="Times New Roman" w:cs="Times New Roman"/>
          <w:sz w:val="24"/>
          <w:szCs w:val="24"/>
        </w:rPr>
        <w:t xml:space="preserve">, E., Shapovalova, V., &amp; </w:t>
      </w:r>
      <w:proofErr w:type="spellStart"/>
      <w:r w:rsidRPr="002C2332">
        <w:rPr>
          <w:rFonts w:eastAsia="Times New Roman" w:cs="Times New Roman"/>
          <w:sz w:val="24"/>
          <w:szCs w:val="24"/>
        </w:rPr>
        <w:t>Shipulin</w:t>
      </w:r>
      <w:proofErr w:type="spellEnd"/>
      <w:r w:rsidRPr="002C2332">
        <w:rPr>
          <w:rFonts w:eastAsia="Times New Roman" w:cs="Times New Roman"/>
          <w:sz w:val="24"/>
          <w:szCs w:val="24"/>
        </w:rPr>
        <w:t xml:space="preserve">, G. (2021). Fighting antibiotic resistance in hospital-acquired infections: Current state and emerging technologies in disease prevention, diagnostics and therapy. </w:t>
      </w:r>
      <w:r w:rsidRPr="002C2332">
        <w:rPr>
          <w:rFonts w:eastAsia="Times New Roman" w:cs="Times New Roman"/>
          <w:i/>
          <w:iCs/>
          <w:sz w:val="24"/>
          <w:szCs w:val="24"/>
        </w:rPr>
        <w:t>Frontiers in Microbiology, 12</w:t>
      </w:r>
      <w:r w:rsidRPr="002C2332">
        <w:rPr>
          <w:rFonts w:eastAsia="Times New Roman" w:cs="Times New Roman"/>
          <w:sz w:val="24"/>
          <w:szCs w:val="24"/>
        </w:rPr>
        <w:t xml:space="preserve">, 707330. </w:t>
      </w:r>
      <w:hyperlink r:id="rId19" w:history="1">
        <w:r w:rsidRPr="002C2332">
          <w:rPr>
            <w:rFonts w:eastAsia="Times New Roman" w:cs="Times New Roman"/>
            <w:color w:val="0000FF"/>
            <w:sz w:val="24"/>
            <w:szCs w:val="24"/>
            <w:u w:val="single"/>
          </w:rPr>
          <w:t>https://doi.org/10.3389/fmicb.2021.707330</w:t>
        </w:r>
      </w:hyperlink>
    </w:p>
    <w:p w14:paraId="29E0286B" w14:textId="1580EDDD" w:rsidR="002C2332" w:rsidRPr="002C2332" w:rsidRDefault="002C2332" w:rsidP="002C2332">
      <w:pPr>
        <w:spacing w:after="0" w:line="240" w:lineRule="auto"/>
        <w:ind w:left="540" w:hanging="540"/>
        <w:rPr>
          <w:rFonts w:eastAsia="Times New Roman" w:cs="Times New Roman"/>
          <w:sz w:val="24"/>
          <w:szCs w:val="24"/>
        </w:rPr>
      </w:pPr>
      <w:proofErr w:type="spellStart"/>
      <w:r w:rsidRPr="002C2332">
        <w:rPr>
          <w:rFonts w:eastAsia="Times New Roman" w:cs="Times New Roman"/>
          <w:sz w:val="24"/>
          <w:szCs w:val="24"/>
        </w:rPr>
        <w:t>Baethge</w:t>
      </w:r>
      <w:proofErr w:type="spellEnd"/>
      <w:r w:rsidRPr="002C2332">
        <w:rPr>
          <w:rFonts w:eastAsia="Times New Roman" w:cs="Times New Roman"/>
          <w:sz w:val="24"/>
          <w:szCs w:val="24"/>
        </w:rPr>
        <w:t xml:space="preserve">, C., Goldbeck-Wood, S., &amp; Mertens, S. (2019). SANRA—a scale for the quality assessment of narrative review articles. </w:t>
      </w:r>
      <w:r w:rsidRPr="002C2332">
        <w:rPr>
          <w:rFonts w:eastAsia="Times New Roman" w:cs="Times New Roman"/>
          <w:i/>
          <w:iCs/>
          <w:sz w:val="24"/>
          <w:szCs w:val="24"/>
        </w:rPr>
        <w:t>Research Integrity and Peer Review, 4</w:t>
      </w:r>
      <w:r w:rsidRPr="002C2332">
        <w:rPr>
          <w:rFonts w:eastAsia="Times New Roman" w:cs="Times New Roman"/>
          <w:sz w:val="24"/>
          <w:szCs w:val="24"/>
        </w:rPr>
        <w:t xml:space="preserve">, 5. </w:t>
      </w:r>
      <w:hyperlink r:id="rId20" w:history="1">
        <w:r w:rsidRPr="002C2332">
          <w:rPr>
            <w:rFonts w:eastAsia="Times New Roman" w:cs="Times New Roman"/>
            <w:color w:val="0000FF"/>
            <w:sz w:val="24"/>
            <w:szCs w:val="24"/>
            <w:u w:val="single"/>
          </w:rPr>
          <w:t>https://doi.org/10.1186/s41073-019-0064-8</w:t>
        </w:r>
      </w:hyperlink>
    </w:p>
    <w:p w14:paraId="177B5CC7" w14:textId="5B5D3B14" w:rsidR="002C2332" w:rsidRPr="002C2332" w:rsidRDefault="002C2332" w:rsidP="002C2332">
      <w:pPr>
        <w:spacing w:after="0" w:line="240" w:lineRule="auto"/>
        <w:ind w:left="540" w:hanging="540"/>
        <w:rPr>
          <w:rFonts w:eastAsia="Times New Roman" w:cs="Times New Roman"/>
          <w:sz w:val="24"/>
          <w:szCs w:val="24"/>
        </w:rPr>
      </w:pPr>
      <w:r w:rsidRPr="002C2332">
        <w:rPr>
          <w:rFonts w:eastAsia="Times New Roman" w:cs="Times New Roman"/>
          <w:sz w:val="24"/>
          <w:szCs w:val="24"/>
        </w:rPr>
        <w:t xml:space="preserve">Bassetti, M., Echols, R., Matsunaga, Y., </w:t>
      </w:r>
      <w:proofErr w:type="spellStart"/>
      <w:r w:rsidRPr="002C2332">
        <w:rPr>
          <w:rFonts w:eastAsia="Times New Roman" w:cs="Times New Roman"/>
          <w:sz w:val="24"/>
          <w:szCs w:val="24"/>
        </w:rPr>
        <w:t>Ariyasu</w:t>
      </w:r>
      <w:proofErr w:type="spellEnd"/>
      <w:r w:rsidRPr="002C2332">
        <w:rPr>
          <w:rFonts w:eastAsia="Times New Roman" w:cs="Times New Roman"/>
          <w:sz w:val="24"/>
          <w:szCs w:val="24"/>
        </w:rPr>
        <w:t xml:space="preserve">, M., Doi, Y., Ferrer, R., Lodise, T. P., Naas, T., Niki, Y., Paterson, D. L., Portsmouth, S., Torre-Cisneros, J., </w:t>
      </w:r>
      <w:proofErr w:type="spellStart"/>
      <w:r w:rsidRPr="002C2332">
        <w:rPr>
          <w:rFonts w:eastAsia="Times New Roman" w:cs="Times New Roman"/>
          <w:sz w:val="24"/>
          <w:szCs w:val="24"/>
        </w:rPr>
        <w:t>Toyoizumi</w:t>
      </w:r>
      <w:proofErr w:type="spellEnd"/>
      <w:r w:rsidRPr="002C2332">
        <w:rPr>
          <w:rFonts w:eastAsia="Times New Roman" w:cs="Times New Roman"/>
          <w:sz w:val="24"/>
          <w:szCs w:val="24"/>
        </w:rPr>
        <w:t xml:space="preserve">, K., </w:t>
      </w:r>
      <w:proofErr w:type="spellStart"/>
      <w:r w:rsidRPr="002C2332">
        <w:rPr>
          <w:rFonts w:eastAsia="Times New Roman" w:cs="Times New Roman"/>
          <w:sz w:val="24"/>
          <w:szCs w:val="24"/>
        </w:rPr>
        <w:t>Wunderink</w:t>
      </w:r>
      <w:proofErr w:type="spellEnd"/>
      <w:r w:rsidRPr="002C2332">
        <w:rPr>
          <w:rFonts w:eastAsia="Times New Roman" w:cs="Times New Roman"/>
          <w:sz w:val="24"/>
          <w:szCs w:val="24"/>
        </w:rPr>
        <w:t xml:space="preserve">, R. G., &amp; Nagata, T. D. (2021). Efficacy and safety of </w:t>
      </w:r>
      <w:proofErr w:type="spellStart"/>
      <w:r w:rsidRPr="002C2332">
        <w:rPr>
          <w:rFonts w:eastAsia="Times New Roman" w:cs="Times New Roman"/>
          <w:sz w:val="24"/>
          <w:szCs w:val="24"/>
        </w:rPr>
        <w:t>cefiderocol</w:t>
      </w:r>
      <w:proofErr w:type="spellEnd"/>
      <w:r w:rsidRPr="002C2332">
        <w:rPr>
          <w:rFonts w:eastAsia="Times New Roman" w:cs="Times New Roman"/>
          <w:sz w:val="24"/>
          <w:szCs w:val="24"/>
        </w:rPr>
        <w:t xml:space="preserve"> or best available therapy for the treatment of serious infections caused by carbapenem-resistant Gram-negative bacteria (CREDIBLE-CR): A </w:t>
      </w:r>
      <w:proofErr w:type="spellStart"/>
      <w:r w:rsidRPr="002C2332">
        <w:rPr>
          <w:rFonts w:eastAsia="Times New Roman" w:cs="Times New Roman"/>
          <w:sz w:val="24"/>
          <w:szCs w:val="24"/>
        </w:rPr>
        <w:t>randomised</w:t>
      </w:r>
      <w:proofErr w:type="spellEnd"/>
      <w:r w:rsidRPr="002C2332">
        <w:rPr>
          <w:rFonts w:eastAsia="Times New Roman" w:cs="Times New Roman"/>
          <w:sz w:val="24"/>
          <w:szCs w:val="24"/>
        </w:rPr>
        <w:t xml:space="preserve">, open-label, </w:t>
      </w:r>
      <w:proofErr w:type="spellStart"/>
      <w:r w:rsidRPr="002C2332">
        <w:rPr>
          <w:rFonts w:eastAsia="Times New Roman" w:cs="Times New Roman"/>
          <w:sz w:val="24"/>
          <w:szCs w:val="24"/>
        </w:rPr>
        <w:t>multicentre</w:t>
      </w:r>
      <w:proofErr w:type="spellEnd"/>
      <w:r w:rsidRPr="002C2332">
        <w:rPr>
          <w:rFonts w:eastAsia="Times New Roman" w:cs="Times New Roman"/>
          <w:sz w:val="24"/>
          <w:szCs w:val="24"/>
        </w:rPr>
        <w:t xml:space="preserve">, pathogen-focused, descriptive, phase 3 trial. </w:t>
      </w:r>
      <w:r w:rsidRPr="002C2332">
        <w:rPr>
          <w:rFonts w:eastAsia="Times New Roman" w:cs="Times New Roman"/>
          <w:i/>
          <w:iCs/>
          <w:sz w:val="24"/>
          <w:szCs w:val="24"/>
        </w:rPr>
        <w:t>The Lancet Infectious Diseases, 21</w:t>
      </w:r>
      <w:r w:rsidRPr="002C2332">
        <w:rPr>
          <w:rFonts w:eastAsia="Times New Roman" w:cs="Times New Roman"/>
          <w:sz w:val="24"/>
          <w:szCs w:val="24"/>
        </w:rPr>
        <w:t xml:space="preserve">(2), 226–240. </w:t>
      </w:r>
      <w:hyperlink r:id="rId21" w:history="1">
        <w:r w:rsidRPr="002C2332">
          <w:rPr>
            <w:rFonts w:eastAsia="Times New Roman" w:cs="Times New Roman"/>
            <w:color w:val="0000FF"/>
            <w:sz w:val="24"/>
            <w:szCs w:val="24"/>
            <w:u w:val="single"/>
          </w:rPr>
          <w:t>https://doi.org/10.1016/S1473-3099(20)30796-9</w:t>
        </w:r>
      </w:hyperlink>
    </w:p>
    <w:p w14:paraId="72A2F1D7" w14:textId="4DDBCA31" w:rsidR="002C2332" w:rsidRPr="002C2332" w:rsidRDefault="002C2332" w:rsidP="002C2332">
      <w:pPr>
        <w:spacing w:after="0" w:line="240" w:lineRule="auto"/>
        <w:ind w:left="540" w:hanging="540"/>
        <w:rPr>
          <w:rFonts w:eastAsia="Times New Roman" w:cs="Times New Roman"/>
          <w:sz w:val="24"/>
          <w:szCs w:val="24"/>
        </w:rPr>
      </w:pPr>
      <w:r w:rsidRPr="002C2332">
        <w:rPr>
          <w:rFonts w:eastAsia="Times New Roman" w:cs="Times New Roman"/>
          <w:sz w:val="24"/>
          <w:szCs w:val="24"/>
          <w:lang w:val="nl-BE"/>
        </w:rPr>
        <w:t xml:space="preserve">Bikard, D., Euler, C. W., Jiang, W., Nussenzweig, P. M., Goldberg, G. W., Duportet, X., Fischetti, V. A., &amp; Marraffini, L. A. (2014). </w:t>
      </w:r>
      <w:r w:rsidRPr="002C2332">
        <w:rPr>
          <w:rFonts w:eastAsia="Times New Roman" w:cs="Times New Roman"/>
          <w:sz w:val="24"/>
          <w:szCs w:val="24"/>
        </w:rPr>
        <w:t xml:space="preserve">Exploiting CRISPR-Cas nucleases to produce sequence-specific antimicrobials. </w:t>
      </w:r>
      <w:r w:rsidRPr="002C2332">
        <w:rPr>
          <w:rFonts w:eastAsia="Times New Roman" w:cs="Times New Roman"/>
          <w:i/>
          <w:iCs/>
          <w:sz w:val="24"/>
          <w:szCs w:val="24"/>
        </w:rPr>
        <w:t>Nature Biotechnology, 32</w:t>
      </w:r>
      <w:r w:rsidRPr="002C2332">
        <w:rPr>
          <w:rFonts w:eastAsia="Times New Roman" w:cs="Times New Roman"/>
          <w:sz w:val="24"/>
          <w:szCs w:val="24"/>
        </w:rPr>
        <w:t xml:space="preserve">(11), 1146–1150. </w:t>
      </w:r>
      <w:hyperlink r:id="rId22" w:history="1">
        <w:r w:rsidRPr="002C2332">
          <w:rPr>
            <w:rFonts w:eastAsia="Times New Roman" w:cs="Times New Roman"/>
            <w:color w:val="0000FF"/>
            <w:sz w:val="24"/>
            <w:szCs w:val="24"/>
            <w:u w:val="single"/>
          </w:rPr>
          <w:t>https://doi.org/10.1038/nbt.3043</w:t>
        </w:r>
      </w:hyperlink>
    </w:p>
    <w:p w14:paraId="7024C41B" w14:textId="44B947A7" w:rsidR="002C2332" w:rsidRPr="002C2332" w:rsidRDefault="002C2332" w:rsidP="002C2332">
      <w:pPr>
        <w:spacing w:after="0" w:line="240" w:lineRule="auto"/>
        <w:ind w:left="540" w:hanging="540"/>
        <w:rPr>
          <w:rFonts w:eastAsia="Times New Roman" w:cs="Times New Roman"/>
          <w:sz w:val="24"/>
          <w:szCs w:val="24"/>
        </w:rPr>
      </w:pPr>
      <w:r w:rsidRPr="002C2332">
        <w:rPr>
          <w:rFonts w:eastAsia="Times New Roman" w:cs="Times New Roman"/>
          <w:sz w:val="24"/>
          <w:szCs w:val="24"/>
        </w:rPr>
        <w:t xml:space="preserve">Bystritsky, R. J., Beltran, A., Young, A. T., Wong, A., Hu, X., &amp; </w:t>
      </w:r>
      <w:proofErr w:type="spellStart"/>
      <w:r w:rsidRPr="002C2332">
        <w:rPr>
          <w:rFonts w:eastAsia="Times New Roman" w:cs="Times New Roman"/>
          <w:sz w:val="24"/>
          <w:szCs w:val="24"/>
        </w:rPr>
        <w:t>Doernberg</w:t>
      </w:r>
      <w:proofErr w:type="spellEnd"/>
      <w:r w:rsidRPr="002C2332">
        <w:rPr>
          <w:rFonts w:eastAsia="Times New Roman" w:cs="Times New Roman"/>
          <w:sz w:val="24"/>
          <w:szCs w:val="24"/>
        </w:rPr>
        <w:t xml:space="preserve">, S. B. (2020). Machine learning for the prediction of antimicrobial stewardship intervention in hospitalized patients receiving broad-spectrum agents. </w:t>
      </w:r>
      <w:r w:rsidRPr="002C2332">
        <w:rPr>
          <w:rFonts w:eastAsia="Times New Roman" w:cs="Times New Roman"/>
          <w:i/>
          <w:iCs/>
          <w:sz w:val="24"/>
          <w:szCs w:val="24"/>
        </w:rPr>
        <w:t>Infection Control &amp; Hospital Epidemiology, 41</w:t>
      </w:r>
      <w:r w:rsidRPr="002C2332">
        <w:rPr>
          <w:rFonts w:eastAsia="Times New Roman" w:cs="Times New Roman"/>
          <w:sz w:val="24"/>
          <w:szCs w:val="24"/>
        </w:rPr>
        <w:t xml:space="preserve">(9), 1022–1027. </w:t>
      </w:r>
      <w:hyperlink r:id="rId23" w:history="1">
        <w:r w:rsidRPr="002C2332">
          <w:rPr>
            <w:rFonts w:eastAsia="Times New Roman" w:cs="Times New Roman"/>
            <w:color w:val="0000FF"/>
            <w:sz w:val="24"/>
            <w:szCs w:val="24"/>
            <w:u w:val="single"/>
          </w:rPr>
          <w:t>https://doi.org/10.1017/ice.2020.213</w:t>
        </w:r>
      </w:hyperlink>
    </w:p>
    <w:p w14:paraId="4D843B84" w14:textId="387234B6" w:rsidR="002C2332" w:rsidRPr="002C2332" w:rsidRDefault="002C2332" w:rsidP="002C2332">
      <w:pPr>
        <w:spacing w:after="0" w:line="240" w:lineRule="auto"/>
        <w:ind w:left="540" w:hanging="540"/>
        <w:rPr>
          <w:rFonts w:eastAsia="Times New Roman" w:cs="Times New Roman"/>
          <w:sz w:val="24"/>
          <w:szCs w:val="24"/>
        </w:rPr>
      </w:pPr>
      <w:r w:rsidRPr="002C2332">
        <w:rPr>
          <w:rFonts w:eastAsia="Times New Roman" w:cs="Times New Roman"/>
          <w:sz w:val="24"/>
          <w:szCs w:val="24"/>
          <w:lang w:val="nl-BE"/>
        </w:rPr>
        <w:t xml:space="preserve">Citorik, R. J., Mimee, M., &amp; Lu, T. K. (2014). </w:t>
      </w:r>
      <w:r w:rsidRPr="002C2332">
        <w:rPr>
          <w:rFonts w:eastAsia="Times New Roman" w:cs="Times New Roman"/>
          <w:sz w:val="24"/>
          <w:szCs w:val="24"/>
        </w:rPr>
        <w:t xml:space="preserve">Sequence-specific antimicrobials using efficiently delivered RNA-guided nucleases. </w:t>
      </w:r>
      <w:r w:rsidRPr="002C2332">
        <w:rPr>
          <w:rFonts w:eastAsia="Times New Roman" w:cs="Times New Roman"/>
          <w:i/>
          <w:iCs/>
          <w:sz w:val="24"/>
          <w:szCs w:val="24"/>
        </w:rPr>
        <w:t>Nature Biotechnology, 32</w:t>
      </w:r>
      <w:r w:rsidRPr="002C2332">
        <w:rPr>
          <w:rFonts w:eastAsia="Times New Roman" w:cs="Times New Roman"/>
          <w:sz w:val="24"/>
          <w:szCs w:val="24"/>
        </w:rPr>
        <w:t xml:space="preserve">(11), 1141–1145. </w:t>
      </w:r>
      <w:hyperlink r:id="rId24" w:history="1">
        <w:r w:rsidRPr="002C2332">
          <w:rPr>
            <w:rFonts w:eastAsia="Times New Roman" w:cs="Times New Roman"/>
            <w:color w:val="0000FF"/>
            <w:sz w:val="24"/>
            <w:szCs w:val="24"/>
            <w:u w:val="single"/>
          </w:rPr>
          <w:t>https://doi.org/10.1038/nbt.3011</w:t>
        </w:r>
      </w:hyperlink>
    </w:p>
    <w:p w14:paraId="64EC0C98" w14:textId="7C854B19" w:rsidR="002C2332" w:rsidRPr="002C2332" w:rsidRDefault="002C2332" w:rsidP="002C2332">
      <w:pPr>
        <w:spacing w:after="0" w:line="240" w:lineRule="auto"/>
        <w:ind w:left="540" w:hanging="540"/>
        <w:rPr>
          <w:rFonts w:eastAsia="Times New Roman" w:cs="Times New Roman"/>
          <w:sz w:val="24"/>
          <w:szCs w:val="24"/>
        </w:rPr>
      </w:pPr>
      <w:r w:rsidRPr="002C2332">
        <w:rPr>
          <w:rFonts w:eastAsia="Times New Roman" w:cs="Times New Roman"/>
          <w:sz w:val="24"/>
          <w:szCs w:val="24"/>
        </w:rPr>
        <w:t xml:space="preserve">Corbin, C. K., Sung, L., Chattopadhyay, A., </w:t>
      </w:r>
      <w:proofErr w:type="spellStart"/>
      <w:r w:rsidRPr="002C2332">
        <w:rPr>
          <w:rFonts w:eastAsia="Times New Roman" w:cs="Times New Roman"/>
          <w:sz w:val="24"/>
          <w:szCs w:val="24"/>
        </w:rPr>
        <w:t>Noshad</w:t>
      </w:r>
      <w:proofErr w:type="spellEnd"/>
      <w:r w:rsidRPr="002C2332">
        <w:rPr>
          <w:rFonts w:eastAsia="Times New Roman" w:cs="Times New Roman"/>
          <w:sz w:val="24"/>
          <w:szCs w:val="24"/>
        </w:rPr>
        <w:t xml:space="preserve">, M., Chang, A., </w:t>
      </w:r>
      <w:proofErr w:type="spellStart"/>
      <w:r w:rsidRPr="002C2332">
        <w:rPr>
          <w:rFonts w:eastAsia="Times New Roman" w:cs="Times New Roman"/>
          <w:sz w:val="24"/>
          <w:szCs w:val="24"/>
        </w:rPr>
        <w:t>Deresinksi</w:t>
      </w:r>
      <w:proofErr w:type="spellEnd"/>
      <w:r w:rsidRPr="002C2332">
        <w:rPr>
          <w:rFonts w:eastAsia="Times New Roman" w:cs="Times New Roman"/>
          <w:sz w:val="24"/>
          <w:szCs w:val="24"/>
        </w:rPr>
        <w:t xml:space="preserve">, S., Baiocchi, M., &amp; Chen, J. H. (2022). Personalized antibiograms for machine learning driven antibiotic selection. </w:t>
      </w:r>
      <w:r w:rsidRPr="002C2332">
        <w:rPr>
          <w:rFonts w:eastAsia="Times New Roman" w:cs="Times New Roman"/>
          <w:i/>
          <w:iCs/>
          <w:sz w:val="24"/>
          <w:szCs w:val="24"/>
        </w:rPr>
        <w:t>Communications Medicine, 2</w:t>
      </w:r>
      <w:r w:rsidRPr="002C2332">
        <w:rPr>
          <w:rFonts w:eastAsia="Times New Roman" w:cs="Times New Roman"/>
          <w:sz w:val="24"/>
          <w:szCs w:val="24"/>
        </w:rPr>
        <w:t xml:space="preserve">, 38. </w:t>
      </w:r>
      <w:hyperlink r:id="rId25" w:history="1">
        <w:r w:rsidRPr="002C2332">
          <w:rPr>
            <w:rFonts w:eastAsia="Times New Roman" w:cs="Times New Roman"/>
            <w:color w:val="0000FF"/>
            <w:sz w:val="24"/>
            <w:szCs w:val="24"/>
            <w:u w:val="single"/>
          </w:rPr>
          <w:t>https://doi.org/10.1038/s43856-022-00094-8</w:t>
        </w:r>
      </w:hyperlink>
    </w:p>
    <w:p w14:paraId="4EAC14A9" w14:textId="17C999FB" w:rsidR="002C2332" w:rsidRPr="002C2332" w:rsidRDefault="002C2332" w:rsidP="002C2332">
      <w:pPr>
        <w:spacing w:after="0" w:line="240" w:lineRule="auto"/>
        <w:ind w:left="540" w:hanging="540"/>
        <w:rPr>
          <w:rFonts w:eastAsia="Times New Roman" w:cs="Times New Roman"/>
          <w:sz w:val="24"/>
          <w:szCs w:val="24"/>
        </w:rPr>
      </w:pPr>
      <w:r w:rsidRPr="002C2332">
        <w:rPr>
          <w:rFonts w:eastAsia="Times New Roman" w:cs="Times New Roman"/>
          <w:sz w:val="24"/>
          <w:szCs w:val="24"/>
        </w:rPr>
        <w:t xml:space="preserve">Dedrick, R. M., Guerrero-Bustamante, C. A., </w:t>
      </w:r>
      <w:proofErr w:type="spellStart"/>
      <w:r w:rsidRPr="002C2332">
        <w:rPr>
          <w:rFonts w:eastAsia="Times New Roman" w:cs="Times New Roman"/>
          <w:sz w:val="24"/>
          <w:szCs w:val="24"/>
        </w:rPr>
        <w:t>Garlena</w:t>
      </w:r>
      <w:proofErr w:type="spellEnd"/>
      <w:r w:rsidRPr="002C2332">
        <w:rPr>
          <w:rFonts w:eastAsia="Times New Roman" w:cs="Times New Roman"/>
          <w:sz w:val="24"/>
          <w:szCs w:val="24"/>
        </w:rPr>
        <w:t xml:space="preserve">, R. A., Russell, D. A., Ford, K., Harris, K., Gilmour, K. C., </w:t>
      </w:r>
      <w:proofErr w:type="spellStart"/>
      <w:r w:rsidRPr="002C2332">
        <w:rPr>
          <w:rFonts w:eastAsia="Times New Roman" w:cs="Times New Roman"/>
          <w:sz w:val="24"/>
          <w:szCs w:val="24"/>
        </w:rPr>
        <w:t>Soothill</w:t>
      </w:r>
      <w:proofErr w:type="spellEnd"/>
      <w:r w:rsidRPr="002C2332">
        <w:rPr>
          <w:rFonts w:eastAsia="Times New Roman" w:cs="Times New Roman"/>
          <w:sz w:val="24"/>
          <w:szCs w:val="24"/>
        </w:rPr>
        <w:t xml:space="preserve">, J., Jacobs-Sera, D., Schooley, R. T., </w:t>
      </w:r>
      <w:proofErr w:type="spellStart"/>
      <w:r w:rsidRPr="002C2332">
        <w:rPr>
          <w:rFonts w:eastAsia="Times New Roman" w:cs="Times New Roman"/>
          <w:sz w:val="24"/>
          <w:szCs w:val="24"/>
        </w:rPr>
        <w:t>Hatfull</w:t>
      </w:r>
      <w:proofErr w:type="spellEnd"/>
      <w:r w:rsidRPr="002C2332">
        <w:rPr>
          <w:rFonts w:eastAsia="Times New Roman" w:cs="Times New Roman"/>
          <w:sz w:val="24"/>
          <w:szCs w:val="24"/>
        </w:rPr>
        <w:t xml:space="preserve">, G. F., &amp; Spencer, H. (2019). Engineered bacteriophages for treatment of a patient with a disseminated drug-resistant </w:t>
      </w:r>
      <w:r w:rsidRPr="002C2332">
        <w:rPr>
          <w:rFonts w:eastAsia="Times New Roman" w:cs="Times New Roman"/>
          <w:i/>
          <w:iCs/>
          <w:sz w:val="24"/>
          <w:szCs w:val="24"/>
        </w:rPr>
        <w:t>Mycobacterium abscessus</w:t>
      </w:r>
      <w:r w:rsidRPr="002C2332">
        <w:rPr>
          <w:rFonts w:eastAsia="Times New Roman" w:cs="Times New Roman"/>
          <w:sz w:val="24"/>
          <w:szCs w:val="24"/>
        </w:rPr>
        <w:t xml:space="preserve">. </w:t>
      </w:r>
      <w:r w:rsidRPr="002C2332">
        <w:rPr>
          <w:rFonts w:eastAsia="Times New Roman" w:cs="Times New Roman"/>
          <w:i/>
          <w:iCs/>
          <w:sz w:val="24"/>
          <w:szCs w:val="24"/>
        </w:rPr>
        <w:t>Nature Medicine, 25</w:t>
      </w:r>
      <w:r w:rsidRPr="002C2332">
        <w:rPr>
          <w:rFonts w:eastAsia="Times New Roman" w:cs="Times New Roman"/>
          <w:sz w:val="24"/>
          <w:szCs w:val="24"/>
        </w:rPr>
        <w:t xml:space="preserve">(5), 730–733. </w:t>
      </w:r>
      <w:hyperlink r:id="rId26" w:history="1">
        <w:r w:rsidRPr="002C2332">
          <w:rPr>
            <w:rFonts w:eastAsia="Times New Roman" w:cs="Times New Roman"/>
            <w:color w:val="0000FF"/>
            <w:sz w:val="24"/>
            <w:szCs w:val="24"/>
            <w:u w:val="single"/>
          </w:rPr>
          <w:t>https://doi.org/10.1038/s41591-019-0437-z</w:t>
        </w:r>
      </w:hyperlink>
    </w:p>
    <w:p w14:paraId="3AA17162" w14:textId="7F16833A" w:rsidR="002C2332" w:rsidRPr="002C2332" w:rsidRDefault="002C2332" w:rsidP="002C2332">
      <w:pPr>
        <w:spacing w:after="0" w:line="240" w:lineRule="auto"/>
        <w:ind w:left="540" w:hanging="540"/>
        <w:rPr>
          <w:rFonts w:eastAsia="Times New Roman" w:cs="Times New Roman"/>
          <w:sz w:val="24"/>
          <w:szCs w:val="24"/>
        </w:rPr>
      </w:pPr>
      <w:r w:rsidRPr="002C2332">
        <w:rPr>
          <w:rFonts w:eastAsia="Times New Roman" w:cs="Times New Roman"/>
          <w:sz w:val="24"/>
          <w:szCs w:val="24"/>
        </w:rPr>
        <w:t xml:space="preserve">De Vito, A., Geremia, N., Bavaro, D. F., Seo, S. K., Laracy, J., Mazzitelli, M., Marino, A., </w:t>
      </w:r>
      <w:proofErr w:type="spellStart"/>
      <w:r w:rsidRPr="002C2332">
        <w:rPr>
          <w:rFonts w:eastAsia="Times New Roman" w:cs="Times New Roman"/>
          <w:sz w:val="24"/>
          <w:szCs w:val="24"/>
        </w:rPr>
        <w:t>Maraolo</w:t>
      </w:r>
      <w:proofErr w:type="spellEnd"/>
      <w:r w:rsidRPr="002C2332">
        <w:rPr>
          <w:rFonts w:eastAsia="Times New Roman" w:cs="Times New Roman"/>
          <w:sz w:val="24"/>
          <w:szCs w:val="24"/>
        </w:rPr>
        <w:t xml:space="preserve">, A. E., Russo, A., </w:t>
      </w:r>
      <w:proofErr w:type="spellStart"/>
      <w:r w:rsidRPr="002C2332">
        <w:rPr>
          <w:rFonts w:eastAsia="Times New Roman" w:cs="Times New Roman"/>
          <w:sz w:val="24"/>
          <w:szCs w:val="24"/>
        </w:rPr>
        <w:t>Colpani</w:t>
      </w:r>
      <w:proofErr w:type="spellEnd"/>
      <w:r w:rsidRPr="002C2332">
        <w:rPr>
          <w:rFonts w:eastAsia="Times New Roman" w:cs="Times New Roman"/>
          <w:sz w:val="24"/>
          <w:szCs w:val="24"/>
        </w:rPr>
        <w:t xml:space="preserve">, A., Bartoletti, M., Cattelan, A. M., Mussini, C., Parisi, S. G., Vaira, L. A., Nunnari, G., &amp; </w:t>
      </w:r>
      <w:proofErr w:type="spellStart"/>
      <w:r w:rsidRPr="002C2332">
        <w:rPr>
          <w:rFonts w:eastAsia="Times New Roman" w:cs="Times New Roman"/>
          <w:sz w:val="24"/>
          <w:szCs w:val="24"/>
        </w:rPr>
        <w:t>Madeddu</w:t>
      </w:r>
      <w:proofErr w:type="spellEnd"/>
      <w:r w:rsidRPr="002C2332">
        <w:rPr>
          <w:rFonts w:eastAsia="Times New Roman" w:cs="Times New Roman"/>
          <w:sz w:val="24"/>
          <w:szCs w:val="24"/>
        </w:rPr>
        <w:t xml:space="preserve">, G. (2025). Comparing large language models for antibiotic prescribing in different clinical scenarios: Which performs better? </w:t>
      </w:r>
      <w:r w:rsidRPr="002C2332">
        <w:rPr>
          <w:rFonts w:eastAsia="Times New Roman" w:cs="Times New Roman"/>
          <w:i/>
          <w:iCs/>
          <w:sz w:val="24"/>
          <w:szCs w:val="24"/>
        </w:rPr>
        <w:t>Clinical Microbiology and Infection, 31</w:t>
      </w:r>
      <w:r w:rsidRPr="002C2332">
        <w:rPr>
          <w:rFonts w:eastAsia="Times New Roman" w:cs="Times New Roman"/>
          <w:sz w:val="24"/>
          <w:szCs w:val="24"/>
        </w:rPr>
        <w:t xml:space="preserve">(8), 1336–1342. </w:t>
      </w:r>
      <w:hyperlink r:id="rId27" w:history="1">
        <w:r w:rsidRPr="002C2332">
          <w:rPr>
            <w:rFonts w:eastAsia="Times New Roman" w:cs="Times New Roman"/>
            <w:color w:val="0000FF"/>
            <w:sz w:val="24"/>
            <w:szCs w:val="24"/>
            <w:u w:val="single"/>
          </w:rPr>
          <w:t>https://doi.org/10.1016/j.cmi.2025.03.002</w:t>
        </w:r>
      </w:hyperlink>
    </w:p>
    <w:p w14:paraId="5E879C35" w14:textId="59A17DBB" w:rsidR="002C2332" w:rsidRPr="002C2332" w:rsidRDefault="002C2332" w:rsidP="002C2332">
      <w:pPr>
        <w:spacing w:after="0" w:line="240" w:lineRule="auto"/>
        <w:ind w:left="540" w:hanging="540"/>
        <w:rPr>
          <w:rFonts w:eastAsia="Times New Roman" w:cs="Times New Roman"/>
          <w:sz w:val="24"/>
          <w:szCs w:val="24"/>
        </w:rPr>
      </w:pPr>
      <w:r w:rsidRPr="002C2332">
        <w:rPr>
          <w:rFonts w:eastAsia="Times New Roman" w:cs="Times New Roman"/>
          <w:sz w:val="24"/>
          <w:szCs w:val="24"/>
        </w:rPr>
        <w:t xml:space="preserve">GBD 2021 Antimicrobial Resistance Collaborators. (2024). Global burden of bacterial antimicrobial resistance 1990–2021: A systematic analysis with forecasts to 2050. </w:t>
      </w:r>
      <w:r w:rsidRPr="002C2332">
        <w:rPr>
          <w:rFonts w:eastAsia="Times New Roman" w:cs="Times New Roman"/>
          <w:i/>
          <w:iCs/>
          <w:sz w:val="24"/>
          <w:szCs w:val="24"/>
        </w:rPr>
        <w:t>The Lancet, 404</w:t>
      </w:r>
      <w:r w:rsidRPr="002C2332">
        <w:rPr>
          <w:rFonts w:eastAsia="Times New Roman" w:cs="Times New Roman"/>
          <w:sz w:val="24"/>
          <w:szCs w:val="24"/>
        </w:rPr>
        <w:t xml:space="preserve">(10459), 1199–1226. </w:t>
      </w:r>
      <w:hyperlink r:id="rId28" w:history="1">
        <w:r w:rsidRPr="002C2332">
          <w:rPr>
            <w:rFonts w:eastAsia="Times New Roman" w:cs="Times New Roman"/>
            <w:color w:val="0000FF"/>
            <w:sz w:val="24"/>
            <w:szCs w:val="24"/>
            <w:u w:val="single"/>
          </w:rPr>
          <w:t>https://doi.org/10.1016/S0140-6736(24)01867-1</w:t>
        </w:r>
      </w:hyperlink>
    </w:p>
    <w:p w14:paraId="138094C4" w14:textId="4A4B8D17" w:rsidR="002C2332" w:rsidRPr="002C2332" w:rsidRDefault="002C2332" w:rsidP="002C2332">
      <w:pPr>
        <w:spacing w:after="0" w:line="240" w:lineRule="auto"/>
        <w:ind w:left="540" w:hanging="540"/>
        <w:rPr>
          <w:rFonts w:eastAsia="Times New Roman" w:cs="Times New Roman"/>
          <w:sz w:val="24"/>
          <w:szCs w:val="24"/>
        </w:rPr>
      </w:pPr>
      <w:r w:rsidRPr="002C2332">
        <w:rPr>
          <w:rFonts w:eastAsia="Times New Roman" w:cs="Times New Roman"/>
          <w:sz w:val="24"/>
          <w:szCs w:val="24"/>
        </w:rPr>
        <w:lastRenderedPageBreak/>
        <w:t xml:space="preserve">Giacobbe, D. R., Marelli, C., Guastavino, S., Mora, S., Rosso, N., Signori, A., Campi, C., Giacomini, M., &amp; Bassetti, M. (2024). Explainable and interpretable machine learning for antimicrobial stewardship: Opportunities and challenges. </w:t>
      </w:r>
      <w:r w:rsidRPr="002C2332">
        <w:rPr>
          <w:rFonts w:eastAsia="Times New Roman" w:cs="Times New Roman"/>
          <w:i/>
          <w:iCs/>
          <w:sz w:val="24"/>
          <w:szCs w:val="24"/>
        </w:rPr>
        <w:t>Clinical Therapeutics, 46</w:t>
      </w:r>
      <w:r w:rsidRPr="002C2332">
        <w:rPr>
          <w:rFonts w:eastAsia="Times New Roman" w:cs="Times New Roman"/>
          <w:sz w:val="24"/>
          <w:szCs w:val="24"/>
        </w:rPr>
        <w:t xml:space="preserve">(6), 474–480. </w:t>
      </w:r>
      <w:hyperlink r:id="rId29" w:history="1">
        <w:r w:rsidRPr="002C2332">
          <w:rPr>
            <w:rFonts w:eastAsia="Times New Roman" w:cs="Times New Roman"/>
            <w:color w:val="0000FF"/>
            <w:sz w:val="24"/>
            <w:szCs w:val="24"/>
            <w:u w:val="single"/>
          </w:rPr>
          <w:t>https://doi.org/10.1016/j.clinthera.2024.02.010</w:t>
        </w:r>
      </w:hyperlink>
    </w:p>
    <w:p w14:paraId="46D7F22D" w14:textId="0E8FD12A" w:rsidR="002C2332" w:rsidRPr="002C2332" w:rsidRDefault="002C2332" w:rsidP="002C2332">
      <w:pPr>
        <w:spacing w:after="0" w:line="240" w:lineRule="auto"/>
        <w:ind w:left="540" w:hanging="540"/>
        <w:rPr>
          <w:rFonts w:eastAsia="Times New Roman" w:cs="Times New Roman"/>
          <w:sz w:val="24"/>
          <w:szCs w:val="24"/>
        </w:rPr>
      </w:pPr>
      <w:r w:rsidRPr="002C2332">
        <w:rPr>
          <w:rFonts w:eastAsia="Times New Roman" w:cs="Times New Roman"/>
          <w:sz w:val="24"/>
          <w:szCs w:val="24"/>
        </w:rPr>
        <w:t xml:space="preserve">Huttner, B. D., de Lastours, V., Wassenberg, M., </w:t>
      </w:r>
      <w:proofErr w:type="spellStart"/>
      <w:r w:rsidRPr="002C2332">
        <w:rPr>
          <w:rFonts w:eastAsia="Times New Roman" w:cs="Times New Roman"/>
          <w:sz w:val="24"/>
          <w:szCs w:val="24"/>
        </w:rPr>
        <w:t>Maharshak</w:t>
      </w:r>
      <w:proofErr w:type="spellEnd"/>
      <w:r w:rsidRPr="002C2332">
        <w:rPr>
          <w:rFonts w:eastAsia="Times New Roman" w:cs="Times New Roman"/>
          <w:sz w:val="24"/>
          <w:szCs w:val="24"/>
        </w:rPr>
        <w:t xml:space="preserve">, N., Mauris, A., </w:t>
      </w:r>
      <w:proofErr w:type="spellStart"/>
      <w:r w:rsidRPr="002C2332">
        <w:rPr>
          <w:rFonts w:eastAsia="Times New Roman" w:cs="Times New Roman"/>
          <w:sz w:val="24"/>
          <w:szCs w:val="24"/>
        </w:rPr>
        <w:t>Galperine</w:t>
      </w:r>
      <w:proofErr w:type="spellEnd"/>
      <w:r w:rsidRPr="002C2332">
        <w:rPr>
          <w:rFonts w:eastAsia="Times New Roman" w:cs="Times New Roman"/>
          <w:sz w:val="24"/>
          <w:szCs w:val="24"/>
        </w:rPr>
        <w:t xml:space="preserve">, T., Zanichelli, V., Kapel, N., Bellanger, A., </w:t>
      </w:r>
      <w:proofErr w:type="spellStart"/>
      <w:r w:rsidRPr="002C2332">
        <w:rPr>
          <w:rFonts w:eastAsia="Times New Roman" w:cs="Times New Roman"/>
          <w:sz w:val="24"/>
          <w:szCs w:val="24"/>
        </w:rPr>
        <w:t>Olearo</w:t>
      </w:r>
      <w:proofErr w:type="spellEnd"/>
      <w:r w:rsidRPr="002C2332">
        <w:rPr>
          <w:rFonts w:eastAsia="Times New Roman" w:cs="Times New Roman"/>
          <w:sz w:val="24"/>
          <w:szCs w:val="24"/>
        </w:rPr>
        <w:t xml:space="preserve">, F., Duval, X., Armand-Lefevre, L., Carmeli, Y., </w:t>
      </w:r>
      <w:proofErr w:type="spellStart"/>
      <w:r w:rsidRPr="002C2332">
        <w:rPr>
          <w:rFonts w:eastAsia="Times New Roman" w:cs="Times New Roman"/>
          <w:sz w:val="24"/>
          <w:szCs w:val="24"/>
        </w:rPr>
        <w:t>Bonten</w:t>
      </w:r>
      <w:proofErr w:type="spellEnd"/>
      <w:r w:rsidRPr="002C2332">
        <w:rPr>
          <w:rFonts w:eastAsia="Times New Roman" w:cs="Times New Roman"/>
          <w:sz w:val="24"/>
          <w:szCs w:val="24"/>
        </w:rPr>
        <w:t xml:space="preserve">, M., Fantin, B., </w:t>
      </w:r>
      <w:proofErr w:type="spellStart"/>
      <w:r w:rsidRPr="002C2332">
        <w:rPr>
          <w:rFonts w:eastAsia="Times New Roman" w:cs="Times New Roman"/>
          <w:sz w:val="24"/>
          <w:szCs w:val="24"/>
        </w:rPr>
        <w:t>Harbarth</w:t>
      </w:r>
      <w:proofErr w:type="spellEnd"/>
      <w:r w:rsidRPr="002C2332">
        <w:rPr>
          <w:rFonts w:eastAsia="Times New Roman" w:cs="Times New Roman"/>
          <w:sz w:val="24"/>
          <w:szCs w:val="24"/>
        </w:rPr>
        <w:t xml:space="preserve">, S., &amp; R-Gnosis WP3 Study Group. (2019). A 5-day course of oral antibiotics followed by </w:t>
      </w:r>
      <w:proofErr w:type="spellStart"/>
      <w:r w:rsidRPr="002C2332">
        <w:rPr>
          <w:rFonts w:eastAsia="Times New Roman" w:cs="Times New Roman"/>
          <w:sz w:val="24"/>
          <w:szCs w:val="24"/>
        </w:rPr>
        <w:t>faecal</w:t>
      </w:r>
      <w:proofErr w:type="spellEnd"/>
      <w:r w:rsidRPr="002C2332">
        <w:rPr>
          <w:rFonts w:eastAsia="Times New Roman" w:cs="Times New Roman"/>
          <w:sz w:val="24"/>
          <w:szCs w:val="24"/>
        </w:rPr>
        <w:t xml:space="preserve"> transplantation to eradicate carriage of multidrug-resistant Enterobacteriaceae: A randomized clinical trial. </w:t>
      </w:r>
      <w:r w:rsidRPr="002C2332">
        <w:rPr>
          <w:rFonts w:eastAsia="Times New Roman" w:cs="Times New Roman"/>
          <w:i/>
          <w:iCs/>
          <w:sz w:val="24"/>
          <w:szCs w:val="24"/>
        </w:rPr>
        <w:t>Clinical Microbiology and Infection, 25</w:t>
      </w:r>
      <w:r w:rsidRPr="002C2332">
        <w:rPr>
          <w:rFonts w:eastAsia="Times New Roman" w:cs="Times New Roman"/>
          <w:sz w:val="24"/>
          <w:szCs w:val="24"/>
        </w:rPr>
        <w:t xml:space="preserve">(7), 830–838. </w:t>
      </w:r>
      <w:hyperlink r:id="rId30" w:history="1">
        <w:r w:rsidRPr="002C2332">
          <w:rPr>
            <w:rFonts w:eastAsia="Times New Roman" w:cs="Times New Roman"/>
            <w:color w:val="0000FF"/>
            <w:sz w:val="24"/>
            <w:szCs w:val="24"/>
            <w:u w:val="single"/>
          </w:rPr>
          <w:t>https://doi.org/10.1016/j.cmi.2018.12.009</w:t>
        </w:r>
      </w:hyperlink>
    </w:p>
    <w:p w14:paraId="6572936B" w14:textId="6B3C9099" w:rsidR="002C2332" w:rsidRPr="002C2332" w:rsidRDefault="002C2332" w:rsidP="002C2332">
      <w:pPr>
        <w:spacing w:after="0" w:line="240" w:lineRule="auto"/>
        <w:ind w:left="540" w:hanging="540"/>
        <w:rPr>
          <w:rFonts w:eastAsia="Times New Roman" w:cs="Times New Roman"/>
          <w:sz w:val="24"/>
          <w:szCs w:val="24"/>
        </w:rPr>
      </w:pPr>
      <w:proofErr w:type="spellStart"/>
      <w:r w:rsidRPr="002C2332">
        <w:rPr>
          <w:rFonts w:eastAsia="Times New Roman" w:cs="Times New Roman"/>
          <w:sz w:val="24"/>
          <w:szCs w:val="24"/>
        </w:rPr>
        <w:t>Jault</w:t>
      </w:r>
      <w:proofErr w:type="spellEnd"/>
      <w:r w:rsidRPr="002C2332">
        <w:rPr>
          <w:rFonts w:eastAsia="Times New Roman" w:cs="Times New Roman"/>
          <w:sz w:val="24"/>
          <w:szCs w:val="24"/>
        </w:rPr>
        <w:t xml:space="preserve">, P., Leclerc, T., Jennes, S., </w:t>
      </w:r>
      <w:proofErr w:type="spellStart"/>
      <w:r w:rsidRPr="002C2332">
        <w:rPr>
          <w:rFonts w:eastAsia="Times New Roman" w:cs="Times New Roman"/>
          <w:sz w:val="24"/>
          <w:szCs w:val="24"/>
        </w:rPr>
        <w:t>Pirnay</w:t>
      </w:r>
      <w:proofErr w:type="spellEnd"/>
      <w:r w:rsidRPr="002C2332">
        <w:rPr>
          <w:rFonts w:eastAsia="Times New Roman" w:cs="Times New Roman"/>
          <w:sz w:val="24"/>
          <w:szCs w:val="24"/>
        </w:rPr>
        <w:t xml:space="preserve">, J. P., </w:t>
      </w:r>
      <w:proofErr w:type="spellStart"/>
      <w:r w:rsidRPr="002C2332">
        <w:rPr>
          <w:rFonts w:eastAsia="Times New Roman" w:cs="Times New Roman"/>
          <w:sz w:val="24"/>
          <w:szCs w:val="24"/>
        </w:rPr>
        <w:t>Que</w:t>
      </w:r>
      <w:proofErr w:type="spellEnd"/>
      <w:r w:rsidRPr="002C2332">
        <w:rPr>
          <w:rFonts w:eastAsia="Times New Roman" w:cs="Times New Roman"/>
          <w:sz w:val="24"/>
          <w:szCs w:val="24"/>
        </w:rPr>
        <w:t xml:space="preserve">, Y.-A., Resch, G., Rousseau, A. F., Ravat, F., Carsin, H., Le Floch, R., Schaal, J. V., Soler, C., Fevre, C., Arnaud, I., </w:t>
      </w:r>
      <w:proofErr w:type="spellStart"/>
      <w:r w:rsidRPr="002C2332">
        <w:rPr>
          <w:rFonts w:eastAsia="Times New Roman" w:cs="Times New Roman"/>
          <w:sz w:val="24"/>
          <w:szCs w:val="24"/>
        </w:rPr>
        <w:t>Bretaudeau</w:t>
      </w:r>
      <w:proofErr w:type="spellEnd"/>
      <w:r w:rsidRPr="002C2332">
        <w:rPr>
          <w:rFonts w:eastAsia="Times New Roman" w:cs="Times New Roman"/>
          <w:sz w:val="24"/>
          <w:szCs w:val="24"/>
        </w:rPr>
        <w:t xml:space="preserve">, L., &amp; Gabard, J. (2019). Efficacy and tolerability of a cocktail of bacteriophages to treat burn wounds infected by </w:t>
      </w:r>
      <w:r w:rsidRPr="002C2332">
        <w:rPr>
          <w:rFonts w:eastAsia="Times New Roman" w:cs="Times New Roman"/>
          <w:i/>
          <w:iCs/>
          <w:sz w:val="24"/>
          <w:szCs w:val="24"/>
        </w:rPr>
        <w:t>Pseudomonas aeruginosa</w:t>
      </w:r>
      <w:r w:rsidRPr="002C2332">
        <w:rPr>
          <w:rFonts w:eastAsia="Times New Roman" w:cs="Times New Roman"/>
          <w:sz w:val="24"/>
          <w:szCs w:val="24"/>
        </w:rPr>
        <w:t xml:space="preserve"> (</w:t>
      </w:r>
      <w:proofErr w:type="spellStart"/>
      <w:r w:rsidRPr="002C2332">
        <w:rPr>
          <w:rFonts w:eastAsia="Times New Roman" w:cs="Times New Roman"/>
          <w:sz w:val="24"/>
          <w:szCs w:val="24"/>
        </w:rPr>
        <w:t>PhagoBurn</w:t>
      </w:r>
      <w:proofErr w:type="spellEnd"/>
      <w:r w:rsidRPr="002C2332">
        <w:rPr>
          <w:rFonts w:eastAsia="Times New Roman" w:cs="Times New Roman"/>
          <w:sz w:val="24"/>
          <w:szCs w:val="24"/>
        </w:rPr>
        <w:t xml:space="preserve">): A </w:t>
      </w:r>
      <w:proofErr w:type="spellStart"/>
      <w:r w:rsidRPr="002C2332">
        <w:rPr>
          <w:rFonts w:eastAsia="Times New Roman" w:cs="Times New Roman"/>
          <w:sz w:val="24"/>
          <w:szCs w:val="24"/>
        </w:rPr>
        <w:t>randomised</w:t>
      </w:r>
      <w:proofErr w:type="spellEnd"/>
      <w:r w:rsidRPr="002C2332">
        <w:rPr>
          <w:rFonts w:eastAsia="Times New Roman" w:cs="Times New Roman"/>
          <w:sz w:val="24"/>
          <w:szCs w:val="24"/>
        </w:rPr>
        <w:t xml:space="preserve">, controlled, double-blind phase 1/2 trial. </w:t>
      </w:r>
      <w:r w:rsidRPr="002C2332">
        <w:rPr>
          <w:rFonts w:eastAsia="Times New Roman" w:cs="Times New Roman"/>
          <w:i/>
          <w:iCs/>
          <w:sz w:val="24"/>
          <w:szCs w:val="24"/>
        </w:rPr>
        <w:t>The Lancet Infectious Diseases, 19</w:t>
      </w:r>
      <w:r w:rsidRPr="002C2332">
        <w:rPr>
          <w:rFonts w:eastAsia="Times New Roman" w:cs="Times New Roman"/>
          <w:sz w:val="24"/>
          <w:szCs w:val="24"/>
        </w:rPr>
        <w:t xml:space="preserve">(1), 35–45. </w:t>
      </w:r>
      <w:hyperlink r:id="rId31" w:history="1">
        <w:r w:rsidRPr="002C2332">
          <w:rPr>
            <w:rFonts w:eastAsia="Times New Roman" w:cs="Times New Roman"/>
            <w:color w:val="0000FF"/>
            <w:sz w:val="24"/>
            <w:szCs w:val="24"/>
            <w:u w:val="single"/>
          </w:rPr>
          <w:t>https://doi.org/10.1016/S1473-3099(18)30482-1</w:t>
        </w:r>
      </w:hyperlink>
    </w:p>
    <w:p w14:paraId="778E5F5C" w14:textId="79B60AF3" w:rsidR="002C2332" w:rsidRPr="002C2332" w:rsidRDefault="002C2332" w:rsidP="002C2332">
      <w:pPr>
        <w:spacing w:after="0" w:line="240" w:lineRule="auto"/>
        <w:ind w:left="540" w:hanging="540"/>
        <w:rPr>
          <w:rFonts w:eastAsia="Times New Roman" w:cs="Times New Roman"/>
          <w:sz w:val="24"/>
          <w:szCs w:val="24"/>
        </w:rPr>
      </w:pPr>
      <w:r w:rsidRPr="002C2332">
        <w:rPr>
          <w:rFonts w:eastAsia="Times New Roman" w:cs="Times New Roman"/>
          <w:sz w:val="24"/>
          <w:szCs w:val="24"/>
        </w:rPr>
        <w:t xml:space="preserve">Jia, X., Zhang, J., Chen, J., Wang, J., Chu, X., Yu, W., Chen, S., Zhang, Q., Li, Z., Gao, H., Li, M., &amp; Yang, Q. (2026). Machine learning-based prediction of multi-level antimicrobial resistance in </w:t>
      </w:r>
      <w:r w:rsidRPr="002C2332">
        <w:rPr>
          <w:rFonts w:eastAsia="Times New Roman" w:cs="Times New Roman"/>
          <w:i/>
          <w:iCs/>
          <w:sz w:val="24"/>
          <w:szCs w:val="24"/>
        </w:rPr>
        <w:t>Klebsiella pneumoniae</w:t>
      </w:r>
      <w:r w:rsidRPr="002C2332">
        <w:rPr>
          <w:rFonts w:eastAsia="Times New Roman" w:cs="Times New Roman"/>
          <w:sz w:val="24"/>
          <w:szCs w:val="24"/>
        </w:rPr>
        <w:t xml:space="preserve"> using whole-genome sequencing data. </w:t>
      </w:r>
      <w:r w:rsidRPr="002C2332">
        <w:rPr>
          <w:rFonts w:eastAsia="Times New Roman" w:cs="Times New Roman"/>
          <w:i/>
          <w:iCs/>
          <w:sz w:val="24"/>
          <w:szCs w:val="24"/>
        </w:rPr>
        <w:t>International Journal of Antimicrobial Agents, 67</w:t>
      </w:r>
      <w:r w:rsidRPr="002C2332">
        <w:rPr>
          <w:rFonts w:eastAsia="Times New Roman" w:cs="Times New Roman"/>
          <w:sz w:val="24"/>
          <w:szCs w:val="24"/>
        </w:rPr>
        <w:t xml:space="preserve">(7), 107807. </w:t>
      </w:r>
      <w:hyperlink r:id="rId32" w:history="1">
        <w:r w:rsidRPr="002C2332">
          <w:rPr>
            <w:rFonts w:eastAsia="Times New Roman" w:cs="Times New Roman"/>
            <w:color w:val="0000FF"/>
            <w:sz w:val="24"/>
            <w:szCs w:val="24"/>
            <w:u w:val="single"/>
          </w:rPr>
          <w:t>https://doi.org/10.1016/j.ijantimicag.2026.107807</w:t>
        </w:r>
      </w:hyperlink>
    </w:p>
    <w:p w14:paraId="2BED576A" w14:textId="43C632F2" w:rsidR="002C2332" w:rsidRPr="002C2332" w:rsidRDefault="002C2332" w:rsidP="002C2332">
      <w:pPr>
        <w:spacing w:after="0" w:line="240" w:lineRule="auto"/>
        <w:ind w:left="540" w:hanging="540"/>
        <w:rPr>
          <w:rFonts w:eastAsia="Times New Roman" w:cs="Times New Roman"/>
          <w:sz w:val="24"/>
          <w:szCs w:val="24"/>
        </w:rPr>
      </w:pPr>
      <w:r w:rsidRPr="002C2332">
        <w:rPr>
          <w:rFonts w:eastAsia="Times New Roman" w:cs="Times New Roman"/>
          <w:sz w:val="24"/>
          <w:szCs w:val="24"/>
        </w:rPr>
        <w:t xml:space="preserve">Karaba, S. M., </w:t>
      </w:r>
      <w:proofErr w:type="spellStart"/>
      <w:r w:rsidRPr="002C2332">
        <w:rPr>
          <w:rFonts w:eastAsia="Times New Roman" w:cs="Times New Roman"/>
          <w:sz w:val="24"/>
          <w:szCs w:val="24"/>
        </w:rPr>
        <w:t>Hareza</w:t>
      </w:r>
      <w:proofErr w:type="spellEnd"/>
      <w:r w:rsidRPr="002C2332">
        <w:rPr>
          <w:rFonts w:eastAsia="Times New Roman" w:cs="Times New Roman"/>
          <w:sz w:val="24"/>
          <w:szCs w:val="24"/>
        </w:rPr>
        <w:t xml:space="preserve">, D. A., Munita, J. M., Martinez, J. R. W., Bergman, Y., Hawes, A. M., Bulman, Z. P., Cosgrove, S. E., </w:t>
      </w:r>
      <w:proofErr w:type="spellStart"/>
      <w:r w:rsidRPr="002C2332">
        <w:rPr>
          <w:rFonts w:eastAsia="Times New Roman" w:cs="Times New Roman"/>
          <w:sz w:val="24"/>
          <w:szCs w:val="24"/>
        </w:rPr>
        <w:t>Simner</w:t>
      </w:r>
      <w:proofErr w:type="spellEnd"/>
      <w:r w:rsidRPr="002C2332">
        <w:rPr>
          <w:rFonts w:eastAsia="Times New Roman" w:cs="Times New Roman"/>
          <w:sz w:val="24"/>
          <w:szCs w:val="24"/>
        </w:rPr>
        <w:t>, P. J., &amp; Tamma, P. D. (2026). Comparative outcomes of ceftazidime-avibactam versus meropenem-</w:t>
      </w:r>
      <w:proofErr w:type="spellStart"/>
      <w:r w:rsidRPr="002C2332">
        <w:rPr>
          <w:rFonts w:eastAsia="Times New Roman" w:cs="Times New Roman"/>
          <w:sz w:val="24"/>
          <w:szCs w:val="24"/>
        </w:rPr>
        <w:t>vaborbactam</w:t>
      </w:r>
      <w:proofErr w:type="spellEnd"/>
      <w:r w:rsidRPr="002C2332">
        <w:rPr>
          <w:rFonts w:eastAsia="Times New Roman" w:cs="Times New Roman"/>
          <w:sz w:val="24"/>
          <w:szCs w:val="24"/>
        </w:rPr>
        <w:t xml:space="preserve"> for KPC-producing </w:t>
      </w:r>
      <w:proofErr w:type="spellStart"/>
      <w:r w:rsidRPr="002C2332">
        <w:rPr>
          <w:rFonts w:eastAsia="Times New Roman" w:cs="Times New Roman"/>
          <w:sz w:val="24"/>
          <w:szCs w:val="24"/>
        </w:rPr>
        <w:t>Enterobacterales</w:t>
      </w:r>
      <w:proofErr w:type="spellEnd"/>
      <w:r w:rsidRPr="002C2332">
        <w:rPr>
          <w:rFonts w:eastAsia="Times New Roman" w:cs="Times New Roman"/>
          <w:sz w:val="24"/>
          <w:szCs w:val="24"/>
        </w:rPr>
        <w:t xml:space="preserve"> infections. </w:t>
      </w:r>
      <w:r w:rsidRPr="002C2332">
        <w:rPr>
          <w:rFonts w:eastAsia="Times New Roman" w:cs="Times New Roman"/>
          <w:i/>
          <w:iCs/>
          <w:sz w:val="24"/>
          <w:szCs w:val="24"/>
        </w:rPr>
        <w:t>Antimicrobial Agents and Chemotherapy, 70</w:t>
      </w:r>
      <w:r w:rsidRPr="002C2332">
        <w:rPr>
          <w:rFonts w:eastAsia="Times New Roman" w:cs="Times New Roman"/>
          <w:sz w:val="24"/>
          <w:szCs w:val="24"/>
        </w:rPr>
        <w:t xml:space="preserve">(5), e01602-25. </w:t>
      </w:r>
      <w:hyperlink r:id="rId33" w:history="1">
        <w:r w:rsidRPr="002C2332">
          <w:rPr>
            <w:rFonts w:eastAsia="Times New Roman" w:cs="Times New Roman"/>
            <w:color w:val="0000FF"/>
            <w:sz w:val="24"/>
            <w:szCs w:val="24"/>
            <w:u w:val="single"/>
          </w:rPr>
          <w:t>https://doi.org/10.1128/aac.01602-25</w:t>
        </w:r>
      </w:hyperlink>
    </w:p>
    <w:p w14:paraId="4B3F5540" w14:textId="09544F47" w:rsidR="002C2332" w:rsidRPr="002C2332" w:rsidRDefault="002C2332" w:rsidP="002C2332">
      <w:pPr>
        <w:spacing w:after="0" w:line="240" w:lineRule="auto"/>
        <w:ind w:left="540" w:hanging="540"/>
        <w:rPr>
          <w:rFonts w:eastAsia="Times New Roman" w:cs="Times New Roman"/>
          <w:sz w:val="24"/>
          <w:szCs w:val="24"/>
        </w:rPr>
      </w:pPr>
      <w:r w:rsidRPr="002C2332">
        <w:rPr>
          <w:rFonts w:eastAsia="Times New Roman" w:cs="Times New Roman"/>
          <w:sz w:val="24"/>
          <w:szCs w:val="24"/>
        </w:rPr>
        <w:t xml:space="preserve">Kaye, K. S., Boucher, H. W., Brown, M. L., Aggrey, A., Khan, I., Joeng, H.-K., Tipping, R. W., Du, J., Young, K., </w:t>
      </w:r>
      <w:proofErr w:type="spellStart"/>
      <w:r w:rsidRPr="002C2332">
        <w:rPr>
          <w:rFonts w:eastAsia="Times New Roman" w:cs="Times New Roman"/>
          <w:sz w:val="24"/>
          <w:szCs w:val="24"/>
        </w:rPr>
        <w:t>Butterton</w:t>
      </w:r>
      <w:proofErr w:type="spellEnd"/>
      <w:r w:rsidRPr="002C2332">
        <w:rPr>
          <w:rFonts w:eastAsia="Times New Roman" w:cs="Times New Roman"/>
          <w:sz w:val="24"/>
          <w:szCs w:val="24"/>
        </w:rPr>
        <w:t>, J. R., &amp; Paschke, A. (2020). Comparison of treatment outcomes between analysis populations in the RESTORE-IMI 1 phase 3 trial of imipenem-</w:t>
      </w:r>
      <w:proofErr w:type="spellStart"/>
      <w:r w:rsidRPr="002C2332">
        <w:rPr>
          <w:rFonts w:eastAsia="Times New Roman" w:cs="Times New Roman"/>
          <w:sz w:val="24"/>
          <w:szCs w:val="24"/>
        </w:rPr>
        <w:t>cilastatin</w:t>
      </w:r>
      <w:proofErr w:type="spellEnd"/>
      <w:r w:rsidRPr="002C2332">
        <w:rPr>
          <w:rFonts w:eastAsia="Times New Roman" w:cs="Times New Roman"/>
          <w:sz w:val="24"/>
          <w:szCs w:val="24"/>
        </w:rPr>
        <w:t>-</w:t>
      </w:r>
      <w:proofErr w:type="spellStart"/>
      <w:r w:rsidRPr="002C2332">
        <w:rPr>
          <w:rFonts w:eastAsia="Times New Roman" w:cs="Times New Roman"/>
          <w:sz w:val="24"/>
          <w:szCs w:val="24"/>
        </w:rPr>
        <w:t>relebactam</w:t>
      </w:r>
      <w:proofErr w:type="spellEnd"/>
      <w:r w:rsidRPr="002C2332">
        <w:rPr>
          <w:rFonts w:eastAsia="Times New Roman" w:cs="Times New Roman"/>
          <w:sz w:val="24"/>
          <w:szCs w:val="24"/>
        </w:rPr>
        <w:t xml:space="preserve"> versus colistin plus imipenem-</w:t>
      </w:r>
      <w:proofErr w:type="spellStart"/>
      <w:r w:rsidRPr="002C2332">
        <w:rPr>
          <w:rFonts w:eastAsia="Times New Roman" w:cs="Times New Roman"/>
          <w:sz w:val="24"/>
          <w:szCs w:val="24"/>
        </w:rPr>
        <w:t>cilastatin</w:t>
      </w:r>
      <w:proofErr w:type="spellEnd"/>
      <w:r w:rsidRPr="002C2332">
        <w:rPr>
          <w:rFonts w:eastAsia="Times New Roman" w:cs="Times New Roman"/>
          <w:sz w:val="24"/>
          <w:szCs w:val="24"/>
        </w:rPr>
        <w:t xml:space="preserve"> in patients with imipenem-</w:t>
      </w:r>
      <w:proofErr w:type="spellStart"/>
      <w:r w:rsidRPr="002C2332">
        <w:rPr>
          <w:rFonts w:eastAsia="Times New Roman" w:cs="Times New Roman"/>
          <w:sz w:val="24"/>
          <w:szCs w:val="24"/>
        </w:rPr>
        <w:t>nonsusceptible</w:t>
      </w:r>
      <w:proofErr w:type="spellEnd"/>
      <w:r w:rsidRPr="002C2332">
        <w:rPr>
          <w:rFonts w:eastAsia="Times New Roman" w:cs="Times New Roman"/>
          <w:sz w:val="24"/>
          <w:szCs w:val="24"/>
        </w:rPr>
        <w:t xml:space="preserve"> bacterial infections. </w:t>
      </w:r>
      <w:r w:rsidRPr="002C2332">
        <w:rPr>
          <w:rFonts w:eastAsia="Times New Roman" w:cs="Times New Roman"/>
          <w:i/>
          <w:iCs/>
          <w:sz w:val="24"/>
          <w:szCs w:val="24"/>
        </w:rPr>
        <w:t>Antimicrobial Agents and Chemotherapy, 64</w:t>
      </w:r>
      <w:r w:rsidRPr="002C2332">
        <w:rPr>
          <w:rFonts w:eastAsia="Times New Roman" w:cs="Times New Roman"/>
          <w:sz w:val="24"/>
          <w:szCs w:val="24"/>
        </w:rPr>
        <w:t xml:space="preserve">(5), e02203-19. </w:t>
      </w:r>
      <w:hyperlink r:id="rId34" w:history="1">
        <w:r w:rsidRPr="002C2332">
          <w:rPr>
            <w:rFonts w:eastAsia="Times New Roman" w:cs="Times New Roman"/>
            <w:color w:val="0000FF"/>
            <w:sz w:val="24"/>
            <w:szCs w:val="24"/>
            <w:u w:val="single"/>
          </w:rPr>
          <w:t>https://doi.org/10.1128/AAC.02203-19</w:t>
        </w:r>
      </w:hyperlink>
    </w:p>
    <w:p w14:paraId="57B646A0" w14:textId="5250EBA2" w:rsidR="002C2332" w:rsidRPr="002C2332" w:rsidRDefault="002C2332" w:rsidP="002C2332">
      <w:pPr>
        <w:spacing w:after="0" w:line="240" w:lineRule="auto"/>
        <w:ind w:left="540" w:hanging="540"/>
        <w:rPr>
          <w:rFonts w:eastAsia="Times New Roman" w:cs="Times New Roman"/>
          <w:sz w:val="24"/>
          <w:szCs w:val="24"/>
        </w:rPr>
      </w:pPr>
      <w:r w:rsidRPr="002C2332">
        <w:rPr>
          <w:rFonts w:eastAsia="Times New Roman" w:cs="Times New Roman"/>
          <w:sz w:val="24"/>
          <w:szCs w:val="24"/>
        </w:rPr>
        <w:t xml:space="preserve">Kaye, K. S., Shorr, A. F., </w:t>
      </w:r>
      <w:proofErr w:type="spellStart"/>
      <w:r w:rsidRPr="002C2332">
        <w:rPr>
          <w:rFonts w:eastAsia="Times New Roman" w:cs="Times New Roman"/>
          <w:sz w:val="24"/>
          <w:szCs w:val="24"/>
        </w:rPr>
        <w:t>Wunderink</w:t>
      </w:r>
      <w:proofErr w:type="spellEnd"/>
      <w:r w:rsidRPr="002C2332">
        <w:rPr>
          <w:rFonts w:eastAsia="Times New Roman" w:cs="Times New Roman"/>
          <w:sz w:val="24"/>
          <w:szCs w:val="24"/>
        </w:rPr>
        <w:t xml:space="preserve">, R. G., Du, B., Poirier, G. E., Rana, K., Miller, A., Lewis, D., O'Donnell, J., Chen, L., Reinhart, H., Srinivasan, S., Isaacs, R., &amp; </w:t>
      </w:r>
      <w:proofErr w:type="spellStart"/>
      <w:r w:rsidRPr="002C2332">
        <w:rPr>
          <w:rFonts w:eastAsia="Times New Roman" w:cs="Times New Roman"/>
          <w:sz w:val="24"/>
          <w:szCs w:val="24"/>
        </w:rPr>
        <w:t>Altarac</w:t>
      </w:r>
      <w:proofErr w:type="spellEnd"/>
      <w:r w:rsidRPr="002C2332">
        <w:rPr>
          <w:rFonts w:eastAsia="Times New Roman" w:cs="Times New Roman"/>
          <w:sz w:val="24"/>
          <w:szCs w:val="24"/>
        </w:rPr>
        <w:t>, D. (2023). Efficacy and safety of sulbactam-</w:t>
      </w:r>
      <w:proofErr w:type="spellStart"/>
      <w:r w:rsidRPr="002C2332">
        <w:rPr>
          <w:rFonts w:eastAsia="Times New Roman" w:cs="Times New Roman"/>
          <w:sz w:val="24"/>
          <w:szCs w:val="24"/>
        </w:rPr>
        <w:t>durlobactam</w:t>
      </w:r>
      <w:proofErr w:type="spellEnd"/>
      <w:r w:rsidRPr="002C2332">
        <w:rPr>
          <w:rFonts w:eastAsia="Times New Roman" w:cs="Times New Roman"/>
          <w:sz w:val="24"/>
          <w:szCs w:val="24"/>
        </w:rPr>
        <w:t xml:space="preserve"> versus colistin for the treatment of patients with serious infections caused by </w:t>
      </w:r>
      <w:r w:rsidRPr="002C2332">
        <w:rPr>
          <w:rFonts w:eastAsia="Times New Roman" w:cs="Times New Roman"/>
          <w:i/>
          <w:iCs/>
          <w:sz w:val="24"/>
          <w:szCs w:val="24"/>
        </w:rPr>
        <w:t>Acinetobacter baumannii-</w:t>
      </w:r>
      <w:proofErr w:type="spellStart"/>
      <w:r w:rsidRPr="002C2332">
        <w:rPr>
          <w:rFonts w:eastAsia="Times New Roman" w:cs="Times New Roman"/>
          <w:i/>
          <w:iCs/>
          <w:sz w:val="24"/>
          <w:szCs w:val="24"/>
        </w:rPr>
        <w:t>calcoaceticus</w:t>
      </w:r>
      <w:proofErr w:type="spellEnd"/>
      <w:r w:rsidRPr="002C2332">
        <w:rPr>
          <w:rFonts w:eastAsia="Times New Roman" w:cs="Times New Roman"/>
          <w:sz w:val="24"/>
          <w:szCs w:val="24"/>
        </w:rPr>
        <w:t xml:space="preserve"> complex: A </w:t>
      </w:r>
      <w:proofErr w:type="spellStart"/>
      <w:r w:rsidRPr="002C2332">
        <w:rPr>
          <w:rFonts w:eastAsia="Times New Roman" w:cs="Times New Roman"/>
          <w:sz w:val="24"/>
          <w:szCs w:val="24"/>
        </w:rPr>
        <w:t>multicentre</w:t>
      </w:r>
      <w:proofErr w:type="spellEnd"/>
      <w:r w:rsidRPr="002C2332">
        <w:rPr>
          <w:rFonts w:eastAsia="Times New Roman" w:cs="Times New Roman"/>
          <w:sz w:val="24"/>
          <w:szCs w:val="24"/>
        </w:rPr>
        <w:t xml:space="preserve">, </w:t>
      </w:r>
      <w:proofErr w:type="spellStart"/>
      <w:r w:rsidRPr="002C2332">
        <w:rPr>
          <w:rFonts w:eastAsia="Times New Roman" w:cs="Times New Roman"/>
          <w:sz w:val="24"/>
          <w:szCs w:val="24"/>
        </w:rPr>
        <w:t>randomised</w:t>
      </w:r>
      <w:proofErr w:type="spellEnd"/>
      <w:r w:rsidRPr="002C2332">
        <w:rPr>
          <w:rFonts w:eastAsia="Times New Roman" w:cs="Times New Roman"/>
          <w:sz w:val="24"/>
          <w:szCs w:val="24"/>
        </w:rPr>
        <w:t xml:space="preserve">, active-controlled, phase 3, non-inferiority clinical trial (ATTACK). </w:t>
      </w:r>
      <w:r w:rsidRPr="002C2332">
        <w:rPr>
          <w:rFonts w:eastAsia="Times New Roman" w:cs="Times New Roman"/>
          <w:i/>
          <w:iCs/>
          <w:sz w:val="24"/>
          <w:szCs w:val="24"/>
        </w:rPr>
        <w:t>The Lancet Infectious Diseases, 23</w:t>
      </w:r>
      <w:r w:rsidRPr="002C2332">
        <w:rPr>
          <w:rFonts w:eastAsia="Times New Roman" w:cs="Times New Roman"/>
          <w:sz w:val="24"/>
          <w:szCs w:val="24"/>
        </w:rPr>
        <w:t xml:space="preserve">(9), 1072–1084. </w:t>
      </w:r>
      <w:hyperlink r:id="rId35" w:history="1">
        <w:r w:rsidRPr="002C2332">
          <w:rPr>
            <w:rFonts w:eastAsia="Times New Roman" w:cs="Times New Roman"/>
            <w:color w:val="0000FF"/>
            <w:sz w:val="24"/>
            <w:szCs w:val="24"/>
            <w:u w:val="single"/>
          </w:rPr>
          <w:t>https://doi.org/10.1016/S1473-3099(23)00184-6</w:t>
        </w:r>
      </w:hyperlink>
    </w:p>
    <w:p w14:paraId="06C041D1" w14:textId="3FC8C289" w:rsidR="002C2332" w:rsidRPr="002C2332" w:rsidRDefault="002C2332" w:rsidP="002C2332">
      <w:pPr>
        <w:spacing w:after="0" w:line="240" w:lineRule="auto"/>
        <w:ind w:left="540" w:hanging="540"/>
        <w:rPr>
          <w:rFonts w:eastAsia="Times New Roman" w:cs="Times New Roman"/>
          <w:sz w:val="24"/>
          <w:szCs w:val="24"/>
        </w:rPr>
      </w:pPr>
      <w:proofErr w:type="spellStart"/>
      <w:r w:rsidRPr="002C2332">
        <w:rPr>
          <w:rFonts w:eastAsia="Times New Roman" w:cs="Times New Roman"/>
          <w:sz w:val="24"/>
          <w:szCs w:val="24"/>
        </w:rPr>
        <w:t>Kherabi</w:t>
      </w:r>
      <w:proofErr w:type="spellEnd"/>
      <w:r w:rsidRPr="002C2332">
        <w:rPr>
          <w:rFonts w:eastAsia="Times New Roman" w:cs="Times New Roman"/>
          <w:sz w:val="24"/>
          <w:szCs w:val="24"/>
        </w:rPr>
        <w:t xml:space="preserve">, Y., Thy, M., Bouzid, D., </w:t>
      </w:r>
      <w:proofErr w:type="spellStart"/>
      <w:r w:rsidRPr="002C2332">
        <w:rPr>
          <w:rFonts w:eastAsia="Times New Roman" w:cs="Times New Roman"/>
          <w:sz w:val="24"/>
          <w:szCs w:val="24"/>
        </w:rPr>
        <w:t>Antcliffe</w:t>
      </w:r>
      <w:proofErr w:type="spellEnd"/>
      <w:r w:rsidRPr="002C2332">
        <w:rPr>
          <w:rFonts w:eastAsia="Times New Roman" w:cs="Times New Roman"/>
          <w:sz w:val="24"/>
          <w:szCs w:val="24"/>
        </w:rPr>
        <w:t xml:space="preserve">, D. B., Rawson, T. M., &amp; Peiffer-Smadja, N. (2024). Machine learning to predict antimicrobial resistance: Future applications in clinical practice? </w:t>
      </w:r>
      <w:r w:rsidRPr="002C2332">
        <w:rPr>
          <w:rFonts w:eastAsia="Times New Roman" w:cs="Times New Roman"/>
          <w:i/>
          <w:iCs/>
          <w:sz w:val="24"/>
          <w:szCs w:val="24"/>
        </w:rPr>
        <w:t>Infectious Diseases Now, 54</w:t>
      </w:r>
      <w:r w:rsidRPr="002C2332">
        <w:rPr>
          <w:rFonts w:eastAsia="Times New Roman" w:cs="Times New Roman"/>
          <w:sz w:val="24"/>
          <w:szCs w:val="24"/>
        </w:rPr>
        <w:t xml:space="preserve">(3), 104864. </w:t>
      </w:r>
      <w:hyperlink r:id="rId36" w:history="1">
        <w:r w:rsidRPr="002C2332">
          <w:rPr>
            <w:rFonts w:eastAsia="Times New Roman" w:cs="Times New Roman"/>
            <w:color w:val="0000FF"/>
            <w:sz w:val="24"/>
            <w:szCs w:val="24"/>
            <w:u w:val="single"/>
          </w:rPr>
          <w:t>https://doi.org/10.1016/j.idnow.2024.104864</w:t>
        </w:r>
      </w:hyperlink>
    </w:p>
    <w:p w14:paraId="18A9B2AA" w14:textId="158C2ED6" w:rsidR="002C2332" w:rsidRPr="002C2332" w:rsidRDefault="002C2332" w:rsidP="002C2332">
      <w:pPr>
        <w:spacing w:after="0" w:line="240" w:lineRule="auto"/>
        <w:ind w:left="540" w:hanging="540"/>
        <w:rPr>
          <w:rFonts w:eastAsia="Times New Roman" w:cs="Times New Roman"/>
          <w:sz w:val="24"/>
          <w:szCs w:val="24"/>
        </w:rPr>
      </w:pPr>
      <w:r w:rsidRPr="002C2332">
        <w:rPr>
          <w:rFonts w:eastAsia="Times New Roman" w:cs="Times New Roman"/>
          <w:sz w:val="24"/>
          <w:szCs w:val="24"/>
        </w:rPr>
        <w:t xml:space="preserve">Lewin-Epstein, O., Baruch, S., </w:t>
      </w:r>
      <w:proofErr w:type="spellStart"/>
      <w:r w:rsidRPr="002C2332">
        <w:rPr>
          <w:rFonts w:eastAsia="Times New Roman" w:cs="Times New Roman"/>
          <w:sz w:val="24"/>
          <w:szCs w:val="24"/>
        </w:rPr>
        <w:t>Hadany</w:t>
      </w:r>
      <w:proofErr w:type="spellEnd"/>
      <w:r w:rsidRPr="002C2332">
        <w:rPr>
          <w:rFonts w:eastAsia="Times New Roman" w:cs="Times New Roman"/>
          <w:sz w:val="24"/>
          <w:szCs w:val="24"/>
        </w:rPr>
        <w:t xml:space="preserve">, L., Stein, G. Y., &amp; </w:t>
      </w:r>
      <w:proofErr w:type="spellStart"/>
      <w:r w:rsidRPr="002C2332">
        <w:rPr>
          <w:rFonts w:eastAsia="Times New Roman" w:cs="Times New Roman"/>
          <w:sz w:val="24"/>
          <w:szCs w:val="24"/>
        </w:rPr>
        <w:t>Obolski</w:t>
      </w:r>
      <w:proofErr w:type="spellEnd"/>
      <w:r w:rsidRPr="002C2332">
        <w:rPr>
          <w:rFonts w:eastAsia="Times New Roman" w:cs="Times New Roman"/>
          <w:sz w:val="24"/>
          <w:szCs w:val="24"/>
        </w:rPr>
        <w:t xml:space="preserve">, U. (2021). Predicting antibiotic resistance in hospitalized patients by applying machine learning to electronic medical records. </w:t>
      </w:r>
      <w:r w:rsidRPr="002C2332">
        <w:rPr>
          <w:rFonts w:eastAsia="Times New Roman" w:cs="Times New Roman"/>
          <w:i/>
          <w:iCs/>
          <w:sz w:val="24"/>
          <w:szCs w:val="24"/>
        </w:rPr>
        <w:t>Clinical Infectious Diseases, 72</w:t>
      </w:r>
      <w:r w:rsidRPr="002C2332">
        <w:rPr>
          <w:rFonts w:eastAsia="Times New Roman" w:cs="Times New Roman"/>
          <w:sz w:val="24"/>
          <w:szCs w:val="24"/>
        </w:rPr>
        <w:t xml:space="preserve">(11), e848–e855. </w:t>
      </w:r>
      <w:hyperlink r:id="rId37" w:history="1">
        <w:r w:rsidRPr="002C2332">
          <w:rPr>
            <w:rFonts w:eastAsia="Times New Roman" w:cs="Times New Roman"/>
            <w:color w:val="0000FF"/>
            <w:sz w:val="24"/>
            <w:szCs w:val="24"/>
            <w:u w:val="single"/>
          </w:rPr>
          <w:t>https://doi.org/10.1093/cid/ciaa1576</w:t>
        </w:r>
      </w:hyperlink>
    </w:p>
    <w:p w14:paraId="4137DF07" w14:textId="205CEAC6" w:rsidR="002C2332" w:rsidRPr="002C2332" w:rsidRDefault="002C2332" w:rsidP="002C2332">
      <w:pPr>
        <w:spacing w:after="0" w:line="240" w:lineRule="auto"/>
        <w:ind w:left="540" w:hanging="540"/>
        <w:rPr>
          <w:rFonts w:eastAsia="Times New Roman" w:cs="Times New Roman"/>
          <w:sz w:val="24"/>
          <w:szCs w:val="24"/>
        </w:rPr>
      </w:pPr>
      <w:r w:rsidRPr="002C2332">
        <w:rPr>
          <w:rFonts w:eastAsia="Times New Roman" w:cs="Times New Roman"/>
          <w:sz w:val="24"/>
          <w:szCs w:val="24"/>
        </w:rPr>
        <w:t xml:space="preserve">Liu, G., Catacutan, D. B., Rathod, K., Swanson, K., Jin, W., Mohammed, J. C., </w:t>
      </w:r>
      <w:proofErr w:type="spellStart"/>
      <w:r w:rsidRPr="002C2332">
        <w:rPr>
          <w:rFonts w:eastAsia="Times New Roman" w:cs="Times New Roman"/>
          <w:sz w:val="24"/>
          <w:szCs w:val="24"/>
        </w:rPr>
        <w:t>Chiappino</w:t>
      </w:r>
      <w:proofErr w:type="spellEnd"/>
      <w:r w:rsidRPr="002C2332">
        <w:rPr>
          <w:rFonts w:eastAsia="Times New Roman" w:cs="Times New Roman"/>
          <w:sz w:val="24"/>
          <w:szCs w:val="24"/>
        </w:rPr>
        <w:t xml:space="preserve">-Pepe, A., Syed, S. A., </w:t>
      </w:r>
      <w:proofErr w:type="spellStart"/>
      <w:r w:rsidRPr="002C2332">
        <w:rPr>
          <w:rFonts w:eastAsia="Times New Roman" w:cs="Times New Roman"/>
          <w:sz w:val="24"/>
          <w:szCs w:val="24"/>
        </w:rPr>
        <w:t>Fragis</w:t>
      </w:r>
      <w:proofErr w:type="spellEnd"/>
      <w:r w:rsidRPr="002C2332">
        <w:rPr>
          <w:rFonts w:eastAsia="Times New Roman" w:cs="Times New Roman"/>
          <w:sz w:val="24"/>
          <w:szCs w:val="24"/>
        </w:rPr>
        <w:t xml:space="preserve">, M., Rachwalski, K., Magolan, J., Surette, M. G., Coombes, B. K., Jaakkola, T., Barzilay, R., Collins, J. J., &amp; Stokes, J. M. (2023). Deep learning-guided discovery of an antibiotic targeting </w:t>
      </w:r>
      <w:r w:rsidRPr="002C2332">
        <w:rPr>
          <w:rFonts w:eastAsia="Times New Roman" w:cs="Times New Roman"/>
          <w:i/>
          <w:iCs/>
          <w:sz w:val="24"/>
          <w:szCs w:val="24"/>
        </w:rPr>
        <w:t>Acinetobacter baumannii</w:t>
      </w:r>
      <w:r w:rsidRPr="002C2332">
        <w:rPr>
          <w:rFonts w:eastAsia="Times New Roman" w:cs="Times New Roman"/>
          <w:sz w:val="24"/>
          <w:szCs w:val="24"/>
        </w:rPr>
        <w:t xml:space="preserve">. </w:t>
      </w:r>
      <w:r w:rsidRPr="002C2332">
        <w:rPr>
          <w:rFonts w:eastAsia="Times New Roman" w:cs="Times New Roman"/>
          <w:i/>
          <w:iCs/>
          <w:sz w:val="24"/>
          <w:szCs w:val="24"/>
        </w:rPr>
        <w:t>Nature Chemical Biology, 19</w:t>
      </w:r>
      <w:r w:rsidRPr="002C2332">
        <w:rPr>
          <w:rFonts w:eastAsia="Times New Roman" w:cs="Times New Roman"/>
          <w:sz w:val="24"/>
          <w:szCs w:val="24"/>
        </w:rPr>
        <w:t xml:space="preserve">(11), 1342–1350. </w:t>
      </w:r>
      <w:hyperlink r:id="rId38" w:history="1">
        <w:r w:rsidRPr="002C2332">
          <w:rPr>
            <w:rFonts w:eastAsia="Times New Roman" w:cs="Times New Roman"/>
            <w:color w:val="0000FF"/>
            <w:sz w:val="24"/>
            <w:szCs w:val="24"/>
            <w:u w:val="single"/>
          </w:rPr>
          <w:t>https://doi.org/10.1038/s41589-023-01349-8</w:t>
        </w:r>
      </w:hyperlink>
    </w:p>
    <w:p w14:paraId="1773DD06" w14:textId="6CF8B5A0" w:rsidR="002C2332" w:rsidRPr="002C2332" w:rsidRDefault="002C2332" w:rsidP="002C2332">
      <w:pPr>
        <w:spacing w:after="0" w:line="240" w:lineRule="auto"/>
        <w:ind w:left="540" w:hanging="540"/>
        <w:rPr>
          <w:rFonts w:eastAsia="Times New Roman" w:cs="Times New Roman"/>
          <w:sz w:val="24"/>
          <w:szCs w:val="24"/>
        </w:rPr>
      </w:pPr>
      <w:proofErr w:type="spellStart"/>
      <w:r w:rsidRPr="002C2332">
        <w:rPr>
          <w:rFonts w:eastAsia="Times New Roman" w:cs="Times New Roman"/>
          <w:sz w:val="24"/>
          <w:szCs w:val="24"/>
        </w:rPr>
        <w:lastRenderedPageBreak/>
        <w:t>Lv</w:t>
      </w:r>
      <w:proofErr w:type="spellEnd"/>
      <w:r w:rsidRPr="002C2332">
        <w:rPr>
          <w:rFonts w:eastAsia="Times New Roman" w:cs="Times New Roman"/>
          <w:sz w:val="24"/>
          <w:szCs w:val="24"/>
        </w:rPr>
        <w:t xml:space="preserve">, G., &amp; Wang, Y. (2024). Machine learning-based antibiotic resistance prediction models: An updated systematic review and meta-analysis. </w:t>
      </w:r>
      <w:r w:rsidRPr="002C2332">
        <w:rPr>
          <w:rFonts w:eastAsia="Times New Roman" w:cs="Times New Roman"/>
          <w:i/>
          <w:iCs/>
          <w:sz w:val="24"/>
          <w:szCs w:val="24"/>
        </w:rPr>
        <w:t>Technology and Health Care, 32</w:t>
      </w:r>
      <w:r w:rsidRPr="002C2332">
        <w:rPr>
          <w:rFonts w:eastAsia="Times New Roman" w:cs="Times New Roman"/>
          <w:sz w:val="24"/>
          <w:szCs w:val="24"/>
        </w:rPr>
        <w:t xml:space="preserve">(5), 2865–2882. </w:t>
      </w:r>
      <w:hyperlink r:id="rId39" w:history="1">
        <w:r w:rsidRPr="002C2332">
          <w:rPr>
            <w:rFonts w:eastAsia="Times New Roman" w:cs="Times New Roman"/>
            <w:color w:val="0000FF"/>
            <w:sz w:val="24"/>
            <w:szCs w:val="24"/>
            <w:u w:val="single"/>
          </w:rPr>
          <w:t>https://doi.org/10.3233/THC-240119</w:t>
        </w:r>
      </w:hyperlink>
    </w:p>
    <w:p w14:paraId="52F2DB9D" w14:textId="57ABD83D" w:rsidR="002C2332" w:rsidRPr="002C2332" w:rsidRDefault="002C2332" w:rsidP="002C2332">
      <w:pPr>
        <w:spacing w:after="0" w:line="240" w:lineRule="auto"/>
        <w:ind w:left="540" w:hanging="540"/>
        <w:rPr>
          <w:rFonts w:eastAsia="Times New Roman" w:cs="Times New Roman"/>
          <w:sz w:val="24"/>
          <w:szCs w:val="24"/>
        </w:rPr>
      </w:pPr>
      <w:proofErr w:type="spellStart"/>
      <w:r w:rsidRPr="002C2332">
        <w:rPr>
          <w:rFonts w:eastAsia="Times New Roman" w:cs="Times New Roman"/>
          <w:sz w:val="24"/>
          <w:szCs w:val="24"/>
        </w:rPr>
        <w:t>Magiorakos</w:t>
      </w:r>
      <w:proofErr w:type="spellEnd"/>
      <w:r w:rsidRPr="002C2332">
        <w:rPr>
          <w:rFonts w:eastAsia="Times New Roman" w:cs="Times New Roman"/>
          <w:sz w:val="24"/>
          <w:szCs w:val="24"/>
        </w:rPr>
        <w:t xml:space="preserve">, A.-P., Srinivasan, A., Carey, R. B., Carmeli, Y., </w:t>
      </w:r>
      <w:proofErr w:type="spellStart"/>
      <w:r w:rsidRPr="002C2332">
        <w:rPr>
          <w:rFonts w:eastAsia="Times New Roman" w:cs="Times New Roman"/>
          <w:sz w:val="24"/>
          <w:szCs w:val="24"/>
        </w:rPr>
        <w:t>Falagas</w:t>
      </w:r>
      <w:proofErr w:type="spellEnd"/>
      <w:r w:rsidRPr="002C2332">
        <w:rPr>
          <w:rFonts w:eastAsia="Times New Roman" w:cs="Times New Roman"/>
          <w:sz w:val="24"/>
          <w:szCs w:val="24"/>
        </w:rPr>
        <w:t xml:space="preserve">, M. E., Giske, C. G., Harbarth, S., Hindler, J. F., Kahlmeter, G., Olsson-Liljequist, B., Paterson, D. L., Rice, L. B., Stelling, J., </w:t>
      </w:r>
      <w:proofErr w:type="spellStart"/>
      <w:r w:rsidRPr="002C2332">
        <w:rPr>
          <w:rFonts w:eastAsia="Times New Roman" w:cs="Times New Roman"/>
          <w:sz w:val="24"/>
          <w:szCs w:val="24"/>
        </w:rPr>
        <w:t>Struelens</w:t>
      </w:r>
      <w:proofErr w:type="spellEnd"/>
      <w:r w:rsidRPr="002C2332">
        <w:rPr>
          <w:rFonts w:eastAsia="Times New Roman" w:cs="Times New Roman"/>
          <w:sz w:val="24"/>
          <w:szCs w:val="24"/>
        </w:rPr>
        <w:t xml:space="preserve">, M. J., </w:t>
      </w:r>
      <w:proofErr w:type="spellStart"/>
      <w:r w:rsidRPr="002C2332">
        <w:rPr>
          <w:rFonts w:eastAsia="Times New Roman" w:cs="Times New Roman"/>
          <w:sz w:val="24"/>
          <w:szCs w:val="24"/>
        </w:rPr>
        <w:t>Vatopoulos</w:t>
      </w:r>
      <w:proofErr w:type="spellEnd"/>
      <w:r w:rsidRPr="002C2332">
        <w:rPr>
          <w:rFonts w:eastAsia="Times New Roman" w:cs="Times New Roman"/>
          <w:sz w:val="24"/>
          <w:szCs w:val="24"/>
        </w:rPr>
        <w:t xml:space="preserve">, A., Weber, J. T., &amp; Monnet, D. L. (2012). Multidrug-resistant, extensively drug-resistant and </w:t>
      </w:r>
      <w:proofErr w:type="spellStart"/>
      <w:r w:rsidRPr="002C2332">
        <w:rPr>
          <w:rFonts w:eastAsia="Times New Roman" w:cs="Times New Roman"/>
          <w:sz w:val="24"/>
          <w:szCs w:val="24"/>
        </w:rPr>
        <w:t>pandrug</w:t>
      </w:r>
      <w:proofErr w:type="spellEnd"/>
      <w:r w:rsidRPr="002C2332">
        <w:rPr>
          <w:rFonts w:eastAsia="Times New Roman" w:cs="Times New Roman"/>
          <w:sz w:val="24"/>
          <w:szCs w:val="24"/>
        </w:rPr>
        <w:t xml:space="preserve">-resistant bacteria: An international expert proposal for interim standard definitions for acquired resistance. </w:t>
      </w:r>
      <w:r w:rsidRPr="002C2332">
        <w:rPr>
          <w:rFonts w:eastAsia="Times New Roman" w:cs="Times New Roman"/>
          <w:i/>
          <w:iCs/>
          <w:sz w:val="24"/>
          <w:szCs w:val="24"/>
        </w:rPr>
        <w:t>Clinical Microbiology and Infection, 18</w:t>
      </w:r>
      <w:r w:rsidRPr="002C2332">
        <w:rPr>
          <w:rFonts w:eastAsia="Times New Roman" w:cs="Times New Roman"/>
          <w:sz w:val="24"/>
          <w:szCs w:val="24"/>
        </w:rPr>
        <w:t xml:space="preserve">(3), 268–281. </w:t>
      </w:r>
      <w:hyperlink r:id="rId40" w:history="1">
        <w:r w:rsidRPr="002C2332">
          <w:rPr>
            <w:rFonts w:eastAsia="Times New Roman" w:cs="Times New Roman"/>
            <w:color w:val="0000FF"/>
            <w:sz w:val="24"/>
            <w:szCs w:val="24"/>
            <w:u w:val="single"/>
          </w:rPr>
          <w:t>https://doi.org/10.1111/j.1469-0691.2011.03570.x</w:t>
        </w:r>
      </w:hyperlink>
    </w:p>
    <w:p w14:paraId="49DFE4DC" w14:textId="74410EB4" w:rsidR="002C2332" w:rsidRPr="002C2332" w:rsidRDefault="002C2332" w:rsidP="002C2332">
      <w:pPr>
        <w:spacing w:after="0" w:line="240" w:lineRule="auto"/>
        <w:ind w:left="540" w:hanging="540"/>
        <w:rPr>
          <w:rFonts w:eastAsia="Times New Roman" w:cs="Times New Roman"/>
          <w:sz w:val="24"/>
          <w:szCs w:val="24"/>
        </w:rPr>
      </w:pPr>
      <w:r w:rsidRPr="002C2332">
        <w:rPr>
          <w:rFonts w:eastAsia="Times New Roman" w:cs="Times New Roman"/>
          <w:sz w:val="24"/>
          <w:szCs w:val="24"/>
        </w:rPr>
        <w:t xml:space="preserve">Narang, H., Talukdar, D., Kumar, B., Mathur, P., </w:t>
      </w:r>
      <w:proofErr w:type="spellStart"/>
      <w:r w:rsidRPr="002C2332">
        <w:rPr>
          <w:rFonts w:eastAsia="Times New Roman" w:cs="Times New Roman"/>
          <w:sz w:val="24"/>
          <w:szCs w:val="24"/>
        </w:rPr>
        <w:t>Ningombam</w:t>
      </w:r>
      <w:proofErr w:type="spellEnd"/>
      <w:r w:rsidRPr="002C2332">
        <w:rPr>
          <w:rFonts w:eastAsia="Times New Roman" w:cs="Times New Roman"/>
          <w:sz w:val="24"/>
          <w:szCs w:val="24"/>
        </w:rPr>
        <w:t xml:space="preserve">, A., Singh, M., Bajaj, A., </w:t>
      </w:r>
      <w:proofErr w:type="spellStart"/>
      <w:r w:rsidRPr="002C2332">
        <w:rPr>
          <w:rFonts w:eastAsia="Times New Roman" w:cs="Times New Roman"/>
          <w:sz w:val="24"/>
          <w:szCs w:val="24"/>
        </w:rPr>
        <w:t>Markandey</w:t>
      </w:r>
      <w:proofErr w:type="spellEnd"/>
      <w:r w:rsidRPr="002C2332">
        <w:rPr>
          <w:rFonts w:eastAsia="Times New Roman" w:cs="Times New Roman"/>
          <w:sz w:val="24"/>
          <w:szCs w:val="24"/>
        </w:rPr>
        <w:t xml:space="preserve">, M., Kalaivani, M., Verma, M., Kaur, M., Bakshi, S., Jana, P., </w:t>
      </w:r>
      <w:proofErr w:type="spellStart"/>
      <w:r w:rsidRPr="002C2332">
        <w:rPr>
          <w:rFonts w:eastAsia="Times New Roman" w:cs="Times New Roman"/>
          <w:sz w:val="24"/>
          <w:szCs w:val="24"/>
        </w:rPr>
        <w:t>Jamdhade</w:t>
      </w:r>
      <w:proofErr w:type="spellEnd"/>
      <w:r w:rsidRPr="002C2332">
        <w:rPr>
          <w:rFonts w:eastAsia="Times New Roman" w:cs="Times New Roman"/>
          <w:sz w:val="24"/>
          <w:szCs w:val="24"/>
        </w:rPr>
        <w:t xml:space="preserve">, M., Bhardwaj, N., </w:t>
      </w:r>
      <w:proofErr w:type="spellStart"/>
      <w:r w:rsidRPr="002C2332">
        <w:rPr>
          <w:rFonts w:eastAsia="Times New Roman" w:cs="Times New Roman"/>
          <w:sz w:val="24"/>
          <w:szCs w:val="24"/>
        </w:rPr>
        <w:t>Puraswani</w:t>
      </w:r>
      <w:proofErr w:type="spellEnd"/>
      <w:r w:rsidRPr="002C2332">
        <w:rPr>
          <w:rFonts w:eastAsia="Times New Roman" w:cs="Times New Roman"/>
          <w:sz w:val="24"/>
          <w:szCs w:val="24"/>
        </w:rPr>
        <w:t xml:space="preserve">, M., Ashita, Ahmed, N., Goyal, M. K., … Ahuja, V. (2026). Fecal microbiota transplant and multidrug-resistant organism decolonization in gastrointestinal disease: A randomized clinical trial. </w:t>
      </w:r>
      <w:r w:rsidRPr="002C2332">
        <w:rPr>
          <w:rFonts w:eastAsia="Times New Roman" w:cs="Times New Roman"/>
          <w:i/>
          <w:iCs/>
          <w:sz w:val="24"/>
          <w:szCs w:val="24"/>
        </w:rPr>
        <w:t>JAMA Internal Medicine, 186</w:t>
      </w:r>
      <w:r w:rsidRPr="002C2332">
        <w:rPr>
          <w:rFonts w:eastAsia="Times New Roman" w:cs="Times New Roman"/>
          <w:sz w:val="24"/>
          <w:szCs w:val="24"/>
        </w:rPr>
        <w:t xml:space="preserve">(6), 657–666. </w:t>
      </w:r>
      <w:hyperlink r:id="rId41" w:history="1">
        <w:r w:rsidRPr="002C2332">
          <w:rPr>
            <w:rFonts w:eastAsia="Times New Roman" w:cs="Times New Roman"/>
            <w:color w:val="0000FF"/>
            <w:sz w:val="24"/>
            <w:szCs w:val="24"/>
            <w:u w:val="single"/>
          </w:rPr>
          <w:t>https://doi.org/10.1001/jamainternmed.2026.0655</w:t>
        </w:r>
      </w:hyperlink>
    </w:p>
    <w:p w14:paraId="2D5BA90F" w14:textId="1E9673D2" w:rsidR="002C2332" w:rsidRPr="002C2332" w:rsidRDefault="002C2332" w:rsidP="002C2332">
      <w:pPr>
        <w:spacing w:after="0" w:line="240" w:lineRule="auto"/>
        <w:ind w:left="540" w:hanging="540"/>
        <w:rPr>
          <w:rFonts w:eastAsia="Times New Roman" w:cs="Times New Roman"/>
          <w:sz w:val="24"/>
          <w:szCs w:val="24"/>
        </w:rPr>
      </w:pPr>
      <w:r w:rsidRPr="002C2332">
        <w:rPr>
          <w:rFonts w:eastAsia="Times New Roman" w:cs="Times New Roman"/>
          <w:sz w:val="24"/>
          <w:szCs w:val="24"/>
        </w:rPr>
        <w:t xml:space="preserve">Nguyen, A. T., Mehta, N., Mackey, K., Cummiskey, T., Rodriguez, E. K., &amp; Young, J. (2026). Pharmacokinetics and pharmacodynamics of bacteriophage therapy: A scoping review. </w:t>
      </w:r>
      <w:r w:rsidRPr="002C2332">
        <w:rPr>
          <w:rFonts w:eastAsia="Times New Roman" w:cs="Times New Roman"/>
          <w:i/>
          <w:iCs/>
          <w:sz w:val="24"/>
          <w:szCs w:val="24"/>
        </w:rPr>
        <w:t>International Journal of Antimicrobial Agents, 67</w:t>
      </w:r>
      <w:r w:rsidRPr="002C2332">
        <w:rPr>
          <w:rFonts w:eastAsia="Times New Roman" w:cs="Times New Roman"/>
          <w:sz w:val="24"/>
          <w:szCs w:val="24"/>
        </w:rPr>
        <w:t xml:space="preserve">(3), 107705. </w:t>
      </w:r>
      <w:hyperlink r:id="rId42" w:history="1">
        <w:r w:rsidRPr="002C2332">
          <w:rPr>
            <w:rFonts w:eastAsia="Times New Roman" w:cs="Times New Roman"/>
            <w:color w:val="0000FF"/>
            <w:sz w:val="24"/>
            <w:szCs w:val="24"/>
            <w:u w:val="single"/>
          </w:rPr>
          <w:t>https://doi.org/10.1016/j.ijantimicag.2025.107705</w:t>
        </w:r>
      </w:hyperlink>
    </w:p>
    <w:p w14:paraId="307175D3" w14:textId="10F313CD" w:rsidR="002C2332" w:rsidRPr="002C2332" w:rsidRDefault="002C2332" w:rsidP="002C2332">
      <w:pPr>
        <w:spacing w:after="0" w:line="240" w:lineRule="auto"/>
        <w:ind w:left="540" w:hanging="540"/>
        <w:rPr>
          <w:rFonts w:eastAsia="Times New Roman" w:cs="Times New Roman"/>
          <w:sz w:val="24"/>
          <w:szCs w:val="24"/>
        </w:rPr>
      </w:pPr>
      <w:r w:rsidRPr="002C2332">
        <w:rPr>
          <w:rFonts w:eastAsia="Times New Roman" w:cs="Times New Roman"/>
          <w:sz w:val="24"/>
          <w:szCs w:val="24"/>
        </w:rPr>
        <w:t xml:space="preserve">Onorato, L., de Luca, I., Monari, C., &amp; Coppola, N. (2024). Cefiderocol either in monotherapy or combination versus best available therapy in the treatment of carbapenem-resistant </w:t>
      </w:r>
      <w:r w:rsidRPr="002C2332">
        <w:rPr>
          <w:rFonts w:eastAsia="Times New Roman" w:cs="Times New Roman"/>
          <w:i/>
          <w:iCs/>
          <w:sz w:val="24"/>
          <w:szCs w:val="24"/>
        </w:rPr>
        <w:t>Acinetobacter baumannii</w:t>
      </w:r>
      <w:r w:rsidRPr="002C2332">
        <w:rPr>
          <w:rFonts w:eastAsia="Times New Roman" w:cs="Times New Roman"/>
          <w:sz w:val="24"/>
          <w:szCs w:val="24"/>
        </w:rPr>
        <w:t xml:space="preserve"> infections: A systematic review and meta-analysis. </w:t>
      </w:r>
      <w:r w:rsidRPr="002C2332">
        <w:rPr>
          <w:rFonts w:eastAsia="Times New Roman" w:cs="Times New Roman"/>
          <w:i/>
          <w:iCs/>
          <w:sz w:val="24"/>
          <w:szCs w:val="24"/>
        </w:rPr>
        <w:t>Journal of Infection, 88</w:t>
      </w:r>
      <w:r w:rsidRPr="002C2332">
        <w:rPr>
          <w:rFonts w:eastAsia="Times New Roman" w:cs="Times New Roman"/>
          <w:sz w:val="24"/>
          <w:szCs w:val="24"/>
        </w:rPr>
        <w:t xml:space="preserve">(3), 106113. </w:t>
      </w:r>
      <w:hyperlink r:id="rId43" w:history="1">
        <w:r w:rsidRPr="002C2332">
          <w:rPr>
            <w:rFonts w:eastAsia="Times New Roman" w:cs="Times New Roman"/>
            <w:color w:val="0000FF"/>
            <w:sz w:val="24"/>
            <w:szCs w:val="24"/>
            <w:u w:val="single"/>
          </w:rPr>
          <w:t>https://doi.org/10.1016/j.jinf.2024.01.012</w:t>
        </w:r>
      </w:hyperlink>
    </w:p>
    <w:p w14:paraId="0BC1DD2C" w14:textId="63BB6E54" w:rsidR="002C2332" w:rsidRPr="002C2332" w:rsidRDefault="002C2332" w:rsidP="002C2332">
      <w:pPr>
        <w:spacing w:after="0" w:line="240" w:lineRule="auto"/>
        <w:ind w:left="540" w:hanging="540"/>
        <w:rPr>
          <w:rFonts w:eastAsia="Times New Roman" w:cs="Times New Roman"/>
          <w:sz w:val="24"/>
          <w:szCs w:val="24"/>
        </w:rPr>
      </w:pPr>
      <w:proofErr w:type="spellStart"/>
      <w:r w:rsidRPr="002C2332">
        <w:rPr>
          <w:rFonts w:eastAsia="Times New Roman" w:cs="Times New Roman"/>
          <w:sz w:val="24"/>
          <w:szCs w:val="24"/>
        </w:rPr>
        <w:t>Oonsivilai</w:t>
      </w:r>
      <w:proofErr w:type="spellEnd"/>
      <w:r w:rsidRPr="002C2332">
        <w:rPr>
          <w:rFonts w:eastAsia="Times New Roman" w:cs="Times New Roman"/>
          <w:sz w:val="24"/>
          <w:szCs w:val="24"/>
        </w:rPr>
        <w:t xml:space="preserve">, M., Mo, Y., </w:t>
      </w:r>
      <w:proofErr w:type="spellStart"/>
      <w:r w:rsidRPr="002C2332">
        <w:rPr>
          <w:rFonts w:eastAsia="Times New Roman" w:cs="Times New Roman"/>
          <w:sz w:val="24"/>
          <w:szCs w:val="24"/>
        </w:rPr>
        <w:t>Luangasanatip</w:t>
      </w:r>
      <w:proofErr w:type="spellEnd"/>
      <w:r w:rsidRPr="002C2332">
        <w:rPr>
          <w:rFonts w:eastAsia="Times New Roman" w:cs="Times New Roman"/>
          <w:sz w:val="24"/>
          <w:szCs w:val="24"/>
        </w:rPr>
        <w:t xml:space="preserve">, N., Lubell, Y., </w:t>
      </w:r>
      <w:proofErr w:type="spellStart"/>
      <w:r w:rsidRPr="002C2332">
        <w:rPr>
          <w:rFonts w:eastAsia="Times New Roman" w:cs="Times New Roman"/>
          <w:sz w:val="24"/>
          <w:szCs w:val="24"/>
        </w:rPr>
        <w:t>Miliya</w:t>
      </w:r>
      <w:proofErr w:type="spellEnd"/>
      <w:r w:rsidRPr="002C2332">
        <w:rPr>
          <w:rFonts w:eastAsia="Times New Roman" w:cs="Times New Roman"/>
          <w:sz w:val="24"/>
          <w:szCs w:val="24"/>
        </w:rPr>
        <w:t xml:space="preserve">, T., Tan, P., Loeuk, L., Turner, P., &amp; Cooper, B. S. (2018). Using machine learning to guide targeted and locally-tailored empiric antibiotic prescribing in a children's hospital in Cambodia. </w:t>
      </w:r>
      <w:proofErr w:type="spellStart"/>
      <w:r w:rsidRPr="002C2332">
        <w:rPr>
          <w:rFonts w:eastAsia="Times New Roman" w:cs="Times New Roman"/>
          <w:i/>
          <w:iCs/>
          <w:sz w:val="24"/>
          <w:szCs w:val="24"/>
        </w:rPr>
        <w:t>Wellcome</w:t>
      </w:r>
      <w:proofErr w:type="spellEnd"/>
      <w:r w:rsidRPr="002C2332">
        <w:rPr>
          <w:rFonts w:eastAsia="Times New Roman" w:cs="Times New Roman"/>
          <w:i/>
          <w:iCs/>
          <w:sz w:val="24"/>
          <w:szCs w:val="24"/>
        </w:rPr>
        <w:t xml:space="preserve"> Open Research, 3</w:t>
      </w:r>
      <w:r w:rsidRPr="002C2332">
        <w:rPr>
          <w:rFonts w:eastAsia="Times New Roman" w:cs="Times New Roman"/>
          <w:sz w:val="24"/>
          <w:szCs w:val="24"/>
        </w:rPr>
        <w:t xml:space="preserve">, 131. </w:t>
      </w:r>
      <w:hyperlink r:id="rId44" w:history="1">
        <w:r w:rsidRPr="002C2332">
          <w:rPr>
            <w:rFonts w:eastAsia="Times New Roman" w:cs="Times New Roman"/>
            <w:color w:val="0000FF"/>
            <w:sz w:val="24"/>
            <w:szCs w:val="24"/>
            <w:u w:val="single"/>
          </w:rPr>
          <w:t>https://doi.org/10.12688/wellcomeopenres.14847.1</w:t>
        </w:r>
      </w:hyperlink>
    </w:p>
    <w:p w14:paraId="274E9955" w14:textId="1F53F90B" w:rsidR="002C2332" w:rsidRPr="002C2332" w:rsidRDefault="002C2332" w:rsidP="002C2332">
      <w:pPr>
        <w:spacing w:after="0" w:line="240" w:lineRule="auto"/>
        <w:ind w:left="540" w:hanging="540"/>
        <w:rPr>
          <w:rFonts w:eastAsia="Times New Roman" w:cs="Times New Roman"/>
          <w:sz w:val="24"/>
          <w:szCs w:val="24"/>
        </w:rPr>
      </w:pPr>
      <w:r w:rsidRPr="002C2332">
        <w:rPr>
          <w:rFonts w:eastAsia="Times New Roman" w:cs="Times New Roman"/>
          <w:sz w:val="24"/>
          <w:szCs w:val="24"/>
        </w:rPr>
        <w:t xml:space="preserve">Paul, M., Carrara, E., Retamar, P., </w:t>
      </w:r>
      <w:proofErr w:type="spellStart"/>
      <w:r w:rsidRPr="002C2332">
        <w:rPr>
          <w:rFonts w:eastAsia="Times New Roman" w:cs="Times New Roman"/>
          <w:sz w:val="24"/>
          <w:szCs w:val="24"/>
        </w:rPr>
        <w:t>Tängdén</w:t>
      </w:r>
      <w:proofErr w:type="spellEnd"/>
      <w:r w:rsidRPr="002C2332">
        <w:rPr>
          <w:rFonts w:eastAsia="Times New Roman" w:cs="Times New Roman"/>
          <w:sz w:val="24"/>
          <w:szCs w:val="24"/>
        </w:rPr>
        <w:t xml:space="preserve">, T., Bitterman, R., Bonomo, R. A., de </w:t>
      </w:r>
      <w:proofErr w:type="spellStart"/>
      <w:r w:rsidRPr="002C2332">
        <w:rPr>
          <w:rFonts w:eastAsia="Times New Roman" w:cs="Times New Roman"/>
          <w:sz w:val="24"/>
          <w:szCs w:val="24"/>
        </w:rPr>
        <w:t>Waele</w:t>
      </w:r>
      <w:proofErr w:type="spellEnd"/>
      <w:r w:rsidRPr="002C2332">
        <w:rPr>
          <w:rFonts w:eastAsia="Times New Roman" w:cs="Times New Roman"/>
          <w:sz w:val="24"/>
          <w:szCs w:val="24"/>
        </w:rPr>
        <w:t xml:space="preserve">, J., </w:t>
      </w:r>
      <w:proofErr w:type="spellStart"/>
      <w:r w:rsidRPr="002C2332">
        <w:rPr>
          <w:rFonts w:eastAsia="Times New Roman" w:cs="Times New Roman"/>
          <w:sz w:val="24"/>
          <w:szCs w:val="24"/>
        </w:rPr>
        <w:t>Daikos</w:t>
      </w:r>
      <w:proofErr w:type="spellEnd"/>
      <w:r w:rsidRPr="002C2332">
        <w:rPr>
          <w:rFonts w:eastAsia="Times New Roman" w:cs="Times New Roman"/>
          <w:sz w:val="24"/>
          <w:szCs w:val="24"/>
        </w:rPr>
        <w:t xml:space="preserve">, G. L., </w:t>
      </w:r>
      <w:proofErr w:type="spellStart"/>
      <w:r w:rsidRPr="002C2332">
        <w:rPr>
          <w:rFonts w:eastAsia="Times New Roman" w:cs="Times New Roman"/>
          <w:sz w:val="24"/>
          <w:szCs w:val="24"/>
        </w:rPr>
        <w:t>Akova</w:t>
      </w:r>
      <w:proofErr w:type="spellEnd"/>
      <w:r w:rsidRPr="002C2332">
        <w:rPr>
          <w:rFonts w:eastAsia="Times New Roman" w:cs="Times New Roman"/>
          <w:sz w:val="24"/>
          <w:szCs w:val="24"/>
        </w:rPr>
        <w:t xml:space="preserve">, M., </w:t>
      </w:r>
      <w:proofErr w:type="spellStart"/>
      <w:r w:rsidRPr="002C2332">
        <w:rPr>
          <w:rFonts w:eastAsia="Times New Roman" w:cs="Times New Roman"/>
          <w:sz w:val="24"/>
          <w:szCs w:val="24"/>
        </w:rPr>
        <w:t>Harbarth</w:t>
      </w:r>
      <w:proofErr w:type="spellEnd"/>
      <w:r w:rsidRPr="002C2332">
        <w:rPr>
          <w:rFonts w:eastAsia="Times New Roman" w:cs="Times New Roman"/>
          <w:sz w:val="24"/>
          <w:szCs w:val="24"/>
        </w:rPr>
        <w:t xml:space="preserve">, S., Pulcini, C., </w:t>
      </w:r>
      <w:proofErr w:type="spellStart"/>
      <w:r w:rsidRPr="002C2332">
        <w:rPr>
          <w:rFonts w:eastAsia="Times New Roman" w:cs="Times New Roman"/>
          <w:sz w:val="24"/>
          <w:szCs w:val="24"/>
        </w:rPr>
        <w:t>Garnacho</w:t>
      </w:r>
      <w:proofErr w:type="spellEnd"/>
      <w:r w:rsidRPr="002C2332">
        <w:rPr>
          <w:rFonts w:eastAsia="Times New Roman" w:cs="Times New Roman"/>
          <w:sz w:val="24"/>
          <w:szCs w:val="24"/>
        </w:rPr>
        <w:t xml:space="preserve">-Montero, J., Seme, K., Tumbarello, M., Lindemann, P. C., Gandra, S., Yu, Y., Bassetti, M., Mouton, J. W., … Rodríguez-Baño, J. (2022). European Society of Clinical Microbiology and Infectious Diseases (ESCMID) guidelines for the treatment of infections caused by multidrug-resistant Gram-negative bacilli (endorsed by European Society of Intensive Care Medicine). </w:t>
      </w:r>
      <w:r w:rsidRPr="002C2332">
        <w:rPr>
          <w:rFonts w:eastAsia="Times New Roman" w:cs="Times New Roman"/>
          <w:i/>
          <w:iCs/>
          <w:sz w:val="24"/>
          <w:szCs w:val="24"/>
        </w:rPr>
        <w:t>Clinical Microbiology and Infection, 28</w:t>
      </w:r>
      <w:r w:rsidRPr="002C2332">
        <w:rPr>
          <w:rFonts w:eastAsia="Times New Roman" w:cs="Times New Roman"/>
          <w:sz w:val="24"/>
          <w:szCs w:val="24"/>
        </w:rPr>
        <w:t xml:space="preserve">(4), 521–547. </w:t>
      </w:r>
      <w:hyperlink r:id="rId45" w:history="1">
        <w:r w:rsidRPr="002C2332">
          <w:rPr>
            <w:rFonts w:eastAsia="Times New Roman" w:cs="Times New Roman"/>
            <w:color w:val="0000FF"/>
            <w:sz w:val="24"/>
            <w:szCs w:val="24"/>
            <w:u w:val="single"/>
          </w:rPr>
          <w:t>https://doi.org/10.1016/j.cmi.2021.11.025</w:t>
        </w:r>
      </w:hyperlink>
    </w:p>
    <w:p w14:paraId="0D5D1C23" w14:textId="5750F4A0" w:rsidR="002C2332" w:rsidRPr="002C2332" w:rsidRDefault="002C2332" w:rsidP="002C2332">
      <w:pPr>
        <w:spacing w:after="0" w:line="240" w:lineRule="auto"/>
        <w:ind w:left="540" w:hanging="540"/>
        <w:rPr>
          <w:rFonts w:eastAsia="Times New Roman" w:cs="Times New Roman"/>
          <w:sz w:val="24"/>
          <w:szCs w:val="24"/>
        </w:rPr>
      </w:pPr>
      <w:r w:rsidRPr="002C2332">
        <w:rPr>
          <w:rFonts w:eastAsia="Times New Roman" w:cs="Times New Roman"/>
          <w:sz w:val="24"/>
          <w:szCs w:val="24"/>
        </w:rPr>
        <w:t xml:space="preserve">Pennisi, F., Pinto, A., Ricciardi, G. E., Signorelli, C., &amp; </w:t>
      </w:r>
      <w:proofErr w:type="spellStart"/>
      <w:r w:rsidRPr="002C2332">
        <w:rPr>
          <w:rFonts w:eastAsia="Times New Roman" w:cs="Times New Roman"/>
          <w:sz w:val="24"/>
          <w:szCs w:val="24"/>
        </w:rPr>
        <w:t>Gianfredi</w:t>
      </w:r>
      <w:proofErr w:type="spellEnd"/>
      <w:r w:rsidRPr="002C2332">
        <w:rPr>
          <w:rFonts w:eastAsia="Times New Roman" w:cs="Times New Roman"/>
          <w:sz w:val="24"/>
          <w:szCs w:val="24"/>
        </w:rPr>
        <w:t xml:space="preserve">, V. (2025). Artificial intelligence in antimicrobial stewardship: A systematic review and meta-analysis of predictive performance and diagnostic accuracy. </w:t>
      </w:r>
      <w:r w:rsidRPr="002C2332">
        <w:rPr>
          <w:rFonts w:eastAsia="Times New Roman" w:cs="Times New Roman"/>
          <w:i/>
          <w:iCs/>
          <w:sz w:val="24"/>
          <w:szCs w:val="24"/>
        </w:rPr>
        <w:t>European Journal of Clinical Microbiology &amp; Infectious Diseases, 44</w:t>
      </w:r>
      <w:r w:rsidRPr="002C2332">
        <w:rPr>
          <w:rFonts w:eastAsia="Times New Roman" w:cs="Times New Roman"/>
          <w:sz w:val="24"/>
          <w:szCs w:val="24"/>
        </w:rPr>
        <w:t xml:space="preserve">(3), 463–513. </w:t>
      </w:r>
      <w:hyperlink r:id="rId46" w:history="1">
        <w:r w:rsidRPr="002C2332">
          <w:rPr>
            <w:rFonts w:eastAsia="Times New Roman" w:cs="Times New Roman"/>
            <w:color w:val="0000FF"/>
            <w:sz w:val="24"/>
            <w:szCs w:val="24"/>
            <w:u w:val="single"/>
          </w:rPr>
          <w:t>https://doi.org/10.1007/s10096-024-05027-y</w:t>
        </w:r>
      </w:hyperlink>
    </w:p>
    <w:p w14:paraId="480D1E6A" w14:textId="192764EC" w:rsidR="002C2332" w:rsidRPr="002C2332" w:rsidRDefault="002C2332" w:rsidP="002C2332">
      <w:pPr>
        <w:spacing w:after="0" w:line="240" w:lineRule="auto"/>
        <w:ind w:left="540" w:hanging="540"/>
        <w:rPr>
          <w:rFonts w:eastAsia="Times New Roman" w:cs="Times New Roman"/>
          <w:sz w:val="24"/>
          <w:szCs w:val="24"/>
        </w:rPr>
      </w:pPr>
      <w:r w:rsidRPr="002C2332">
        <w:rPr>
          <w:rFonts w:eastAsia="Times New Roman" w:cs="Times New Roman"/>
          <w:sz w:val="24"/>
          <w:szCs w:val="24"/>
        </w:rPr>
        <w:t xml:space="preserve">Pinto-de-Sá, R., Sousa-Pinto, B., &amp; Costa-de-Oliveira, S. (2024). Brave new world of artificial intelligence: Its use in antimicrobial stewardship—A systematic review. </w:t>
      </w:r>
      <w:r w:rsidRPr="002C2332">
        <w:rPr>
          <w:rFonts w:eastAsia="Times New Roman" w:cs="Times New Roman"/>
          <w:i/>
          <w:iCs/>
          <w:sz w:val="24"/>
          <w:szCs w:val="24"/>
        </w:rPr>
        <w:t>Antibiotics, 13</w:t>
      </w:r>
      <w:r w:rsidRPr="002C2332">
        <w:rPr>
          <w:rFonts w:eastAsia="Times New Roman" w:cs="Times New Roman"/>
          <w:sz w:val="24"/>
          <w:szCs w:val="24"/>
        </w:rPr>
        <w:t xml:space="preserve">(4), 307. </w:t>
      </w:r>
      <w:hyperlink r:id="rId47" w:history="1">
        <w:r w:rsidRPr="002C2332">
          <w:rPr>
            <w:rFonts w:eastAsia="Times New Roman" w:cs="Times New Roman"/>
            <w:color w:val="0000FF"/>
            <w:sz w:val="24"/>
            <w:szCs w:val="24"/>
            <w:u w:val="single"/>
          </w:rPr>
          <w:t>https://doi.org/10.3390/antibiotics13040307</w:t>
        </w:r>
      </w:hyperlink>
    </w:p>
    <w:p w14:paraId="3A54AF16" w14:textId="4E1F2B5D" w:rsidR="002C2332" w:rsidRPr="002C2332" w:rsidRDefault="002C2332" w:rsidP="002C2332">
      <w:pPr>
        <w:spacing w:after="0" w:line="240" w:lineRule="auto"/>
        <w:ind w:left="540" w:hanging="540"/>
        <w:rPr>
          <w:rFonts w:eastAsia="Times New Roman" w:cs="Times New Roman"/>
          <w:sz w:val="24"/>
          <w:szCs w:val="24"/>
        </w:rPr>
      </w:pPr>
      <w:r w:rsidRPr="002C2332">
        <w:rPr>
          <w:rFonts w:eastAsia="Times New Roman" w:cs="Times New Roman"/>
          <w:sz w:val="24"/>
          <w:szCs w:val="24"/>
        </w:rPr>
        <w:t xml:space="preserve">Ren, Y., Chakraborty, T., Doijad, S., </w:t>
      </w:r>
      <w:proofErr w:type="spellStart"/>
      <w:r w:rsidRPr="002C2332">
        <w:rPr>
          <w:rFonts w:eastAsia="Times New Roman" w:cs="Times New Roman"/>
          <w:sz w:val="24"/>
          <w:szCs w:val="24"/>
        </w:rPr>
        <w:t>Falgenhauer</w:t>
      </w:r>
      <w:proofErr w:type="spellEnd"/>
      <w:r w:rsidRPr="002C2332">
        <w:rPr>
          <w:rFonts w:eastAsia="Times New Roman" w:cs="Times New Roman"/>
          <w:sz w:val="24"/>
          <w:szCs w:val="24"/>
        </w:rPr>
        <w:t xml:space="preserve">, L., </w:t>
      </w:r>
      <w:proofErr w:type="spellStart"/>
      <w:r w:rsidRPr="002C2332">
        <w:rPr>
          <w:rFonts w:eastAsia="Times New Roman" w:cs="Times New Roman"/>
          <w:sz w:val="24"/>
          <w:szCs w:val="24"/>
        </w:rPr>
        <w:t>Falgenhauer</w:t>
      </w:r>
      <w:proofErr w:type="spellEnd"/>
      <w:r w:rsidRPr="002C2332">
        <w:rPr>
          <w:rFonts w:eastAsia="Times New Roman" w:cs="Times New Roman"/>
          <w:sz w:val="24"/>
          <w:szCs w:val="24"/>
        </w:rPr>
        <w:t xml:space="preserve">, J., Goesmann, A., Hauschild, A.-C., </w:t>
      </w:r>
      <w:proofErr w:type="spellStart"/>
      <w:r w:rsidRPr="002C2332">
        <w:rPr>
          <w:rFonts w:eastAsia="Times New Roman" w:cs="Times New Roman"/>
          <w:sz w:val="24"/>
          <w:szCs w:val="24"/>
        </w:rPr>
        <w:t>Schwengers</w:t>
      </w:r>
      <w:proofErr w:type="spellEnd"/>
      <w:r w:rsidRPr="002C2332">
        <w:rPr>
          <w:rFonts w:eastAsia="Times New Roman" w:cs="Times New Roman"/>
          <w:sz w:val="24"/>
          <w:szCs w:val="24"/>
        </w:rPr>
        <w:t xml:space="preserve">, O., &amp; Heider, D. (2022). Prediction of antimicrobial resistance based on whole-genome sequencing and machine learning. </w:t>
      </w:r>
      <w:r w:rsidRPr="002C2332">
        <w:rPr>
          <w:rFonts w:eastAsia="Times New Roman" w:cs="Times New Roman"/>
          <w:i/>
          <w:iCs/>
          <w:sz w:val="24"/>
          <w:szCs w:val="24"/>
        </w:rPr>
        <w:t>Bioinformatics, 38</w:t>
      </w:r>
      <w:r w:rsidRPr="002C2332">
        <w:rPr>
          <w:rFonts w:eastAsia="Times New Roman" w:cs="Times New Roman"/>
          <w:sz w:val="24"/>
          <w:szCs w:val="24"/>
        </w:rPr>
        <w:t xml:space="preserve">(2), 325–334. </w:t>
      </w:r>
      <w:hyperlink r:id="rId48" w:history="1">
        <w:r w:rsidRPr="002C2332">
          <w:rPr>
            <w:rFonts w:eastAsia="Times New Roman" w:cs="Times New Roman"/>
            <w:color w:val="0000FF"/>
            <w:sz w:val="24"/>
            <w:szCs w:val="24"/>
            <w:u w:val="single"/>
          </w:rPr>
          <w:t>https://doi.org/10.1093/bioinformatics/btab681</w:t>
        </w:r>
      </w:hyperlink>
    </w:p>
    <w:p w14:paraId="5DCDAC04" w14:textId="130E0C5C" w:rsidR="002C2332" w:rsidRPr="002C2332" w:rsidRDefault="002C2332" w:rsidP="002C2332">
      <w:pPr>
        <w:spacing w:after="0" w:line="240" w:lineRule="auto"/>
        <w:ind w:left="540" w:hanging="540"/>
        <w:rPr>
          <w:rFonts w:eastAsia="Times New Roman" w:cs="Times New Roman"/>
          <w:sz w:val="24"/>
          <w:szCs w:val="24"/>
        </w:rPr>
      </w:pPr>
      <w:r w:rsidRPr="002C2332">
        <w:rPr>
          <w:rFonts w:eastAsia="Times New Roman" w:cs="Times New Roman"/>
          <w:sz w:val="24"/>
          <w:szCs w:val="24"/>
        </w:rPr>
        <w:t xml:space="preserve">Sardar, S., Dash, S., Roychowdhury, P., Solanki, J., Sikdar, P., Thangappan, J., &amp; Dutta, S. (2026). Artificial intelligence for antimicrobial resistance: Advancing reproducibility, interpretability, and clinical deployment. </w:t>
      </w:r>
      <w:r w:rsidRPr="002C2332">
        <w:rPr>
          <w:rFonts w:eastAsia="Times New Roman" w:cs="Times New Roman"/>
          <w:i/>
          <w:iCs/>
          <w:sz w:val="24"/>
          <w:szCs w:val="24"/>
        </w:rPr>
        <w:t>Briefings in Bioinformatics, 27</w:t>
      </w:r>
      <w:r w:rsidRPr="002C2332">
        <w:rPr>
          <w:rFonts w:eastAsia="Times New Roman" w:cs="Times New Roman"/>
          <w:sz w:val="24"/>
          <w:szCs w:val="24"/>
        </w:rPr>
        <w:t xml:space="preserve">(3), bbag269. </w:t>
      </w:r>
      <w:hyperlink r:id="rId49" w:history="1">
        <w:r w:rsidRPr="002C2332">
          <w:rPr>
            <w:rFonts w:eastAsia="Times New Roman" w:cs="Times New Roman"/>
            <w:color w:val="0000FF"/>
            <w:sz w:val="24"/>
            <w:szCs w:val="24"/>
            <w:u w:val="single"/>
          </w:rPr>
          <w:t>https://doi.org/10.1093/bib/bbag269</w:t>
        </w:r>
      </w:hyperlink>
    </w:p>
    <w:p w14:paraId="364D0B2B" w14:textId="4DA702C5" w:rsidR="002C2332" w:rsidRPr="002C2332" w:rsidRDefault="002C2332" w:rsidP="002C2332">
      <w:pPr>
        <w:spacing w:after="0" w:line="240" w:lineRule="auto"/>
        <w:ind w:left="540" w:hanging="540"/>
        <w:rPr>
          <w:rFonts w:eastAsia="Times New Roman" w:cs="Times New Roman"/>
          <w:sz w:val="24"/>
          <w:szCs w:val="24"/>
        </w:rPr>
      </w:pPr>
      <w:r w:rsidRPr="002C2332">
        <w:rPr>
          <w:rFonts w:eastAsia="Times New Roman" w:cs="Times New Roman"/>
          <w:sz w:val="24"/>
          <w:szCs w:val="24"/>
        </w:rPr>
        <w:lastRenderedPageBreak/>
        <w:t xml:space="preserve">Schooley, R. T., Biswas, B., Gill, J. J., Hernandez-Morales, A., Lancaster, J., Lessor, L., Barr, J. J., Reed, S. L., Rohwer, F., Benler, S., Segall, A. M., Taplitz, R., Smith, D. M., Kerr, K., Kumaraswamy, M., </w:t>
      </w:r>
      <w:proofErr w:type="spellStart"/>
      <w:r w:rsidRPr="002C2332">
        <w:rPr>
          <w:rFonts w:eastAsia="Times New Roman" w:cs="Times New Roman"/>
          <w:sz w:val="24"/>
          <w:szCs w:val="24"/>
        </w:rPr>
        <w:t>Nizet</w:t>
      </w:r>
      <w:proofErr w:type="spellEnd"/>
      <w:r w:rsidRPr="002C2332">
        <w:rPr>
          <w:rFonts w:eastAsia="Times New Roman" w:cs="Times New Roman"/>
          <w:sz w:val="24"/>
          <w:szCs w:val="24"/>
        </w:rPr>
        <w:t xml:space="preserve">, V., Lin, L., McCauley, M. D., Strathdee, S. A., … Hamilton, T. (2017). Development and use of personalized bacteriophage-based therapeutic cocktails to treat a patient with a disseminated resistant </w:t>
      </w:r>
      <w:r w:rsidRPr="002C2332">
        <w:rPr>
          <w:rFonts w:eastAsia="Times New Roman" w:cs="Times New Roman"/>
          <w:i/>
          <w:iCs/>
          <w:sz w:val="24"/>
          <w:szCs w:val="24"/>
        </w:rPr>
        <w:t>Acinetobacter baumannii</w:t>
      </w:r>
      <w:r w:rsidRPr="002C2332">
        <w:rPr>
          <w:rFonts w:eastAsia="Times New Roman" w:cs="Times New Roman"/>
          <w:sz w:val="24"/>
          <w:szCs w:val="24"/>
        </w:rPr>
        <w:t xml:space="preserve"> infection. </w:t>
      </w:r>
      <w:r w:rsidRPr="002C2332">
        <w:rPr>
          <w:rFonts w:eastAsia="Times New Roman" w:cs="Times New Roman"/>
          <w:i/>
          <w:iCs/>
          <w:sz w:val="24"/>
          <w:szCs w:val="24"/>
        </w:rPr>
        <w:t>Antimicrobial Agents and Chemotherapy, 61</w:t>
      </w:r>
      <w:r w:rsidRPr="002C2332">
        <w:rPr>
          <w:rFonts w:eastAsia="Times New Roman" w:cs="Times New Roman"/>
          <w:sz w:val="24"/>
          <w:szCs w:val="24"/>
        </w:rPr>
        <w:t xml:space="preserve">(10), e00954-17. </w:t>
      </w:r>
      <w:hyperlink r:id="rId50" w:history="1">
        <w:r w:rsidRPr="002C2332">
          <w:rPr>
            <w:rFonts w:eastAsia="Times New Roman" w:cs="Times New Roman"/>
            <w:color w:val="0000FF"/>
            <w:sz w:val="24"/>
            <w:szCs w:val="24"/>
            <w:u w:val="single"/>
          </w:rPr>
          <w:t>https://doi.org/10.1128/AAC.00954-17</w:t>
        </w:r>
      </w:hyperlink>
    </w:p>
    <w:p w14:paraId="44B231CF" w14:textId="52C5EE62" w:rsidR="002C2332" w:rsidRPr="002C2332" w:rsidRDefault="002C2332" w:rsidP="002C2332">
      <w:pPr>
        <w:spacing w:after="0" w:line="240" w:lineRule="auto"/>
        <w:ind w:left="540" w:hanging="540"/>
        <w:rPr>
          <w:rFonts w:eastAsia="Times New Roman" w:cs="Times New Roman"/>
          <w:sz w:val="24"/>
          <w:szCs w:val="24"/>
        </w:rPr>
      </w:pPr>
      <w:proofErr w:type="spellStart"/>
      <w:r w:rsidRPr="002C2332">
        <w:rPr>
          <w:rFonts w:eastAsia="Times New Roman" w:cs="Times New Roman"/>
          <w:sz w:val="24"/>
          <w:szCs w:val="24"/>
        </w:rPr>
        <w:t>Siopi</w:t>
      </w:r>
      <w:proofErr w:type="spellEnd"/>
      <w:r w:rsidRPr="002C2332">
        <w:rPr>
          <w:rFonts w:eastAsia="Times New Roman" w:cs="Times New Roman"/>
          <w:sz w:val="24"/>
          <w:szCs w:val="24"/>
        </w:rPr>
        <w:t xml:space="preserve">, M., </w:t>
      </w:r>
      <w:proofErr w:type="spellStart"/>
      <w:r w:rsidRPr="002C2332">
        <w:rPr>
          <w:rFonts w:eastAsia="Times New Roman" w:cs="Times New Roman"/>
          <w:sz w:val="24"/>
          <w:szCs w:val="24"/>
        </w:rPr>
        <w:t>Skliros</w:t>
      </w:r>
      <w:proofErr w:type="spellEnd"/>
      <w:r w:rsidRPr="002C2332">
        <w:rPr>
          <w:rFonts w:eastAsia="Times New Roman" w:cs="Times New Roman"/>
          <w:sz w:val="24"/>
          <w:szCs w:val="24"/>
        </w:rPr>
        <w:t xml:space="preserve">, D., </w:t>
      </w:r>
      <w:proofErr w:type="spellStart"/>
      <w:r w:rsidRPr="002C2332">
        <w:rPr>
          <w:rFonts w:eastAsia="Times New Roman" w:cs="Times New Roman"/>
          <w:sz w:val="24"/>
          <w:szCs w:val="24"/>
        </w:rPr>
        <w:t>Paranos</w:t>
      </w:r>
      <w:proofErr w:type="spellEnd"/>
      <w:r w:rsidRPr="002C2332">
        <w:rPr>
          <w:rFonts w:eastAsia="Times New Roman" w:cs="Times New Roman"/>
          <w:sz w:val="24"/>
          <w:szCs w:val="24"/>
        </w:rPr>
        <w:t xml:space="preserve">, P., </w:t>
      </w:r>
      <w:proofErr w:type="spellStart"/>
      <w:r w:rsidRPr="002C2332">
        <w:rPr>
          <w:rFonts w:eastAsia="Times New Roman" w:cs="Times New Roman"/>
          <w:sz w:val="24"/>
          <w:szCs w:val="24"/>
        </w:rPr>
        <w:t>Koumasi</w:t>
      </w:r>
      <w:proofErr w:type="spellEnd"/>
      <w:r w:rsidRPr="002C2332">
        <w:rPr>
          <w:rFonts w:eastAsia="Times New Roman" w:cs="Times New Roman"/>
          <w:sz w:val="24"/>
          <w:szCs w:val="24"/>
        </w:rPr>
        <w:t xml:space="preserve">, N., </w:t>
      </w:r>
      <w:proofErr w:type="spellStart"/>
      <w:r w:rsidRPr="002C2332">
        <w:rPr>
          <w:rFonts w:eastAsia="Times New Roman" w:cs="Times New Roman"/>
          <w:sz w:val="24"/>
          <w:szCs w:val="24"/>
        </w:rPr>
        <w:t>Flemetakis</w:t>
      </w:r>
      <w:proofErr w:type="spellEnd"/>
      <w:r w:rsidRPr="002C2332">
        <w:rPr>
          <w:rFonts w:eastAsia="Times New Roman" w:cs="Times New Roman"/>
          <w:sz w:val="24"/>
          <w:szCs w:val="24"/>
        </w:rPr>
        <w:t xml:space="preserve">, E., Pournaras, S., &amp; </w:t>
      </w:r>
      <w:proofErr w:type="spellStart"/>
      <w:r w:rsidRPr="002C2332">
        <w:rPr>
          <w:rFonts w:eastAsia="Times New Roman" w:cs="Times New Roman"/>
          <w:sz w:val="24"/>
          <w:szCs w:val="24"/>
        </w:rPr>
        <w:t>Meletiadis</w:t>
      </w:r>
      <w:proofErr w:type="spellEnd"/>
      <w:r w:rsidRPr="002C2332">
        <w:rPr>
          <w:rFonts w:eastAsia="Times New Roman" w:cs="Times New Roman"/>
          <w:sz w:val="24"/>
          <w:szCs w:val="24"/>
        </w:rPr>
        <w:t xml:space="preserve">, J. (2024). Pharmacokinetics and pharmacodynamics of bacteriophage therapy: A review with a focus on multidrug-resistant Gram-negative bacterial infections. </w:t>
      </w:r>
      <w:r w:rsidRPr="002C2332">
        <w:rPr>
          <w:rFonts w:eastAsia="Times New Roman" w:cs="Times New Roman"/>
          <w:i/>
          <w:iCs/>
          <w:sz w:val="24"/>
          <w:szCs w:val="24"/>
        </w:rPr>
        <w:t>Clinical Microbiology Reviews, 37</w:t>
      </w:r>
      <w:r w:rsidRPr="002C2332">
        <w:rPr>
          <w:rFonts w:eastAsia="Times New Roman" w:cs="Times New Roman"/>
          <w:sz w:val="24"/>
          <w:szCs w:val="24"/>
        </w:rPr>
        <w:t xml:space="preserve">(3), e00044-24. </w:t>
      </w:r>
      <w:hyperlink r:id="rId51" w:history="1">
        <w:r w:rsidRPr="002C2332">
          <w:rPr>
            <w:rFonts w:eastAsia="Times New Roman" w:cs="Times New Roman"/>
            <w:color w:val="0000FF"/>
            <w:sz w:val="24"/>
            <w:szCs w:val="24"/>
            <w:u w:val="single"/>
          </w:rPr>
          <w:t>https://doi.org/10.1128/cmr.00044-24</w:t>
        </w:r>
      </w:hyperlink>
    </w:p>
    <w:p w14:paraId="032DAD17" w14:textId="713F5DBE" w:rsidR="002C2332" w:rsidRPr="002C2332" w:rsidRDefault="002C2332" w:rsidP="002C2332">
      <w:pPr>
        <w:spacing w:after="0" w:line="240" w:lineRule="auto"/>
        <w:ind w:left="540" w:hanging="540"/>
        <w:rPr>
          <w:rFonts w:eastAsia="Times New Roman" w:cs="Times New Roman"/>
          <w:sz w:val="24"/>
          <w:szCs w:val="24"/>
        </w:rPr>
      </w:pPr>
      <w:r w:rsidRPr="002C2332">
        <w:rPr>
          <w:rFonts w:eastAsia="Times New Roman" w:cs="Times New Roman"/>
          <w:sz w:val="24"/>
          <w:szCs w:val="24"/>
        </w:rPr>
        <w:t xml:space="preserve">Stokes, J. M., Yang, K., Swanson, K., Jin, W., Cubillos-Ruiz, A., Donghia, N. M., MacNair, C. R., French, S., Carfrae, L. A., Bloom-Ackermann, Z., Tran, V. M., </w:t>
      </w:r>
      <w:proofErr w:type="spellStart"/>
      <w:r w:rsidRPr="002C2332">
        <w:rPr>
          <w:rFonts w:eastAsia="Times New Roman" w:cs="Times New Roman"/>
          <w:sz w:val="24"/>
          <w:szCs w:val="24"/>
        </w:rPr>
        <w:t>Chiappino</w:t>
      </w:r>
      <w:proofErr w:type="spellEnd"/>
      <w:r w:rsidRPr="002C2332">
        <w:rPr>
          <w:rFonts w:eastAsia="Times New Roman" w:cs="Times New Roman"/>
          <w:sz w:val="24"/>
          <w:szCs w:val="24"/>
        </w:rPr>
        <w:t xml:space="preserve">-Pepe, A., Badran, A. H., Andrews, I. W., Chory, E. J., Church, G. M., Brown, E. D., Jaakkola, T. S., Barzilay, R., &amp; Collins, J. J. (2020). A deep learning approach to antibiotic discovery. </w:t>
      </w:r>
      <w:r w:rsidRPr="002C2332">
        <w:rPr>
          <w:rFonts w:eastAsia="Times New Roman" w:cs="Times New Roman"/>
          <w:i/>
          <w:iCs/>
          <w:sz w:val="24"/>
          <w:szCs w:val="24"/>
        </w:rPr>
        <w:t>Cell, 180</w:t>
      </w:r>
      <w:r w:rsidRPr="002C2332">
        <w:rPr>
          <w:rFonts w:eastAsia="Times New Roman" w:cs="Times New Roman"/>
          <w:sz w:val="24"/>
          <w:szCs w:val="24"/>
        </w:rPr>
        <w:t xml:space="preserve">(4), 688–702.e13. </w:t>
      </w:r>
      <w:hyperlink r:id="rId52" w:history="1">
        <w:r w:rsidRPr="002C2332">
          <w:rPr>
            <w:rFonts w:eastAsia="Times New Roman" w:cs="Times New Roman"/>
            <w:color w:val="0000FF"/>
            <w:sz w:val="24"/>
            <w:szCs w:val="24"/>
            <w:u w:val="single"/>
          </w:rPr>
          <w:t>https://doi.org/10.1016/j.cell.2020.01.021</w:t>
        </w:r>
      </w:hyperlink>
    </w:p>
    <w:p w14:paraId="0A560B7F" w14:textId="2CB6B7CB" w:rsidR="002C2332" w:rsidRPr="002C2332" w:rsidRDefault="002C2332" w:rsidP="002C2332">
      <w:pPr>
        <w:spacing w:after="0" w:line="240" w:lineRule="auto"/>
        <w:ind w:left="540" w:hanging="540"/>
        <w:rPr>
          <w:rFonts w:eastAsia="Times New Roman" w:cs="Times New Roman"/>
          <w:sz w:val="24"/>
          <w:szCs w:val="24"/>
        </w:rPr>
      </w:pPr>
      <w:r w:rsidRPr="002C2332">
        <w:rPr>
          <w:rFonts w:eastAsia="Times New Roman" w:cs="Times New Roman"/>
          <w:sz w:val="24"/>
          <w:szCs w:val="24"/>
        </w:rPr>
        <w:t xml:space="preserve">Tamma, P. D., Heil, E. L., Justo, J. A., Mathers, A. J., </w:t>
      </w:r>
      <w:proofErr w:type="spellStart"/>
      <w:r w:rsidRPr="002C2332">
        <w:rPr>
          <w:rFonts w:eastAsia="Times New Roman" w:cs="Times New Roman"/>
          <w:sz w:val="24"/>
          <w:szCs w:val="24"/>
        </w:rPr>
        <w:t>Satlin</w:t>
      </w:r>
      <w:proofErr w:type="spellEnd"/>
      <w:r w:rsidRPr="002C2332">
        <w:rPr>
          <w:rFonts w:eastAsia="Times New Roman" w:cs="Times New Roman"/>
          <w:sz w:val="24"/>
          <w:szCs w:val="24"/>
        </w:rPr>
        <w:t xml:space="preserve">, M. J., &amp; Bonomo, R. A. (2024). Infectious Diseases Society of America 2024 guidance on the treatment of antimicrobial-resistant Gram-negative infections. </w:t>
      </w:r>
      <w:r w:rsidRPr="002C2332">
        <w:rPr>
          <w:rFonts w:eastAsia="Times New Roman" w:cs="Times New Roman"/>
          <w:i/>
          <w:iCs/>
          <w:sz w:val="24"/>
          <w:szCs w:val="24"/>
        </w:rPr>
        <w:t>Clinical Infectious Diseases</w:t>
      </w:r>
      <w:r w:rsidRPr="002C2332">
        <w:rPr>
          <w:rFonts w:eastAsia="Times New Roman" w:cs="Times New Roman"/>
          <w:sz w:val="24"/>
          <w:szCs w:val="24"/>
        </w:rPr>
        <w:t xml:space="preserve">. Advance online publication. </w:t>
      </w:r>
      <w:hyperlink r:id="rId53" w:history="1">
        <w:r w:rsidRPr="002C2332">
          <w:rPr>
            <w:rFonts w:eastAsia="Times New Roman" w:cs="Times New Roman"/>
            <w:color w:val="0000FF"/>
            <w:sz w:val="24"/>
            <w:szCs w:val="24"/>
            <w:u w:val="single"/>
          </w:rPr>
          <w:t>https://doi.org/10.1093/cid/ciae403</w:t>
        </w:r>
      </w:hyperlink>
    </w:p>
    <w:p w14:paraId="2203CD33" w14:textId="44D404A8" w:rsidR="002C2332" w:rsidRPr="002C2332" w:rsidRDefault="002C2332" w:rsidP="002C2332">
      <w:pPr>
        <w:spacing w:after="0" w:line="240" w:lineRule="auto"/>
        <w:ind w:left="540" w:hanging="540"/>
        <w:rPr>
          <w:rFonts w:eastAsia="Times New Roman" w:cs="Times New Roman"/>
          <w:sz w:val="24"/>
          <w:szCs w:val="24"/>
        </w:rPr>
      </w:pPr>
      <w:r w:rsidRPr="002C2332">
        <w:rPr>
          <w:rFonts w:eastAsia="Times New Roman" w:cs="Times New Roman"/>
          <w:sz w:val="24"/>
          <w:szCs w:val="24"/>
        </w:rPr>
        <w:t xml:space="preserve">Tran-The, T., Heo, E., Lim, S., Suh, Y., Heo, K.-N., Lee, E. E., Lee, H.-Y., Kim, E. S., Lee, J.-Y., &amp; Jung, S. Y. (2024). Development of machine learning algorithms for scaling-up antibiotic stewardship. </w:t>
      </w:r>
      <w:r w:rsidRPr="002C2332">
        <w:rPr>
          <w:rFonts w:eastAsia="Times New Roman" w:cs="Times New Roman"/>
          <w:i/>
          <w:iCs/>
          <w:sz w:val="24"/>
          <w:szCs w:val="24"/>
        </w:rPr>
        <w:t>International Journal of Medical Informatics, 181</w:t>
      </w:r>
      <w:r w:rsidRPr="002C2332">
        <w:rPr>
          <w:rFonts w:eastAsia="Times New Roman" w:cs="Times New Roman"/>
          <w:sz w:val="24"/>
          <w:szCs w:val="24"/>
        </w:rPr>
        <w:t xml:space="preserve">, 105300. </w:t>
      </w:r>
      <w:hyperlink r:id="rId54" w:history="1">
        <w:r w:rsidRPr="002C2332">
          <w:rPr>
            <w:rFonts w:eastAsia="Times New Roman" w:cs="Times New Roman"/>
            <w:color w:val="0000FF"/>
            <w:sz w:val="24"/>
            <w:szCs w:val="24"/>
            <w:u w:val="single"/>
          </w:rPr>
          <w:t>https://doi.org/10.1016/j.ijmedinf.2023.105300</w:t>
        </w:r>
      </w:hyperlink>
    </w:p>
    <w:p w14:paraId="06E3E1A2" w14:textId="25169BD3" w:rsidR="002C2332" w:rsidRPr="002C2332" w:rsidRDefault="002C2332" w:rsidP="002C2332">
      <w:pPr>
        <w:spacing w:after="0" w:line="240" w:lineRule="auto"/>
        <w:ind w:left="540" w:hanging="540"/>
        <w:rPr>
          <w:rFonts w:eastAsia="Times New Roman" w:cs="Times New Roman"/>
          <w:sz w:val="24"/>
          <w:szCs w:val="24"/>
          <w:lang w:val="nl-BE"/>
        </w:rPr>
      </w:pPr>
      <w:proofErr w:type="spellStart"/>
      <w:r w:rsidRPr="002C2332">
        <w:rPr>
          <w:rFonts w:eastAsia="Times New Roman" w:cs="Times New Roman"/>
          <w:sz w:val="24"/>
          <w:szCs w:val="24"/>
        </w:rPr>
        <w:t>Wagenlehner</w:t>
      </w:r>
      <w:proofErr w:type="spellEnd"/>
      <w:r w:rsidRPr="002C2332">
        <w:rPr>
          <w:rFonts w:eastAsia="Times New Roman" w:cs="Times New Roman"/>
          <w:sz w:val="24"/>
          <w:szCs w:val="24"/>
        </w:rPr>
        <w:t xml:space="preserve">, F. M., </w:t>
      </w:r>
      <w:proofErr w:type="spellStart"/>
      <w:r w:rsidRPr="002C2332">
        <w:rPr>
          <w:rFonts w:eastAsia="Times New Roman" w:cs="Times New Roman"/>
          <w:sz w:val="24"/>
          <w:szCs w:val="24"/>
        </w:rPr>
        <w:t>Gasink</w:t>
      </w:r>
      <w:proofErr w:type="spellEnd"/>
      <w:r w:rsidRPr="002C2332">
        <w:rPr>
          <w:rFonts w:eastAsia="Times New Roman" w:cs="Times New Roman"/>
          <w:sz w:val="24"/>
          <w:szCs w:val="24"/>
        </w:rPr>
        <w:t>, L. B., McGovern, P. C., Moeck, G., McLeroth, P., Dorr, M., Dane, A., Henkel, T., &amp; CERTAIN-1 Study Team. (2024). Cefepime–</w:t>
      </w:r>
      <w:proofErr w:type="spellStart"/>
      <w:r w:rsidRPr="002C2332">
        <w:rPr>
          <w:rFonts w:eastAsia="Times New Roman" w:cs="Times New Roman"/>
          <w:sz w:val="24"/>
          <w:szCs w:val="24"/>
        </w:rPr>
        <w:t>taniborbactam</w:t>
      </w:r>
      <w:proofErr w:type="spellEnd"/>
      <w:r w:rsidRPr="002C2332">
        <w:rPr>
          <w:rFonts w:eastAsia="Times New Roman" w:cs="Times New Roman"/>
          <w:sz w:val="24"/>
          <w:szCs w:val="24"/>
        </w:rPr>
        <w:t xml:space="preserve"> in complicated urinary tract infection. </w:t>
      </w:r>
      <w:r w:rsidRPr="002C2332">
        <w:rPr>
          <w:rFonts w:eastAsia="Times New Roman" w:cs="Times New Roman"/>
          <w:i/>
          <w:iCs/>
          <w:sz w:val="24"/>
          <w:szCs w:val="24"/>
        </w:rPr>
        <w:t>The New England Journal of Medicine, 390</w:t>
      </w:r>
      <w:r w:rsidRPr="002C2332">
        <w:rPr>
          <w:rFonts w:eastAsia="Times New Roman" w:cs="Times New Roman"/>
          <w:sz w:val="24"/>
          <w:szCs w:val="24"/>
        </w:rPr>
        <w:t xml:space="preserve">(7), 611–622. </w:t>
      </w:r>
      <w:hyperlink r:id="rId55" w:history="1">
        <w:r w:rsidRPr="002C2332">
          <w:rPr>
            <w:rFonts w:eastAsia="Times New Roman" w:cs="Times New Roman"/>
            <w:color w:val="0000FF"/>
            <w:sz w:val="24"/>
            <w:szCs w:val="24"/>
            <w:u w:val="single"/>
            <w:lang w:val="nl-BE"/>
          </w:rPr>
          <w:t>https://doi.org/10.1056/NEJMoa2304748</w:t>
        </w:r>
      </w:hyperlink>
    </w:p>
    <w:p w14:paraId="6F53AC59" w14:textId="7DA12DAE" w:rsidR="002C2332" w:rsidRPr="002C2332" w:rsidRDefault="002C2332" w:rsidP="002C2332">
      <w:pPr>
        <w:spacing w:after="0" w:line="240" w:lineRule="auto"/>
        <w:ind w:left="540" w:hanging="540"/>
        <w:rPr>
          <w:rFonts w:eastAsia="Times New Roman" w:cs="Times New Roman"/>
          <w:sz w:val="24"/>
          <w:szCs w:val="24"/>
        </w:rPr>
      </w:pPr>
      <w:r w:rsidRPr="002C2332">
        <w:rPr>
          <w:rFonts w:eastAsia="Times New Roman" w:cs="Times New Roman"/>
          <w:sz w:val="24"/>
          <w:szCs w:val="24"/>
          <w:lang w:val="nl-BE"/>
        </w:rPr>
        <w:t xml:space="preserve">Wan, F., Torres, M. D. T., Peng, J., &amp; de la Fuente-Nunez, C. (2024). </w:t>
      </w:r>
      <w:r w:rsidRPr="002C2332">
        <w:rPr>
          <w:rFonts w:eastAsia="Times New Roman" w:cs="Times New Roman"/>
          <w:sz w:val="24"/>
          <w:szCs w:val="24"/>
        </w:rPr>
        <w:t xml:space="preserve">Deep-learning-enabled antibiotic discovery through molecular de-extinction. </w:t>
      </w:r>
      <w:r w:rsidRPr="002C2332">
        <w:rPr>
          <w:rFonts w:eastAsia="Times New Roman" w:cs="Times New Roman"/>
          <w:i/>
          <w:iCs/>
          <w:sz w:val="24"/>
          <w:szCs w:val="24"/>
        </w:rPr>
        <w:t>Nature Biomedical Engineering, 8</w:t>
      </w:r>
      <w:r w:rsidRPr="002C2332">
        <w:rPr>
          <w:rFonts w:eastAsia="Times New Roman" w:cs="Times New Roman"/>
          <w:sz w:val="24"/>
          <w:szCs w:val="24"/>
        </w:rPr>
        <w:t xml:space="preserve">(7), 854–871. </w:t>
      </w:r>
      <w:hyperlink r:id="rId56" w:history="1">
        <w:r w:rsidRPr="002C2332">
          <w:rPr>
            <w:rFonts w:eastAsia="Times New Roman" w:cs="Times New Roman"/>
            <w:color w:val="0000FF"/>
            <w:sz w:val="24"/>
            <w:szCs w:val="24"/>
            <w:u w:val="single"/>
          </w:rPr>
          <w:t>https://doi.org/10.1038/s41551-024-01201-x</w:t>
        </w:r>
      </w:hyperlink>
    </w:p>
    <w:p w14:paraId="7807C621" w14:textId="00B9DBA8" w:rsidR="002C2332" w:rsidRPr="002C2332" w:rsidRDefault="002C2332" w:rsidP="002C2332">
      <w:pPr>
        <w:spacing w:after="0" w:line="240" w:lineRule="auto"/>
        <w:ind w:left="540" w:hanging="540"/>
        <w:rPr>
          <w:rFonts w:eastAsia="Times New Roman" w:cs="Times New Roman"/>
          <w:sz w:val="24"/>
          <w:szCs w:val="24"/>
        </w:rPr>
      </w:pPr>
      <w:r w:rsidRPr="002C2332">
        <w:rPr>
          <w:rFonts w:eastAsia="Times New Roman" w:cs="Times New Roman"/>
          <w:sz w:val="24"/>
          <w:szCs w:val="24"/>
        </w:rPr>
        <w:t xml:space="preserve">Wang, W.-Y., Chiu, C.-F., Tsao, S.-M., Lee, Y.-L., &amp; Chen, Y.-H. (2024). Accurate prediction of antimicrobial resistance and genetic marker of </w:t>
      </w:r>
      <w:r w:rsidRPr="002C2332">
        <w:rPr>
          <w:rFonts w:eastAsia="Times New Roman" w:cs="Times New Roman"/>
          <w:i/>
          <w:iCs/>
          <w:sz w:val="24"/>
          <w:szCs w:val="24"/>
        </w:rPr>
        <w:t>Staphylococcus aureus</w:t>
      </w:r>
      <w:r w:rsidRPr="002C2332">
        <w:rPr>
          <w:rFonts w:eastAsia="Times New Roman" w:cs="Times New Roman"/>
          <w:sz w:val="24"/>
          <w:szCs w:val="24"/>
        </w:rPr>
        <w:t xml:space="preserve"> clinical isolates using MALDI-TOF MS and machine learning—Across DRIAMS and Taiwan database. </w:t>
      </w:r>
      <w:r w:rsidRPr="002C2332">
        <w:rPr>
          <w:rFonts w:eastAsia="Times New Roman" w:cs="Times New Roman"/>
          <w:i/>
          <w:iCs/>
          <w:sz w:val="24"/>
          <w:szCs w:val="24"/>
        </w:rPr>
        <w:t>International Journal of Antimicrobial Agents, 64</w:t>
      </w:r>
      <w:r w:rsidRPr="002C2332">
        <w:rPr>
          <w:rFonts w:eastAsia="Times New Roman" w:cs="Times New Roman"/>
          <w:sz w:val="24"/>
          <w:szCs w:val="24"/>
        </w:rPr>
        <w:t xml:space="preserve">(5), 107329. </w:t>
      </w:r>
      <w:hyperlink r:id="rId57" w:history="1">
        <w:r w:rsidRPr="002C2332">
          <w:rPr>
            <w:rFonts w:eastAsia="Times New Roman" w:cs="Times New Roman"/>
            <w:color w:val="0000FF"/>
            <w:sz w:val="24"/>
            <w:szCs w:val="24"/>
            <w:u w:val="single"/>
          </w:rPr>
          <w:t>https://doi.org/10.1016/j.ijantimicag.2024.107329</w:t>
        </w:r>
      </w:hyperlink>
    </w:p>
    <w:p w14:paraId="5D48E8E1" w14:textId="644AAA47" w:rsidR="002C2332" w:rsidRPr="002C2332" w:rsidRDefault="002C2332" w:rsidP="002C2332">
      <w:pPr>
        <w:spacing w:after="0" w:line="240" w:lineRule="auto"/>
        <w:ind w:left="540" w:hanging="540"/>
        <w:rPr>
          <w:rFonts w:eastAsia="Times New Roman" w:cs="Times New Roman"/>
          <w:sz w:val="24"/>
          <w:szCs w:val="24"/>
        </w:rPr>
      </w:pPr>
      <w:r w:rsidRPr="002C2332">
        <w:rPr>
          <w:rFonts w:eastAsia="Times New Roman" w:cs="Times New Roman"/>
          <w:sz w:val="24"/>
          <w:szCs w:val="24"/>
          <w:lang w:val="nl-BE"/>
        </w:rPr>
        <w:t xml:space="preserve">Weis, C., Cuénod, A., Rieck, B., Dubuis, O., Graf, S., Lang, C., Oberle, M., Brackmann, M., Søgaard, K. K., Osthoff, M., Borgwardt, K., &amp; Egli, A. (2022). </w:t>
      </w:r>
      <w:r w:rsidRPr="002C2332">
        <w:rPr>
          <w:rFonts w:eastAsia="Times New Roman" w:cs="Times New Roman"/>
          <w:sz w:val="24"/>
          <w:szCs w:val="24"/>
        </w:rPr>
        <w:t xml:space="preserve">Direct antimicrobial resistance prediction from clinical MALDI-TOF mass spectra using machine learning. </w:t>
      </w:r>
      <w:r w:rsidRPr="002C2332">
        <w:rPr>
          <w:rFonts w:eastAsia="Times New Roman" w:cs="Times New Roman"/>
          <w:i/>
          <w:iCs/>
          <w:sz w:val="24"/>
          <w:szCs w:val="24"/>
        </w:rPr>
        <w:t>Nature Medicine, 28</w:t>
      </w:r>
      <w:r w:rsidRPr="002C2332">
        <w:rPr>
          <w:rFonts w:eastAsia="Times New Roman" w:cs="Times New Roman"/>
          <w:sz w:val="24"/>
          <w:szCs w:val="24"/>
        </w:rPr>
        <w:t xml:space="preserve">(1), 164–174. </w:t>
      </w:r>
      <w:hyperlink r:id="rId58" w:history="1">
        <w:r w:rsidRPr="002C2332">
          <w:rPr>
            <w:rFonts w:eastAsia="Times New Roman" w:cs="Times New Roman"/>
            <w:color w:val="0000FF"/>
            <w:sz w:val="24"/>
            <w:szCs w:val="24"/>
            <w:u w:val="single"/>
          </w:rPr>
          <w:t>https://doi.org/10.1038/s41591-021-01619-9</w:t>
        </w:r>
      </w:hyperlink>
    </w:p>
    <w:p w14:paraId="511AFA8C" w14:textId="5C709225" w:rsidR="002C2332" w:rsidRPr="002C2332" w:rsidRDefault="002C2332" w:rsidP="002C2332">
      <w:pPr>
        <w:spacing w:after="0" w:line="240" w:lineRule="auto"/>
        <w:ind w:left="540" w:hanging="540"/>
        <w:rPr>
          <w:rFonts w:eastAsia="Times New Roman" w:cs="Times New Roman"/>
          <w:sz w:val="24"/>
          <w:szCs w:val="24"/>
        </w:rPr>
      </w:pPr>
      <w:r w:rsidRPr="002C2332">
        <w:rPr>
          <w:rFonts w:eastAsia="Times New Roman" w:cs="Times New Roman"/>
          <w:sz w:val="24"/>
          <w:szCs w:val="24"/>
        </w:rPr>
        <w:t xml:space="preserve">Wong, F., Zheng, E. J., Valeri, J. A., Donghia, N. M., </w:t>
      </w:r>
      <w:proofErr w:type="spellStart"/>
      <w:r w:rsidRPr="002C2332">
        <w:rPr>
          <w:rFonts w:eastAsia="Times New Roman" w:cs="Times New Roman"/>
          <w:sz w:val="24"/>
          <w:szCs w:val="24"/>
        </w:rPr>
        <w:t>Anahtar</w:t>
      </w:r>
      <w:proofErr w:type="spellEnd"/>
      <w:r w:rsidRPr="002C2332">
        <w:rPr>
          <w:rFonts w:eastAsia="Times New Roman" w:cs="Times New Roman"/>
          <w:sz w:val="24"/>
          <w:szCs w:val="24"/>
        </w:rPr>
        <w:t xml:space="preserve">, M. N., Omori, S., Li, A., Cubillos-Ruiz, A., Krishnan, A., Jin, W., Manson, A. L., Friedrichs, J., Helbig, R., Hajian, B., </w:t>
      </w:r>
      <w:proofErr w:type="spellStart"/>
      <w:r w:rsidRPr="002C2332">
        <w:rPr>
          <w:rFonts w:eastAsia="Times New Roman" w:cs="Times New Roman"/>
          <w:sz w:val="24"/>
          <w:szCs w:val="24"/>
        </w:rPr>
        <w:t>Fiejtek</w:t>
      </w:r>
      <w:proofErr w:type="spellEnd"/>
      <w:r w:rsidRPr="002C2332">
        <w:rPr>
          <w:rFonts w:eastAsia="Times New Roman" w:cs="Times New Roman"/>
          <w:sz w:val="24"/>
          <w:szCs w:val="24"/>
        </w:rPr>
        <w:t xml:space="preserve">, D. K., Wagner, F. F., Soutter, H. H., Earl, A. M., Stokes, J. M., … Collins, J. J. (2024). Discovery of a structural class of antibiotics with explainable deep learning. </w:t>
      </w:r>
      <w:r w:rsidRPr="002C2332">
        <w:rPr>
          <w:rFonts w:eastAsia="Times New Roman" w:cs="Times New Roman"/>
          <w:i/>
          <w:iCs/>
          <w:sz w:val="24"/>
          <w:szCs w:val="24"/>
        </w:rPr>
        <w:t>Nature, 626</w:t>
      </w:r>
      <w:r w:rsidRPr="002C2332">
        <w:rPr>
          <w:rFonts w:eastAsia="Times New Roman" w:cs="Times New Roman"/>
          <w:sz w:val="24"/>
          <w:szCs w:val="24"/>
        </w:rPr>
        <w:t xml:space="preserve">(7997), 177–185. </w:t>
      </w:r>
      <w:hyperlink r:id="rId59" w:history="1">
        <w:r w:rsidRPr="002C2332">
          <w:rPr>
            <w:rFonts w:eastAsia="Times New Roman" w:cs="Times New Roman"/>
            <w:color w:val="0000FF"/>
            <w:sz w:val="24"/>
            <w:szCs w:val="24"/>
            <w:u w:val="single"/>
          </w:rPr>
          <w:t>https://doi.org/10.1038/s41586-023-06887-8</w:t>
        </w:r>
      </w:hyperlink>
    </w:p>
    <w:p w14:paraId="130A9B8A" w14:textId="2A44AF5D" w:rsidR="002C2332" w:rsidRPr="002C2332" w:rsidRDefault="002C2332" w:rsidP="002C2332">
      <w:pPr>
        <w:spacing w:after="0" w:line="240" w:lineRule="auto"/>
        <w:ind w:left="540" w:hanging="540"/>
        <w:rPr>
          <w:rFonts w:eastAsia="Times New Roman" w:cs="Times New Roman"/>
          <w:sz w:val="24"/>
          <w:szCs w:val="24"/>
        </w:rPr>
      </w:pPr>
      <w:proofErr w:type="spellStart"/>
      <w:r w:rsidRPr="002C2332">
        <w:rPr>
          <w:rFonts w:eastAsia="Times New Roman" w:cs="Times New Roman"/>
          <w:sz w:val="24"/>
          <w:szCs w:val="24"/>
        </w:rPr>
        <w:t>Wunderink</w:t>
      </w:r>
      <w:proofErr w:type="spellEnd"/>
      <w:r w:rsidRPr="002C2332">
        <w:rPr>
          <w:rFonts w:eastAsia="Times New Roman" w:cs="Times New Roman"/>
          <w:sz w:val="24"/>
          <w:szCs w:val="24"/>
        </w:rPr>
        <w:t xml:space="preserve">, R. G., </w:t>
      </w:r>
      <w:proofErr w:type="spellStart"/>
      <w:r w:rsidRPr="002C2332">
        <w:rPr>
          <w:rFonts w:eastAsia="Times New Roman" w:cs="Times New Roman"/>
          <w:sz w:val="24"/>
          <w:szCs w:val="24"/>
        </w:rPr>
        <w:t>Giamarellos-Bourboulis</w:t>
      </w:r>
      <w:proofErr w:type="spellEnd"/>
      <w:r w:rsidRPr="002C2332">
        <w:rPr>
          <w:rFonts w:eastAsia="Times New Roman" w:cs="Times New Roman"/>
          <w:sz w:val="24"/>
          <w:szCs w:val="24"/>
        </w:rPr>
        <w:t xml:space="preserve">, E. J., Rahav, G., Mathers, A. J., Bassetti, M., Vazquez, J., Cornely, O. A., </w:t>
      </w:r>
      <w:proofErr w:type="spellStart"/>
      <w:r w:rsidRPr="002C2332">
        <w:rPr>
          <w:rFonts w:eastAsia="Times New Roman" w:cs="Times New Roman"/>
          <w:sz w:val="24"/>
          <w:szCs w:val="24"/>
        </w:rPr>
        <w:t>Solomkin</w:t>
      </w:r>
      <w:proofErr w:type="spellEnd"/>
      <w:r w:rsidRPr="002C2332">
        <w:rPr>
          <w:rFonts w:eastAsia="Times New Roman" w:cs="Times New Roman"/>
          <w:sz w:val="24"/>
          <w:szCs w:val="24"/>
        </w:rPr>
        <w:t xml:space="preserve">, J., Bhowmick, T., Bishara, J., </w:t>
      </w:r>
      <w:proofErr w:type="spellStart"/>
      <w:r w:rsidRPr="002C2332">
        <w:rPr>
          <w:rFonts w:eastAsia="Times New Roman" w:cs="Times New Roman"/>
          <w:sz w:val="24"/>
          <w:szCs w:val="24"/>
        </w:rPr>
        <w:t>Daikos</w:t>
      </w:r>
      <w:proofErr w:type="spellEnd"/>
      <w:r w:rsidRPr="002C2332">
        <w:rPr>
          <w:rFonts w:eastAsia="Times New Roman" w:cs="Times New Roman"/>
          <w:sz w:val="24"/>
          <w:szCs w:val="24"/>
        </w:rPr>
        <w:t xml:space="preserve">, G. L., Felton, T., Lopez Furst, M. J., Kwak, E. J., Menichetti, F., Oren, I., Alexander, E. L., Griffith, D., </w:t>
      </w:r>
      <w:proofErr w:type="spellStart"/>
      <w:r w:rsidRPr="002C2332">
        <w:rPr>
          <w:rFonts w:eastAsia="Times New Roman" w:cs="Times New Roman"/>
          <w:sz w:val="24"/>
          <w:szCs w:val="24"/>
        </w:rPr>
        <w:t>Lomovskaya</w:t>
      </w:r>
      <w:proofErr w:type="spellEnd"/>
      <w:r w:rsidRPr="002C2332">
        <w:rPr>
          <w:rFonts w:eastAsia="Times New Roman" w:cs="Times New Roman"/>
          <w:sz w:val="24"/>
          <w:szCs w:val="24"/>
        </w:rPr>
        <w:t>, O., … Kaye, K. S. (2018). Effect and safety of meropenem–</w:t>
      </w:r>
      <w:proofErr w:type="spellStart"/>
      <w:r w:rsidRPr="002C2332">
        <w:rPr>
          <w:rFonts w:eastAsia="Times New Roman" w:cs="Times New Roman"/>
          <w:sz w:val="24"/>
          <w:szCs w:val="24"/>
        </w:rPr>
        <w:t>vaborbactam</w:t>
      </w:r>
      <w:proofErr w:type="spellEnd"/>
      <w:r w:rsidRPr="002C2332">
        <w:rPr>
          <w:rFonts w:eastAsia="Times New Roman" w:cs="Times New Roman"/>
          <w:sz w:val="24"/>
          <w:szCs w:val="24"/>
        </w:rPr>
        <w:t xml:space="preserve"> versus best-available therapy in patients with carbapenem-resistant Enterobacteriaceae infections: The TANGO II </w:t>
      </w:r>
      <w:r w:rsidRPr="002C2332">
        <w:rPr>
          <w:rFonts w:eastAsia="Times New Roman" w:cs="Times New Roman"/>
          <w:sz w:val="24"/>
          <w:szCs w:val="24"/>
        </w:rPr>
        <w:lastRenderedPageBreak/>
        <w:t xml:space="preserve">randomized clinical trial. </w:t>
      </w:r>
      <w:r w:rsidRPr="002C2332">
        <w:rPr>
          <w:rFonts w:eastAsia="Times New Roman" w:cs="Times New Roman"/>
          <w:i/>
          <w:iCs/>
          <w:sz w:val="24"/>
          <w:szCs w:val="24"/>
        </w:rPr>
        <w:t>Infectious Diseases and Therapy, 7</w:t>
      </w:r>
      <w:r w:rsidRPr="002C2332">
        <w:rPr>
          <w:rFonts w:eastAsia="Times New Roman" w:cs="Times New Roman"/>
          <w:sz w:val="24"/>
          <w:szCs w:val="24"/>
        </w:rPr>
        <w:t xml:space="preserve">(4), 439–455. </w:t>
      </w:r>
      <w:hyperlink r:id="rId60" w:history="1">
        <w:r w:rsidRPr="002C2332">
          <w:rPr>
            <w:rFonts w:eastAsia="Times New Roman" w:cs="Times New Roman"/>
            <w:color w:val="0000FF"/>
            <w:sz w:val="24"/>
            <w:szCs w:val="24"/>
            <w:u w:val="single"/>
          </w:rPr>
          <w:t>https://doi.org/10.1007/s40121-018-0214-1</w:t>
        </w:r>
      </w:hyperlink>
    </w:p>
    <w:p w14:paraId="18FDA5F9" w14:textId="2A8BFD66" w:rsidR="002C2332" w:rsidRPr="002C2332" w:rsidRDefault="002C2332" w:rsidP="002C2332">
      <w:pPr>
        <w:spacing w:after="0" w:line="240" w:lineRule="auto"/>
        <w:ind w:left="540" w:hanging="540"/>
        <w:rPr>
          <w:rFonts w:eastAsia="Times New Roman" w:cs="Times New Roman"/>
          <w:sz w:val="24"/>
          <w:szCs w:val="24"/>
        </w:rPr>
      </w:pPr>
      <w:proofErr w:type="spellStart"/>
      <w:r w:rsidRPr="002C2332">
        <w:rPr>
          <w:rFonts w:eastAsia="Times New Roman" w:cs="Times New Roman"/>
          <w:sz w:val="24"/>
          <w:szCs w:val="24"/>
        </w:rPr>
        <w:t>Wunderink</w:t>
      </w:r>
      <w:proofErr w:type="spellEnd"/>
      <w:r w:rsidRPr="002C2332">
        <w:rPr>
          <w:rFonts w:eastAsia="Times New Roman" w:cs="Times New Roman"/>
          <w:sz w:val="24"/>
          <w:szCs w:val="24"/>
        </w:rPr>
        <w:t xml:space="preserve">, R. G., Matsunaga, Y., </w:t>
      </w:r>
      <w:proofErr w:type="spellStart"/>
      <w:r w:rsidRPr="002C2332">
        <w:rPr>
          <w:rFonts w:eastAsia="Times New Roman" w:cs="Times New Roman"/>
          <w:sz w:val="24"/>
          <w:szCs w:val="24"/>
        </w:rPr>
        <w:t>Ariyasu</w:t>
      </w:r>
      <w:proofErr w:type="spellEnd"/>
      <w:r w:rsidRPr="002C2332">
        <w:rPr>
          <w:rFonts w:eastAsia="Times New Roman" w:cs="Times New Roman"/>
          <w:sz w:val="24"/>
          <w:szCs w:val="24"/>
        </w:rPr>
        <w:t xml:space="preserve">, M., </w:t>
      </w:r>
      <w:proofErr w:type="spellStart"/>
      <w:r w:rsidRPr="002C2332">
        <w:rPr>
          <w:rFonts w:eastAsia="Times New Roman" w:cs="Times New Roman"/>
          <w:sz w:val="24"/>
          <w:szCs w:val="24"/>
        </w:rPr>
        <w:t>Clevenbergh</w:t>
      </w:r>
      <w:proofErr w:type="spellEnd"/>
      <w:r w:rsidRPr="002C2332">
        <w:rPr>
          <w:rFonts w:eastAsia="Times New Roman" w:cs="Times New Roman"/>
          <w:sz w:val="24"/>
          <w:szCs w:val="24"/>
        </w:rPr>
        <w:t xml:space="preserve">, P., Echols, R., Kaye, K. S., </w:t>
      </w:r>
      <w:proofErr w:type="spellStart"/>
      <w:r w:rsidRPr="002C2332">
        <w:rPr>
          <w:rFonts w:eastAsia="Times New Roman" w:cs="Times New Roman"/>
          <w:sz w:val="24"/>
          <w:szCs w:val="24"/>
        </w:rPr>
        <w:t>Kollef</w:t>
      </w:r>
      <w:proofErr w:type="spellEnd"/>
      <w:r w:rsidRPr="002C2332">
        <w:rPr>
          <w:rFonts w:eastAsia="Times New Roman" w:cs="Times New Roman"/>
          <w:sz w:val="24"/>
          <w:szCs w:val="24"/>
        </w:rPr>
        <w:t xml:space="preserve">, M., Menon, A., Pogue, J. M., Shorr, A. F., Timsit, J.-F., Zeitlinger, M., &amp; Nagata, T. D. (2021). Cefiderocol versus high-dose, extended-infusion meropenem for the treatment of Gram-negative nosocomial pneumonia (APEKS-NP): A </w:t>
      </w:r>
      <w:proofErr w:type="spellStart"/>
      <w:r w:rsidRPr="002C2332">
        <w:rPr>
          <w:rFonts w:eastAsia="Times New Roman" w:cs="Times New Roman"/>
          <w:sz w:val="24"/>
          <w:szCs w:val="24"/>
        </w:rPr>
        <w:t>randomised</w:t>
      </w:r>
      <w:proofErr w:type="spellEnd"/>
      <w:r w:rsidRPr="002C2332">
        <w:rPr>
          <w:rFonts w:eastAsia="Times New Roman" w:cs="Times New Roman"/>
          <w:sz w:val="24"/>
          <w:szCs w:val="24"/>
        </w:rPr>
        <w:t xml:space="preserve">, double-blind, phase 3, non-inferiority trial. </w:t>
      </w:r>
      <w:r w:rsidRPr="002C2332">
        <w:rPr>
          <w:rFonts w:eastAsia="Times New Roman" w:cs="Times New Roman"/>
          <w:i/>
          <w:iCs/>
          <w:sz w:val="24"/>
          <w:szCs w:val="24"/>
        </w:rPr>
        <w:t>The Lancet Infectious Diseases, 21</w:t>
      </w:r>
      <w:r w:rsidRPr="002C2332">
        <w:rPr>
          <w:rFonts w:eastAsia="Times New Roman" w:cs="Times New Roman"/>
          <w:sz w:val="24"/>
          <w:szCs w:val="24"/>
        </w:rPr>
        <w:t xml:space="preserve">(2), 213–225. </w:t>
      </w:r>
      <w:hyperlink r:id="rId61" w:history="1">
        <w:r w:rsidRPr="002C2332">
          <w:rPr>
            <w:rFonts w:eastAsia="Times New Roman" w:cs="Times New Roman"/>
            <w:color w:val="0000FF"/>
            <w:sz w:val="24"/>
            <w:szCs w:val="24"/>
            <w:u w:val="single"/>
          </w:rPr>
          <w:t>https://doi.org/10.1016/S1473-3099(20)30731-3</w:t>
        </w:r>
      </w:hyperlink>
    </w:p>
    <w:p w14:paraId="3B07C609" w14:textId="1DFE6654" w:rsidR="000A7D01" w:rsidRPr="000013E1" w:rsidRDefault="002C2332" w:rsidP="002C2332">
      <w:pPr>
        <w:ind w:left="540" w:hanging="540"/>
      </w:pPr>
      <w:r w:rsidRPr="002C2332">
        <w:rPr>
          <w:rFonts w:eastAsia="Times New Roman" w:cs="Times New Roman"/>
          <w:sz w:val="24"/>
          <w:szCs w:val="24"/>
        </w:rPr>
        <w:t xml:space="preserve">Yu, H., Jing, W., </w:t>
      </w:r>
      <w:proofErr w:type="spellStart"/>
      <w:r w:rsidRPr="002C2332">
        <w:rPr>
          <w:rFonts w:eastAsia="Times New Roman" w:cs="Times New Roman"/>
          <w:sz w:val="24"/>
          <w:szCs w:val="24"/>
        </w:rPr>
        <w:t>Iriya</w:t>
      </w:r>
      <w:proofErr w:type="spellEnd"/>
      <w:r w:rsidRPr="002C2332">
        <w:rPr>
          <w:rFonts w:eastAsia="Times New Roman" w:cs="Times New Roman"/>
          <w:sz w:val="24"/>
          <w:szCs w:val="24"/>
        </w:rPr>
        <w:t xml:space="preserve">, R., Yang, Y., Syal, K., Mo, M., Grys, T. E., Haydel, S. E., Wang, S., &amp; Tao, N. (2018). Phenotypic antimicrobial susceptibility testing with deep learning video microscopy. </w:t>
      </w:r>
      <w:r w:rsidRPr="002C2332">
        <w:rPr>
          <w:rFonts w:eastAsia="Times New Roman" w:cs="Times New Roman"/>
          <w:i/>
          <w:iCs/>
          <w:sz w:val="24"/>
          <w:szCs w:val="24"/>
        </w:rPr>
        <w:t>Analytical Chemistry, 90</w:t>
      </w:r>
      <w:r w:rsidRPr="002C2332">
        <w:rPr>
          <w:rFonts w:eastAsia="Times New Roman" w:cs="Times New Roman"/>
          <w:sz w:val="24"/>
          <w:szCs w:val="24"/>
        </w:rPr>
        <w:t xml:space="preserve">(10), 6314–6322. </w:t>
      </w:r>
      <w:hyperlink r:id="rId62" w:history="1">
        <w:r w:rsidRPr="002C2332">
          <w:rPr>
            <w:rFonts w:eastAsia="Times New Roman" w:cs="Times New Roman"/>
            <w:color w:val="0000FF"/>
            <w:sz w:val="24"/>
            <w:szCs w:val="24"/>
            <w:u w:val="single"/>
          </w:rPr>
          <w:t>https://doi.org/10.1021/acs.analchem.8b01128</w:t>
        </w:r>
      </w:hyperlink>
    </w:p>
    <w:sectPr w:rsidR="000A7D01" w:rsidRPr="000013E1" w:rsidSect="00034616">
      <w:pgSz w:w="12240" w:h="15840"/>
      <w:pgMar w:top="1152" w:right="1224" w:bottom="1080" w:left="1224"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17F84" w14:textId="77777777" w:rsidR="00353CC5" w:rsidRDefault="00353CC5">
      <w:pPr>
        <w:spacing w:after="0" w:line="240" w:lineRule="auto"/>
      </w:pPr>
      <w:r>
        <w:separator/>
      </w:r>
    </w:p>
  </w:endnote>
  <w:endnote w:type="continuationSeparator" w:id="0">
    <w:p w14:paraId="694259D3" w14:textId="77777777" w:rsidR="00353CC5" w:rsidRDefault="00353C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A1DDC" w14:textId="77777777" w:rsidR="001F0A65" w:rsidRDefault="001F0A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46BB4" w14:textId="77777777" w:rsidR="00FE7B37" w:rsidRDefault="00000000">
    <w:pPr>
      <w:pStyle w:val="Footer"/>
      <w:jc w:val="center"/>
    </w:pPr>
    <w:r>
      <w:rPr>
        <w:rFonts w:eastAsia="Times New Roman"/>
        <w:sz w:val="18"/>
      </w:rPr>
      <w:t xml:space="preserve">Page </w:t>
    </w:r>
    <w:r>
      <w:fldChar w:fldCharType="begin"/>
    </w:r>
    <w:r>
      <w:instrText xml:space="preserve"> PAGE </w:instrText>
    </w:r>
    <w:r>
      <w:fldChar w:fldCharType="separate"/>
    </w:r>
    <w:r w:rsidR="000A7D01">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7295E" w14:textId="77777777" w:rsidR="001F0A65" w:rsidRDefault="001F0A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376B1" w14:textId="77777777" w:rsidR="00353CC5" w:rsidRDefault="00353CC5">
      <w:pPr>
        <w:spacing w:after="0" w:line="240" w:lineRule="auto"/>
      </w:pPr>
      <w:r>
        <w:separator/>
      </w:r>
    </w:p>
  </w:footnote>
  <w:footnote w:type="continuationSeparator" w:id="0">
    <w:p w14:paraId="6807B02A" w14:textId="77777777" w:rsidR="00353CC5" w:rsidRDefault="00353C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32A4D" w14:textId="77777777" w:rsidR="001F0A65" w:rsidRDefault="00000000">
    <w:pPr>
      <w:pStyle w:val="Header"/>
    </w:pPr>
    <w:r>
      <w:rPr>
        <w:noProof/>
      </w:rPr>
      <w:pict w14:anchorId="10112A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455829" o:spid="_x0000_s1026" type="#_x0000_t136" style="position:absolute;left:0;text-align:left;margin-left:0;margin-top:0;width:621.25pt;height:69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653BE" w14:textId="77777777" w:rsidR="001F0A65" w:rsidRDefault="00000000">
    <w:pPr>
      <w:pStyle w:val="Header"/>
    </w:pPr>
    <w:r>
      <w:rPr>
        <w:noProof/>
      </w:rPr>
      <w:pict w14:anchorId="1FAB86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455830" o:spid="_x0000_s1027" type="#_x0000_t136" style="position:absolute;left:0;text-align:left;margin-left:0;margin-top:0;width:621.25pt;height:69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913C5" w14:textId="77777777" w:rsidR="001F0A65" w:rsidRDefault="00000000">
    <w:pPr>
      <w:pStyle w:val="Header"/>
    </w:pPr>
    <w:r>
      <w:rPr>
        <w:noProof/>
      </w:rPr>
      <w:pict w14:anchorId="733A1D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455828" o:spid="_x0000_s1025" type="#_x0000_t136" style="position:absolute;left:0;text-align:left;margin-left:0;margin-top:0;width:621.25pt;height:69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5B2A234D"/>
    <w:multiLevelType w:val="hybridMultilevel"/>
    <w:tmpl w:val="E18A18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F2A62F0"/>
    <w:multiLevelType w:val="hybridMultilevel"/>
    <w:tmpl w:val="9FB8BC7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9627195">
    <w:abstractNumId w:val="8"/>
  </w:num>
  <w:num w:numId="2" w16cid:durableId="2138834656">
    <w:abstractNumId w:val="6"/>
  </w:num>
  <w:num w:numId="3" w16cid:durableId="771434107">
    <w:abstractNumId w:val="5"/>
  </w:num>
  <w:num w:numId="4" w16cid:durableId="818568989">
    <w:abstractNumId w:val="4"/>
  </w:num>
  <w:num w:numId="5" w16cid:durableId="422921464">
    <w:abstractNumId w:val="7"/>
  </w:num>
  <w:num w:numId="6" w16cid:durableId="634990946">
    <w:abstractNumId w:val="3"/>
  </w:num>
  <w:num w:numId="7" w16cid:durableId="2005933434">
    <w:abstractNumId w:val="2"/>
  </w:num>
  <w:num w:numId="8" w16cid:durableId="817453533">
    <w:abstractNumId w:val="1"/>
  </w:num>
  <w:num w:numId="9" w16cid:durableId="1494099366">
    <w:abstractNumId w:val="0"/>
  </w:num>
  <w:num w:numId="10" w16cid:durableId="1624842934">
    <w:abstractNumId w:val="9"/>
  </w:num>
  <w:num w:numId="11" w16cid:durableId="23436595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EysDAwNjE3NLY0MDVU0lEKTi0uzszPAykwqgUAwr2DkiwAAAA="/>
  </w:docVars>
  <w:rsids>
    <w:rsidRoot w:val="00B47730"/>
    <w:rsid w:val="000013E1"/>
    <w:rsid w:val="00034616"/>
    <w:rsid w:val="000573D6"/>
    <w:rsid w:val="0006063C"/>
    <w:rsid w:val="000A7D01"/>
    <w:rsid w:val="0015074B"/>
    <w:rsid w:val="001846C6"/>
    <w:rsid w:val="001F0A65"/>
    <w:rsid w:val="0029639D"/>
    <w:rsid w:val="002C2332"/>
    <w:rsid w:val="00326F90"/>
    <w:rsid w:val="00341EA7"/>
    <w:rsid w:val="00353CC5"/>
    <w:rsid w:val="003A112F"/>
    <w:rsid w:val="00485140"/>
    <w:rsid w:val="00800583"/>
    <w:rsid w:val="008F4E07"/>
    <w:rsid w:val="00915651"/>
    <w:rsid w:val="009D3965"/>
    <w:rsid w:val="00A35F38"/>
    <w:rsid w:val="00AA1D8D"/>
    <w:rsid w:val="00B25096"/>
    <w:rsid w:val="00B47730"/>
    <w:rsid w:val="00C21755"/>
    <w:rsid w:val="00CB0664"/>
    <w:rsid w:val="00CF0A1A"/>
    <w:rsid w:val="00FC693F"/>
    <w:rsid w:val="00FD673D"/>
    <w:rsid w:val="00FE7B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9BA1CC8"/>
  <w14:defaultImageDpi w14:val="300"/>
  <w15:docId w15:val="{629CA6FC-C795-4711-800F-004E507FE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jc w:val="both"/>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280" w:after="140"/>
      <w:jc w:val="left"/>
      <w:outlineLvl w:val="0"/>
    </w:pPr>
    <w:rPr>
      <w:rFonts w:asciiTheme="majorHAnsi" w:eastAsiaTheme="majorEastAsia" w:hAnsiTheme="majorHAnsi" w:cstheme="majorBidi"/>
      <w:b/>
      <w:bCs/>
      <w:color w:val="1F1F1F"/>
      <w:sz w:val="26"/>
      <w:szCs w:val="28"/>
    </w:rPr>
  </w:style>
  <w:style w:type="paragraph" w:styleId="Heading2">
    <w:name w:val="heading 2"/>
    <w:basedOn w:val="Normal"/>
    <w:next w:val="Normal"/>
    <w:link w:val="Heading2Char"/>
    <w:uiPriority w:val="9"/>
    <w:unhideWhenUsed/>
    <w:qFormat/>
    <w:rsid w:val="00FC693F"/>
    <w:pPr>
      <w:keepNext/>
      <w:keepLines/>
      <w:spacing w:before="200" w:after="80"/>
      <w:jc w:val="left"/>
      <w:outlineLvl w:val="1"/>
    </w:pPr>
    <w:rPr>
      <w:rFonts w:asciiTheme="majorHAnsi" w:eastAsiaTheme="majorEastAsia" w:hAnsiTheme="majorHAnsi" w:cstheme="majorBidi"/>
      <w:b/>
      <w:bCs/>
      <w:color w:val="1F1F1F"/>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80" w:line="240" w:lineRule="auto"/>
      <w:contextualSpacing/>
      <w:jc w:val="center"/>
    </w:pPr>
    <w:rPr>
      <w:rFonts w:asciiTheme="majorHAnsi" w:eastAsiaTheme="majorEastAsia" w:hAnsiTheme="majorHAnsi" w:cstheme="majorBidi"/>
      <w:b/>
      <w:color w:val="1F1F1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bstractBody">
    <w:name w:val="Abstract Body"/>
    <w:pPr>
      <w:spacing w:after="120" w:line="259" w:lineRule="auto"/>
      <w:jc w:val="both"/>
    </w:pPr>
    <w:rPr>
      <w:rFonts w:ascii="Times New Roman" w:hAnsi="Times New Roman"/>
      <w:sz w:val="21"/>
    </w:rPr>
  </w:style>
  <w:style w:type="paragraph" w:customStyle="1" w:styleId="Reference">
    <w:name w:val="Reference"/>
    <w:pPr>
      <w:spacing w:after="60" w:line="240" w:lineRule="auto"/>
      <w:ind w:left="504" w:hanging="504"/>
    </w:pPr>
    <w:rPr>
      <w:rFonts w:ascii="Times New Roman" w:hAnsi="Times New Roman"/>
      <w:sz w:val="20"/>
    </w:rPr>
  </w:style>
  <w:style w:type="paragraph" w:customStyle="1" w:styleId="TableCaption">
    <w:name w:val="Table Caption"/>
    <w:pPr>
      <w:keepNext/>
      <w:spacing w:after="120"/>
    </w:pPr>
    <w:rPr>
      <w:rFonts w:ascii="Times New Roman" w:hAnsi="Times New Roman"/>
      <w:b/>
      <w:sz w:val="20"/>
    </w:rPr>
  </w:style>
  <w:style w:type="paragraph" w:customStyle="1" w:styleId="TableNote">
    <w:name w:val="Table Note"/>
    <w:pPr>
      <w:spacing w:before="100" w:after="80"/>
    </w:pPr>
    <w:rPr>
      <w:rFonts w:ascii="Times New Roman" w:hAnsi="Times New Roman"/>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doi.org/10.1038/s44259-025-00085-4" TargetMode="External"/><Relationship Id="rId26" Type="http://schemas.openxmlformats.org/officeDocument/2006/relationships/hyperlink" Target="https://doi.org/10.1038/s41591-019-0437-z" TargetMode="External"/><Relationship Id="rId39" Type="http://schemas.openxmlformats.org/officeDocument/2006/relationships/hyperlink" Target="https://doi.org/10.3233/THC-240119" TargetMode="External"/><Relationship Id="rId21" Type="http://schemas.openxmlformats.org/officeDocument/2006/relationships/hyperlink" Target="https://doi.org/10.1016/S1473-3099(20)30796-9" TargetMode="External"/><Relationship Id="rId34" Type="http://schemas.openxmlformats.org/officeDocument/2006/relationships/hyperlink" Target="https://doi.org/10.1128/AAC.02203-19" TargetMode="External"/><Relationship Id="rId42" Type="http://schemas.openxmlformats.org/officeDocument/2006/relationships/hyperlink" Target="https://doi.org/10.1016/j.ijantimicag.2025.107705" TargetMode="External"/><Relationship Id="rId47" Type="http://schemas.openxmlformats.org/officeDocument/2006/relationships/hyperlink" Target="https://doi.org/10.3390/antibiotics13040307" TargetMode="External"/><Relationship Id="rId50" Type="http://schemas.openxmlformats.org/officeDocument/2006/relationships/hyperlink" Target="https://doi.org/10.1128/AAC.00954-17" TargetMode="External"/><Relationship Id="rId55" Type="http://schemas.openxmlformats.org/officeDocument/2006/relationships/hyperlink" Target="https://doi.org/10.1056/NEJMoa2304748" TargetMode="Externa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16/S0140-6736(21)02724-0" TargetMode="External"/><Relationship Id="rId29" Type="http://schemas.openxmlformats.org/officeDocument/2006/relationships/hyperlink" Target="https://doi.org/10.1016/j.clinthera.2024.02.010" TargetMode="External"/><Relationship Id="rId11" Type="http://schemas.openxmlformats.org/officeDocument/2006/relationships/footer" Target="footer2.xml"/><Relationship Id="rId24" Type="http://schemas.openxmlformats.org/officeDocument/2006/relationships/hyperlink" Target="https://doi.org/10.1038/nbt.3011" TargetMode="External"/><Relationship Id="rId32" Type="http://schemas.openxmlformats.org/officeDocument/2006/relationships/hyperlink" Target="https://doi.org/10.1016/j.ijantimicag.2026.107807" TargetMode="External"/><Relationship Id="rId37" Type="http://schemas.openxmlformats.org/officeDocument/2006/relationships/hyperlink" Target="https://doi.org/10.1093/cid/ciaa1576" TargetMode="External"/><Relationship Id="rId40" Type="http://schemas.openxmlformats.org/officeDocument/2006/relationships/hyperlink" Target="https://doi.org/10.1111/j.1469-0691.2011.03570.x" TargetMode="External"/><Relationship Id="rId45" Type="http://schemas.openxmlformats.org/officeDocument/2006/relationships/hyperlink" Target="https://doi.org/10.1016/j.cmi.2021.11.025" TargetMode="External"/><Relationship Id="rId53" Type="http://schemas.openxmlformats.org/officeDocument/2006/relationships/hyperlink" Target="https://doi.org/10.1093/cid/ciae403" TargetMode="External"/><Relationship Id="rId58" Type="http://schemas.openxmlformats.org/officeDocument/2006/relationships/hyperlink" Target="https://doi.org/10.1038/s41591-021-01619-9" TargetMode="External"/><Relationship Id="rId5" Type="http://schemas.openxmlformats.org/officeDocument/2006/relationships/webSettings" Target="webSettings.xml"/><Relationship Id="rId61" Type="http://schemas.openxmlformats.org/officeDocument/2006/relationships/hyperlink" Target="https://doi.org/10.1016/S1473-3099(20)30731-3" TargetMode="External"/><Relationship Id="rId19" Type="http://schemas.openxmlformats.org/officeDocument/2006/relationships/hyperlink" Target="https://doi.org/10.3389/fmicb.2021.707330" TargetMode="External"/><Relationship Id="rId14" Type="http://schemas.openxmlformats.org/officeDocument/2006/relationships/hyperlink" Target="https://doi.org/10.1128/AAC.02313-19" TargetMode="External"/><Relationship Id="rId22" Type="http://schemas.openxmlformats.org/officeDocument/2006/relationships/hyperlink" Target="https://doi.org/10.1038/nbt.3043" TargetMode="External"/><Relationship Id="rId27" Type="http://schemas.openxmlformats.org/officeDocument/2006/relationships/hyperlink" Target="https://doi.org/10.1016/j.cmi.2025.03.002" TargetMode="External"/><Relationship Id="rId30" Type="http://schemas.openxmlformats.org/officeDocument/2006/relationships/hyperlink" Target="https://doi.org/10.1016/j.cmi.2018.12.009" TargetMode="External"/><Relationship Id="rId35" Type="http://schemas.openxmlformats.org/officeDocument/2006/relationships/hyperlink" Target="https://doi.org/10.1016/S1473-3099(23)00184-6" TargetMode="External"/><Relationship Id="rId43" Type="http://schemas.openxmlformats.org/officeDocument/2006/relationships/hyperlink" Target="https://doi.org/10.1016/j.jinf.2024.01.012" TargetMode="External"/><Relationship Id="rId48" Type="http://schemas.openxmlformats.org/officeDocument/2006/relationships/hyperlink" Target="https://doi.org/10.1093/bioinformatics/btab681" TargetMode="External"/><Relationship Id="rId56" Type="http://schemas.openxmlformats.org/officeDocument/2006/relationships/hyperlink" Target="https://doi.org/10.1038/s41551-024-01201-x" TargetMode="External"/><Relationship Id="rId64"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yperlink" Target="https://doi.org/10.1128/cmr.00044-24" TargetMode="Externa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s://doi.org/10.7717/peerj.18213" TargetMode="External"/><Relationship Id="rId25" Type="http://schemas.openxmlformats.org/officeDocument/2006/relationships/hyperlink" Target="https://doi.org/10.1038/s43856-022-00094-8" TargetMode="External"/><Relationship Id="rId33" Type="http://schemas.openxmlformats.org/officeDocument/2006/relationships/hyperlink" Target="https://doi.org/10.1128/aac.01602-25" TargetMode="External"/><Relationship Id="rId38" Type="http://schemas.openxmlformats.org/officeDocument/2006/relationships/hyperlink" Target="https://doi.org/10.1038/s41589-023-01349-8" TargetMode="External"/><Relationship Id="rId46" Type="http://schemas.openxmlformats.org/officeDocument/2006/relationships/hyperlink" Target="https://doi.org/10.1007/s10096-024-05027-y" TargetMode="External"/><Relationship Id="rId59" Type="http://schemas.openxmlformats.org/officeDocument/2006/relationships/hyperlink" Target="https://doi.org/10.1038/s41586-023-06887-8" TargetMode="External"/><Relationship Id="rId20" Type="http://schemas.openxmlformats.org/officeDocument/2006/relationships/hyperlink" Target="https://doi.org/10.1186/s41073-019-0064-8" TargetMode="External"/><Relationship Id="rId41" Type="http://schemas.openxmlformats.org/officeDocument/2006/relationships/hyperlink" Target="https://doi.org/10.1001/jamainternmed.2026.0655" TargetMode="External"/><Relationship Id="rId54" Type="http://schemas.openxmlformats.org/officeDocument/2006/relationships/hyperlink" Target="https://doi.org/10.1016/j.ijmedinf.2023.105300" TargetMode="External"/><Relationship Id="rId62" Type="http://schemas.openxmlformats.org/officeDocument/2006/relationships/hyperlink" Target="https://doi.org/10.1021/acs.analchem.8b01128"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017/ash.2025.47" TargetMode="External"/><Relationship Id="rId23" Type="http://schemas.openxmlformats.org/officeDocument/2006/relationships/hyperlink" Target="https://doi.org/10.1017/ice.2020.213" TargetMode="External"/><Relationship Id="rId28" Type="http://schemas.openxmlformats.org/officeDocument/2006/relationships/hyperlink" Target="https://doi.org/10.1016/S0140-6736(24)01867-1" TargetMode="External"/><Relationship Id="rId36" Type="http://schemas.openxmlformats.org/officeDocument/2006/relationships/hyperlink" Target="https://doi.org/10.1016/j.idnow.2024.104864" TargetMode="External"/><Relationship Id="rId49" Type="http://schemas.openxmlformats.org/officeDocument/2006/relationships/hyperlink" Target="https://doi.org/10.1093/bib/bbag269" TargetMode="External"/><Relationship Id="rId57" Type="http://schemas.openxmlformats.org/officeDocument/2006/relationships/hyperlink" Target="https://doi.org/10.1016/j.ijantimicag.2024.107329" TargetMode="External"/><Relationship Id="rId10" Type="http://schemas.openxmlformats.org/officeDocument/2006/relationships/footer" Target="footer1.xml"/><Relationship Id="rId31" Type="http://schemas.openxmlformats.org/officeDocument/2006/relationships/hyperlink" Target="https://doi.org/10.1016/S1473-3099(18)30482-1" TargetMode="External"/><Relationship Id="rId44" Type="http://schemas.openxmlformats.org/officeDocument/2006/relationships/hyperlink" Target="https://doi.org/10.12688/wellcomeopenres.14847.1" TargetMode="External"/><Relationship Id="rId52" Type="http://schemas.openxmlformats.org/officeDocument/2006/relationships/hyperlink" Target="https://doi.org/10.1016/j.cell.2020.01.021" TargetMode="External"/><Relationship Id="rId60" Type="http://schemas.openxmlformats.org/officeDocument/2006/relationships/hyperlink" Target="https://doi.org/10.1007/s40121-018-0214-1" TargetMode="Externa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32</Pages>
  <Words>17611</Words>
  <Characters>100384</Characters>
  <Application>Microsoft Office Word</Application>
  <DocSecurity>0</DocSecurity>
  <Lines>836</Lines>
  <Paragraphs>235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117760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Managing Multidrug-Resistant Bacterial Infections in the Artificial Intelligence Era</dc:title>
  <dc:subject>Critical narrative review of emerging therapeutics, predictive diagnostics and antimicrobial stewardship</dc:subject>
  <dc:creator/>
  <cp:keywords>multidrug-resistant organisms; artificial intelligence; antimicrobial stewardship; predictive diagnostics; bacteriophage therapy; antibiotic resistance</cp:keywords>
  <dc:description>generated by python-docx</dc:description>
  <cp:lastModifiedBy>Editor-90</cp:lastModifiedBy>
  <cp:revision>9</cp:revision>
  <dcterms:created xsi:type="dcterms:W3CDTF">2013-12-23T23:15:00Z</dcterms:created>
  <dcterms:modified xsi:type="dcterms:W3CDTF">2026-09-19T12:45:00Z</dcterms:modified>
  <cp:category/>
</cp:coreProperties>
</file>