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479" w:rsidRDefault="0072223F">
      <w:pPr>
        <w:pStyle w:val="Heading1"/>
        <w:rPr>
          <w:rFonts w:ascii="Arial" w:hAnsi="Arial" w:cs="Arial" w:hint="default"/>
          <w:sz w:val="36"/>
          <w:szCs w:val="36"/>
        </w:rPr>
      </w:pPr>
      <w:r>
        <w:rPr>
          <w:rFonts w:ascii="Arial" w:hAnsi="Arial" w:cs="Arial" w:hint="default"/>
          <w:sz w:val="36"/>
          <w:szCs w:val="36"/>
        </w:rPr>
        <w:t>Climate-Driven Reproductive Dysfunction in Cultured Fish and Shellfish: Endocrine Mechanisms, Consequences and Adaptive Strategies</w:t>
      </w:r>
    </w:p>
    <w:p w:rsidR="004061D7" w:rsidRDefault="004061D7">
      <w:pPr>
        <w:rPr>
          <w:rFonts w:ascii="Arial" w:hAnsi="Arial" w:cs="Arial"/>
          <w:i/>
          <w:iCs/>
        </w:rPr>
      </w:pPr>
    </w:p>
    <w:p w:rsidR="00544479" w:rsidRDefault="00544479">
      <w:pPr>
        <w:pBdr>
          <w:top w:val="none" w:sz="0" w:space="1" w:color="auto"/>
          <w:left w:val="none" w:sz="0" w:space="4" w:color="auto"/>
          <w:bottom w:val="single" w:sz="18" w:space="1" w:color="auto"/>
          <w:right w:val="none" w:sz="0" w:space="4" w:color="auto"/>
        </w:pBdr>
        <w:rPr>
          <w:rFonts w:ascii="Arial" w:hAnsi="Arial" w:cs="Arial"/>
          <w:i/>
          <w:iCs/>
          <w:u w:val="single"/>
          <w:lang w:val="en-IN"/>
        </w:rPr>
      </w:pPr>
    </w:p>
    <w:p w:rsidR="00544479" w:rsidRDefault="0072223F">
      <w:pPr>
        <w:pStyle w:val="Heading2"/>
        <w:rPr>
          <w:rFonts w:ascii="Arial" w:hAnsi="Arial" w:cs="Arial" w:hint="default"/>
          <w:sz w:val="22"/>
          <w:szCs w:val="22"/>
          <w:lang w:val="en-IN"/>
        </w:rPr>
      </w:pPr>
      <w:r>
        <w:rPr>
          <w:rFonts w:ascii="Arial" w:hAnsi="Arial" w:cs="Arial" w:hint="default"/>
          <w:sz w:val="22"/>
          <w:szCs w:val="22"/>
        </w:rPr>
        <w:t>ABSTRACT</w:t>
      </w:r>
    </w:p>
    <w:p w:rsidR="00544479" w:rsidRDefault="0072223F">
      <w:pPr>
        <w:pStyle w:val="NormalWeb"/>
        <w:jc w:val="both"/>
        <w:rPr>
          <w:rFonts w:ascii="Arial" w:hAnsi="Arial" w:cs="Arial"/>
          <w:sz w:val="20"/>
          <w:szCs w:val="20"/>
        </w:rPr>
      </w:pPr>
      <w:r>
        <w:rPr>
          <w:rFonts w:ascii="Arial" w:hAnsi="Arial" w:cs="Arial"/>
          <w:sz w:val="20"/>
          <w:szCs w:val="20"/>
        </w:rPr>
        <w:t>Climate change is altering the environmental conditions experienced by aquatic organisms through increasing temperature, marine heatwaves, hypoxia, salinity fluctuations, ocean acidification and more frequent extreme events. Although the effects of climate change on growth, survival and disease have received considerable attention, reproductive impairment may occur before substantial mortality and can directly threaten aquaculture seed production. Reproduction depends on the coordinated interaction of environmental cues, neuroendocrine pathways, gonadal function, gametogenesis and energy allocation, making it particularly sensitive to environmental instability. In fish, climate-related changes can affect the brain–pituitary–gonad axis, steroidogenesis, sex differentiation, gametogenesis, gamete quality and spawning. Temperature is especially important because it influences endocrine regulation throughout reproductive development, while hypoxia, salinity changes and ocean acidification can further modify endocrine, metabolic and cellular processes. In shellfish, environmental stress can affect gonadal development, gametogenesis, spawning, fertilization and larval performance through mechanisms that differ from those operating in vertebrate fishes. Multiple climate-related stressors may also act simultaneously, producing additive, synergistic or antagonistic effects. Parental exposure can further influence offspring through maternal provisioning, paternal effects and epigenetic mechanisms. These processes have direct implications for broodstock conditioning, hatchery seed production and the sustainability of aquaculture. This review examines the links between climate-related environmental change, reproductive endocrine regulation and reproductive performance in cultured fish and shellfish, with emphasis on gamete quality, spawning, early development, multiple-stressor interactions and reproductive resilience. Environmental management, broodstock selection, nutrition, acclimation, selective breeding, biomarker-based monitoring and climate-resilient hatchery technologies are considered as potential approaches for sustaining reproductive performance under future environmental conditions.</w:t>
      </w:r>
    </w:p>
    <w:p w:rsidR="00544479" w:rsidRDefault="0072223F">
      <w:pPr>
        <w:pStyle w:val="NormalWeb"/>
        <w:jc w:val="both"/>
        <w:rPr>
          <w:rFonts w:ascii="Arial" w:hAnsi="Arial" w:cs="Arial"/>
          <w:i/>
          <w:iCs/>
          <w:sz w:val="20"/>
          <w:szCs w:val="20"/>
        </w:rPr>
      </w:pPr>
      <w:r>
        <w:rPr>
          <w:rStyle w:val="Strong"/>
          <w:rFonts w:ascii="Arial" w:hAnsi="Arial" w:cs="Arial"/>
          <w:b w:val="0"/>
          <w:bCs w:val="0"/>
          <w:i/>
          <w:iCs/>
          <w:sz w:val="20"/>
          <w:szCs w:val="20"/>
        </w:rPr>
        <w:t>Keywords:</w:t>
      </w:r>
      <w:r>
        <w:rPr>
          <w:rFonts w:ascii="Arial" w:hAnsi="Arial" w:cs="Arial"/>
          <w:i/>
          <w:iCs/>
          <w:sz w:val="20"/>
          <w:szCs w:val="20"/>
        </w:rPr>
        <w:t xml:space="preserve"> Climate change; reproductive physiology; endocrine regulation; gametogenesis; fish reproduction; shellfish; aquaculture; reproductive resilience</w:t>
      </w:r>
    </w:p>
    <w:p w:rsidR="00544479" w:rsidRDefault="0072223F">
      <w:pPr>
        <w:pStyle w:val="NormalWeb"/>
        <w:numPr>
          <w:ilvl w:val="0"/>
          <w:numId w:val="1"/>
        </w:numPr>
        <w:rPr>
          <w:rFonts w:ascii="Arial" w:hAnsi="Arial" w:cs="Arial"/>
          <w:b/>
          <w:bCs/>
          <w:sz w:val="22"/>
          <w:szCs w:val="22"/>
          <w:lang w:val="en-IN"/>
        </w:rPr>
      </w:pPr>
      <w:r>
        <w:rPr>
          <w:rFonts w:ascii="Arial" w:hAnsi="Arial" w:cs="Arial"/>
          <w:b/>
          <w:bCs/>
          <w:sz w:val="22"/>
          <w:szCs w:val="22"/>
          <w:lang w:val="en-IN"/>
        </w:rPr>
        <w:t>INTRODUCTION</w:t>
      </w:r>
    </w:p>
    <w:p w:rsidR="00544479" w:rsidRDefault="0072223F">
      <w:pPr>
        <w:pStyle w:val="NormalWeb"/>
        <w:jc w:val="both"/>
        <w:rPr>
          <w:rFonts w:ascii="Arial" w:hAnsi="Arial" w:cs="Arial"/>
          <w:sz w:val="20"/>
          <w:szCs w:val="20"/>
        </w:rPr>
      </w:pPr>
      <w:r>
        <w:rPr>
          <w:rFonts w:ascii="Arial" w:hAnsi="Arial" w:cs="Arial"/>
          <w:sz w:val="20"/>
          <w:szCs w:val="20"/>
        </w:rPr>
        <w:t>Aquatic ecosystems are undergoing rapid environmental changes associated with anthropogenic climate change. Rising temperatures and ocean warming are accompanied by changes in precipitation, freshwater discharge, salinity, dissolved oxygen and the frequency of extreme events, while ocean acidification is altering marine carbonate chemistry (Pörtner and Farrell, 2008; Pörtner and Peck, 2010; Poloczanska et al., 2013). Aquaculture systems are consequently exposed to increasingly variable physical and chemical conditions. Because fish and shellfish are ectothermic, many aspects of their physiology are closely influenced by the surrounding environment (Dahlke et al., 2020; Islam et al., 2022).</w:t>
      </w:r>
    </w:p>
    <w:p w:rsidR="00544479" w:rsidRDefault="0072223F">
      <w:pPr>
        <w:pStyle w:val="NormalWeb"/>
        <w:jc w:val="both"/>
        <w:rPr>
          <w:rFonts w:ascii="Arial" w:hAnsi="Arial" w:cs="Arial"/>
          <w:sz w:val="20"/>
          <w:szCs w:val="20"/>
        </w:rPr>
      </w:pPr>
      <w:r>
        <w:rPr>
          <w:rFonts w:ascii="Arial" w:hAnsi="Arial" w:cs="Arial"/>
          <w:sz w:val="20"/>
          <w:szCs w:val="20"/>
        </w:rPr>
        <w:t xml:space="preserve">Climate impacts on aquaculture have traditionally been evaluated in relation to growth, feed utilization, disease, survival and production. Reproduction deserves comparable attention because successful aquaculture depends on the consistent production of viable gametes, successful fertilization, embryonic development and seed production. Reproductive impairment can occur at sublethal levels, before clear effects on adult survival become </w:t>
      </w:r>
      <w:r>
        <w:rPr>
          <w:rFonts w:ascii="Arial" w:hAnsi="Arial" w:cs="Arial"/>
          <w:sz w:val="20"/>
          <w:szCs w:val="20"/>
        </w:rPr>
        <w:lastRenderedPageBreak/>
        <w:t xml:space="preserve">evident. Reduced fecundity, impaired </w:t>
      </w:r>
      <w:r w:rsidR="00DF6C13" w:rsidRPr="00313B5E">
        <w:rPr>
          <w:rFonts w:ascii="Arial" w:eastAsiaTheme="minorEastAsia" w:hAnsi="Arial" w:cs="Arial"/>
          <w:sz w:val="20"/>
          <w:szCs w:val="20"/>
        </w:rPr>
        <w:t>gamete quality or shifts in spawning timing may therefore compromise hatchery production even when broodstock appear to remain in good condition (Bobe and Labbé, 2010; Pankhurst and Munday, 2011; Vagner et al., 2019).</w:t>
      </w:r>
    </w:p>
    <w:p w:rsidR="00544479" w:rsidRDefault="0072223F">
      <w:pPr>
        <w:pStyle w:val="NormalWeb"/>
        <w:jc w:val="both"/>
        <w:rPr>
          <w:rFonts w:ascii="Arial" w:hAnsi="Arial" w:cs="Arial"/>
          <w:sz w:val="20"/>
          <w:szCs w:val="20"/>
        </w:rPr>
      </w:pPr>
      <w:r>
        <w:rPr>
          <w:rFonts w:ascii="Arial" w:hAnsi="Arial" w:cs="Arial"/>
          <w:sz w:val="20"/>
          <w:szCs w:val="20"/>
        </w:rPr>
        <w:t>Temperature is particularly important because reproductive processes are highly temperature-sensitive. In teleosts, altered thermal conditions can influence reproductive development from sex differentiation and puberty through gametogenesis, gamete maturation and spawning. The magnitude and direction of these responses vary among species and may depend on sex, developmental stage, exposure intensity and duration, as well as previous environmental history (Alix et al., 2020; Geffroy and Wedekind, 2020; Lema et al., 2024). Temperature-sensitive endocrine pathways provide an important mechanistic basis for these effects, including alterations in steroidogenesis, aromatase activity and the timing of reproductive events (Shahjahan et al., 2017; Taranger et al., 2015).</w:t>
      </w:r>
    </w:p>
    <w:p w:rsidR="00544479" w:rsidRDefault="0072223F">
      <w:pPr>
        <w:pStyle w:val="NormalWeb"/>
        <w:jc w:val="both"/>
        <w:rPr>
          <w:rFonts w:ascii="Arial" w:hAnsi="Arial" w:cs="Arial"/>
          <w:sz w:val="20"/>
          <w:szCs w:val="20"/>
        </w:rPr>
      </w:pPr>
      <w:r>
        <w:rPr>
          <w:rFonts w:ascii="Arial" w:hAnsi="Arial" w:cs="Arial"/>
          <w:sz w:val="20"/>
          <w:szCs w:val="20"/>
        </w:rPr>
        <w:t>The reproductive endocrine system provides an important link between environmental conditions and reproductive function. In teleosts, environmental information is integrated through the brain–pituitary–gonad (BPG) axis, which involves gonadotropin-releasing hormone (GnRH), follicle-stimulating hormone (FSH), luteinizing hormone (LH), gonadal steroids and downstream processes such as gametogenesis, gamete maturation and spawning. Environmental change can influence several components of this regulatory network simultaneously rather than affecting reproduction through a single pathway (Zohar et al., 2010; Servili et al., 2020; Lema et al., 2024).</w:t>
      </w:r>
    </w:p>
    <w:p w:rsidR="00544479" w:rsidRDefault="0072223F">
      <w:pPr>
        <w:pStyle w:val="NormalWeb"/>
        <w:jc w:val="both"/>
        <w:rPr>
          <w:rFonts w:ascii="Arial" w:hAnsi="Arial" w:cs="Arial"/>
          <w:sz w:val="20"/>
          <w:szCs w:val="20"/>
        </w:rPr>
      </w:pPr>
      <w:r>
        <w:rPr>
          <w:rFonts w:ascii="Arial" w:hAnsi="Arial" w:cs="Arial"/>
          <w:sz w:val="20"/>
          <w:szCs w:val="20"/>
        </w:rPr>
        <w:t>Shellfish provide a complementary perspective because their reproductive regulation differs fundamentally from that of vertebrate fishes. Bivalves do not possess the vertebrate hypothalamus–pituitary system and instead rely on distinct neuroendocrine, metabolic and environmental regulatory mechanisms. Nevertheless, temperature, food availability, salinity and carbonate chemistry can strongly influence gonadal development, gametogenesis, spawning and early development (Gosling, 2003; Byrne et al., 2020; Padilla-Gamiño and Alma, 2022). Changes in seawater carbonate chemistry can also affect gamete performance and fertilization, although the magnitude and direction of these responses vary among species and experimental conditions (Parker et al., 2018; Han et al., 2021).</w:t>
      </w:r>
    </w:p>
    <w:p w:rsidR="00544479" w:rsidRDefault="0072223F">
      <w:pPr>
        <w:pStyle w:val="NormalWeb"/>
        <w:jc w:val="both"/>
        <w:rPr>
          <w:rFonts w:ascii="Arial" w:hAnsi="Arial" w:cs="Arial"/>
          <w:sz w:val="20"/>
          <w:szCs w:val="20"/>
        </w:rPr>
      </w:pPr>
      <w:r>
        <w:rPr>
          <w:rFonts w:ascii="Arial" w:hAnsi="Arial" w:cs="Arial"/>
          <w:sz w:val="20"/>
          <w:szCs w:val="20"/>
        </w:rPr>
        <w:t xml:space="preserve">Climate-related environmental changes rarely occur in isolation. Warming can increase metabolic oxygen demand while simultaneously reducing oxygen solubility, thereby increasing the risk of oxygen limitation. Changes in salinity can impose additional osmoregulatory demands, while warming and acidification may interact through metabolic and cellular processes (Pörtner and Farrell, 2008; Byrne et al., 2020; Lodhi </w:t>
      </w:r>
      <w:r>
        <w:rPr>
          <w:rFonts w:ascii="Arial" w:hAnsi="Arial" w:cs="Arial"/>
          <w:sz w:val="20"/>
          <w:szCs w:val="20"/>
          <w:lang w:val="en-IN"/>
        </w:rPr>
        <w:t>et al.,</w:t>
      </w:r>
      <w:r>
        <w:rPr>
          <w:rFonts w:ascii="Arial" w:hAnsi="Arial" w:cs="Arial"/>
          <w:sz w:val="20"/>
          <w:szCs w:val="20"/>
        </w:rPr>
        <w:t xml:space="preserve"> 2026). Such interactions may be additive, synergistic or antagonistic, depending on the species, life stage and intensity and duration of exposure. Consequently, experiments examining individual stressors may not fully capture the conditions experienced by cultured animals.</w:t>
      </w:r>
    </w:p>
    <w:p w:rsidR="00544479" w:rsidRDefault="0072223F">
      <w:pPr>
        <w:pStyle w:val="NormalWeb"/>
        <w:jc w:val="both"/>
        <w:rPr>
          <w:rFonts w:ascii="Arial" w:hAnsi="Arial" w:cs="Arial"/>
          <w:sz w:val="20"/>
          <w:szCs w:val="20"/>
        </w:rPr>
      </w:pPr>
      <w:r>
        <w:rPr>
          <w:rFonts w:ascii="Arial" w:hAnsi="Arial" w:cs="Arial"/>
          <w:sz w:val="20"/>
          <w:szCs w:val="20"/>
        </w:rPr>
        <w:t>Another important consideration is that environmental exposure during parental gametogenesis can extend its effects beyond the exposed generation. Changes in gamete quality, maternal provisioning, paternal contributions and epigenetic regulation may influence offspring development and subsequent performance (Donelson et al., 2012; Labbé et al., 2017; Ryu et al., 2018; Zhao et al., 2020). The extent and persistence of such effects, however, vary among species and environmental contexts.</w:t>
      </w:r>
    </w:p>
    <w:p w:rsidR="00544479" w:rsidRDefault="0072223F">
      <w:pPr>
        <w:pStyle w:val="NormalWeb"/>
        <w:jc w:val="both"/>
        <w:rPr>
          <w:rFonts w:ascii="Arial" w:hAnsi="Arial" w:cs="Arial"/>
          <w:sz w:val="20"/>
          <w:szCs w:val="20"/>
        </w:rPr>
      </w:pPr>
      <w:r>
        <w:rPr>
          <w:rFonts w:ascii="Arial" w:hAnsi="Arial" w:cs="Arial"/>
          <w:sz w:val="20"/>
          <w:szCs w:val="20"/>
        </w:rPr>
        <w:t>This review examines the mechanistic links between climate-related environmental change, reproductive regulation and aquaculture performance in cultured fish and shellfish. Particular attention is given to endocrine regulation, gonadal development, gamete quality, spawning, fertilization and early development, as well as interactions among multiple stressors and parental effects. The review also considers practical approaches for maintaining reproductive performance and improving the resilience of broodstock and hatchery production under changing environmental conditions.</w:t>
      </w:r>
    </w:p>
    <w:p w:rsidR="00544479" w:rsidRDefault="0072223F">
      <w:pPr>
        <w:pStyle w:val="Heading2"/>
        <w:rPr>
          <w:rFonts w:ascii="Arial" w:hAnsi="Arial" w:cs="Arial" w:hint="default"/>
          <w:sz w:val="22"/>
          <w:szCs w:val="22"/>
        </w:rPr>
      </w:pPr>
      <w:r>
        <w:rPr>
          <w:rFonts w:ascii="Arial" w:hAnsi="Arial" w:cs="Arial" w:hint="default"/>
          <w:sz w:val="22"/>
          <w:szCs w:val="22"/>
        </w:rPr>
        <w:t>2. CLIMATE-RELATED STRESSORS AFFECTING REPRODUCTION</w:t>
      </w:r>
    </w:p>
    <w:p w:rsidR="00544479" w:rsidRDefault="0072223F">
      <w:pPr>
        <w:pStyle w:val="Heading3"/>
        <w:rPr>
          <w:rFonts w:ascii="Arial" w:hAnsi="Arial" w:cs="Arial" w:hint="default"/>
          <w:sz w:val="22"/>
          <w:szCs w:val="22"/>
        </w:rPr>
      </w:pPr>
      <w:r>
        <w:rPr>
          <w:rFonts w:ascii="Arial" w:hAnsi="Arial" w:cs="Arial" w:hint="default"/>
          <w:sz w:val="22"/>
          <w:szCs w:val="22"/>
        </w:rPr>
        <w:lastRenderedPageBreak/>
        <w:t>2.1 Temperature and thermal extremes</w:t>
      </w:r>
    </w:p>
    <w:p w:rsidR="00544479" w:rsidRDefault="0072223F">
      <w:pPr>
        <w:pStyle w:val="NormalWeb"/>
        <w:jc w:val="both"/>
        <w:rPr>
          <w:rFonts w:ascii="Arial" w:hAnsi="Arial" w:cs="Arial"/>
          <w:sz w:val="20"/>
          <w:szCs w:val="20"/>
        </w:rPr>
      </w:pPr>
      <w:r>
        <w:rPr>
          <w:rFonts w:ascii="Arial" w:hAnsi="Arial" w:cs="Arial"/>
          <w:sz w:val="20"/>
          <w:szCs w:val="20"/>
        </w:rPr>
        <w:t>Temperature is a major environmental regulator of reproduction in aquatic animals. Reproductive processes function within species- and stage-specific thermal ranges, and both sustained warming and short-term thermal extremes can disrupt reproductive timing and performance (Pankhurst and King, 2010; Alix et al., 2020; Islam et al., 2022).</w:t>
      </w:r>
    </w:p>
    <w:p w:rsidR="00544479" w:rsidRDefault="0072223F">
      <w:pPr>
        <w:pStyle w:val="NormalWeb"/>
        <w:jc w:val="both"/>
        <w:rPr>
          <w:rFonts w:ascii="Arial" w:hAnsi="Arial" w:cs="Arial"/>
          <w:sz w:val="20"/>
          <w:szCs w:val="20"/>
        </w:rPr>
      </w:pPr>
      <w:r>
        <w:rPr>
          <w:rFonts w:ascii="Arial" w:hAnsi="Arial" w:cs="Arial"/>
          <w:sz w:val="20"/>
          <w:szCs w:val="20"/>
        </w:rPr>
        <w:t>In fishes, temperature can influence sex differentiation, gonadal development, steroidogenesis, gametogenesis, final gamete maturation and spawning. Exposure to temperatures above the optimal range does not necessarily affect all processes in the same way; some developmental processes may be accelerated, whereas others may be impaired. Temperature-sensitive changes in aromatase activity and sex-steroid pathways are particularly important in species in which gonadal differentiation is environmentally responsive (Caruso et al., 2016; Geffroy and Wedekind, 2020).</w:t>
      </w:r>
    </w:p>
    <w:p w:rsidR="00544479" w:rsidRDefault="0072223F">
      <w:pPr>
        <w:pStyle w:val="NormalWeb"/>
        <w:jc w:val="both"/>
        <w:rPr>
          <w:rFonts w:ascii="Arial" w:hAnsi="Arial" w:cs="Arial"/>
        </w:rPr>
      </w:pPr>
      <w:r>
        <w:rPr>
          <w:rFonts w:ascii="Arial" w:hAnsi="Arial" w:cs="Arial"/>
          <w:sz w:val="20"/>
          <w:szCs w:val="20"/>
        </w:rPr>
        <w:t>In sexually mature animals, thermal stress can impair oocyte and sperm quality and modify the timing of ovulation, spermiation and spawning. The magnitude and direction of these effects depend on species, sex, reproductive stage, exposure duration and previous thermal history (King et al., 2003; Lahnsteiner and Leitner, 2013; Alix et al., 2020). Short-duration heatwaves may be especially damaging when they occur during gametogenesis or final maturation. Moreover, fluctuating temperatures can produce responses that differ from those observed under constant exposure because the rate, duration and sequence of thermal changes influence physiological acclimation (Dorts et al., 2012; Hani et al., 2019; Islam et al., 2022). Assessment of reproductive resilience should therefore consider both changes in mean temperature and the increasing occurrence of thermal extremes.</w:t>
      </w:r>
    </w:p>
    <w:p w:rsidR="00544479" w:rsidRDefault="0072223F">
      <w:pPr>
        <w:pStyle w:val="Heading3"/>
        <w:rPr>
          <w:rFonts w:ascii="Arial" w:hAnsi="Arial" w:cs="Arial" w:hint="default"/>
          <w:sz w:val="22"/>
          <w:szCs w:val="22"/>
        </w:rPr>
      </w:pPr>
      <w:r>
        <w:rPr>
          <w:rFonts w:ascii="Arial" w:hAnsi="Arial" w:cs="Arial" w:hint="default"/>
          <w:sz w:val="22"/>
          <w:szCs w:val="22"/>
        </w:rPr>
        <w:t>2.2 Hypoxia</w:t>
      </w:r>
    </w:p>
    <w:p w:rsidR="00544479" w:rsidRDefault="0072223F">
      <w:pPr>
        <w:pStyle w:val="NormalWeb"/>
        <w:jc w:val="both"/>
        <w:rPr>
          <w:rFonts w:ascii="Arial" w:hAnsi="Arial" w:cs="Arial"/>
          <w:sz w:val="20"/>
          <w:szCs w:val="20"/>
        </w:rPr>
      </w:pPr>
      <w:r>
        <w:rPr>
          <w:rFonts w:ascii="Arial" w:hAnsi="Arial" w:cs="Arial"/>
          <w:sz w:val="20"/>
          <w:szCs w:val="20"/>
        </w:rPr>
        <w:t>Climate change can increase the occurrence and severity of aquatic hypoxia through reduced oxygen solubility at higher temperatures, enhanced water-column stratification and interactions with eutrophication. Hypoxia is particularly relevant to reproduction because gametogenesis, gonadal maintenance and reproductive activity require substantial metabolic investment (Wu, 2009; Koner and Saha, 2022).</w:t>
      </w:r>
    </w:p>
    <w:p w:rsidR="00544479" w:rsidRDefault="0072223F">
      <w:pPr>
        <w:pStyle w:val="NormalWeb"/>
        <w:jc w:val="both"/>
        <w:rPr>
          <w:rFonts w:ascii="Arial" w:hAnsi="Arial" w:cs="Arial"/>
          <w:sz w:val="20"/>
          <w:szCs w:val="20"/>
        </w:rPr>
      </w:pPr>
      <w:r>
        <w:rPr>
          <w:rFonts w:ascii="Arial" w:hAnsi="Arial" w:cs="Arial"/>
          <w:sz w:val="20"/>
          <w:szCs w:val="20"/>
        </w:rPr>
        <w:t>In fishes, oxygen limitation can affect reproductive endocrine signalling, steroidogenesis, gonadal development and gamete quality. Prolonged or recurrent hypoxia may subsequently reduce fertilization, hatching and larval performance (Wu et al., 2003; Koner and Saha, 2022). Such effects may occur without immediate mortality, making reproductive endpoints potentially sensitive indicators of sublethal environmental stress.</w:t>
      </w:r>
    </w:p>
    <w:p w:rsidR="00544479" w:rsidRDefault="0072223F">
      <w:pPr>
        <w:pStyle w:val="NormalWeb"/>
        <w:jc w:val="both"/>
        <w:rPr>
          <w:rFonts w:ascii="Arial" w:hAnsi="Arial" w:cs="Arial"/>
          <w:sz w:val="20"/>
          <w:szCs w:val="20"/>
        </w:rPr>
      </w:pPr>
      <w:r>
        <w:rPr>
          <w:rFonts w:ascii="Arial" w:hAnsi="Arial" w:cs="Arial"/>
          <w:sz w:val="20"/>
          <w:szCs w:val="20"/>
        </w:rPr>
        <w:t>Hypoxia is also important in aquaculture systems, where high stocking density, organic loading, excessive microbial respiration and inadequate water exchange can intensify oxygen fluctuations. Climate-driven warming can further reduce the margin of safety by increasing metabolic oxygen demand while reducing oxygen availability (Wu et al., 2003; Islam et al., 2022).</w:t>
      </w:r>
    </w:p>
    <w:p w:rsidR="00544479" w:rsidRDefault="0072223F">
      <w:pPr>
        <w:pStyle w:val="Heading3"/>
        <w:rPr>
          <w:rFonts w:ascii="Arial" w:hAnsi="Arial" w:cs="Arial" w:hint="default"/>
          <w:sz w:val="22"/>
          <w:szCs w:val="22"/>
        </w:rPr>
      </w:pPr>
      <w:r>
        <w:rPr>
          <w:rFonts w:ascii="Arial" w:hAnsi="Arial" w:cs="Arial" w:hint="default"/>
          <w:sz w:val="22"/>
          <w:szCs w:val="22"/>
        </w:rPr>
        <w:t>2.3 Salinity variability</w:t>
      </w:r>
    </w:p>
    <w:p w:rsidR="00544479" w:rsidRDefault="0072223F">
      <w:pPr>
        <w:pStyle w:val="NormalWeb"/>
        <w:jc w:val="both"/>
        <w:rPr>
          <w:rFonts w:ascii="Arial" w:hAnsi="Arial" w:cs="Arial"/>
          <w:sz w:val="20"/>
          <w:szCs w:val="20"/>
        </w:rPr>
      </w:pPr>
      <w:r>
        <w:rPr>
          <w:rFonts w:ascii="Arial" w:hAnsi="Arial" w:cs="Arial"/>
          <w:sz w:val="20"/>
          <w:szCs w:val="20"/>
        </w:rPr>
        <w:t>Changes in precipitation, evaporation, freshwater discharge and the frequency of extreme weather events can produce substantial salinity fluctuations in coastal and estuarine environments. Such fluctuations challenge the ability of aquatic animals to maintain ionic and osmotic homeostasis and may increase the energetic cost of physiological maintenance (Seale et al., 2024; Agarwal et al., 2024).</w:t>
      </w:r>
    </w:p>
    <w:p w:rsidR="00544479" w:rsidRDefault="0072223F">
      <w:pPr>
        <w:pStyle w:val="NormalWeb"/>
        <w:jc w:val="both"/>
        <w:rPr>
          <w:rFonts w:ascii="Arial" w:hAnsi="Arial" w:cs="Arial"/>
          <w:sz w:val="20"/>
          <w:szCs w:val="20"/>
        </w:rPr>
      </w:pPr>
      <w:r>
        <w:rPr>
          <w:rFonts w:ascii="Arial" w:hAnsi="Arial" w:cs="Arial"/>
          <w:sz w:val="20"/>
          <w:szCs w:val="20"/>
        </w:rPr>
        <w:t xml:space="preserve">When salinity moves outside an animal's optimal range, physiological resources may be redirected towards osmoregulation and homeostasis. Reproductive effects may consequently arise indirectly through reduced feeding, altered nutrient assimilation and changes in energy reserves, as well as through direct effects on reproductive tissues and gametes (Seale et al., </w:t>
      </w:r>
      <w:r>
        <w:rPr>
          <w:rFonts w:ascii="Arial" w:hAnsi="Arial" w:cs="Arial"/>
          <w:sz w:val="20"/>
          <w:szCs w:val="20"/>
        </w:rPr>
        <w:lastRenderedPageBreak/>
        <w:t>2024). The consequences can be greater when salinity stress occurs simultaneously with warming, because elevated temperature can increase metabolic demand while osmotic stress imposes additional regulatory costs (Pörtner and Farrell, 2008; Agarwal et al., 2024).</w:t>
      </w:r>
    </w:p>
    <w:p w:rsidR="00544479" w:rsidRDefault="0072223F">
      <w:pPr>
        <w:pStyle w:val="NormalWeb"/>
        <w:jc w:val="both"/>
        <w:rPr>
          <w:rFonts w:ascii="Arial" w:hAnsi="Arial" w:cs="Arial"/>
          <w:sz w:val="20"/>
          <w:szCs w:val="20"/>
        </w:rPr>
      </w:pPr>
      <w:r>
        <w:rPr>
          <w:rFonts w:ascii="Arial" w:hAnsi="Arial" w:cs="Arial"/>
          <w:sz w:val="20"/>
          <w:szCs w:val="20"/>
        </w:rPr>
        <w:t>The response, however, depends strongly on species-specific salinity tolerance and acclimation capacity. Euryhaline species may tolerate substantial fluctuations that would severely affect stenohaline species.</w:t>
      </w:r>
    </w:p>
    <w:p w:rsidR="00544479" w:rsidRDefault="0072223F">
      <w:pPr>
        <w:pStyle w:val="Heading3"/>
        <w:rPr>
          <w:rFonts w:ascii="Arial" w:hAnsi="Arial" w:cs="Arial" w:hint="default"/>
          <w:sz w:val="22"/>
          <w:szCs w:val="22"/>
        </w:rPr>
      </w:pPr>
      <w:r>
        <w:rPr>
          <w:rFonts w:ascii="Arial" w:hAnsi="Arial" w:cs="Arial" w:hint="default"/>
          <w:sz w:val="22"/>
          <w:szCs w:val="22"/>
        </w:rPr>
        <w:t>2.4 Ocean acidification</w:t>
      </w:r>
    </w:p>
    <w:p w:rsidR="00544479" w:rsidRDefault="0072223F">
      <w:pPr>
        <w:pStyle w:val="NormalWeb"/>
        <w:jc w:val="both"/>
        <w:rPr>
          <w:rFonts w:ascii="Arial" w:hAnsi="Arial" w:cs="Arial"/>
          <w:sz w:val="20"/>
          <w:szCs w:val="20"/>
        </w:rPr>
      </w:pPr>
      <w:r>
        <w:rPr>
          <w:rFonts w:ascii="Arial" w:hAnsi="Arial" w:cs="Arial"/>
          <w:sz w:val="20"/>
          <w:szCs w:val="20"/>
        </w:rPr>
        <w:t>Ocean acidification results primarily from the uptake of anthropogenic carbon dioxide by seawater and causes changes in seawater carbonate chemistry, including reduced pH and altered carbonate-ion availability. These changes can influence reproduct</w:t>
      </w:r>
      <w:r>
        <w:rPr>
          <w:rFonts w:ascii="Arial" w:hAnsi="Arial" w:cs="Arial"/>
          <w:sz w:val="20"/>
          <w:szCs w:val="20"/>
          <w:lang w:val="en-IN"/>
        </w:rPr>
        <w:t>ive process</w:t>
      </w:r>
      <w:r>
        <w:rPr>
          <w:rFonts w:ascii="Arial" w:hAnsi="Arial" w:cs="Arial"/>
          <w:sz w:val="20"/>
          <w:szCs w:val="20"/>
        </w:rPr>
        <w:t xml:space="preserve"> and early development in marine organisms, particularly during life stages with limited physiological capacity for compensation.</w:t>
      </w:r>
    </w:p>
    <w:p w:rsidR="00544479" w:rsidRDefault="0072223F">
      <w:pPr>
        <w:pStyle w:val="NormalWeb"/>
        <w:jc w:val="both"/>
        <w:rPr>
          <w:rFonts w:ascii="Arial" w:hAnsi="Arial" w:cs="Arial"/>
          <w:sz w:val="20"/>
          <w:szCs w:val="20"/>
        </w:rPr>
      </w:pPr>
      <w:r>
        <w:rPr>
          <w:rFonts w:ascii="Arial" w:hAnsi="Arial" w:cs="Arial"/>
          <w:sz w:val="20"/>
          <w:szCs w:val="20"/>
        </w:rPr>
        <w:t>In bivalves and other marine invertebrates, exposure to altered carbonate chemistry has been associated with changes in gametogenesis, sperm performance, fertilization and larval development, although responses vary considerably among taxa and experimental conditions (Padilla-Gamiño and Alma, 2022; Czaja et al., 2023).</w:t>
      </w:r>
    </w:p>
    <w:p w:rsidR="00544479" w:rsidRDefault="0072223F">
      <w:pPr>
        <w:pStyle w:val="NormalWeb"/>
        <w:jc w:val="both"/>
        <w:rPr>
          <w:rFonts w:ascii="Arial" w:hAnsi="Arial" w:cs="Arial"/>
        </w:rPr>
      </w:pPr>
      <w:r>
        <w:rPr>
          <w:rFonts w:ascii="Arial" w:hAnsi="Arial" w:cs="Arial"/>
          <w:sz w:val="20"/>
          <w:szCs w:val="20"/>
        </w:rPr>
        <w:t>Sensitivity depends on species, life stage, exposure duration, food availability and previous environmental history. Some populations can compensate for part of the physiological disturbance, whereas others show reductions in reproductive or developmental performance (Parker et al., 2018; Zhao et al., 2020). Temperature and parental condition can further modify these responses. Ocean acidification should therefore be considered alongside other environmental variables when evaluating reproductive performance and hatchery success in marine shellfish rather than being viewed solely as a problem of shell formation (Tan and Zheng, 2020; Hu et al., 2026).</w:t>
      </w:r>
    </w:p>
    <w:p w:rsidR="00544479" w:rsidRDefault="0072223F">
      <w:pPr>
        <w:pStyle w:val="Heading3"/>
        <w:rPr>
          <w:rFonts w:ascii="Arial" w:hAnsi="Arial" w:cs="Arial" w:hint="default"/>
          <w:sz w:val="22"/>
          <w:szCs w:val="22"/>
        </w:rPr>
      </w:pPr>
      <w:r>
        <w:rPr>
          <w:rFonts w:ascii="Arial" w:hAnsi="Arial" w:cs="Arial" w:hint="default"/>
          <w:sz w:val="22"/>
          <w:szCs w:val="22"/>
        </w:rPr>
        <w:t>2.5 Altered hydrology and seasonal cues</w:t>
      </w:r>
    </w:p>
    <w:p w:rsidR="00544479" w:rsidRDefault="0072223F">
      <w:pPr>
        <w:pStyle w:val="NormalWeb"/>
        <w:jc w:val="both"/>
        <w:rPr>
          <w:rFonts w:ascii="Arial" w:hAnsi="Arial" w:cs="Arial"/>
          <w:sz w:val="20"/>
          <w:szCs w:val="20"/>
        </w:rPr>
      </w:pPr>
      <w:r>
        <w:rPr>
          <w:rFonts w:ascii="Arial" w:hAnsi="Arial" w:cs="Arial"/>
          <w:sz w:val="20"/>
          <w:szCs w:val="20"/>
        </w:rPr>
        <w:t>Changes in precipitation, freshwater discharge, drought and extreme weather can simultaneously modify salinity, temperature, turbidity, dissolved oxygen and food availability. In many aquatic animals, these environmental variables act as seasonal cues that help coordinate gonadal development and spawning (Pankhurst and Munday, 2011; Karnatak et al., 2018).</w:t>
      </w:r>
    </w:p>
    <w:p w:rsidR="00544479" w:rsidRDefault="0072223F">
      <w:pPr>
        <w:pStyle w:val="NormalWeb"/>
        <w:jc w:val="both"/>
        <w:rPr>
          <w:rFonts w:ascii="Arial" w:hAnsi="Arial" w:cs="Arial"/>
          <w:sz w:val="20"/>
          <w:szCs w:val="20"/>
        </w:rPr>
      </w:pPr>
      <w:r>
        <w:rPr>
          <w:rFonts w:ascii="Arial" w:hAnsi="Arial" w:cs="Arial"/>
          <w:sz w:val="20"/>
          <w:szCs w:val="20"/>
        </w:rPr>
        <w:t>Photoperiod is an important reproductive cue in many fishes and is relatively stable from year to year at a given latitude. Climate-driven changes in temperature can nevertheless alter the relationship between photoperiod and other environmental signals. Earlier seasonal warming, for example, may advance reproductive development without a corresponding change in the timing of food production or favourable nursery conditions (Migaud et al., 2010; Wang et al., 2010; McQueen and Marshall, 2017).</w:t>
      </w:r>
    </w:p>
    <w:p w:rsidR="00544479" w:rsidRDefault="0072223F">
      <w:pPr>
        <w:pStyle w:val="NormalWeb"/>
        <w:jc w:val="both"/>
        <w:rPr>
          <w:rFonts w:ascii="Arial" w:hAnsi="Arial" w:cs="Arial"/>
        </w:rPr>
      </w:pPr>
      <w:r>
        <w:rPr>
          <w:rFonts w:ascii="Arial" w:hAnsi="Arial" w:cs="Arial"/>
          <w:sz w:val="20"/>
          <w:szCs w:val="20"/>
        </w:rPr>
        <w:t>Such decoupling can result in phenological mismatch, in which spawning or larval production occurs at a time when food availability or environmental conditions are less favourable. Climate effects on reproduction may therefore arise not only from direct physiological stress but also from disruption of the environmental timing cues that coordinate successive life-history events.</w:t>
      </w:r>
    </w:p>
    <w:p w:rsidR="00544479" w:rsidRDefault="0072223F">
      <w:pPr>
        <w:pStyle w:val="Heading3"/>
        <w:rPr>
          <w:rFonts w:ascii="Arial" w:hAnsi="Arial" w:cs="Arial" w:hint="default"/>
          <w:sz w:val="22"/>
          <w:szCs w:val="22"/>
        </w:rPr>
      </w:pPr>
      <w:r>
        <w:rPr>
          <w:rFonts w:ascii="Arial" w:hAnsi="Arial" w:cs="Arial" w:hint="default"/>
          <w:sz w:val="22"/>
          <w:szCs w:val="22"/>
        </w:rPr>
        <w:t>2.6 Multiple stressors</w:t>
      </w:r>
    </w:p>
    <w:p w:rsidR="00544479" w:rsidRDefault="0072223F">
      <w:pPr>
        <w:pStyle w:val="NormalWeb"/>
        <w:jc w:val="both"/>
        <w:rPr>
          <w:rFonts w:ascii="Arial" w:hAnsi="Arial" w:cs="Arial"/>
          <w:sz w:val="20"/>
          <w:szCs w:val="20"/>
        </w:rPr>
      </w:pPr>
      <w:r>
        <w:rPr>
          <w:rFonts w:ascii="Arial" w:hAnsi="Arial" w:cs="Arial"/>
          <w:sz w:val="20"/>
          <w:szCs w:val="20"/>
        </w:rPr>
        <w:t xml:space="preserve">Aquatic animals rarely experience environmental stressors in isolation. In natural waters and aquaculture systems, temperature, dissolved oxygen, salinity, carbonate chemistry, food availability and other variables can change simultaneously. Their combined effects may differ </w:t>
      </w:r>
      <w:r>
        <w:rPr>
          <w:rFonts w:ascii="Arial" w:hAnsi="Arial" w:cs="Arial"/>
          <w:sz w:val="20"/>
          <w:szCs w:val="20"/>
        </w:rPr>
        <w:lastRenderedPageBreak/>
        <w:t>substantially from those predicted from individual stressors considered separately (Byrne et al., 2020; Lodhi et al., 2026).</w:t>
      </w:r>
    </w:p>
    <w:p w:rsidR="00544479" w:rsidRDefault="0072223F">
      <w:pPr>
        <w:pStyle w:val="NormalWeb"/>
        <w:jc w:val="both"/>
        <w:rPr>
          <w:rFonts w:ascii="Arial" w:hAnsi="Arial" w:cs="Arial"/>
          <w:sz w:val="20"/>
          <w:szCs w:val="20"/>
        </w:rPr>
      </w:pPr>
      <w:r>
        <w:rPr>
          <w:rFonts w:ascii="Arial" w:hAnsi="Arial" w:cs="Arial"/>
          <w:sz w:val="20"/>
          <w:szCs w:val="20"/>
        </w:rPr>
        <w:t>Interactions among stressors can be additive, synergistic or antagonistic, depending on their intensity, duration, sequence and the biological characteristics of the species. For example, warming may increase metabolic demand while hypoxia limits oxygen availability, whereas simultaneous salinity stress may impose additional costs of osmoregulation. The resulting reproductive response cannot always be predicted from the effect of any single stressor.</w:t>
      </w:r>
    </w:p>
    <w:p w:rsidR="00544479" w:rsidRDefault="0072223F">
      <w:pPr>
        <w:pStyle w:val="NormalWeb"/>
        <w:jc w:val="both"/>
        <w:rPr>
          <w:rFonts w:ascii="Arial" w:hAnsi="Arial" w:cs="Arial"/>
          <w:sz w:val="20"/>
          <w:szCs w:val="20"/>
        </w:rPr>
      </w:pPr>
      <w:r>
        <w:rPr>
          <w:rFonts w:ascii="Arial" w:hAnsi="Arial" w:cs="Arial"/>
          <w:sz w:val="20"/>
          <w:szCs w:val="20"/>
        </w:rPr>
        <w:t>Multiple-stressor experiments are therefore essential for understanding reproductive responses under realistic climate scenarios. Experimental designs should consider not only stressor combinations but also their timing, order of exposure and recovery periods (Grazer and Martin, 2012; Islam et al., 2022).</w:t>
      </w:r>
    </w:p>
    <w:p w:rsidR="00544479" w:rsidRDefault="0072223F">
      <w:pPr>
        <w:pStyle w:val="NormalWeb"/>
        <w:jc w:val="both"/>
        <w:rPr>
          <w:rFonts w:ascii="Arial" w:hAnsi="Arial" w:cs="Arial"/>
          <w:sz w:val="20"/>
          <w:szCs w:val="20"/>
        </w:rPr>
      </w:pPr>
      <w:r>
        <w:rPr>
          <w:rStyle w:val="Strong"/>
          <w:rFonts w:ascii="Arial" w:hAnsi="Arial" w:cs="Arial"/>
          <w:b w:val="0"/>
          <w:bCs w:val="0"/>
          <w:sz w:val="20"/>
          <w:szCs w:val="20"/>
        </w:rPr>
        <w:t>The major climate-related stressors and their principal reproductive consequences in cultured fish and shellfish are summarized in Table 1.</w:t>
      </w:r>
    </w:p>
    <w:p w:rsidR="00544479" w:rsidRDefault="0072223F">
      <w:pPr>
        <w:pStyle w:val="NormalWeb"/>
        <w:jc w:val="both"/>
        <w:rPr>
          <w:rFonts w:ascii="Arial" w:hAnsi="Arial" w:cs="Arial"/>
          <w:b/>
          <w:bCs/>
          <w:sz w:val="20"/>
          <w:szCs w:val="20"/>
        </w:rPr>
      </w:pPr>
      <w:r>
        <w:rPr>
          <w:rFonts w:ascii="Arial" w:hAnsi="Arial" w:cs="Arial"/>
          <w:b/>
          <w:bCs/>
          <w:sz w:val="20"/>
          <w:szCs w:val="20"/>
        </w:rPr>
        <w:t>Table 1. Major climate-related stressors and their reproductive consequences in cultured fish and shellfish</w:t>
      </w:r>
    </w:p>
    <w:tbl>
      <w:tblPr>
        <w:tblStyle w:val="TableGrid"/>
        <w:tblW w:w="0" w:type="auto"/>
        <w:tblLook w:val="04A0"/>
      </w:tblPr>
      <w:tblGrid>
        <w:gridCol w:w="2130"/>
        <w:gridCol w:w="2130"/>
        <w:gridCol w:w="2131"/>
        <w:gridCol w:w="2131"/>
      </w:tblGrid>
      <w:tr w:rsidR="00544479">
        <w:tc>
          <w:tcPr>
            <w:tcW w:w="2130" w:type="dxa"/>
            <w:tcBorders>
              <w:left w:val="nil"/>
              <w:right w:val="single" w:sz="4" w:space="0" w:color="auto"/>
            </w:tcBorders>
            <w:vAlign w:val="center"/>
          </w:tcPr>
          <w:p w:rsidR="00544479" w:rsidRDefault="0072223F">
            <w:pPr>
              <w:widowControl/>
              <w:jc w:val="center"/>
              <w:rPr>
                <w:rFonts w:ascii="Arial" w:hAnsi="Arial" w:cs="Arial"/>
                <w:b/>
                <w:bCs/>
              </w:rPr>
            </w:pPr>
            <w:r>
              <w:rPr>
                <w:rStyle w:val="Strong"/>
                <w:rFonts w:ascii="Arial" w:eastAsia="SimSun" w:hAnsi="Arial" w:cs="Arial"/>
              </w:rPr>
              <w:t>Climate-related stressor</w:t>
            </w:r>
          </w:p>
        </w:tc>
        <w:tc>
          <w:tcPr>
            <w:tcW w:w="2130" w:type="dxa"/>
            <w:tcBorders>
              <w:left w:val="single" w:sz="4" w:space="0" w:color="auto"/>
              <w:right w:val="single" w:sz="4" w:space="0" w:color="auto"/>
            </w:tcBorders>
            <w:vAlign w:val="center"/>
          </w:tcPr>
          <w:p w:rsidR="00544479" w:rsidRDefault="0072223F">
            <w:pPr>
              <w:widowControl/>
              <w:jc w:val="center"/>
              <w:rPr>
                <w:rFonts w:ascii="Arial" w:hAnsi="Arial" w:cs="Arial"/>
                <w:b/>
                <w:bCs/>
              </w:rPr>
            </w:pPr>
            <w:r>
              <w:rPr>
                <w:rStyle w:val="Strong"/>
                <w:rFonts w:ascii="Arial" w:eastAsia="SimSun" w:hAnsi="Arial" w:cs="Arial"/>
              </w:rPr>
              <w:t>Principal reproductive effects</w:t>
            </w:r>
          </w:p>
        </w:tc>
        <w:tc>
          <w:tcPr>
            <w:tcW w:w="2131" w:type="dxa"/>
            <w:tcBorders>
              <w:left w:val="single" w:sz="4" w:space="0" w:color="auto"/>
              <w:right w:val="single" w:sz="4" w:space="0" w:color="auto"/>
            </w:tcBorders>
            <w:vAlign w:val="center"/>
          </w:tcPr>
          <w:p w:rsidR="00544479" w:rsidRDefault="0072223F">
            <w:pPr>
              <w:widowControl/>
              <w:jc w:val="center"/>
              <w:rPr>
                <w:rFonts w:ascii="Arial" w:hAnsi="Arial" w:cs="Arial"/>
                <w:b/>
                <w:bCs/>
              </w:rPr>
            </w:pPr>
            <w:r>
              <w:rPr>
                <w:rStyle w:val="Strong"/>
                <w:rFonts w:ascii="Arial" w:eastAsia="SimSun" w:hAnsi="Arial" w:cs="Arial"/>
              </w:rPr>
              <w:t>Major mechanisms</w:t>
            </w:r>
          </w:p>
        </w:tc>
        <w:tc>
          <w:tcPr>
            <w:tcW w:w="2131" w:type="dxa"/>
            <w:tcBorders>
              <w:left w:val="single" w:sz="4" w:space="0" w:color="auto"/>
              <w:right w:val="nil"/>
            </w:tcBorders>
            <w:vAlign w:val="center"/>
          </w:tcPr>
          <w:p w:rsidR="00544479" w:rsidRDefault="0072223F">
            <w:pPr>
              <w:widowControl/>
              <w:jc w:val="center"/>
              <w:rPr>
                <w:rFonts w:ascii="Arial" w:hAnsi="Arial" w:cs="Arial"/>
                <w:b/>
                <w:bCs/>
              </w:rPr>
            </w:pPr>
            <w:r>
              <w:rPr>
                <w:rStyle w:val="Strong"/>
                <w:rFonts w:ascii="Arial" w:eastAsia="SimSun" w:hAnsi="Arial" w:cs="Arial"/>
              </w:rPr>
              <w:t>Representative references</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Elevated temperature / heatwaves</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Altered sex differentiation, gametogenesis, gamete quality and spawning</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Endocrine disruption, altered steroidogenesis, oxidative and metabolic stress</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Pankhurst &amp; King, 2010; Dahlke et al., 2020; Seale et al., 2024</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Hypoxia</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Reduced gonadal development, gamete quality, fertilization and larval survival</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Reduced aerobic metabolism, endocrine disruption and cellular stress</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Wu, 2009; Pankhurst &amp; Munday, 2011</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Salinity fluctuation</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Delayed maturation and reduced reproductive investment</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Osmoregulatory costs, altered metabolism and energy allocation</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Kjesbu et al., 2010; Vagner et al., 2019</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Ocean acidification</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Altered gamete function, fertilization and larval performance</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Acid–base disturbance, ion regulation and metabolic stress</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Byrne et al., 2020; Padilla-Gamiño&amp; Alma, 2022</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Altered freshwater discharge</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Changes in spawning cues and reproductive condition</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Changes in salinity, temperature, food availability and oxygen</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Pörtner&amp; Peck, 2010; Poloczanska et al., 2013</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Extreme events</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Acute reproductive impairment and spawning disruption</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Rapid environmental disturbance and physiological stress</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Pörtner&amp; Farrell, 2008; Poloczanska et al., 2013</w:t>
            </w:r>
          </w:p>
        </w:tc>
      </w:tr>
      <w:tr w:rsidR="00544479">
        <w:tc>
          <w:tcPr>
            <w:tcW w:w="2130" w:type="dxa"/>
            <w:tcBorders>
              <w:left w:val="nil"/>
              <w:right w:val="single" w:sz="4" w:space="0" w:color="auto"/>
            </w:tcBorders>
            <w:vAlign w:val="center"/>
          </w:tcPr>
          <w:p w:rsidR="00544479" w:rsidRDefault="0072223F">
            <w:pPr>
              <w:widowControl/>
              <w:jc w:val="left"/>
              <w:rPr>
                <w:rFonts w:ascii="Arial" w:hAnsi="Arial" w:cs="Arial"/>
              </w:rPr>
            </w:pPr>
            <w:r>
              <w:rPr>
                <w:rStyle w:val="Strong"/>
                <w:rFonts w:ascii="Arial" w:eastAsia="SimSun" w:hAnsi="Arial" w:cs="Arial"/>
                <w:b w:val="0"/>
                <w:bCs w:val="0"/>
              </w:rPr>
              <w:t>Combined stressors</w:t>
            </w:r>
          </w:p>
        </w:tc>
        <w:tc>
          <w:tcPr>
            <w:tcW w:w="2130"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Variable additive, synergistic or antagonistic reproductive effects</w:t>
            </w:r>
          </w:p>
        </w:tc>
        <w:tc>
          <w:tcPr>
            <w:tcW w:w="2131" w:type="dxa"/>
            <w:tcBorders>
              <w:left w:val="single" w:sz="4" w:space="0" w:color="auto"/>
              <w:right w:val="single" w:sz="4" w:space="0" w:color="auto"/>
            </w:tcBorders>
            <w:vAlign w:val="center"/>
          </w:tcPr>
          <w:p w:rsidR="00544479" w:rsidRDefault="0072223F">
            <w:pPr>
              <w:widowControl/>
              <w:jc w:val="left"/>
              <w:rPr>
                <w:rFonts w:ascii="Arial" w:hAnsi="Arial" w:cs="Arial"/>
              </w:rPr>
            </w:pPr>
            <w:r>
              <w:rPr>
                <w:rFonts w:ascii="Arial" w:eastAsia="SimSun" w:hAnsi="Arial" w:cs="Arial"/>
              </w:rPr>
              <w:t>Interactions among endocrine, metabolic and cellular pathways</w:t>
            </w:r>
          </w:p>
        </w:tc>
        <w:tc>
          <w:tcPr>
            <w:tcW w:w="2131" w:type="dxa"/>
            <w:tcBorders>
              <w:left w:val="single" w:sz="4" w:space="0" w:color="auto"/>
              <w:right w:val="nil"/>
            </w:tcBorders>
            <w:vAlign w:val="center"/>
          </w:tcPr>
          <w:p w:rsidR="00544479" w:rsidRDefault="0072223F">
            <w:pPr>
              <w:widowControl/>
              <w:jc w:val="left"/>
              <w:rPr>
                <w:rFonts w:ascii="Arial" w:hAnsi="Arial" w:cs="Arial"/>
              </w:rPr>
            </w:pPr>
            <w:r>
              <w:rPr>
                <w:rFonts w:ascii="Arial" w:eastAsia="SimSun" w:hAnsi="Arial" w:cs="Arial"/>
              </w:rPr>
              <w:t>Lodhi et al., 2026</w:t>
            </w:r>
          </w:p>
        </w:tc>
      </w:tr>
    </w:tbl>
    <w:p w:rsidR="00544479" w:rsidRDefault="0072223F">
      <w:pPr>
        <w:pStyle w:val="Heading2"/>
        <w:rPr>
          <w:rFonts w:ascii="Arial" w:hAnsi="Arial" w:cs="Arial" w:hint="default"/>
          <w:sz w:val="22"/>
          <w:szCs w:val="22"/>
        </w:rPr>
      </w:pPr>
      <w:r>
        <w:rPr>
          <w:rFonts w:ascii="Arial" w:hAnsi="Arial" w:cs="Arial" w:hint="default"/>
          <w:sz w:val="22"/>
          <w:szCs w:val="22"/>
        </w:rPr>
        <w:t>3. ENDOCRINE REGULATION OF REPRODUCTION</w:t>
      </w:r>
    </w:p>
    <w:p w:rsidR="00544479" w:rsidRDefault="0072223F">
      <w:pPr>
        <w:pStyle w:val="Heading3"/>
        <w:rPr>
          <w:rFonts w:ascii="Arial" w:hAnsi="Arial" w:cs="Arial" w:hint="default"/>
          <w:sz w:val="22"/>
          <w:szCs w:val="22"/>
        </w:rPr>
      </w:pPr>
      <w:r>
        <w:rPr>
          <w:rFonts w:ascii="Arial" w:hAnsi="Arial" w:cs="Arial" w:hint="default"/>
          <w:sz w:val="22"/>
          <w:szCs w:val="22"/>
        </w:rPr>
        <w:t>3.1 Reproductive regulation in fish</w:t>
      </w:r>
    </w:p>
    <w:p w:rsidR="00544479" w:rsidRDefault="0072223F">
      <w:pPr>
        <w:pStyle w:val="NormalWeb"/>
        <w:jc w:val="both"/>
        <w:rPr>
          <w:rFonts w:ascii="Arial" w:hAnsi="Arial" w:cs="Arial"/>
          <w:sz w:val="20"/>
          <w:szCs w:val="20"/>
        </w:rPr>
      </w:pPr>
      <w:r>
        <w:rPr>
          <w:rFonts w:ascii="Arial" w:hAnsi="Arial" w:cs="Arial"/>
          <w:sz w:val="20"/>
          <w:szCs w:val="20"/>
        </w:rPr>
        <w:t xml:space="preserve">In teleost fishes, reproduction is regulated through coordinated interactions among the brain, pituitary and gonads. Environmental information is integrated by the neuroendocrine system </w:t>
      </w:r>
      <w:r>
        <w:rPr>
          <w:rFonts w:ascii="Arial" w:hAnsi="Arial" w:cs="Arial"/>
          <w:sz w:val="20"/>
          <w:szCs w:val="20"/>
        </w:rPr>
        <w:lastRenderedPageBreak/>
        <w:t>and influences gonadotropin-releasing hormone (GnRH) signalling. GnRH regulates pituitary secretion of follicle-stimulating hormone (FSH) and luteinizing hormone (LH), which act on the gonads to coordinate gametogenesis and steroidogenesis (Zohar et al., 2010; Servili et al., 2020).</w:t>
      </w:r>
    </w:p>
    <w:p w:rsidR="00544479" w:rsidRDefault="0072223F">
      <w:pPr>
        <w:pStyle w:val="NormalWeb"/>
        <w:jc w:val="both"/>
        <w:rPr>
          <w:rFonts w:ascii="Arial" w:hAnsi="Arial" w:cs="Arial"/>
          <w:sz w:val="20"/>
          <w:szCs w:val="20"/>
        </w:rPr>
      </w:pPr>
      <w:r>
        <w:rPr>
          <w:rFonts w:ascii="Arial" w:hAnsi="Arial" w:cs="Arial"/>
          <w:sz w:val="20"/>
          <w:szCs w:val="20"/>
        </w:rPr>
        <w:t>FSH generally has important roles during early gonadal development, follicular growth and steroidogenic activity, whereas LH becomes particularly important during final gamete maturation, ovulation and spermiation. The distinction is not absolute, however, and the relative contribution of FSH and LH varies among species and reproductive stages (Schulz et al., 2010). Gonadal steroids, including estradiol, testosterone and 11-ketotestosterone, regulate different aspects of gametogenesis, gonadal development and reproductive behaviour.</w:t>
      </w:r>
    </w:p>
    <w:p w:rsidR="00544479" w:rsidRDefault="0072223F">
      <w:pPr>
        <w:pStyle w:val="NormalWeb"/>
        <w:jc w:val="both"/>
        <w:rPr>
          <w:rFonts w:ascii="Arial" w:hAnsi="Arial" w:cs="Arial"/>
          <w:sz w:val="20"/>
          <w:szCs w:val="20"/>
        </w:rPr>
      </w:pPr>
      <w:r>
        <w:rPr>
          <w:rFonts w:ascii="Arial" w:hAnsi="Arial" w:cs="Arial"/>
          <w:sz w:val="20"/>
          <w:szCs w:val="20"/>
        </w:rPr>
        <w:t>Reproductive regulation also interacts closely with the endocrine stress response. Environmental stress can activate the hypothalamic–pituitary–interrenal axis and increase circulating cortisol. Persistent or severe stress may alter reproductive endocrine signalling and increase the physiological costs of maintenance, thereby reducing investment in reproduction. Climate-related reproductive impairment may therefore result from interactions between stress and reproductive pathways rather than from disruption of the reproductive axis alone (Servili et al., 2020; Islam et al., 2022).</w:t>
      </w:r>
    </w:p>
    <w:p w:rsidR="00544479" w:rsidRDefault="0072223F">
      <w:pPr>
        <w:pStyle w:val="Heading3"/>
        <w:rPr>
          <w:rFonts w:ascii="Arial" w:hAnsi="Arial" w:cs="Arial" w:hint="default"/>
          <w:sz w:val="22"/>
          <w:szCs w:val="22"/>
        </w:rPr>
      </w:pPr>
      <w:r>
        <w:rPr>
          <w:rFonts w:ascii="Arial" w:hAnsi="Arial" w:cs="Arial" w:hint="default"/>
          <w:sz w:val="22"/>
          <w:szCs w:val="22"/>
        </w:rPr>
        <w:t>3.2 Temperature-sensitive endocrine regulation</w:t>
      </w:r>
    </w:p>
    <w:p w:rsidR="00544479" w:rsidRDefault="0072223F">
      <w:pPr>
        <w:pStyle w:val="NormalWeb"/>
        <w:jc w:val="both"/>
        <w:rPr>
          <w:rFonts w:ascii="Arial" w:hAnsi="Arial" w:cs="Arial"/>
          <w:sz w:val="20"/>
          <w:szCs w:val="20"/>
        </w:rPr>
      </w:pPr>
      <w:r>
        <w:rPr>
          <w:rFonts w:ascii="Arial" w:hAnsi="Arial" w:cs="Arial"/>
          <w:sz w:val="20"/>
          <w:szCs w:val="20"/>
        </w:rPr>
        <w:t>Temperature can influence reproductive endocrinology by modifying hormone synthesis, receptor signalling and the activity of steroidogenic enzymes. Aromatase, which converts androgens into estrogens, is particularly important because estrogen production is central to ovarian development and vitellogenesis and, in some fishes, is involved in temperature-sensitive gonadal differentiation (Wang et al., 2007; Caruso et al., 2016; Lema et al., 2024).</w:t>
      </w:r>
    </w:p>
    <w:p w:rsidR="00544479" w:rsidRDefault="0072223F">
      <w:pPr>
        <w:pStyle w:val="NormalWeb"/>
        <w:jc w:val="both"/>
        <w:rPr>
          <w:rFonts w:ascii="Arial" w:hAnsi="Arial" w:cs="Arial"/>
          <w:sz w:val="20"/>
          <w:szCs w:val="20"/>
        </w:rPr>
      </w:pPr>
      <w:r>
        <w:rPr>
          <w:rFonts w:ascii="Arial" w:hAnsi="Arial" w:cs="Arial"/>
          <w:sz w:val="20"/>
          <w:szCs w:val="20"/>
        </w:rPr>
        <w:t>Consequently, temperature can influence reproduction during several sensitive periods, including sex differentiation, gonadal development, gametogenesis, final maturation and spawning. Alterations in upstream neuroendocrine signalling involving kisspeptin-, GnRH- and gonadotropin-related pathways have also been reported under temperature-sensitive conditions (Shahjahan et al., 2017). These responses are not universal, however, and depend on species, developmental stage, thermal history and reproductive ecology.</w:t>
      </w:r>
    </w:p>
    <w:p w:rsidR="00544479" w:rsidRDefault="0072223F">
      <w:pPr>
        <w:pStyle w:val="Heading3"/>
        <w:rPr>
          <w:rFonts w:ascii="Arial" w:hAnsi="Arial" w:cs="Arial" w:hint="default"/>
          <w:sz w:val="22"/>
          <w:szCs w:val="22"/>
        </w:rPr>
      </w:pPr>
      <w:r>
        <w:rPr>
          <w:rFonts w:ascii="Arial" w:hAnsi="Arial" w:cs="Arial" w:hint="default"/>
          <w:sz w:val="22"/>
          <w:szCs w:val="22"/>
        </w:rPr>
        <w:t>3.3 Reproductive regulation in shellfish</w:t>
      </w:r>
    </w:p>
    <w:p w:rsidR="00544479" w:rsidRDefault="0072223F">
      <w:pPr>
        <w:pStyle w:val="NormalWeb"/>
        <w:jc w:val="both"/>
        <w:rPr>
          <w:rFonts w:ascii="Arial" w:hAnsi="Arial" w:cs="Arial"/>
          <w:sz w:val="20"/>
          <w:szCs w:val="20"/>
        </w:rPr>
      </w:pPr>
      <w:r>
        <w:rPr>
          <w:rFonts w:ascii="Arial" w:hAnsi="Arial" w:cs="Arial"/>
          <w:sz w:val="20"/>
          <w:szCs w:val="20"/>
        </w:rPr>
        <w:t>Bivalves do not possess the vertebrate hypothalamic–pituitary–gonadal axis. Their reproductive systems are regulated through interactions among environmental sensing, neuroendocrine signalling, gonadal processes, nutrient availability and metabolic condition. Seasonal temperature, food availability and other environmental variables are important determinants of gametogenesis and spawning (Gosling, 2003; Byrne et al., 2020).</w:t>
      </w:r>
    </w:p>
    <w:p w:rsidR="00544479" w:rsidRDefault="0072223F">
      <w:pPr>
        <w:pStyle w:val="NormalWeb"/>
        <w:jc w:val="both"/>
        <w:rPr>
          <w:rFonts w:ascii="Arial" w:hAnsi="Arial" w:cs="Arial"/>
          <w:sz w:val="20"/>
          <w:szCs w:val="20"/>
        </w:rPr>
      </w:pPr>
      <w:r>
        <w:rPr>
          <w:rFonts w:ascii="Arial" w:hAnsi="Arial" w:cs="Arial"/>
          <w:sz w:val="20"/>
          <w:szCs w:val="20"/>
        </w:rPr>
        <w:t>Energy status is particularly important because gametogenesis requires substantial allocation of nutrients and stored reserves. Environmental conditions that reduce food intake or increase the energetic costs of maintenance can therefore influence the amount of energy available for gonadal development and gamete production (Tan and Zheng, 2020; Peruzza et al., 2023). These processes should not be interpreted as equivalent to the vertebrate brain–pituitary–gonad system; the regulatory architecture of bivalve reproduction is fundamentally different.</w:t>
      </w:r>
    </w:p>
    <w:p w:rsidR="00544479" w:rsidRDefault="0072223F">
      <w:pPr>
        <w:pStyle w:val="Heading2"/>
        <w:rPr>
          <w:rFonts w:ascii="Arial" w:hAnsi="Arial" w:cs="Arial" w:hint="default"/>
          <w:sz w:val="22"/>
          <w:szCs w:val="22"/>
        </w:rPr>
      </w:pPr>
      <w:r>
        <w:rPr>
          <w:rFonts w:ascii="Arial" w:hAnsi="Arial" w:cs="Arial" w:hint="default"/>
          <w:sz w:val="22"/>
          <w:szCs w:val="22"/>
        </w:rPr>
        <w:t>4. CLIMATE-DRIVEN ENDOCRINE AND REPRODUCTIVE DYSFUNCTION</w:t>
      </w:r>
    </w:p>
    <w:p w:rsidR="00544479" w:rsidRDefault="0072223F">
      <w:pPr>
        <w:pStyle w:val="NormalWeb"/>
        <w:jc w:val="both"/>
        <w:rPr>
          <w:rFonts w:ascii="Arial" w:hAnsi="Arial" w:cs="Arial"/>
          <w:sz w:val="20"/>
          <w:szCs w:val="20"/>
        </w:rPr>
      </w:pPr>
      <w:r>
        <w:rPr>
          <w:rFonts w:ascii="Arial" w:hAnsi="Arial" w:cs="Arial"/>
          <w:sz w:val="20"/>
          <w:szCs w:val="20"/>
        </w:rPr>
        <w:t xml:space="preserve">Climate-related environmental changes can influence reproduction through interconnected endocrine, metabolic and cellular pathways. In fishes, disturbances may begin with altered environmental sensing and stress responses, followed by changes in reproductive endocrine signalling, steroidogenesis and gonadal function. These changes can ultimately affect gametogenesis, gamete quality and spawning. In bivalves, environmental and metabolic </w:t>
      </w:r>
      <w:r>
        <w:rPr>
          <w:rFonts w:ascii="Arial" w:hAnsi="Arial" w:cs="Arial"/>
          <w:sz w:val="20"/>
          <w:szCs w:val="20"/>
        </w:rPr>
        <w:lastRenderedPageBreak/>
        <w:t>disturbances influence gonadal development and gamete production through regulatory mechanisms that do not involve a vertebrate-type pituitary axis.</w:t>
      </w:r>
    </w:p>
    <w:p w:rsidR="00544479" w:rsidRDefault="0072223F">
      <w:pPr>
        <w:pStyle w:val="Heading3"/>
        <w:rPr>
          <w:rFonts w:ascii="Arial" w:hAnsi="Arial" w:cs="Arial" w:hint="default"/>
          <w:sz w:val="22"/>
          <w:szCs w:val="22"/>
        </w:rPr>
      </w:pPr>
      <w:r>
        <w:rPr>
          <w:rFonts w:ascii="Arial" w:hAnsi="Arial" w:cs="Arial" w:hint="default"/>
          <w:sz w:val="22"/>
          <w:szCs w:val="22"/>
        </w:rPr>
        <w:t>4.1 Gonadal development and steroidogenesis</w:t>
      </w:r>
    </w:p>
    <w:p w:rsidR="00544479" w:rsidRDefault="0072223F">
      <w:pPr>
        <w:pStyle w:val="NormalWeb"/>
        <w:jc w:val="both"/>
        <w:rPr>
          <w:rFonts w:ascii="Arial" w:hAnsi="Arial" w:cs="Arial"/>
          <w:sz w:val="20"/>
          <w:szCs w:val="20"/>
        </w:rPr>
      </w:pPr>
      <w:r>
        <w:rPr>
          <w:rFonts w:ascii="Arial" w:hAnsi="Arial" w:cs="Arial"/>
          <w:sz w:val="20"/>
          <w:szCs w:val="20"/>
        </w:rPr>
        <w:t>Temperature can modify steroidogenic activity and alter the balance of reproductive hormones. In fishes, changes in aromatase activity and gonadal steroid production may influence gonadal differentiation, ovarian development, vitellogenesis and gamete maturation, particularly during thermally sensitive developmental stages (Servili et al., 2020; Lema et al., 2024).</w:t>
      </w:r>
    </w:p>
    <w:p w:rsidR="00544479" w:rsidRDefault="0072223F">
      <w:pPr>
        <w:pStyle w:val="NormalWeb"/>
        <w:jc w:val="both"/>
        <w:rPr>
          <w:rFonts w:ascii="Arial" w:hAnsi="Arial" w:cs="Arial"/>
          <w:sz w:val="20"/>
          <w:szCs w:val="20"/>
        </w:rPr>
      </w:pPr>
      <w:r>
        <w:rPr>
          <w:rFonts w:ascii="Arial" w:hAnsi="Arial" w:cs="Arial"/>
          <w:sz w:val="20"/>
          <w:szCs w:val="20"/>
        </w:rPr>
        <w:t>Hypoxia can also interfere with reproductive regulation and steroidogenic processes. Prolonged oxygen limitation has been associated with reduced gonadal development and impaired gamete quality in several fishes, although the magnitude of the response varies with species and exposure conditions (Wu et al., 2003; Koner and Saha, 2022). Experimental studies in salmonids have further shown that elevated temperature can modify gonadal steroid production, vitellogenesis and oocyte quality (King et al., 2003; King et al., 2007).</w:t>
      </w:r>
    </w:p>
    <w:p w:rsidR="00544479" w:rsidRDefault="0072223F">
      <w:pPr>
        <w:pStyle w:val="NormalWeb"/>
        <w:jc w:val="both"/>
        <w:rPr>
          <w:rFonts w:ascii="Arial" w:hAnsi="Arial" w:cs="Arial"/>
          <w:sz w:val="20"/>
          <w:szCs w:val="20"/>
        </w:rPr>
      </w:pPr>
      <w:r>
        <w:rPr>
          <w:rFonts w:ascii="Arial" w:hAnsi="Arial" w:cs="Arial"/>
          <w:sz w:val="20"/>
          <w:szCs w:val="20"/>
        </w:rPr>
        <w:t>These effects demonstrate that climate stress may influence reproduction before visible changes in spawning success become apparent, making endocrine and gonadal indicators useful for detecting sublethal reproductive disturbance.</w:t>
      </w:r>
    </w:p>
    <w:p w:rsidR="00544479" w:rsidRDefault="0072223F">
      <w:pPr>
        <w:pStyle w:val="Heading3"/>
        <w:rPr>
          <w:rFonts w:ascii="Arial" w:hAnsi="Arial" w:cs="Arial" w:hint="default"/>
          <w:sz w:val="22"/>
          <w:szCs w:val="22"/>
        </w:rPr>
      </w:pPr>
      <w:r>
        <w:rPr>
          <w:rFonts w:ascii="Arial" w:hAnsi="Arial" w:cs="Arial" w:hint="default"/>
          <w:sz w:val="22"/>
          <w:szCs w:val="22"/>
        </w:rPr>
        <w:t>4.2 Gametogenesis and gamete quality</w:t>
      </w:r>
    </w:p>
    <w:p w:rsidR="00544479" w:rsidRDefault="0072223F">
      <w:pPr>
        <w:pStyle w:val="NormalWeb"/>
        <w:jc w:val="both"/>
        <w:rPr>
          <w:rFonts w:ascii="Arial" w:hAnsi="Arial" w:cs="Arial"/>
          <w:sz w:val="20"/>
          <w:szCs w:val="20"/>
        </w:rPr>
      </w:pPr>
      <w:r>
        <w:rPr>
          <w:rFonts w:ascii="Arial" w:hAnsi="Arial" w:cs="Arial"/>
          <w:sz w:val="20"/>
          <w:szCs w:val="20"/>
        </w:rPr>
        <w:t>Gametogenesis is a critical point at which environmental stress can become evident. Thermal stress can interfere with both oogenesis and spermatogenesis, while exposure to temperatures outside the optimal range may reduce sperm motility, viability and membrane integrity and impair oocyte competence (Alix et al., 2020; Lahnsteiner and Kletzl, 2012; Lahnsteiner and Leitner, 2013).</w:t>
      </w:r>
    </w:p>
    <w:p w:rsidR="00544479" w:rsidRDefault="0072223F">
      <w:pPr>
        <w:pStyle w:val="NormalWeb"/>
        <w:jc w:val="both"/>
        <w:rPr>
          <w:rFonts w:ascii="Arial" w:hAnsi="Arial" w:cs="Arial"/>
          <w:sz w:val="20"/>
          <w:szCs w:val="20"/>
        </w:rPr>
      </w:pPr>
      <w:r>
        <w:rPr>
          <w:rFonts w:ascii="Arial" w:hAnsi="Arial" w:cs="Arial"/>
          <w:sz w:val="20"/>
          <w:szCs w:val="20"/>
        </w:rPr>
        <w:t>Oxidative stress provides one potential mechanism linking several environmental disturbances to reproductive impairment. Thermal extremes and hypoxia can disturb cellular redox balance and increase the production of reactive oxygen species. Excessive oxidative damage may affect lipids, proteins, mitochondrial function and nucleic acids. Sperm can be particularly vulnerable because of their membrane characteristics and limited capacity for repair (Fenkes et al., 2017; Dadras et al., 2017; Merino et al., 2023).</w:t>
      </w:r>
    </w:p>
    <w:p w:rsidR="00544479" w:rsidRDefault="0072223F">
      <w:pPr>
        <w:pStyle w:val="NormalWeb"/>
        <w:jc w:val="both"/>
        <w:rPr>
          <w:rFonts w:ascii="Arial" w:hAnsi="Arial" w:cs="Arial"/>
          <w:sz w:val="20"/>
          <w:szCs w:val="20"/>
        </w:rPr>
      </w:pPr>
      <w:r>
        <w:rPr>
          <w:rFonts w:ascii="Arial" w:hAnsi="Arial" w:cs="Arial"/>
          <w:sz w:val="20"/>
          <w:szCs w:val="20"/>
        </w:rPr>
        <w:t>Accordingly, sperm motility, viability and DNA integrity, together with appropriate indicators of oocyte quality, can provide sensitive measures of reproductive condition. Such endpoints may reveal sublethal reproductive effects that are not evident from adult survival alone (Bobe and Labbé, 2010; Valdebenito et al., 2015).</w:t>
      </w:r>
    </w:p>
    <w:p w:rsidR="00544479" w:rsidRDefault="0072223F">
      <w:pPr>
        <w:pStyle w:val="Heading3"/>
        <w:rPr>
          <w:rFonts w:ascii="Arial" w:hAnsi="Arial" w:cs="Arial" w:hint="default"/>
          <w:sz w:val="22"/>
          <w:szCs w:val="22"/>
        </w:rPr>
      </w:pPr>
      <w:r>
        <w:rPr>
          <w:rFonts w:ascii="Arial" w:hAnsi="Arial" w:cs="Arial" w:hint="default"/>
          <w:sz w:val="22"/>
          <w:szCs w:val="22"/>
        </w:rPr>
        <w:t>4.3 Energy allocation and reproductive trade-offs</w:t>
      </w:r>
    </w:p>
    <w:p w:rsidR="00544479" w:rsidRDefault="0072223F">
      <w:pPr>
        <w:pStyle w:val="NormalWeb"/>
        <w:jc w:val="both"/>
        <w:rPr>
          <w:rFonts w:ascii="Arial" w:hAnsi="Arial" w:cs="Arial"/>
          <w:sz w:val="20"/>
          <w:szCs w:val="20"/>
        </w:rPr>
      </w:pPr>
      <w:r>
        <w:rPr>
          <w:rFonts w:ascii="Arial" w:hAnsi="Arial" w:cs="Arial"/>
          <w:sz w:val="20"/>
          <w:szCs w:val="20"/>
        </w:rPr>
        <w:t>Reproduction requires considerable energetic investment. Under environmental stress, animals may increase expenditure on osmoregulation, acid–base regulation, stress responses, cellular repair and other maintenance processes. When energy intake is insufficient to meet these demands, fewer resources may remain available for gonadal development and gamete production (Pörtner and Farrell, 2008; Seale et al., 2024).</w:t>
      </w:r>
    </w:p>
    <w:p w:rsidR="00544479" w:rsidRDefault="0072223F">
      <w:pPr>
        <w:pStyle w:val="NormalWeb"/>
        <w:jc w:val="both"/>
        <w:rPr>
          <w:rFonts w:ascii="Arial" w:hAnsi="Arial" w:cs="Arial"/>
          <w:sz w:val="20"/>
          <w:szCs w:val="20"/>
        </w:rPr>
      </w:pPr>
      <w:r>
        <w:rPr>
          <w:rFonts w:ascii="Arial" w:hAnsi="Arial" w:cs="Arial"/>
          <w:sz w:val="20"/>
          <w:szCs w:val="20"/>
        </w:rPr>
        <w:t>This trade-off is particularly relevant to shellfish, in which reproductive investment is closely associated with food availability and the accumulation of energy reserves. Heatwaves and other environmental disturbances may therefore reduce gametogenic investment even when adult survival is maintained (Peruzza et al., 2023).</w:t>
      </w:r>
    </w:p>
    <w:p w:rsidR="00544479" w:rsidRDefault="0072223F">
      <w:pPr>
        <w:pStyle w:val="Heading3"/>
        <w:rPr>
          <w:rFonts w:ascii="Arial" w:hAnsi="Arial" w:cs="Arial" w:hint="default"/>
          <w:sz w:val="22"/>
          <w:szCs w:val="22"/>
        </w:rPr>
      </w:pPr>
      <w:r>
        <w:rPr>
          <w:rFonts w:ascii="Arial" w:hAnsi="Arial" w:cs="Arial" w:hint="default"/>
          <w:sz w:val="22"/>
          <w:szCs w:val="22"/>
        </w:rPr>
        <w:t>4.4 Spawning and reproductive phenology</w:t>
      </w:r>
    </w:p>
    <w:p w:rsidR="00544479" w:rsidRDefault="0072223F">
      <w:pPr>
        <w:pStyle w:val="NormalWeb"/>
        <w:jc w:val="both"/>
        <w:rPr>
          <w:rFonts w:ascii="Arial" w:hAnsi="Arial" w:cs="Arial"/>
          <w:sz w:val="20"/>
          <w:szCs w:val="20"/>
        </w:rPr>
      </w:pPr>
      <w:r>
        <w:rPr>
          <w:rFonts w:ascii="Arial" w:hAnsi="Arial" w:cs="Arial"/>
          <w:sz w:val="20"/>
          <w:szCs w:val="20"/>
        </w:rPr>
        <w:lastRenderedPageBreak/>
        <w:t>Climate change can modify the timing of gonadal maturation and spawning. Warming may advance or delay reproductive events depending on species, latitude, thermal history and the relationship between temperature and other environmental cues. Changes in rainfall, salinity, food availability and hydrological conditions may further alter reproductive synchronization (Pankhurst and Munday, 2011; McQueen and Marshall, 2017; Karnatak et al., 2018).</w:t>
      </w:r>
    </w:p>
    <w:p w:rsidR="00544479" w:rsidRDefault="0072223F">
      <w:pPr>
        <w:pStyle w:val="NormalWeb"/>
        <w:jc w:val="both"/>
        <w:rPr>
          <w:rFonts w:ascii="Arial" w:hAnsi="Arial" w:cs="Arial"/>
          <w:sz w:val="20"/>
          <w:szCs w:val="20"/>
        </w:rPr>
      </w:pPr>
      <w:r>
        <w:rPr>
          <w:rFonts w:ascii="Arial" w:hAnsi="Arial" w:cs="Arial"/>
          <w:sz w:val="20"/>
          <w:szCs w:val="20"/>
        </w:rPr>
        <w:t>Changes in spawning time become particularly consequential when the availability of food or suitable nursery habitat does not shift at the same rate. Such phenological mismatches can reduce recruitment even when adults remain physiologically capable of reproducing (Cohen et al., 2018).</w:t>
      </w:r>
    </w:p>
    <w:p w:rsidR="00544479" w:rsidRDefault="0072223F">
      <w:pPr>
        <w:pStyle w:val="NormalWeb"/>
        <w:jc w:val="both"/>
      </w:pPr>
      <w:r>
        <w:rPr>
          <w:rStyle w:val="Strong"/>
          <w:rFonts w:ascii="Arial" w:hAnsi="Arial" w:cs="Arial"/>
          <w:b w:val="0"/>
          <w:bCs w:val="0"/>
          <w:sz w:val="20"/>
          <w:szCs w:val="20"/>
        </w:rPr>
        <w:t>The principal physiological and endocrine pathways linking climate-related environmental stress to reproductive dysfunction are summarized in Table 2.</w:t>
      </w:r>
    </w:p>
    <w:p w:rsidR="00544479" w:rsidRDefault="0072223F">
      <w:pPr>
        <w:pStyle w:val="NormalWeb"/>
        <w:jc w:val="both"/>
        <w:rPr>
          <w:rFonts w:ascii="Arial" w:hAnsi="Arial" w:cs="Arial"/>
          <w:b/>
          <w:bCs/>
          <w:sz w:val="20"/>
          <w:szCs w:val="20"/>
        </w:rPr>
      </w:pPr>
      <w:r>
        <w:rPr>
          <w:rFonts w:ascii="Arial" w:hAnsi="Arial" w:cs="Arial"/>
          <w:b/>
          <w:bCs/>
          <w:sz w:val="20"/>
          <w:szCs w:val="20"/>
        </w:rPr>
        <w:t>Table 2. Principal mechanisms linking climate-related environmental stress with reproductive dysfunction in fish and shellfish</w:t>
      </w:r>
    </w:p>
    <w:tbl>
      <w:tblPr>
        <w:tblStyle w:val="TableGrid"/>
        <w:tblW w:w="0" w:type="auto"/>
        <w:tblLook w:val="04A0"/>
      </w:tblPr>
      <w:tblGrid>
        <w:gridCol w:w="1961"/>
        <w:gridCol w:w="2528"/>
        <w:gridCol w:w="2008"/>
        <w:gridCol w:w="2025"/>
      </w:tblGrid>
      <w:tr w:rsidR="00544479">
        <w:tc>
          <w:tcPr>
            <w:tcW w:w="2130" w:type="dxa"/>
            <w:tcBorders>
              <w:left w:val="nil"/>
              <w:right w:val="single" w:sz="4" w:space="0" w:color="auto"/>
            </w:tcBorders>
            <w:vAlign w:val="center"/>
          </w:tcPr>
          <w:p w:rsidR="00544479" w:rsidRDefault="0072223F">
            <w:pPr>
              <w:widowControl/>
              <w:jc w:val="center"/>
              <w:rPr>
                <w:rFonts w:ascii="Arial" w:eastAsia="SimSun" w:hAnsi="Arial" w:cs="Arial"/>
              </w:rPr>
            </w:pPr>
            <w:r>
              <w:rPr>
                <w:rStyle w:val="Strong"/>
                <w:rFonts w:ascii="Arial" w:eastAsia="SimSun" w:hAnsi="Arial" w:cs="Arial"/>
              </w:rPr>
              <w:t>Stressor</w:t>
            </w:r>
          </w:p>
        </w:tc>
        <w:tc>
          <w:tcPr>
            <w:tcW w:w="2130" w:type="dxa"/>
            <w:tcBorders>
              <w:left w:val="single" w:sz="4" w:space="0" w:color="auto"/>
              <w:right w:val="single" w:sz="4" w:space="0" w:color="auto"/>
            </w:tcBorders>
            <w:vAlign w:val="center"/>
          </w:tcPr>
          <w:p w:rsidR="00544479" w:rsidRDefault="0072223F">
            <w:pPr>
              <w:widowControl/>
              <w:jc w:val="center"/>
              <w:rPr>
                <w:rFonts w:ascii="Arial" w:eastAsia="SimSun" w:hAnsi="Arial" w:cs="Arial"/>
              </w:rPr>
            </w:pPr>
            <w:r>
              <w:rPr>
                <w:rStyle w:val="Strong"/>
                <w:rFonts w:ascii="Arial" w:eastAsia="SimSun" w:hAnsi="Arial" w:cs="Arial"/>
              </w:rPr>
              <w:t>Endocrine/physiological pathway</w:t>
            </w:r>
          </w:p>
        </w:tc>
        <w:tc>
          <w:tcPr>
            <w:tcW w:w="2131" w:type="dxa"/>
            <w:tcBorders>
              <w:left w:val="single" w:sz="4" w:space="0" w:color="auto"/>
              <w:right w:val="single" w:sz="4" w:space="0" w:color="auto"/>
            </w:tcBorders>
            <w:vAlign w:val="center"/>
          </w:tcPr>
          <w:p w:rsidR="00544479" w:rsidRDefault="0072223F">
            <w:pPr>
              <w:widowControl/>
              <w:jc w:val="center"/>
              <w:rPr>
                <w:rFonts w:ascii="Arial" w:eastAsia="SimSun" w:hAnsi="Arial" w:cs="Arial"/>
              </w:rPr>
            </w:pPr>
            <w:r>
              <w:rPr>
                <w:rStyle w:val="Strong"/>
                <w:rFonts w:ascii="Arial" w:eastAsia="SimSun" w:hAnsi="Arial" w:cs="Arial"/>
              </w:rPr>
              <w:t>Reproductive outcome</w:t>
            </w:r>
          </w:p>
        </w:tc>
        <w:tc>
          <w:tcPr>
            <w:tcW w:w="2131" w:type="dxa"/>
            <w:tcBorders>
              <w:left w:val="single" w:sz="4" w:space="0" w:color="auto"/>
              <w:right w:val="nil"/>
            </w:tcBorders>
            <w:vAlign w:val="center"/>
          </w:tcPr>
          <w:p w:rsidR="00544479" w:rsidRDefault="0072223F">
            <w:pPr>
              <w:widowControl/>
              <w:jc w:val="center"/>
              <w:rPr>
                <w:rFonts w:ascii="Arial" w:eastAsia="SimSun" w:hAnsi="Arial" w:cs="Arial"/>
              </w:rPr>
            </w:pPr>
            <w:r>
              <w:rPr>
                <w:rStyle w:val="Strong"/>
                <w:rFonts w:ascii="Arial" w:eastAsia="SimSun" w:hAnsi="Arial" w:cs="Arial"/>
              </w:rPr>
              <w:t>Representative references</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Temperature</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GnRH–FSH/LH regulation; steroidogenesis; aromatase activity</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Altered gonadal development and spawning</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Pankhurst &amp; King, 2010; Dahlke et al., 2020; Taranger et al., 2015</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Hypoxia</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HIF-related responses; altered steroidogenesis and metabolism</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Reduced gametogenesis and gamete quality</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Wu, 2009; Pankhurst &amp; Munday, 2011</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Salinity stress</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Osmoregulatory and metabolic responses</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Reduced reproductive investment</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Vagner et al., 2019; Kjesbu et al., 2010</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Acidification</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Acid–base regulation and ion homeostasis</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Impaired gamete function and early development</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Byrne et al., 2020; Padilla-Gamiño&amp; Alma, 2022</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Multiple stressors</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Oxidative stress, endocrine disruption and energy reallocation</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Reduced reproductive resilience</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Lodhi et al., 2026; Hu et al., 2026</w:t>
            </w:r>
          </w:p>
        </w:tc>
      </w:tr>
      <w:tr w:rsidR="00544479">
        <w:tc>
          <w:tcPr>
            <w:tcW w:w="2130" w:type="dxa"/>
            <w:tcBorders>
              <w:left w:val="nil"/>
              <w:right w:val="single" w:sz="4" w:space="0" w:color="auto"/>
            </w:tcBorders>
            <w:vAlign w:val="center"/>
          </w:tcPr>
          <w:p w:rsidR="00544479" w:rsidRDefault="0072223F">
            <w:pPr>
              <w:widowControl/>
              <w:jc w:val="left"/>
              <w:rPr>
                <w:rFonts w:ascii="Arial" w:eastAsia="SimSun" w:hAnsi="Arial" w:cs="Arial"/>
              </w:rPr>
            </w:pPr>
            <w:r>
              <w:rPr>
                <w:rStyle w:val="Strong"/>
                <w:rFonts w:ascii="Arial" w:eastAsia="SimSun" w:hAnsi="Arial" w:cs="Arial"/>
                <w:b w:val="0"/>
                <w:bCs w:val="0"/>
              </w:rPr>
              <w:t>Parental stress</w:t>
            </w:r>
          </w:p>
        </w:tc>
        <w:tc>
          <w:tcPr>
            <w:tcW w:w="2130"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Gamete-mediated effects and epigenetic regulation</w:t>
            </w:r>
          </w:p>
        </w:tc>
        <w:tc>
          <w:tcPr>
            <w:tcW w:w="2131" w:type="dxa"/>
            <w:tcBorders>
              <w:left w:val="single" w:sz="4" w:space="0" w:color="auto"/>
              <w:right w:val="single" w:sz="4" w:space="0" w:color="auto"/>
            </w:tcBorders>
            <w:vAlign w:val="center"/>
          </w:tcPr>
          <w:p w:rsidR="00544479" w:rsidRDefault="0072223F">
            <w:pPr>
              <w:widowControl/>
              <w:jc w:val="left"/>
              <w:rPr>
                <w:rFonts w:ascii="Arial" w:eastAsia="SimSun" w:hAnsi="Arial" w:cs="Arial"/>
              </w:rPr>
            </w:pPr>
            <w:r>
              <w:rPr>
                <w:rFonts w:ascii="Arial" w:eastAsia="SimSun" w:hAnsi="Arial" w:cs="Arial"/>
              </w:rPr>
              <w:t>Altered offspring performance</w:t>
            </w:r>
          </w:p>
        </w:tc>
        <w:tc>
          <w:tcPr>
            <w:tcW w:w="2131" w:type="dxa"/>
            <w:tcBorders>
              <w:left w:val="single" w:sz="4" w:space="0" w:color="auto"/>
              <w:right w:val="nil"/>
            </w:tcBorders>
            <w:vAlign w:val="center"/>
          </w:tcPr>
          <w:p w:rsidR="00544479" w:rsidRDefault="0072223F">
            <w:pPr>
              <w:widowControl/>
              <w:jc w:val="left"/>
              <w:rPr>
                <w:rFonts w:ascii="Arial" w:eastAsia="SimSun" w:hAnsi="Arial" w:cs="Arial"/>
              </w:rPr>
            </w:pPr>
            <w:r>
              <w:rPr>
                <w:rFonts w:ascii="Arial" w:eastAsia="SimSun" w:hAnsi="Arial" w:cs="Arial"/>
              </w:rPr>
              <w:t>Donelson et al., 2012; Ryu et al., 2018; Ryu et al., 2020</w:t>
            </w:r>
          </w:p>
        </w:tc>
      </w:tr>
    </w:tbl>
    <w:p w:rsidR="00544479" w:rsidRDefault="0072223F">
      <w:pPr>
        <w:pStyle w:val="Heading2"/>
        <w:rPr>
          <w:rFonts w:ascii="Arial" w:hAnsi="Arial" w:cs="Arial" w:hint="default"/>
          <w:sz w:val="22"/>
          <w:szCs w:val="22"/>
        </w:rPr>
      </w:pPr>
      <w:r>
        <w:rPr>
          <w:rFonts w:ascii="Arial" w:hAnsi="Arial" w:cs="Arial" w:hint="default"/>
          <w:sz w:val="22"/>
          <w:szCs w:val="22"/>
        </w:rPr>
        <w:t>5. CONSEQUENCES FOR GAMETES, FERTILIZATION AND EARLY DEVELOPMENT</w:t>
      </w:r>
    </w:p>
    <w:p w:rsidR="00544479" w:rsidRDefault="0072223F">
      <w:pPr>
        <w:pStyle w:val="NormalWeb"/>
        <w:jc w:val="both"/>
        <w:rPr>
          <w:rFonts w:ascii="Arial" w:hAnsi="Arial" w:cs="Arial"/>
        </w:rPr>
      </w:pPr>
      <w:r>
        <w:rPr>
          <w:rFonts w:ascii="Arial" w:hAnsi="Arial" w:cs="Arial"/>
        </w:rPr>
        <w:t>The reproductive effects of climate-related stress extend beyond gonadal development and can become evident during fertilization, embryogenesis and larval development.</w:t>
      </w:r>
    </w:p>
    <w:p w:rsidR="00544479" w:rsidRDefault="0072223F">
      <w:pPr>
        <w:pStyle w:val="Heading3"/>
        <w:rPr>
          <w:rFonts w:ascii="Arial" w:hAnsi="Arial" w:cs="Arial" w:hint="default"/>
          <w:sz w:val="22"/>
          <w:szCs w:val="22"/>
        </w:rPr>
      </w:pPr>
      <w:r>
        <w:rPr>
          <w:rFonts w:ascii="Arial" w:hAnsi="Arial" w:cs="Arial" w:hint="default"/>
          <w:sz w:val="22"/>
          <w:szCs w:val="22"/>
        </w:rPr>
        <w:t>5.1 Fertilization</w:t>
      </w:r>
    </w:p>
    <w:p w:rsidR="00544479" w:rsidRDefault="0072223F">
      <w:pPr>
        <w:pStyle w:val="NormalWeb"/>
        <w:jc w:val="both"/>
        <w:rPr>
          <w:rFonts w:ascii="Arial" w:hAnsi="Arial" w:cs="Arial"/>
          <w:sz w:val="20"/>
          <w:szCs w:val="20"/>
        </w:rPr>
      </w:pPr>
      <w:r>
        <w:rPr>
          <w:rFonts w:ascii="Arial" w:hAnsi="Arial" w:cs="Arial"/>
          <w:sz w:val="20"/>
          <w:szCs w:val="20"/>
        </w:rPr>
        <w:t>Successful fertilization depends on the functional quality of sperm and oocytes as well as on suitable environmental conditions at the time of gamete interaction. Temperature and salinity can influence sperm motility and gamete function, while the temperature and ionic conditions of the activation medium can directly affect sperm performance during artificial fertilization (Dadras et al., 2017; Merino et al., 2023). Hypoxia may further reduce reproductive performance through effects on gamete quality and reproductive physiology (Wu et al., 2003; Koner and Saha, 2022).</w:t>
      </w:r>
    </w:p>
    <w:p w:rsidR="00544479" w:rsidRDefault="0072223F">
      <w:pPr>
        <w:pStyle w:val="NormalWeb"/>
        <w:jc w:val="both"/>
        <w:rPr>
          <w:rFonts w:ascii="Arial" w:hAnsi="Arial" w:cs="Arial"/>
          <w:sz w:val="20"/>
          <w:szCs w:val="20"/>
        </w:rPr>
      </w:pPr>
      <w:r>
        <w:rPr>
          <w:rFonts w:ascii="Arial" w:hAnsi="Arial" w:cs="Arial"/>
          <w:sz w:val="20"/>
          <w:szCs w:val="20"/>
        </w:rPr>
        <w:lastRenderedPageBreak/>
        <w:t>These effects can be particularly important in broadcast-spawning shellfish because eggs and sperm are released directly into the surrounding seawater. Changes in carbonate chemistry may also influence sperm performance and fertilization in some marine invertebrates, although the magnitude and direction of the response differ among taxa and experimental conditions (Padilla-Gamiño and Alma, 2022; Han et al., 2021).</w:t>
      </w:r>
    </w:p>
    <w:p w:rsidR="00544479" w:rsidRDefault="0072223F">
      <w:pPr>
        <w:pStyle w:val="Heading3"/>
        <w:rPr>
          <w:rFonts w:ascii="Arial" w:hAnsi="Arial" w:cs="Arial" w:hint="default"/>
          <w:sz w:val="22"/>
          <w:szCs w:val="22"/>
        </w:rPr>
      </w:pPr>
      <w:r>
        <w:rPr>
          <w:rFonts w:ascii="Arial" w:hAnsi="Arial" w:cs="Arial" w:hint="default"/>
          <w:sz w:val="22"/>
          <w:szCs w:val="22"/>
        </w:rPr>
        <w:t>5.2 Embryogenesis and larval performance</w:t>
      </w:r>
    </w:p>
    <w:p w:rsidR="00544479" w:rsidRDefault="0072223F">
      <w:pPr>
        <w:pStyle w:val="NormalWeb"/>
        <w:jc w:val="both"/>
        <w:rPr>
          <w:rFonts w:ascii="Arial" w:hAnsi="Arial" w:cs="Arial"/>
          <w:sz w:val="20"/>
          <w:szCs w:val="20"/>
        </w:rPr>
      </w:pPr>
      <w:r>
        <w:rPr>
          <w:rFonts w:ascii="Arial" w:hAnsi="Arial" w:cs="Arial"/>
          <w:sz w:val="20"/>
          <w:szCs w:val="20"/>
        </w:rPr>
        <w:t>Embryos and larvae often have narrower environmental tolerance than adults. Temperature outside the optimal developmental range can alter developmental rates and increase the risk of abnormal development, while hypoxia can interfere with embryonic development and reduce hatching success (Pankhurst and Munday, 2011; Vagner et al., 2019).</w:t>
      </w:r>
    </w:p>
    <w:p w:rsidR="00544479" w:rsidRDefault="0072223F">
      <w:pPr>
        <w:pStyle w:val="NormalWeb"/>
        <w:jc w:val="both"/>
        <w:rPr>
          <w:rFonts w:ascii="Arial" w:hAnsi="Arial" w:cs="Arial"/>
          <w:sz w:val="20"/>
          <w:szCs w:val="20"/>
        </w:rPr>
      </w:pPr>
      <w:r>
        <w:rPr>
          <w:rFonts w:ascii="Arial" w:hAnsi="Arial" w:cs="Arial"/>
          <w:sz w:val="20"/>
          <w:szCs w:val="20"/>
        </w:rPr>
        <w:t>Offspring performance can also be influenced by parental environmental history. Thermal or nutritional stress experienced by broodstock may affect the quality and developmental competence of gametes, with consequences for offspring even when subsequent larval conditions are relatively favourable (Lubzens et al., 2017; Thorn et al., 2019).</w:t>
      </w:r>
    </w:p>
    <w:p w:rsidR="00544479" w:rsidRDefault="0072223F">
      <w:pPr>
        <w:pStyle w:val="NormalWeb"/>
        <w:jc w:val="both"/>
        <w:rPr>
          <w:rFonts w:ascii="Arial" w:hAnsi="Arial" w:cs="Arial"/>
          <w:sz w:val="20"/>
          <w:szCs w:val="20"/>
        </w:rPr>
      </w:pPr>
      <w:r>
        <w:rPr>
          <w:rFonts w:ascii="Arial" w:hAnsi="Arial" w:cs="Arial"/>
          <w:sz w:val="20"/>
          <w:szCs w:val="20"/>
        </w:rPr>
        <w:t>In shellfish, altered carbonate chemistry can additionally affect larval calcification and energy balance. Consequently, climate-related effects may accumulate across successive developmental stages rather than appearing at a single reproductive endpoint (Parker et al., 2018; Hu et al., 2026).</w:t>
      </w:r>
    </w:p>
    <w:p w:rsidR="00544479" w:rsidRDefault="0072223F">
      <w:pPr>
        <w:pStyle w:val="Heading3"/>
        <w:rPr>
          <w:rFonts w:ascii="Arial" w:hAnsi="Arial" w:cs="Arial" w:hint="default"/>
          <w:sz w:val="22"/>
          <w:szCs w:val="22"/>
        </w:rPr>
      </w:pPr>
      <w:r>
        <w:rPr>
          <w:rFonts w:ascii="Arial" w:hAnsi="Arial" w:cs="Arial" w:hint="default"/>
          <w:sz w:val="22"/>
          <w:szCs w:val="22"/>
        </w:rPr>
        <w:t>5.3 Reproductive consequences for aquaculture</w:t>
      </w:r>
    </w:p>
    <w:p w:rsidR="00544479" w:rsidRDefault="0072223F">
      <w:pPr>
        <w:pStyle w:val="NormalWeb"/>
        <w:jc w:val="both"/>
        <w:rPr>
          <w:rFonts w:ascii="Arial" w:hAnsi="Arial" w:cs="Arial"/>
          <w:sz w:val="20"/>
          <w:szCs w:val="20"/>
        </w:rPr>
      </w:pPr>
      <w:r>
        <w:rPr>
          <w:rFonts w:ascii="Arial" w:hAnsi="Arial" w:cs="Arial"/>
          <w:sz w:val="20"/>
          <w:szCs w:val="20"/>
        </w:rPr>
        <w:t>For hatchery production, relatively small reductions at successive reproductive stages can combine to produce a substantial decline in final seed output. The reproductive pathway can be represented as:</w:t>
      </w:r>
    </w:p>
    <w:p w:rsidR="00544479" w:rsidRDefault="0072223F">
      <w:pPr>
        <w:pStyle w:val="NormalWeb"/>
        <w:jc w:val="both"/>
        <w:rPr>
          <w:rFonts w:ascii="Arial" w:hAnsi="Arial" w:cs="Arial"/>
          <w:sz w:val="20"/>
          <w:szCs w:val="20"/>
        </w:rPr>
      </w:pPr>
      <w:r>
        <w:rPr>
          <w:rFonts w:ascii="Arial" w:hAnsi="Arial" w:cs="Arial"/>
          <w:sz w:val="20"/>
          <w:szCs w:val="20"/>
        </w:rPr>
        <w:t>broodstock condition → gametogenesis → gamete quality → spawning → fertilization → embryonic development → hatching → larval survival → juvenile production</w:t>
      </w:r>
    </w:p>
    <w:p w:rsidR="00544479" w:rsidRDefault="0072223F">
      <w:pPr>
        <w:pStyle w:val="NormalWeb"/>
        <w:jc w:val="both"/>
        <w:rPr>
          <w:rFonts w:ascii="Arial" w:hAnsi="Arial" w:cs="Arial"/>
          <w:sz w:val="20"/>
          <w:szCs w:val="20"/>
        </w:rPr>
      </w:pPr>
      <w:r>
        <w:rPr>
          <w:rFonts w:ascii="Arial" w:hAnsi="Arial" w:cs="Arial"/>
          <w:sz w:val="20"/>
          <w:szCs w:val="20"/>
        </w:rPr>
        <w:t>This sequential perspective is important because broodstock may survive environmental stress while showing reduced reproductive output or producing gametes of lower quality. Reproductive resilience should therefore be evaluated separately from survival tolerance, particularly when assessing the vulnerability of hatchery broodstock and seed-production systems to climate change (Bobe and Labbé, 2010; Kjesbu et al., 2010).</w:t>
      </w:r>
    </w:p>
    <w:p w:rsidR="00544479" w:rsidRDefault="0072223F">
      <w:pPr>
        <w:pStyle w:val="Heading2"/>
        <w:rPr>
          <w:rFonts w:ascii="Arial" w:hAnsi="Arial" w:cs="Arial" w:hint="default"/>
          <w:sz w:val="22"/>
          <w:szCs w:val="22"/>
        </w:rPr>
      </w:pPr>
      <w:r>
        <w:rPr>
          <w:rFonts w:ascii="Arial" w:hAnsi="Arial" w:cs="Arial" w:hint="default"/>
          <w:sz w:val="22"/>
          <w:szCs w:val="22"/>
        </w:rPr>
        <w:t>6. MULTIPLE-STRESSOR EFFECTS AND REPRODUCTIVE RESILIENCE</w:t>
      </w:r>
    </w:p>
    <w:p w:rsidR="00544479" w:rsidRDefault="0072223F">
      <w:pPr>
        <w:pStyle w:val="NormalWeb"/>
        <w:jc w:val="both"/>
        <w:rPr>
          <w:rFonts w:ascii="Arial" w:hAnsi="Arial" w:cs="Arial"/>
          <w:sz w:val="20"/>
          <w:szCs w:val="20"/>
        </w:rPr>
      </w:pPr>
      <w:r>
        <w:rPr>
          <w:rFonts w:ascii="Arial" w:hAnsi="Arial" w:cs="Arial"/>
          <w:sz w:val="20"/>
          <w:szCs w:val="20"/>
        </w:rPr>
        <w:t>Aquatic organisms are commonly exposed to several environmental changes at the same time rather than to a single stressor. Warming can increase metabolic demand and reduce the amount of oxygen available in the water, while changes in salinity impose additional requirements for maintaining ionic and osmotic balance. Altered carbonate chemistry may further affect acid–base regulation and other physiological processes, particularly in marine organisms with limited capacity for compensation (Pörtner and Farrell, 2008; Byrne et al., 2020).</w:t>
      </w:r>
    </w:p>
    <w:p w:rsidR="00544479" w:rsidRDefault="0072223F">
      <w:pPr>
        <w:pStyle w:val="NormalWeb"/>
        <w:jc w:val="both"/>
        <w:rPr>
          <w:rFonts w:ascii="Arial" w:hAnsi="Arial" w:cs="Arial"/>
          <w:sz w:val="20"/>
          <w:szCs w:val="20"/>
        </w:rPr>
      </w:pPr>
      <w:r>
        <w:rPr>
          <w:rFonts w:ascii="Arial" w:hAnsi="Arial" w:cs="Arial"/>
          <w:sz w:val="20"/>
          <w:szCs w:val="20"/>
        </w:rPr>
        <w:t>The interaction between temperature and oxygen availability is especially important in aquaculture. As temperature rises, metabolic oxygen demand generally increases, whereas the solubility of oxygen in water decreases. When oxygen supply becomes insufficient to meet this increased demand, physiological performance may decline, potentially affecting gonadal development and reproductive output (Wu, 2009; Koner and Saha, 2022). The severity of the response depends on species, developmental stage, exposure duration and acclimation capacity.</w:t>
      </w:r>
    </w:p>
    <w:p w:rsidR="00544479" w:rsidRDefault="0072223F">
      <w:pPr>
        <w:pStyle w:val="NormalWeb"/>
        <w:jc w:val="both"/>
        <w:rPr>
          <w:rFonts w:ascii="Arial" w:hAnsi="Arial" w:cs="Arial"/>
          <w:sz w:val="20"/>
          <w:szCs w:val="20"/>
        </w:rPr>
      </w:pPr>
      <w:r>
        <w:rPr>
          <w:rFonts w:ascii="Arial" w:hAnsi="Arial" w:cs="Arial"/>
          <w:sz w:val="20"/>
          <w:szCs w:val="20"/>
        </w:rPr>
        <w:lastRenderedPageBreak/>
        <w:t xml:space="preserve">Temperature may also modify responses to ocean acidification through effects on metabolism, acid–base balance and cellular function. Nevertheless, combined stressors do not invariably produce greater effects than individual stressors. Their interactions may be additive, synergistic or antagonistic, depending on stressor intensity, sequence, duration, environmental background and biological characteristics of the species (Miller et al., 2015; Byrne et al., 2020; Lodhi </w:t>
      </w:r>
      <w:r>
        <w:rPr>
          <w:rFonts w:ascii="Arial" w:hAnsi="Arial" w:cs="Arial"/>
          <w:sz w:val="20"/>
          <w:szCs w:val="20"/>
          <w:lang w:val="en-IN"/>
        </w:rPr>
        <w:t>et al.,</w:t>
      </w:r>
      <w:r>
        <w:rPr>
          <w:rFonts w:ascii="Arial" w:hAnsi="Arial" w:cs="Arial"/>
          <w:sz w:val="20"/>
          <w:szCs w:val="20"/>
        </w:rPr>
        <w:t xml:space="preserve"> 2026).</w:t>
      </w:r>
    </w:p>
    <w:p w:rsidR="00544479" w:rsidRDefault="0072223F">
      <w:pPr>
        <w:pStyle w:val="NormalWeb"/>
        <w:jc w:val="both"/>
        <w:rPr>
          <w:rFonts w:ascii="Arial" w:hAnsi="Arial" w:cs="Arial"/>
          <w:sz w:val="20"/>
          <w:szCs w:val="20"/>
        </w:rPr>
      </w:pPr>
      <w:r>
        <w:rPr>
          <w:rFonts w:ascii="Arial" w:hAnsi="Arial" w:cs="Arial"/>
          <w:sz w:val="20"/>
          <w:szCs w:val="20"/>
        </w:rPr>
        <w:t>For aquaculture, reproductive resilience should therefore be considered as the ability to maintain functional reproduction under realistic environmental variability. Relevant endpoints include gonadal development, gamete quality, spawning success, fertilization, embryonic development and viable offspring production. This broader definition is important because survival of broodstock does not necessarily indicate maintenance of reproductive capacity; animals may survive an environmental disturbance while producing fewer or poorer-quality gametes (Pountney et al., 2020; Peruzza et al., 2023).</w:t>
      </w:r>
    </w:p>
    <w:p w:rsidR="00544479" w:rsidRDefault="0072223F">
      <w:pPr>
        <w:pStyle w:val="Heading2"/>
        <w:rPr>
          <w:rFonts w:ascii="Arial" w:hAnsi="Arial" w:cs="Arial" w:hint="default"/>
          <w:sz w:val="22"/>
          <w:szCs w:val="22"/>
        </w:rPr>
      </w:pPr>
      <w:r>
        <w:rPr>
          <w:rFonts w:ascii="Arial" w:hAnsi="Arial" w:cs="Arial" w:hint="default"/>
          <w:sz w:val="22"/>
          <w:szCs w:val="22"/>
        </w:rPr>
        <w:t>7. TRANSGENERATIONAL AND EPIGENETIC RESPONSES</w:t>
      </w:r>
    </w:p>
    <w:p w:rsidR="00544479" w:rsidRDefault="0072223F">
      <w:pPr>
        <w:pStyle w:val="NormalWeb"/>
        <w:jc w:val="both"/>
        <w:rPr>
          <w:rFonts w:ascii="Arial" w:hAnsi="Arial" w:cs="Arial"/>
          <w:sz w:val="20"/>
          <w:szCs w:val="20"/>
        </w:rPr>
      </w:pPr>
      <w:r>
        <w:rPr>
          <w:rFonts w:ascii="Arial" w:hAnsi="Arial" w:cs="Arial"/>
          <w:sz w:val="20"/>
          <w:szCs w:val="20"/>
        </w:rPr>
        <w:t>Environmental conditions experienced by parents can influence offspring performance through changes in maternal provisioning, paternal contributions, gamete quality and regulatory processes operating during early development. Such parental effects are particularly relevant to aquaculture because broodstock are repeatedly used for seed production and may experience environmental conditions that differ substantially from those encountered by their offspring (Lubzens et al., 2017; Labbé et al., 2017).</w:t>
      </w:r>
    </w:p>
    <w:p w:rsidR="00544479" w:rsidRDefault="0072223F">
      <w:pPr>
        <w:pStyle w:val="NormalWeb"/>
        <w:jc w:val="both"/>
        <w:rPr>
          <w:rFonts w:ascii="Arial" w:hAnsi="Arial" w:cs="Arial"/>
          <w:sz w:val="20"/>
          <w:szCs w:val="20"/>
        </w:rPr>
      </w:pPr>
      <w:r>
        <w:rPr>
          <w:rFonts w:ascii="Arial" w:hAnsi="Arial" w:cs="Arial"/>
          <w:sz w:val="20"/>
          <w:szCs w:val="20"/>
        </w:rPr>
        <w:t>Stress during gametogenesis may alter egg composition, sperm characteristics, DNA integrity and regulatory molecules transmitted through gametes. These changes can influence subsequent embryonic and larval development and may affect traits such as growth, physiological tolerance and stress responsiveness (Donelson et al., 2012; Thorn et al., 2019).</w:t>
      </w:r>
    </w:p>
    <w:p w:rsidR="00544479" w:rsidRDefault="0072223F">
      <w:pPr>
        <w:pStyle w:val="NormalWeb"/>
        <w:jc w:val="both"/>
        <w:rPr>
          <w:rFonts w:ascii="Arial" w:hAnsi="Arial" w:cs="Arial"/>
          <w:sz w:val="20"/>
          <w:szCs w:val="20"/>
        </w:rPr>
      </w:pPr>
      <w:r>
        <w:rPr>
          <w:rFonts w:ascii="Arial" w:hAnsi="Arial" w:cs="Arial"/>
          <w:sz w:val="20"/>
          <w:szCs w:val="20"/>
        </w:rPr>
        <w:t>Epigenetic processes, including DNA methylation, histone modifications and changes in non-coding RNAs, provide possible mechanisms through which environmental exposure can influence gene regulation without altering the underlying DNA sequence. Temperature-related epigenetic responses have received particular attention because reproductive development and, in some fishes, sex differentiation are environmentally sensitive processes (Ryu et al., 2018; Ryu et al., 2020).</w:t>
      </w:r>
    </w:p>
    <w:p w:rsidR="00544479" w:rsidRDefault="0072223F">
      <w:pPr>
        <w:pStyle w:val="NormalWeb"/>
        <w:jc w:val="both"/>
        <w:rPr>
          <w:rFonts w:ascii="Arial" w:hAnsi="Arial" w:cs="Arial"/>
          <w:sz w:val="20"/>
          <w:szCs w:val="20"/>
        </w:rPr>
      </w:pPr>
      <w:r>
        <w:rPr>
          <w:rFonts w:ascii="Arial" w:hAnsi="Arial" w:cs="Arial"/>
          <w:sz w:val="20"/>
          <w:szCs w:val="20"/>
        </w:rPr>
        <w:t>However, parental effects should not automatically be interpreted as adaptive transgenerational responses. A parental effect may improve offspring performance under environmental conditions similar to those experienced by the parents but provide little benefit, or even impose a disadvantage, when offspring encounter a different environment. It is therefore important to distinguish parental effects from developmental plasticity and, where possible, from genuine transgenerational inheritance and genetic adaptation (Donelson et al., 2016; Donelson et al., 2018; Zhao et al., 2020).</w:t>
      </w:r>
    </w:p>
    <w:p w:rsidR="00544479" w:rsidRDefault="0072223F">
      <w:pPr>
        <w:pStyle w:val="NormalWeb"/>
        <w:jc w:val="both"/>
        <w:rPr>
          <w:rFonts w:ascii="Arial" w:hAnsi="Arial" w:cs="Arial"/>
          <w:sz w:val="20"/>
          <w:szCs w:val="20"/>
        </w:rPr>
      </w:pPr>
      <w:r>
        <w:rPr>
          <w:rFonts w:ascii="Arial" w:hAnsi="Arial" w:cs="Arial"/>
          <w:sz w:val="20"/>
          <w:szCs w:val="20"/>
        </w:rPr>
        <w:t>For hatchery management, the environmental history and nutritional condition of broodstock should consequently be considered when evaluating both reproductive output and offspring quality.</w:t>
      </w:r>
    </w:p>
    <w:p w:rsidR="00544479" w:rsidRDefault="0072223F">
      <w:pPr>
        <w:pStyle w:val="Heading2"/>
        <w:rPr>
          <w:rFonts w:ascii="Arial" w:hAnsi="Arial" w:cs="Arial" w:hint="default"/>
          <w:sz w:val="22"/>
          <w:szCs w:val="22"/>
        </w:rPr>
      </w:pPr>
      <w:r>
        <w:rPr>
          <w:rFonts w:ascii="Arial" w:hAnsi="Arial" w:cs="Arial" w:hint="default"/>
          <w:sz w:val="22"/>
          <w:szCs w:val="22"/>
        </w:rPr>
        <w:t>8. IMPLICATIONS FOR AQUACULTURE PRODUCTION</w:t>
      </w:r>
    </w:p>
    <w:p w:rsidR="00544479" w:rsidRDefault="0072223F">
      <w:pPr>
        <w:pStyle w:val="NormalWeb"/>
        <w:jc w:val="both"/>
        <w:rPr>
          <w:rFonts w:ascii="Arial" w:hAnsi="Arial" w:cs="Arial"/>
          <w:sz w:val="20"/>
          <w:szCs w:val="20"/>
        </w:rPr>
      </w:pPr>
      <w:r>
        <w:rPr>
          <w:rFonts w:ascii="Arial" w:hAnsi="Arial" w:cs="Arial"/>
          <w:sz w:val="20"/>
          <w:szCs w:val="20"/>
        </w:rPr>
        <w:t>Climate-related reproductive impairment can influence aquaculture production at several interconnected stages, beginning with broodstock conditioning and extending through seed production and subsequent juvenile performance.</w:t>
      </w:r>
    </w:p>
    <w:p w:rsidR="00544479" w:rsidRDefault="0072223F">
      <w:pPr>
        <w:pStyle w:val="Heading3"/>
        <w:rPr>
          <w:rFonts w:ascii="Arial" w:hAnsi="Arial" w:cs="Arial" w:hint="default"/>
          <w:sz w:val="22"/>
          <w:szCs w:val="22"/>
        </w:rPr>
      </w:pPr>
      <w:r>
        <w:rPr>
          <w:rFonts w:ascii="Arial" w:hAnsi="Arial" w:cs="Arial" w:hint="default"/>
          <w:sz w:val="22"/>
          <w:szCs w:val="22"/>
        </w:rPr>
        <w:t>8.1 Broodstock conditioning</w:t>
      </w:r>
    </w:p>
    <w:p w:rsidR="00544479" w:rsidRDefault="0072223F">
      <w:pPr>
        <w:pStyle w:val="NormalWeb"/>
        <w:jc w:val="both"/>
        <w:rPr>
          <w:rFonts w:ascii="Arial" w:hAnsi="Arial" w:cs="Arial"/>
          <w:sz w:val="20"/>
          <w:szCs w:val="20"/>
        </w:rPr>
      </w:pPr>
      <w:r>
        <w:rPr>
          <w:rFonts w:ascii="Arial" w:hAnsi="Arial" w:cs="Arial"/>
          <w:sz w:val="20"/>
          <w:szCs w:val="20"/>
        </w:rPr>
        <w:lastRenderedPageBreak/>
        <w:t>Temperature stress, salinity fluctuations, hypoxia and inadequate nutrition can interfere with gonadal development and prolong the period required to obtain broodstock in suitable reproductive condition. In shellfish, the availability and quality of food are particularly important because gametogenesis depends strongly on the accumulation and mobilisation of energy reserves (Jerez et al., 2012; Peruzza et al., 2023).</w:t>
      </w:r>
    </w:p>
    <w:p w:rsidR="00544479" w:rsidRDefault="0072223F">
      <w:pPr>
        <w:pStyle w:val="NormalWeb"/>
        <w:jc w:val="both"/>
        <w:rPr>
          <w:rFonts w:ascii="Arial" w:hAnsi="Arial" w:cs="Arial"/>
          <w:sz w:val="20"/>
          <w:szCs w:val="20"/>
        </w:rPr>
      </w:pPr>
      <w:r>
        <w:rPr>
          <w:rFonts w:ascii="Arial" w:hAnsi="Arial" w:cs="Arial"/>
          <w:sz w:val="20"/>
          <w:szCs w:val="20"/>
        </w:rPr>
        <w:t>Changes in seasonal environmental conditions may also alter the timing of maturation and spawning, making conventional broodstock conditioning schedules less predictable.</w:t>
      </w:r>
    </w:p>
    <w:p w:rsidR="00544479" w:rsidRDefault="0072223F">
      <w:pPr>
        <w:pStyle w:val="Heading3"/>
        <w:rPr>
          <w:rFonts w:ascii="Arial" w:hAnsi="Arial" w:cs="Arial" w:hint="default"/>
          <w:sz w:val="22"/>
          <w:szCs w:val="22"/>
        </w:rPr>
      </w:pPr>
      <w:r>
        <w:rPr>
          <w:rFonts w:ascii="Arial" w:hAnsi="Arial" w:cs="Arial" w:hint="default"/>
          <w:sz w:val="22"/>
          <w:szCs w:val="22"/>
        </w:rPr>
        <w:t>8.2 Spawning and seed production</w:t>
      </w:r>
    </w:p>
    <w:p w:rsidR="00544479" w:rsidRDefault="0072223F">
      <w:pPr>
        <w:pStyle w:val="NormalWeb"/>
        <w:jc w:val="both"/>
        <w:rPr>
          <w:rFonts w:ascii="Arial" w:hAnsi="Arial" w:cs="Arial"/>
          <w:sz w:val="20"/>
          <w:szCs w:val="20"/>
        </w:rPr>
      </w:pPr>
      <w:r>
        <w:rPr>
          <w:rFonts w:ascii="Arial" w:hAnsi="Arial" w:cs="Arial"/>
          <w:sz w:val="20"/>
          <w:szCs w:val="20"/>
        </w:rPr>
        <w:t>Reduced fecundity, impaired gamete quality and altered spawning behaviour can decrease the number of viable embryos produced by a broodstock population. Subsequent losses during fertilization, hatching and larval development can further reduce the number of juveniles available for stocking (Bobe and Labbé, 2010; Pankhurst and Munday, 2011).</w:t>
      </w:r>
    </w:p>
    <w:p w:rsidR="00544479" w:rsidRDefault="0072223F">
      <w:pPr>
        <w:pStyle w:val="NormalWeb"/>
        <w:jc w:val="both"/>
        <w:rPr>
          <w:rFonts w:ascii="Arial" w:hAnsi="Arial" w:cs="Arial"/>
          <w:sz w:val="20"/>
          <w:szCs w:val="20"/>
        </w:rPr>
      </w:pPr>
      <w:r>
        <w:rPr>
          <w:rFonts w:ascii="Arial" w:hAnsi="Arial" w:cs="Arial"/>
          <w:sz w:val="20"/>
          <w:szCs w:val="20"/>
        </w:rPr>
        <w:t>Consequently, climate effects on hatchery production may not be apparent from broodstock survival alone. Even moderate reductions at several successive stages can result in a substantial decline in final seed output.</w:t>
      </w:r>
    </w:p>
    <w:p w:rsidR="00544479" w:rsidRDefault="0072223F">
      <w:pPr>
        <w:pStyle w:val="Heading3"/>
        <w:rPr>
          <w:rFonts w:ascii="Arial" w:hAnsi="Arial" w:cs="Arial" w:hint="default"/>
          <w:sz w:val="22"/>
          <w:szCs w:val="22"/>
        </w:rPr>
      </w:pPr>
      <w:r>
        <w:rPr>
          <w:rFonts w:ascii="Arial" w:hAnsi="Arial" w:cs="Arial" w:hint="default"/>
          <w:sz w:val="22"/>
          <w:szCs w:val="22"/>
        </w:rPr>
        <w:t>8.3 Production and economic consequences</w:t>
      </w:r>
    </w:p>
    <w:p w:rsidR="00544479" w:rsidRDefault="0072223F">
      <w:pPr>
        <w:pStyle w:val="NormalWeb"/>
        <w:jc w:val="both"/>
        <w:rPr>
          <w:rFonts w:ascii="Arial" w:hAnsi="Arial" w:cs="Arial"/>
          <w:sz w:val="20"/>
          <w:szCs w:val="20"/>
        </w:rPr>
      </w:pPr>
      <w:r>
        <w:rPr>
          <w:rFonts w:ascii="Arial" w:hAnsi="Arial" w:cs="Arial"/>
          <w:sz w:val="20"/>
          <w:szCs w:val="20"/>
        </w:rPr>
        <w:t>Reproductive impairment can increase production costs by extending broodstock conditioning periods, increasing the need for environmental control, requiring additional broodstock replacement and reducing the quantity of marketable seed. Hatcheries and farms with limited capacity for temperature regulation, aeration, water treatment or backup systems may be particularly vulnerable to environmental variability (Islam et al., 2022; Tan and Zheng, 2020).</w:t>
      </w:r>
    </w:p>
    <w:p w:rsidR="00544479" w:rsidRDefault="0072223F">
      <w:pPr>
        <w:pStyle w:val="NormalWeb"/>
        <w:jc w:val="both"/>
        <w:rPr>
          <w:rFonts w:ascii="Arial" w:hAnsi="Arial" w:cs="Arial"/>
          <w:sz w:val="20"/>
          <w:szCs w:val="20"/>
        </w:rPr>
      </w:pPr>
      <w:r>
        <w:rPr>
          <w:rFonts w:ascii="Arial" w:hAnsi="Arial" w:cs="Arial"/>
          <w:sz w:val="20"/>
          <w:szCs w:val="20"/>
        </w:rPr>
        <w:t>The economic effect may therefore arise not only from direct mortality but also from reduced reproductive efficiency and greater uncertainty in the timing and quantity of seed production.</w:t>
      </w:r>
    </w:p>
    <w:p w:rsidR="00544479" w:rsidRDefault="0072223F">
      <w:pPr>
        <w:pStyle w:val="Heading3"/>
        <w:rPr>
          <w:rFonts w:ascii="Arial" w:hAnsi="Arial" w:cs="Arial" w:hint="default"/>
          <w:sz w:val="22"/>
          <w:szCs w:val="22"/>
        </w:rPr>
      </w:pPr>
      <w:r>
        <w:rPr>
          <w:rFonts w:ascii="Arial" w:hAnsi="Arial" w:cs="Arial" w:hint="default"/>
          <w:sz w:val="22"/>
          <w:szCs w:val="22"/>
        </w:rPr>
        <w:t>8.4 Genetic consequences</w:t>
      </w:r>
    </w:p>
    <w:p w:rsidR="00544479" w:rsidRDefault="0072223F">
      <w:pPr>
        <w:pStyle w:val="NormalWeb"/>
        <w:jc w:val="both"/>
        <w:rPr>
          <w:rFonts w:ascii="Arial" w:hAnsi="Arial" w:cs="Arial"/>
          <w:sz w:val="20"/>
          <w:szCs w:val="20"/>
        </w:rPr>
      </w:pPr>
      <w:r>
        <w:rPr>
          <w:rFonts w:ascii="Arial" w:hAnsi="Arial" w:cs="Arial"/>
          <w:sz w:val="20"/>
          <w:szCs w:val="20"/>
        </w:rPr>
        <w:t>Selective breeding for climate resilience offers a potential long-term approach, but reproductive traits should be incorporated into breeding objectives alongside growth, survival and disease resistance. Selection based primarily on survival may overlook individuals that survive environmental stress but show poor reproductive performance.</w:t>
      </w:r>
    </w:p>
    <w:p w:rsidR="00544479" w:rsidRDefault="0072223F">
      <w:pPr>
        <w:pStyle w:val="NormalWeb"/>
        <w:jc w:val="both"/>
        <w:rPr>
          <w:rFonts w:ascii="Arial" w:hAnsi="Arial" w:cs="Arial"/>
          <w:sz w:val="20"/>
          <w:szCs w:val="20"/>
        </w:rPr>
      </w:pPr>
      <w:r>
        <w:rPr>
          <w:rFonts w:ascii="Arial" w:hAnsi="Arial" w:cs="Arial"/>
          <w:sz w:val="20"/>
          <w:szCs w:val="20"/>
        </w:rPr>
        <w:t>Potential traits for selection include age or size at maturation, fecundity, gamete quality, fertilization success and offspring performance under relevant environmental conditions. Genomic tools may assist in identifying genetic variation associated with stress tolerance, although maintaining adequate genetic diversity remains essential for long-term breeding success (Donelson et al., 2018).</w:t>
      </w:r>
    </w:p>
    <w:p w:rsidR="00544479" w:rsidRDefault="0072223F">
      <w:pPr>
        <w:pStyle w:val="Heading2"/>
        <w:rPr>
          <w:rFonts w:ascii="Arial" w:hAnsi="Arial" w:cs="Arial" w:hint="default"/>
          <w:sz w:val="22"/>
          <w:szCs w:val="22"/>
        </w:rPr>
      </w:pPr>
      <w:r>
        <w:rPr>
          <w:rFonts w:ascii="Arial" w:hAnsi="Arial" w:cs="Arial" w:hint="default"/>
          <w:sz w:val="22"/>
          <w:szCs w:val="22"/>
        </w:rPr>
        <w:t>9. STRATEGIES FOR CLIMATE-RESILIENT REPRODUCTION</w:t>
      </w:r>
    </w:p>
    <w:p w:rsidR="00544479" w:rsidRDefault="0072223F">
      <w:pPr>
        <w:pStyle w:val="NormalWeb"/>
        <w:jc w:val="both"/>
        <w:rPr>
          <w:rFonts w:ascii="Arial" w:hAnsi="Arial" w:cs="Arial"/>
          <w:sz w:val="20"/>
          <w:szCs w:val="20"/>
        </w:rPr>
      </w:pPr>
      <w:r>
        <w:rPr>
          <w:rFonts w:ascii="Arial" w:hAnsi="Arial" w:cs="Arial"/>
          <w:sz w:val="20"/>
          <w:szCs w:val="20"/>
        </w:rPr>
        <w:t>No single intervention can protect aquaculture reproduction from the range of environmental changes associated with climate variability. Effective adaptation is more likely to require a combination of environmental management, broodstock nutrition, selective breeding, acclimation and reproductive monitoring.</w:t>
      </w:r>
    </w:p>
    <w:p w:rsidR="00544479" w:rsidRDefault="0072223F">
      <w:pPr>
        <w:pStyle w:val="Heading3"/>
        <w:rPr>
          <w:rFonts w:ascii="Arial" w:hAnsi="Arial" w:cs="Arial" w:hint="default"/>
          <w:sz w:val="22"/>
          <w:szCs w:val="22"/>
        </w:rPr>
      </w:pPr>
      <w:r>
        <w:rPr>
          <w:rFonts w:ascii="Arial" w:hAnsi="Arial" w:cs="Arial" w:hint="default"/>
          <w:sz w:val="22"/>
          <w:szCs w:val="22"/>
        </w:rPr>
        <w:t>9.1 Environmental management</w:t>
      </w:r>
    </w:p>
    <w:p w:rsidR="00544479" w:rsidRDefault="0072223F">
      <w:pPr>
        <w:pStyle w:val="NormalWeb"/>
        <w:jc w:val="both"/>
        <w:rPr>
          <w:rFonts w:ascii="Arial" w:hAnsi="Arial" w:cs="Arial"/>
          <w:sz w:val="20"/>
          <w:szCs w:val="20"/>
        </w:rPr>
      </w:pPr>
      <w:r>
        <w:rPr>
          <w:rFonts w:ascii="Arial" w:hAnsi="Arial" w:cs="Arial"/>
          <w:sz w:val="20"/>
          <w:szCs w:val="20"/>
        </w:rPr>
        <w:t xml:space="preserve">Continuous monitoring of temperature, dissolved oxygen, salinity and pH can help identify conditions that approach species-specific reproductive limits. Maintaining suitable conditions during gametogenesis and spawning is preferable to relying exclusively on emergency </w:t>
      </w:r>
      <w:r>
        <w:rPr>
          <w:rFonts w:ascii="Arial" w:hAnsi="Arial" w:cs="Arial"/>
          <w:sz w:val="20"/>
          <w:szCs w:val="20"/>
        </w:rPr>
        <w:lastRenderedPageBreak/>
        <w:t>measures after environmental deterioration has occurred (Islam et al., 2022; Seale et al., 2024).</w:t>
      </w:r>
    </w:p>
    <w:p w:rsidR="00544479" w:rsidRDefault="0072223F">
      <w:pPr>
        <w:pStyle w:val="NormalWeb"/>
        <w:jc w:val="both"/>
        <w:rPr>
          <w:rFonts w:ascii="Arial" w:hAnsi="Arial" w:cs="Arial"/>
          <w:sz w:val="20"/>
          <w:szCs w:val="20"/>
        </w:rPr>
      </w:pPr>
      <w:r>
        <w:rPr>
          <w:rFonts w:ascii="Arial" w:hAnsi="Arial" w:cs="Arial"/>
          <w:sz w:val="20"/>
          <w:szCs w:val="20"/>
        </w:rPr>
        <w:t>Depending on the production system, practical measures may include improved water exchange, aeration, shading, temperature regulation, water storage and reliable backup power. In marine shellfish hatcheries, monitoring carbonate chemistry may also become increasingly important as acidification and other changes in seawater chemistry affect sensitive developmental stages (Tan and Zheng, 2020; Hu et al., 2026).</w:t>
      </w:r>
    </w:p>
    <w:p w:rsidR="00544479" w:rsidRDefault="0072223F">
      <w:pPr>
        <w:pStyle w:val="Heading3"/>
        <w:rPr>
          <w:rFonts w:ascii="Arial" w:hAnsi="Arial" w:cs="Arial" w:hint="default"/>
          <w:sz w:val="22"/>
          <w:szCs w:val="22"/>
        </w:rPr>
      </w:pPr>
      <w:r>
        <w:rPr>
          <w:rFonts w:ascii="Arial" w:hAnsi="Arial" w:cs="Arial" w:hint="default"/>
          <w:sz w:val="22"/>
          <w:szCs w:val="22"/>
        </w:rPr>
        <w:t>9.2 Broodstock nutrition</w:t>
      </w:r>
    </w:p>
    <w:p w:rsidR="00544479" w:rsidRDefault="0072223F">
      <w:pPr>
        <w:pStyle w:val="NormalWeb"/>
        <w:jc w:val="both"/>
        <w:rPr>
          <w:rFonts w:ascii="Arial" w:hAnsi="Arial" w:cs="Arial"/>
          <w:sz w:val="20"/>
          <w:szCs w:val="20"/>
        </w:rPr>
      </w:pPr>
      <w:r>
        <w:rPr>
          <w:rFonts w:ascii="Arial" w:hAnsi="Arial" w:cs="Arial"/>
          <w:sz w:val="20"/>
          <w:szCs w:val="20"/>
        </w:rPr>
        <w:t>Adequate dietary protein, essential fatty acids, vitamins, minerals and other nutrients are necessary for normal gonadal development and gamete production. Appropriate broodstock nutrition can improve reproductive condition and support antioxidant and cellular defence systems, thereby helping animals cope with moderate environmental stress (Lubzens et al., 2017; Islam et al., 2022).</w:t>
      </w:r>
    </w:p>
    <w:p w:rsidR="00544479" w:rsidRDefault="0072223F">
      <w:pPr>
        <w:pStyle w:val="NormalWeb"/>
        <w:jc w:val="both"/>
        <w:rPr>
          <w:rFonts w:ascii="Arial" w:hAnsi="Arial" w:cs="Arial"/>
          <w:sz w:val="20"/>
          <w:szCs w:val="20"/>
        </w:rPr>
      </w:pPr>
      <w:r>
        <w:rPr>
          <w:rFonts w:ascii="Arial" w:hAnsi="Arial" w:cs="Arial"/>
          <w:sz w:val="20"/>
          <w:szCs w:val="20"/>
        </w:rPr>
        <w:t>Nutritional interventions should nevertheless be regarded as supportive rather than compensatory. Good nutrition cannot fully offset prolonged exposure to temperatures, oxygen concentrations or salinity levels outside the physiological tolerance of the species.</w:t>
      </w:r>
    </w:p>
    <w:p w:rsidR="00544479" w:rsidRDefault="0072223F">
      <w:pPr>
        <w:pStyle w:val="Heading3"/>
        <w:rPr>
          <w:rFonts w:ascii="Arial" w:hAnsi="Arial" w:cs="Arial" w:hint="default"/>
          <w:sz w:val="22"/>
          <w:szCs w:val="22"/>
        </w:rPr>
      </w:pPr>
      <w:r>
        <w:rPr>
          <w:rFonts w:ascii="Arial" w:hAnsi="Arial" w:cs="Arial" w:hint="default"/>
          <w:sz w:val="22"/>
          <w:szCs w:val="22"/>
        </w:rPr>
        <w:t>9.3 Broodstock selection and selective breeding</w:t>
      </w:r>
    </w:p>
    <w:p w:rsidR="00544479" w:rsidRDefault="0072223F">
      <w:pPr>
        <w:pStyle w:val="NormalWeb"/>
        <w:jc w:val="both"/>
        <w:rPr>
          <w:rFonts w:ascii="Arial" w:hAnsi="Arial" w:cs="Arial"/>
          <w:sz w:val="20"/>
          <w:szCs w:val="20"/>
        </w:rPr>
      </w:pPr>
      <w:r>
        <w:rPr>
          <w:rFonts w:ascii="Arial" w:hAnsi="Arial" w:cs="Arial"/>
          <w:sz w:val="20"/>
          <w:szCs w:val="20"/>
        </w:rPr>
        <w:t>Individuals that retain reproductive function under elevated temperature, variable salinity or reduced oxygen may be valuable candidates for climate-resilient breeding programmes. Selection criteria should extend beyond survival and include traits such as maturation, fecundity, sperm quality, egg quality, fertilization success and offspring performance.</w:t>
      </w:r>
    </w:p>
    <w:p w:rsidR="00544479" w:rsidRDefault="0072223F">
      <w:pPr>
        <w:pStyle w:val="NormalWeb"/>
        <w:jc w:val="both"/>
        <w:rPr>
          <w:rFonts w:ascii="Arial" w:hAnsi="Arial" w:cs="Arial"/>
          <w:sz w:val="20"/>
          <w:szCs w:val="20"/>
        </w:rPr>
      </w:pPr>
      <w:r>
        <w:rPr>
          <w:rFonts w:ascii="Arial" w:hAnsi="Arial" w:cs="Arial"/>
          <w:sz w:val="20"/>
          <w:szCs w:val="20"/>
        </w:rPr>
        <w:t>Genomic approaches may improve the identification of genetic variation associated with environmental tolerance and reproductive traits. However, selection programmes must balance performance gains with the maintenance of sufficient genetic diversity. Evidence for parental and transgenerational effects also highlights the need to distinguish inherited genetic variation from environmentally induced phenotypic responses (Donelson et al., 2016; Donelson et al., 2018).</w:t>
      </w:r>
    </w:p>
    <w:p w:rsidR="00544479" w:rsidRDefault="0072223F">
      <w:pPr>
        <w:pStyle w:val="Heading3"/>
        <w:rPr>
          <w:rFonts w:ascii="Arial" w:hAnsi="Arial" w:cs="Arial" w:hint="default"/>
          <w:sz w:val="22"/>
          <w:szCs w:val="22"/>
        </w:rPr>
      </w:pPr>
      <w:r>
        <w:rPr>
          <w:rFonts w:ascii="Arial" w:hAnsi="Arial" w:cs="Arial" w:hint="default"/>
          <w:sz w:val="22"/>
          <w:szCs w:val="22"/>
        </w:rPr>
        <w:t>9.4 Acclimation and reproductive cue management</w:t>
      </w:r>
    </w:p>
    <w:p w:rsidR="00544479" w:rsidRDefault="0072223F">
      <w:pPr>
        <w:pStyle w:val="NormalWeb"/>
        <w:jc w:val="both"/>
        <w:rPr>
          <w:rFonts w:ascii="Arial" w:hAnsi="Arial" w:cs="Arial"/>
          <w:sz w:val="20"/>
          <w:szCs w:val="20"/>
        </w:rPr>
      </w:pPr>
      <w:r>
        <w:rPr>
          <w:rFonts w:ascii="Arial" w:hAnsi="Arial" w:cs="Arial"/>
          <w:sz w:val="20"/>
          <w:szCs w:val="20"/>
        </w:rPr>
        <w:t>Gradual acclimation can reduce physiological disturbance caused by abrupt changes in environmental conditions, although its effectiveness depends on the species and the magnitude and duration of the environmental change. In fish hatcheries, controlled temperature and photoperiod can also help maintain predictable reproductive schedules when natural seasonal cues become less reliable (Migaud et al., 2010; Wang et al., 2010).</w:t>
      </w:r>
    </w:p>
    <w:p w:rsidR="00544479" w:rsidRDefault="0072223F">
      <w:pPr>
        <w:pStyle w:val="Heading3"/>
        <w:jc w:val="both"/>
        <w:rPr>
          <w:rFonts w:ascii="Arial" w:hAnsi="Arial" w:cs="Arial" w:hint="default"/>
          <w:b w:val="0"/>
          <w:bCs w:val="0"/>
          <w:sz w:val="20"/>
          <w:szCs w:val="20"/>
        </w:rPr>
      </w:pPr>
      <w:r>
        <w:rPr>
          <w:rFonts w:ascii="Arial" w:hAnsi="Arial" w:cs="Arial" w:hint="default"/>
          <w:b w:val="0"/>
          <w:bCs w:val="0"/>
          <w:sz w:val="20"/>
          <w:szCs w:val="20"/>
        </w:rPr>
        <w:t>Hormonal induction of maturation or spawning can be useful in hatchery operations when environmental cues are insufficient or poorly synchronized, but it should be viewed as a management tool rather than a substitute for maintaining suitable broodstock condition. Hormonal manipulation cannot compensate for severely compromised broodstock condition or reverse damage to gametes caused by prolonged environmental stress.</w:t>
      </w:r>
    </w:p>
    <w:p w:rsidR="00544479" w:rsidRDefault="0072223F">
      <w:pPr>
        <w:pStyle w:val="Heading3"/>
        <w:rPr>
          <w:rFonts w:ascii="Arial" w:hAnsi="Arial" w:cs="Arial" w:hint="default"/>
          <w:sz w:val="22"/>
          <w:szCs w:val="22"/>
        </w:rPr>
      </w:pPr>
      <w:r>
        <w:rPr>
          <w:rFonts w:ascii="Arial" w:hAnsi="Arial" w:cs="Arial" w:hint="default"/>
          <w:sz w:val="22"/>
          <w:szCs w:val="22"/>
        </w:rPr>
        <w:t>9.5 Biomarkers and early-warning systems</w:t>
      </w:r>
    </w:p>
    <w:p w:rsidR="00544479" w:rsidRDefault="0072223F">
      <w:pPr>
        <w:pStyle w:val="NormalWeb"/>
        <w:jc w:val="both"/>
        <w:rPr>
          <w:rFonts w:ascii="Arial" w:hAnsi="Arial" w:cs="Arial"/>
          <w:sz w:val="20"/>
          <w:szCs w:val="20"/>
        </w:rPr>
      </w:pPr>
      <w:r>
        <w:rPr>
          <w:rFonts w:ascii="Arial" w:hAnsi="Arial" w:cs="Arial"/>
          <w:sz w:val="20"/>
          <w:szCs w:val="20"/>
        </w:rPr>
        <w:t>Endocrine indicators, steroidogenic enzymes, cortisol, oxidative-stress markers, reproductive gene expression and measures of sperm and oocyte quality can provide information about physiological changes occurring before major reductions in production become evident (Servili et al., 2020; Merino et al., 2023).</w:t>
      </w:r>
    </w:p>
    <w:p w:rsidR="00544479" w:rsidRDefault="0072223F">
      <w:pPr>
        <w:pStyle w:val="NormalWeb"/>
        <w:jc w:val="both"/>
        <w:rPr>
          <w:rFonts w:ascii="Arial" w:hAnsi="Arial" w:cs="Arial"/>
          <w:sz w:val="20"/>
          <w:szCs w:val="20"/>
        </w:rPr>
      </w:pPr>
      <w:r>
        <w:rPr>
          <w:rFonts w:ascii="Arial" w:hAnsi="Arial" w:cs="Arial"/>
          <w:sz w:val="20"/>
          <w:szCs w:val="20"/>
        </w:rPr>
        <w:lastRenderedPageBreak/>
        <w:t>For practical aquaculture applications, however, biomarkers are most useful when their changes can be linked to measurable production outcomes such as fecundity, fertilization, hatching and larval survival. Establishing species-specific thresholds and validating biomarkers under hatchery conditions should therefore be a priority.</w:t>
      </w:r>
    </w:p>
    <w:p w:rsidR="00544479" w:rsidRDefault="0072223F">
      <w:pPr>
        <w:pStyle w:val="NormalWeb"/>
        <w:rPr>
          <w:rFonts w:ascii="Arial" w:hAnsi="Arial" w:cs="Arial"/>
          <w:sz w:val="20"/>
          <w:szCs w:val="20"/>
        </w:rPr>
      </w:pPr>
      <w:r>
        <w:rPr>
          <w:rStyle w:val="Strong"/>
          <w:rFonts w:ascii="Arial" w:hAnsi="Arial" w:cs="Arial"/>
          <w:b w:val="0"/>
          <w:bCs w:val="0"/>
          <w:sz w:val="20"/>
          <w:szCs w:val="20"/>
        </w:rPr>
        <w:t>The principal management strategies for maintaining reproductive performance under climate variability are summarized in Table 3.</w:t>
      </w:r>
    </w:p>
    <w:p w:rsidR="00544479" w:rsidRDefault="0072223F">
      <w:pPr>
        <w:pStyle w:val="NormalWeb"/>
        <w:jc w:val="both"/>
        <w:rPr>
          <w:rFonts w:ascii="Arial" w:hAnsi="Arial" w:cs="Arial"/>
          <w:b/>
          <w:bCs/>
          <w:sz w:val="20"/>
          <w:szCs w:val="20"/>
        </w:rPr>
      </w:pPr>
      <w:r>
        <w:rPr>
          <w:rFonts w:ascii="Arial" w:hAnsi="Arial" w:cs="Arial"/>
          <w:b/>
          <w:bCs/>
          <w:sz w:val="20"/>
          <w:szCs w:val="20"/>
        </w:rPr>
        <w:t>Table 3. Potential strategies for climate-resilient reproduction in cultured fish and shellfish</w:t>
      </w:r>
    </w:p>
    <w:tbl>
      <w:tblPr>
        <w:tblStyle w:val="TableGrid"/>
        <w:tblW w:w="0" w:type="auto"/>
        <w:tblLook w:val="04A0"/>
      </w:tblPr>
      <w:tblGrid>
        <w:gridCol w:w="2840"/>
        <w:gridCol w:w="2841"/>
        <w:gridCol w:w="2841"/>
      </w:tblGrid>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rPr>
              <w:t>Strategy</w:t>
            </w:r>
          </w:p>
        </w:tc>
        <w:tc>
          <w:tcPr>
            <w:tcW w:w="2841"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rPr>
              <w:t>Main objective</w:t>
            </w:r>
          </w:p>
        </w:tc>
        <w:tc>
          <w:tcPr>
            <w:tcW w:w="2841"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rPr>
              <w:t>Representative references</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Continuous environmental monitoring</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Early detection of reproductive stress</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Taranger et al., 2015; Migaud et al., 2010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Temperature and oxygen management</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Maintain suitable reproductive thermal and oxygen windows</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Pankhurst &amp; King, 2010; Pankhurst &amp; Munday, 2011</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Salinity and pH management</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Reduce osmotic and acid–base stress</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Vagner et al., 2019; Byrne et al., 2020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Broodstock nutrition</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Support gonadal development and cellular protection</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Labbé et al., 2017; Bobe &amp; Labbé, 2010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Broodstock selection</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Maintain reproductive performance under environmental stress</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Geffroy &amp; Wedekind, 2020; Dahlke et al., 2020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Selective/genomic breeding</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Improve long-term climate resilience</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Migaud et al., 2010; Dahlke et al., 2020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Controlled acclimation</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Reduce effects of abrupt environmental change</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Donelson et al., 2012; Ryu et al., 2018</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Photothermal management</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Maintain predictable maturation and spawning</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Migaud et al., 2010; Taranger et al., 2015</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Biomarker monitoring</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Detect sublethal reproductive impairment</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Fenkes et al., 2017; Servili et al., 2020</w:t>
            </w:r>
          </w:p>
        </w:tc>
      </w:tr>
      <w:tr w:rsidR="00544479">
        <w:tc>
          <w:tcPr>
            <w:tcW w:w="2840" w:type="dxa"/>
            <w:tcBorders>
              <w:left w:val="nil"/>
              <w:right w:val="nil"/>
            </w:tcBorders>
            <w:vAlign w:val="center"/>
          </w:tcPr>
          <w:p w:rsidR="00544479" w:rsidRDefault="0072223F">
            <w:pPr>
              <w:widowControl/>
              <w:jc w:val="left"/>
              <w:rPr>
                <w:rFonts w:ascii="Arial" w:hAnsi="Arial" w:cs="Arial"/>
              </w:rPr>
            </w:pPr>
            <w:r>
              <w:rPr>
                <w:rStyle w:val="Strong"/>
                <w:rFonts w:ascii="Arial" w:eastAsia="SimSun" w:hAnsi="Arial" w:cs="Arial"/>
                <w:b w:val="0"/>
                <w:bCs w:val="0"/>
              </w:rPr>
              <w:t>Climate-smart hatchery infrastructure</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Reduce production losses during extreme events</w:t>
            </w:r>
          </w:p>
        </w:tc>
        <w:tc>
          <w:tcPr>
            <w:tcW w:w="2841" w:type="dxa"/>
            <w:tcBorders>
              <w:left w:val="nil"/>
              <w:right w:val="nil"/>
            </w:tcBorders>
            <w:vAlign w:val="center"/>
          </w:tcPr>
          <w:p w:rsidR="00544479" w:rsidRDefault="0072223F">
            <w:pPr>
              <w:widowControl/>
              <w:jc w:val="left"/>
              <w:rPr>
                <w:rFonts w:ascii="Arial" w:hAnsi="Arial" w:cs="Arial"/>
              </w:rPr>
            </w:pPr>
            <w:r>
              <w:rPr>
                <w:rFonts w:ascii="Arial" w:eastAsia="SimSun" w:hAnsi="Arial" w:cs="Arial"/>
              </w:rPr>
              <w:t>Hu et al., 2026; Lodhi et al., 2026</w:t>
            </w:r>
          </w:p>
        </w:tc>
      </w:tr>
    </w:tbl>
    <w:p w:rsidR="00544479" w:rsidRDefault="00544479">
      <w:pPr>
        <w:pStyle w:val="NormalWeb"/>
        <w:jc w:val="both"/>
        <w:rPr>
          <w:rFonts w:ascii="Arial" w:hAnsi="Arial" w:cs="Arial"/>
          <w:sz w:val="20"/>
          <w:szCs w:val="20"/>
        </w:rPr>
      </w:pPr>
    </w:p>
    <w:p w:rsidR="00544479" w:rsidRDefault="0072223F">
      <w:pPr>
        <w:pStyle w:val="Heading2"/>
        <w:rPr>
          <w:rFonts w:ascii="Arial" w:hAnsi="Arial" w:cs="Arial" w:hint="default"/>
          <w:sz w:val="22"/>
          <w:szCs w:val="22"/>
        </w:rPr>
      </w:pPr>
      <w:r>
        <w:rPr>
          <w:rFonts w:ascii="Arial" w:hAnsi="Arial" w:cs="Arial" w:hint="default"/>
          <w:sz w:val="22"/>
          <w:szCs w:val="22"/>
        </w:rPr>
        <w:t>10. RESEARCH GAPS AND FUTURE DIRECTIONS</w:t>
      </w:r>
    </w:p>
    <w:p w:rsidR="00544479" w:rsidRDefault="0072223F">
      <w:pPr>
        <w:pStyle w:val="NormalWeb"/>
        <w:jc w:val="both"/>
        <w:rPr>
          <w:rFonts w:ascii="Arial" w:hAnsi="Arial" w:cs="Arial"/>
          <w:sz w:val="20"/>
          <w:szCs w:val="20"/>
        </w:rPr>
      </w:pPr>
      <w:r>
        <w:rPr>
          <w:rFonts w:ascii="Arial" w:hAnsi="Arial" w:cs="Arial"/>
          <w:sz w:val="20"/>
          <w:szCs w:val="20"/>
        </w:rPr>
        <w:t>Several research priorities are important for improving understanding and management of climate-related reproductive stress in aquaculture.</w:t>
      </w:r>
    </w:p>
    <w:p w:rsidR="00544479" w:rsidRDefault="0072223F">
      <w:pPr>
        <w:pStyle w:val="NormalWeb"/>
        <w:jc w:val="both"/>
        <w:rPr>
          <w:rFonts w:ascii="Arial" w:hAnsi="Arial" w:cs="Arial"/>
          <w:sz w:val="20"/>
          <w:szCs w:val="20"/>
        </w:rPr>
      </w:pPr>
      <w:r>
        <w:rPr>
          <w:rFonts w:ascii="Arial" w:hAnsi="Arial" w:cs="Arial"/>
          <w:sz w:val="20"/>
          <w:szCs w:val="20"/>
        </w:rPr>
        <w:t xml:space="preserve">First, greater attention should be given to </w:t>
      </w:r>
      <w:r>
        <w:rPr>
          <w:rStyle w:val="Strong"/>
          <w:rFonts w:ascii="Arial" w:hAnsi="Arial" w:cs="Arial"/>
          <w:sz w:val="20"/>
          <w:szCs w:val="20"/>
        </w:rPr>
        <w:t>multiple and fluctuating stressors</w:t>
      </w:r>
      <w:r>
        <w:rPr>
          <w:rFonts w:ascii="Arial" w:hAnsi="Arial" w:cs="Arial"/>
          <w:sz w:val="20"/>
          <w:szCs w:val="20"/>
        </w:rPr>
        <w:t xml:space="preserve"> rather than relying predominantly on constant exposure to individual environmental variables. Experiments incorporating realistic heatwaves, oxygen fluctuations, salinity changes and combinations of stressors would provide a more useful representation of future aquaculture conditions (Grazer and Martin, 2012; Lodhi </w:t>
      </w:r>
      <w:r>
        <w:rPr>
          <w:rFonts w:ascii="Arial" w:hAnsi="Arial" w:cs="Arial"/>
          <w:sz w:val="20"/>
          <w:szCs w:val="20"/>
          <w:lang w:val="en-IN"/>
        </w:rPr>
        <w:t>et al.,</w:t>
      </w:r>
      <w:r>
        <w:rPr>
          <w:rFonts w:ascii="Arial" w:hAnsi="Arial" w:cs="Arial"/>
          <w:sz w:val="20"/>
          <w:szCs w:val="20"/>
        </w:rPr>
        <w:t xml:space="preserve"> 2026).</w:t>
      </w:r>
    </w:p>
    <w:p w:rsidR="00544479" w:rsidRDefault="0072223F">
      <w:pPr>
        <w:pStyle w:val="NormalWeb"/>
        <w:jc w:val="both"/>
        <w:rPr>
          <w:rFonts w:ascii="Arial" w:hAnsi="Arial" w:cs="Arial"/>
          <w:sz w:val="20"/>
          <w:szCs w:val="20"/>
        </w:rPr>
      </w:pPr>
      <w:r>
        <w:rPr>
          <w:rFonts w:ascii="Arial" w:hAnsi="Arial" w:cs="Arial"/>
          <w:sz w:val="20"/>
          <w:szCs w:val="20"/>
        </w:rPr>
        <w:t>Second, reproductive endpoints should be incorporated more consistently into climate-impact studies. Measurements of gonadal development, gamete quality, spawning, fertilization, embryonic development and larval survival can reveal effects that may not be detected through growth or adult mortality alone (Alix et al., 2020; Pankhurst and Munday, 2011).</w:t>
      </w:r>
    </w:p>
    <w:p w:rsidR="00544479" w:rsidRDefault="0072223F">
      <w:pPr>
        <w:pStyle w:val="NormalWeb"/>
        <w:jc w:val="both"/>
        <w:rPr>
          <w:rFonts w:ascii="Arial" w:hAnsi="Arial" w:cs="Arial"/>
          <w:sz w:val="20"/>
          <w:szCs w:val="20"/>
        </w:rPr>
      </w:pPr>
      <w:r>
        <w:rPr>
          <w:rFonts w:ascii="Arial" w:hAnsi="Arial" w:cs="Arial"/>
          <w:sz w:val="20"/>
          <w:szCs w:val="20"/>
        </w:rPr>
        <w:t xml:space="preserve">Third, mechanistic studies combining reproductive endocrinology with transcriptomics, proteomics, metabolomics and epigenomics could help identify the molecular pathways that determine sensitivity or tolerance to environmental change (Labbé et al., 2017; Ryu et al., 2018; Lema et al., 2024). Such approaches should be complemented by physiological and </w:t>
      </w:r>
      <w:r>
        <w:rPr>
          <w:rFonts w:ascii="Arial" w:hAnsi="Arial" w:cs="Arial"/>
          <w:sz w:val="20"/>
          <w:szCs w:val="20"/>
        </w:rPr>
        <w:lastRenderedPageBreak/>
        <w:t>production-level measurements so that molecular changes can be related to meaningful reproductive outcomes.</w:t>
      </w:r>
    </w:p>
    <w:p w:rsidR="00544479" w:rsidRDefault="0072223F">
      <w:pPr>
        <w:pStyle w:val="NormalWeb"/>
        <w:jc w:val="both"/>
        <w:rPr>
          <w:rFonts w:ascii="Arial" w:hAnsi="Arial" w:cs="Arial"/>
          <w:sz w:val="20"/>
          <w:szCs w:val="20"/>
        </w:rPr>
      </w:pPr>
      <w:r>
        <w:rPr>
          <w:rFonts w:ascii="Arial" w:hAnsi="Arial" w:cs="Arial"/>
          <w:sz w:val="20"/>
          <w:szCs w:val="20"/>
        </w:rPr>
        <w:t>Fourth, commercially important tropical and subtropical species require greater representation in climate-reproduction research. Many existing studies have focused on temperate species or laboratory models, whereas reproductive responses of important tropical finfish and bivalve aquaculture species remain comparatively less well characterised (Alix et al., 2020; Padilla-Gamiño and Alma, 2022).</w:t>
      </w:r>
    </w:p>
    <w:p w:rsidR="00544479" w:rsidRDefault="0072223F">
      <w:pPr>
        <w:pStyle w:val="NormalWeb"/>
        <w:jc w:val="both"/>
        <w:rPr>
          <w:rFonts w:ascii="Arial" w:hAnsi="Arial" w:cs="Arial"/>
          <w:sz w:val="20"/>
          <w:szCs w:val="20"/>
        </w:rPr>
      </w:pPr>
      <w:r>
        <w:rPr>
          <w:rFonts w:ascii="Arial" w:hAnsi="Arial" w:cs="Arial"/>
          <w:sz w:val="20"/>
          <w:szCs w:val="20"/>
        </w:rPr>
        <w:t>Fifth, long-term and multigenerational experiments are needed to distinguish reversible acclimation and developmental plasticity from persistent parental effects, epigenetic inheritance and genetic adaptation. Carefully controlled breeding designs are essential for making these distinctions (Donelson et al., 2018; Zhao et al., 2020).</w:t>
      </w:r>
    </w:p>
    <w:p w:rsidR="00544479" w:rsidRDefault="0072223F">
      <w:pPr>
        <w:pStyle w:val="NormalWeb"/>
        <w:jc w:val="both"/>
        <w:rPr>
          <w:rFonts w:ascii="Arial" w:hAnsi="Arial" w:cs="Arial"/>
          <w:sz w:val="20"/>
          <w:szCs w:val="20"/>
        </w:rPr>
      </w:pPr>
      <w:r>
        <w:rPr>
          <w:rFonts w:ascii="Arial" w:hAnsi="Arial" w:cs="Arial"/>
          <w:sz w:val="20"/>
          <w:szCs w:val="20"/>
        </w:rPr>
        <w:t>Finally, laboratory findings need to be tested under commercial or semi-commercial hatchery conditions. Controlled experiments provide mechanistic information, but production environments involve fluctuating water quality, variable food availability, stocking density and operational constraints that can modify biological responses. Species-specific reproductive thresholds should ultimately be incorporated into climate-risk assessments, hatchery protocols and aquaculture management plans (Islam et al., 2022; Tan and Zheng, 2020).</w:t>
      </w:r>
    </w:p>
    <w:p w:rsidR="00544479" w:rsidRDefault="0072223F">
      <w:pPr>
        <w:pStyle w:val="Heading2"/>
        <w:rPr>
          <w:rFonts w:ascii="Arial" w:hAnsi="Arial" w:cs="Arial" w:hint="default"/>
          <w:sz w:val="22"/>
          <w:szCs w:val="22"/>
        </w:rPr>
      </w:pPr>
      <w:r>
        <w:rPr>
          <w:rFonts w:ascii="Arial" w:hAnsi="Arial" w:cs="Arial" w:hint="default"/>
          <w:sz w:val="22"/>
          <w:szCs w:val="22"/>
        </w:rPr>
        <w:t>11. CONCLUSIONS</w:t>
      </w:r>
    </w:p>
    <w:p w:rsidR="00544479" w:rsidRDefault="0072223F">
      <w:pPr>
        <w:pStyle w:val="NormalWeb"/>
        <w:jc w:val="both"/>
        <w:rPr>
          <w:rFonts w:ascii="Arial" w:hAnsi="Arial" w:cs="Arial"/>
          <w:sz w:val="20"/>
          <w:szCs w:val="20"/>
        </w:rPr>
      </w:pPr>
      <w:r>
        <w:rPr>
          <w:rFonts w:ascii="Arial" w:hAnsi="Arial" w:cs="Arial"/>
          <w:sz w:val="20"/>
          <w:szCs w:val="20"/>
        </w:rPr>
        <w:t>Climate change can influence reproduction in cultured fish and shellfish through interacting environmental, endocrine, metabolic and cellular pathways. The relative contribution of these mechanisms varies among species, reproductive stages and environmental histories.Temperature is a major determinant of reproductive timing and function in many fishes and can affect gonadal development, steroidogenesis, gametogenesis, gamete quality and spawning. Hypoxia can compromise reproductive physiology when oxygen availability becomes insufficient to meet metabolic requirements, while salinity variability and altered carbonate chemistry can impose additional challenges in species exposed to these conditions.</w:t>
      </w:r>
    </w:p>
    <w:p w:rsidR="00544479" w:rsidRDefault="0072223F">
      <w:pPr>
        <w:pStyle w:val="NormalWeb"/>
        <w:jc w:val="both"/>
        <w:rPr>
          <w:rFonts w:ascii="Arial" w:hAnsi="Arial" w:cs="Arial"/>
          <w:sz w:val="20"/>
          <w:szCs w:val="20"/>
        </w:rPr>
      </w:pPr>
      <w:r>
        <w:rPr>
          <w:rFonts w:ascii="Arial" w:hAnsi="Arial" w:cs="Arial"/>
          <w:sz w:val="20"/>
          <w:szCs w:val="20"/>
        </w:rPr>
        <w:t>Importantly, reproductive effects are not restricted to adult gonads. Changes in gamete quality can reduce fertilization success, while altered spawning phenology and environmental conditions during embryonic and larval development can further reduce recruitment and hatchery seed output. Interactions among multiple stressors may amplify, modify or sometimes offset individual effects. In addition, environmental conditions experienced by broodstock can influence offspring through parental provisioning, gamete-mediated effects and epigenetic mechanisms, although the adaptive significance and persistence of these effects remain uncertain (Alix et al., 2020; Donelson et al., 2018; Zhao et al., 2020).</w:t>
      </w:r>
    </w:p>
    <w:p w:rsidR="00544479" w:rsidRDefault="0072223F">
      <w:pPr>
        <w:pStyle w:val="NormalWeb"/>
        <w:jc w:val="both"/>
        <w:rPr>
          <w:rFonts w:ascii="Arial" w:hAnsi="Arial" w:cs="Arial"/>
          <w:sz w:val="20"/>
          <w:szCs w:val="20"/>
        </w:rPr>
      </w:pPr>
      <w:r>
        <w:rPr>
          <w:rFonts w:ascii="Arial" w:hAnsi="Arial" w:cs="Arial"/>
          <w:sz w:val="20"/>
          <w:szCs w:val="20"/>
        </w:rPr>
        <w:t xml:space="preserve">For aquaculture, climate resilience should therefore be defined in terms of the ability to </w:t>
      </w:r>
      <w:r>
        <w:rPr>
          <w:rStyle w:val="Strong"/>
          <w:rFonts w:ascii="Arial" w:hAnsi="Arial" w:cs="Arial"/>
          <w:sz w:val="20"/>
          <w:szCs w:val="20"/>
        </w:rPr>
        <w:t>maintain reproductive function and reliable production of viable offspring under environmental variability</w:t>
      </w:r>
      <w:r>
        <w:rPr>
          <w:rFonts w:ascii="Arial" w:hAnsi="Arial" w:cs="Arial"/>
          <w:sz w:val="20"/>
          <w:szCs w:val="20"/>
        </w:rPr>
        <w:t>, rather than survival alone. Effective adaptation will require an integrated approach combining environmental monitoring and management, appropriate broodstock nutrition, selective breeding, acclimation, reproductive cue management and validated early-warning indicators.</w:t>
      </w:r>
    </w:p>
    <w:p w:rsidR="00544479" w:rsidRDefault="0072223F">
      <w:pPr>
        <w:pStyle w:val="NormalWeb"/>
        <w:jc w:val="both"/>
        <w:rPr>
          <w:rFonts w:ascii="Arial" w:hAnsi="Arial" w:cs="Arial"/>
          <w:sz w:val="20"/>
          <w:szCs w:val="20"/>
        </w:rPr>
      </w:pPr>
      <w:r>
        <w:rPr>
          <w:rFonts w:ascii="Arial" w:hAnsi="Arial" w:cs="Arial"/>
          <w:sz w:val="20"/>
          <w:szCs w:val="20"/>
        </w:rPr>
        <w:t>Future research should increasingly employ realistic multiple-stressor and fluctuating-exposure experiments, long-term and multigenerational designs, and greater representation of commercially important tropical and subtropical species. Equally important is the validation of experimental findings under practical hatchery conditions. Integrating reproductive endocrinology with environmental physiology, molecular biology, genetics and aquaculture management will be essential for developing reliable strategies to sustain broodstock performance and seed production under a changing climate.</w:t>
      </w:r>
    </w:p>
    <w:p w:rsidR="007D043E" w:rsidRDefault="007D043E">
      <w:pPr>
        <w:pStyle w:val="NormalWeb"/>
        <w:jc w:val="both"/>
        <w:rPr>
          <w:rFonts w:ascii="Arial" w:hAnsi="Arial" w:cs="Arial"/>
          <w:sz w:val="20"/>
          <w:szCs w:val="20"/>
        </w:rPr>
      </w:pPr>
    </w:p>
    <w:p w:rsidR="007D043E" w:rsidRPr="000839CE" w:rsidRDefault="007D043E" w:rsidP="007D043E">
      <w:pPr>
        <w:rPr>
          <w:rFonts w:ascii="Times New Roman" w:hAnsi="Times New Roman" w:cs="Times New Roman"/>
          <w:b/>
        </w:rPr>
      </w:pPr>
      <w:r w:rsidRPr="000839CE">
        <w:rPr>
          <w:rFonts w:ascii="Times New Roman" w:hAnsi="Times New Roman" w:cs="Times New Roman"/>
          <w:b/>
        </w:rPr>
        <w:lastRenderedPageBreak/>
        <w:t>Declaration of AI Use</w:t>
      </w:r>
    </w:p>
    <w:p w:rsidR="007D043E" w:rsidRPr="00082816" w:rsidRDefault="007D043E" w:rsidP="007D043E">
      <w:pPr>
        <w:rPr>
          <w:rFonts w:ascii="Times New Roman" w:hAnsi="Times New Roman" w:cs="Times New Roman"/>
        </w:rPr>
      </w:pPr>
    </w:p>
    <w:p w:rsidR="007D043E" w:rsidRPr="00082816" w:rsidRDefault="007D043E" w:rsidP="007D043E">
      <w:pPr>
        <w:rPr>
          <w:rFonts w:ascii="Times New Roman" w:hAnsi="Times New Roman" w:cs="Times New Roman"/>
        </w:rPr>
      </w:pPr>
      <w:r w:rsidRPr="00082816">
        <w:rPr>
          <w:rFonts w:ascii="Times New Roman" w:hAnsi="Times New Roman" w:cs="Times New Roma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7D043E" w:rsidRDefault="007D043E">
      <w:pPr>
        <w:pStyle w:val="NormalWeb"/>
        <w:jc w:val="both"/>
        <w:rPr>
          <w:rFonts w:ascii="Arial" w:hAnsi="Arial" w:cs="Arial"/>
          <w:sz w:val="20"/>
          <w:szCs w:val="20"/>
        </w:rPr>
      </w:pPr>
    </w:p>
    <w:p w:rsidR="00544479" w:rsidRDefault="0072223F">
      <w:pPr>
        <w:pStyle w:val="Heading1"/>
        <w:rPr>
          <w:rFonts w:ascii="Arial" w:hAnsi="Arial" w:cs="Arial" w:hint="default"/>
          <w:sz w:val="22"/>
          <w:szCs w:val="22"/>
        </w:rPr>
      </w:pPr>
      <w:r>
        <w:rPr>
          <w:rFonts w:ascii="Arial" w:hAnsi="Arial" w:cs="Arial" w:hint="default"/>
          <w:sz w:val="22"/>
          <w:szCs w:val="22"/>
        </w:rPr>
        <w:t>REFERENCES</w:t>
      </w:r>
    </w:p>
    <w:p w:rsidR="00544479" w:rsidRDefault="0072223F">
      <w:pPr>
        <w:pStyle w:val="NormalWeb"/>
        <w:jc w:val="both"/>
        <w:rPr>
          <w:rFonts w:ascii="Arial" w:hAnsi="Arial" w:cs="Arial"/>
          <w:sz w:val="20"/>
          <w:szCs w:val="20"/>
        </w:rPr>
      </w:pPr>
      <w:r>
        <w:rPr>
          <w:rFonts w:ascii="Arial" w:hAnsi="Arial" w:cs="Arial"/>
          <w:sz w:val="20"/>
          <w:szCs w:val="20"/>
        </w:rPr>
        <w:t xml:space="preserve">Agarwal, D., Shanmugam, S. A., Kathirvelpandian, A., Eswaran, S., Rather, M. A., &amp;Rakkannan, G. (2024). Unraveling the impact of climate change on fish physiology: A focus on temperature and salinity dynamics. </w:t>
      </w:r>
      <w:r>
        <w:rPr>
          <w:rStyle w:val="Emphasis"/>
          <w:rFonts w:ascii="Arial" w:hAnsi="Arial" w:cs="Arial"/>
          <w:sz w:val="20"/>
          <w:szCs w:val="20"/>
        </w:rPr>
        <w:t>Journal of Applied Ichthyology</w:t>
      </w:r>
      <w:r>
        <w:rPr>
          <w:rFonts w:ascii="Arial" w:hAnsi="Arial" w:cs="Arial"/>
          <w:sz w:val="20"/>
          <w:szCs w:val="20"/>
        </w:rPr>
        <w:t xml:space="preserve">, 2024, 5782274. </w:t>
      </w:r>
      <w:hyperlink r:id="rId7" w:history="1">
        <w:r w:rsidR="00544479">
          <w:rPr>
            <w:rStyle w:val="Hyperlink"/>
            <w:rFonts w:ascii="Arial" w:hAnsi="Arial" w:cs="Arial"/>
            <w:sz w:val="20"/>
            <w:szCs w:val="20"/>
          </w:rPr>
          <w:t>https://doi.org/10.1155/2024/5782274</w:t>
        </w:r>
      </w:hyperlink>
    </w:p>
    <w:p w:rsidR="00544479" w:rsidRDefault="0072223F">
      <w:pPr>
        <w:pStyle w:val="NormalWeb"/>
        <w:jc w:val="both"/>
        <w:rPr>
          <w:rFonts w:ascii="Arial" w:hAnsi="Arial" w:cs="Arial"/>
          <w:sz w:val="20"/>
          <w:szCs w:val="20"/>
        </w:rPr>
      </w:pPr>
      <w:r>
        <w:rPr>
          <w:rFonts w:ascii="Arial" w:hAnsi="Arial" w:cs="Arial"/>
          <w:sz w:val="20"/>
          <w:szCs w:val="20"/>
        </w:rPr>
        <w:t xml:space="preserve">Alix, M., Kjesbu, O. S., &amp; Anderson, K. C. (2020). From gametogenesis to spawning: How climate-driven warming affects teleost reproductive biology. </w:t>
      </w:r>
      <w:r>
        <w:rPr>
          <w:rStyle w:val="Emphasis"/>
          <w:rFonts w:ascii="Arial" w:hAnsi="Arial" w:cs="Arial"/>
          <w:sz w:val="20"/>
          <w:szCs w:val="20"/>
        </w:rPr>
        <w:t>Journal of Fish Biology</w:t>
      </w:r>
      <w:r>
        <w:rPr>
          <w:rFonts w:ascii="Arial" w:hAnsi="Arial" w:cs="Arial"/>
          <w:sz w:val="20"/>
          <w:szCs w:val="20"/>
        </w:rPr>
        <w:t xml:space="preserve">, 97, 607–632. </w:t>
      </w:r>
      <w:hyperlink r:id="rId8" w:history="1">
        <w:r w:rsidR="00544479">
          <w:rPr>
            <w:rStyle w:val="Hyperlink"/>
            <w:rFonts w:ascii="Arial" w:hAnsi="Arial" w:cs="Arial"/>
            <w:sz w:val="20"/>
            <w:szCs w:val="20"/>
          </w:rPr>
          <w:t>https://doi.org/10.1111/jfb.14439</w:t>
        </w:r>
      </w:hyperlink>
    </w:p>
    <w:p w:rsidR="00544479" w:rsidRDefault="0072223F">
      <w:pPr>
        <w:pStyle w:val="NormalWeb"/>
        <w:jc w:val="both"/>
        <w:rPr>
          <w:rFonts w:ascii="Arial" w:hAnsi="Arial" w:cs="Arial"/>
          <w:sz w:val="20"/>
          <w:szCs w:val="20"/>
        </w:rPr>
      </w:pPr>
      <w:r>
        <w:rPr>
          <w:rFonts w:ascii="Arial" w:hAnsi="Arial" w:cs="Arial"/>
          <w:sz w:val="20"/>
          <w:szCs w:val="20"/>
        </w:rPr>
        <w:t xml:space="preserve">Bobe, J., &amp; Labbé, C. (2010). Egg and sperm quality in fish. </w:t>
      </w:r>
      <w:r>
        <w:rPr>
          <w:rStyle w:val="Emphasis"/>
          <w:rFonts w:ascii="Arial" w:hAnsi="Arial" w:cs="Arial"/>
          <w:sz w:val="20"/>
          <w:szCs w:val="20"/>
        </w:rPr>
        <w:t>General and Comparative Endocrinology</w:t>
      </w:r>
      <w:r>
        <w:rPr>
          <w:rFonts w:ascii="Arial" w:hAnsi="Arial" w:cs="Arial"/>
          <w:sz w:val="20"/>
          <w:szCs w:val="20"/>
        </w:rPr>
        <w:t xml:space="preserve">, 165, 535–548. </w:t>
      </w:r>
      <w:hyperlink r:id="rId9" w:history="1">
        <w:r w:rsidR="00544479">
          <w:rPr>
            <w:rStyle w:val="Hyperlink"/>
            <w:rFonts w:ascii="Arial" w:hAnsi="Arial" w:cs="Arial"/>
            <w:sz w:val="20"/>
            <w:szCs w:val="20"/>
          </w:rPr>
          <w:t>https://doi.org/10.1016/j.ygcen.2009.02.011</w:t>
        </w:r>
      </w:hyperlink>
    </w:p>
    <w:p w:rsidR="00544479" w:rsidRDefault="0072223F">
      <w:pPr>
        <w:pStyle w:val="NormalWeb"/>
        <w:jc w:val="both"/>
        <w:rPr>
          <w:rFonts w:ascii="Arial" w:hAnsi="Arial" w:cs="Arial"/>
          <w:sz w:val="20"/>
          <w:szCs w:val="20"/>
        </w:rPr>
      </w:pPr>
      <w:r>
        <w:rPr>
          <w:rFonts w:ascii="Arial" w:hAnsi="Arial" w:cs="Arial"/>
          <w:sz w:val="20"/>
          <w:szCs w:val="20"/>
        </w:rPr>
        <w:t xml:space="preserve">Byrne, M., Foo, S. A., Ross, P. M., &amp; Putnam, H. M. (2020). Limitations of cross- and multigenerational plasticity for marine invertebrates faced with global climate change. </w:t>
      </w:r>
      <w:r>
        <w:rPr>
          <w:rStyle w:val="Emphasis"/>
          <w:rFonts w:ascii="Arial" w:hAnsi="Arial" w:cs="Arial"/>
          <w:sz w:val="20"/>
          <w:szCs w:val="20"/>
        </w:rPr>
        <w:t>Global Change Biology</w:t>
      </w:r>
      <w:r>
        <w:rPr>
          <w:rFonts w:ascii="Arial" w:hAnsi="Arial" w:cs="Arial"/>
          <w:sz w:val="20"/>
          <w:szCs w:val="20"/>
        </w:rPr>
        <w:t xml:space="preserve">, 26, 80–102. </w:t>
      </w:r>
      <w:hyperlink r:id="rId10" w:history="1">
        <w:r w:rsidR="00544479">
          <w:rPr>
            <w:rStyle w:val="Hyperlink"/>
            <w:rFonts w:ascii="Arial" w:hAnsi="Arial" w:cs="Arial"/>
            <w:sz w:val="20"/>
            <w:szCs w:val="20"/>
          </w:rPr>
          <w:t>https://doi.org/10.1111/gcb.14882</w:t>
        </w:r>
      </w:hyperlink>
    </w:p>
    <w:p w:rsidR="00544479" w:rsidRDefault="0072223F">
      <w:pPr>
        <w:pStyle w:val="NormalWeb"/>
        <w:jc w:val="both"/>
        <w:rPr>
          <w:rFonts w:ascii="Arial" w:hAnsi="Arial" w:cs="Arial"/>
          <w:sz w:val="20"/>
          <w:szCs w:val="20"/>
        </w:rPr>
      </w:pPr>
      <w:r>
        <w:rPr>
          <w:rFonts w:ascii="Arial" w:hAnsi="Arial" w:cs="Arial"/>
          <w:sz w:val="20"/>
          <w:szCs w:val="20"/>
        </w:rPr>
        <w:t xml:space="preserve">Caruso, C. C., Breton, T. S., &amp; Berlinsky, D. L. (2016). The effects of temperature on ovarian aromatase (Cyp19a1a) expression and sex differentiation in summer flounder. </w:t>
      </w:r>
      <w:r>
        <w:rPr>
          <w:rStyle w:val="Emphasis"/>
          <w:rFonts w:ascii="Arial" w:hAnsi="Arial" w:cs="Arial"/>
          <w:sz w:val="20"/>
          <w:szCs w:val="20"/>
        </w:rPr>
        <w:t>Fish Physiology and Biochemistry</w:t>
      </w:r>
      <w:r>
        <w:rPr>
          <w:rFonts w:ascii="Arial" w:hAnsi="Arial" w:cs="Arial"/>
          <w:sz w:val="20"/>
          <w:szCs w:val="20"/>
        </w:rPr>
        <w:t xml:space="preserve">, 42, 795–805. </w:t>
      </w:r>
      <w:hyperlink r:id="rId11" w:history="1">
        <w:r w:rsidR="00544479">
          <w:rPr>
            <w:rStyle w:val="Hyperlink"/>
            <w:rFonts w:ascii="Arial" w:hAnsi="Arial" w:cs="Arial"/>
            <w:sz w:val="20"/>
            <w:szCs w:val="20"/>
          </w:rPr>
          <w:t>https://doi.org/10.1007/s10695-015-0176-0</w:t>
        </w:r>
      </w:hyperlink>
    </w:p>
    <w:p w:rsidR="00544479" w:rsidRDefault="0072223F">
      <w:pPr>
        <w:pStyle w:val="NormalWeb"/>
        <w:jc w:val="both"/>
        <w:rPr>
          <w:rFonts w:ascii="Arial" w:hAnsi="Arial" w:cs="Arial"/>
          <w:sz w:val="20"/>
          <w:szCs w:val="20"/>
        </w:rPr>
      </w:pPr>
      <w:r>
        <w:rPr>
          <w:rFonts w:ascii="Arial" w:hAnsi="Arial" w:cs="Arial"/>
          <w:sz w:val="20"/>
          <w:szCs w:val="20"/>
        </w:rPr>
        <w:t xml:space="preserve">Cohen, J. M., Lajeunesse, M. J., &amp; Rohr, J. R. (2018). A global synthesis of animal phenological responses to climate change. </w:t>
      </w:r>
      <w:r>
        <w:rPr>
          <w:rStyle w:val="Emphasis"/>
          <w:rFonts w:ascii="Arial" w:hAnsi="Arial" w:cs="Arial"/>
          <w:sz w:val="20"/>
          <w:szCs w:val="20"/>
        </w:rPr>
        <w:t>Nature Climate Change</w:t>
      </w:r>
      <w:r>
        <w:rPr>
          <w:rFonts w:ascii="Arial" w:hAnsi="Arial" w:cs="Arial"/>
          <w:sz w:val="20"/>
          <w:szCs w:val="20"/>
        </w:rPr>
        <w:t xml:space="preserve">, 8, 224–228. </w:t>
      </w:r>
      <w:hyperlink r:id="rId12" w:history="1">
        <w:r w:rsidR="00544479">
          <w:rPr>
            <w:rStyle w:val="Hyperlink"/>
            <w:rFonts w:ascii="Arial" w:hAnsi="Arial" w:cs="Arial"/>
            <w:sz w:val="20"/>
            <w:szCs w:val="20"/>
          </w:rPr>
          <w:t>https://doi.org/10.1038/s41558-018-0067-3</w:t>
        </w:r>
      </w:hyperlink>
    </w:p>
    <w:p w:rsidR="00544479" w:rsidRDefault="0072223F">
      <w:pPr>
        <w:pStyle w:val="NormalWeb"/>
        <w:jc w:val="both"/>
        <w:rPr>
          <w:rFonts w:ascii="Arial" w:hAnsi="Arial" w:cs="Arial"/>
          <w:sz w:val="20"/>
          <w:szCs w:val="20"/>
        </w:rPr>
      </w:pPr>
      <w:r>
        <w:rPr>
          <w:rFonts w:ascii="Arial" w:hAnsi="Arial" w:cs="Arial"/>
          <w:sz w:val="20"/>
          <w:szCs w:val="20"/>
        </w:rPr>
        <w:t>Czaja, R., Pales-Espinosa, E., Cerrato, R. M., Lwiza, K. M., &amp; Allam, B. (2023). Using meta-analysis to explore the roles of global upwelling exposure and experimental design in bivalve responses to low pH.</w:t>
      </w:r>
      <w:r>
        <w:rPr>
          <w:rStyle w:val="Emphasis"/>
          <w:rFonts w:ascii="Arial" w:hAnsi="Arial" w:cs="Arial"/>
          <w:sz w:val="20"/>
          <w:szCs w:val="20"/>
        </w:rPr>
        <w:t>Science of the Total Environment</w:t>
      </w:r>
      <w:r>
        <w:rPr>
          <w:rFonts w:ascii="Arial" w:hAnsi="Arial" w:cs="Arial"/>
          <w:sz w:val="20"/>
          <w:szCs w:val="20"/>
        </w:rPr>
        <w:t xml:space="preserve">, 902, 165900. </w:t>
      </w:r>
      <w:hyperlink r:id="rId13" w:history="1">
        <w:r w:rsidR="00544479">
          <w:rPr>
            <w:rStyle w:val="Hyperlink"/>
            <w:rFonts w:ascii="Arial" w:hAnsi="Arial" w:cs="Arial"/>
            <w:sz w:val="20"/>
            <w:szCs w:val="20"/>
          </w:rPr>
          <w:t>https://doi.org/10.1016/j.scitotenv.2023.165900</w:t>
        </w:r>
      </w:hyperlink>
    </w:p>
    <w:p w:rsidR="00544479" w:rsidRDefault="0072223F">
      <w:pPr>
        <w:pStyle w:val="NormalWeb"/>
        <w:jc w:val="both"/>
        <w:rPr>
          <w:rFonts w:ascii="Arial" w:hAnsi="Arial" w:cs="Arial"/>
          <w:sz w:val="20"/>
          <w:szCs w:val="20"/>
        </w:rPr>
      </w:pPr>
      <w:r>
        <w:rPr>
          <w:rFonts w:ascii="Arial" w:hAnsi="Arial" w:cs="Arial"/>
          <w:sz w:val="20"/>
          <w:szCs w:val="20"/>
        </w:rPr>
        <w:t xml:space="preserve">Dadras, H., Dzyuba, B., Cosson, J., Golpour, A., Siddique, M. A. M., &amp; Linhart, O. (2017). Effect of water temperature on the physiology of fish spermatozoon function: A brief review. </w:t>
      </w:r>
      <w:r>
        <w:rPr>
          <w:rStyle w:val="Emphasis"/>
          <w:rFonts w:ascii="Arial" w:hAnsi="Arial" w:cs="Arial"/>
          <w:sz w:val="20"/>
          <w:szCs w:val="20"/>
        </w:rPr>
        <w:t>Aquaculture Research</w:t>
      </w:r>
      <w:r>
        <w:rPr>
          <w:rFonts w:ascii="Arial" w:hAnsi="Arial" w:cs="Arial"/>
          <w:sz w:val="20"/>
          <w:szCs w:val="20"/>
        </w:rPr>
        <w:t xml:space="preserve">, 48, 729–740. </w:t>
      </w:r>
      <w:hyperlink r:id="rId14" w:history="1">
        <w:r w:rsidR="00544479">
          <w:rPr>
            <w:rStyle w:val="Hyperlink"/>
            <w:rFonts w:ascii="Arial" w:hAnsi="Arial" w:cs="Arial"/>
            <w:sz w:val="20"/>
            <w:szCs w:val="20"/>
          </w:rPr>
          <w:t>https://doi.org/10.1111/are.13049</w:t>
        </w:r>
      </w:hyperlink>
    </w:p>
    <w:p w:rsidR="00544479" w:rsidRDefault="0072223F">
      <w:pPr>
        <w:pStyle w:val="NormalWeb"/>
        <w:jc w:val="both"/>
        <w:rPr>
          <w:rFonts w:ascii="Arial" w:hAnsi="Arial" w:cs="Arial"/>
          <w:sz w:val="20"/>
          <w:szCs w:val="20"/>
        </w:rPr>
      </w:pPr>
      <w:r>
        <w:rPr>
          <w:rFonts w:ascii="Arial" w:hAnsi="Arial" w:cs="Arial"/>
          <w:sz w:val="20"/>
          <w:szCs w:val="20"/>
        </w:rPr>
        <w:t xml:space="preserve">Dahlke, F. T., Wohlrab, S., Butzin, M., &amp;Pörtner, H. O. (2020). Thermal bottlenecks in the life cycle define climate vulnerability of fish. </w:t>
      </w:r>
      <w:r>
        <w:rPr>
          <w:rStyle w:val="Emphasis"/>
          <w:rFonts w:ascii="Arial" w:hAnsi="Arial" w:cs="Arial"/>
          <w:sz w:val="20"/>
          <w:szCs w:val="20"/>
        </w:rPr>
        <w:t>Science</w:t>
      </w:r>
      <w:r>
        <w:rPr>
          <w:rFonts w:ascii="Arial" w:hAnsi="Arial" w:cs="Arial"/>
          <w:sz w:val="20"/>
          <w:szCs w:val="20"/>
        </w:rPr>
        <w:t xml:space="preserve">, 369, 65–70. </w:t>
      </w:r>
      <w:hyperlink r:id="rId15" w:history="1">
        <w:r w:rsidR="00544479">
          <w:rPr>
            <w:rStyle w:val="Hyperlink"/>
            <w:rFonts w:ascii="Arial" w:hAnsi="Arial" w:cs="Arial"/>
            <w:sz w:val="20"/>
            <w:szCs w:val="20"/>
          </w:rPr>
          <w:t>https://doi.org/10.1126/science.aaz3658</w:t>
        </w:r>
      </w:hyperlink>
    </w:p>
    <w:p w:rsidR="00544479" w:rsidRDefault="0072223F">
      <w:pPr>
        <w:pStyle w:val="NormalWeb"/>
        <w:jc w:val="both"/>
        <w:rPr>
          <w:rFonts w:ascii="Arial" w:hAnsi="Arial" w:cs="Arial"/>
          <w:sz w:val="20"/>
          <w:szCs w:val="20"/>
        </w:rPr>
      </w:pPr>
      <w:r>
        <w:rPr>
          <w:rFonts w:ascii="Arial" w:hAnsi="Arial" w:cs="Arial"/>
          <w:sz w:val="20"/>
          <w:szCs w:val="20"/>
        </w:rPr>
        <w:t xml:space="preserve">Donelson, J. M., Munday, P. L., McCormick, M. I., &amp; Pitcher, C. R. (2012). Rapid transgenerational acclimation of a tropical reef fish to climate change. </w:t>
      </w:r>
      <w:r>
        <w:rPr>
          <w:rStyle w:val="Emphasis"/>
          <w:rFonts w:ascii="Arial" w:hAnsi="Arial" w:cs="Arial"/>
          <w:sz w:val="20"/>
          <w:szCs w:val="20"/>
        </w:rPr>
        <w:t>Nature Climate Change</w:t>
      </w:r>
      <w:r>
        <w:rPr>
          <w:rFonts w:ascii="Arial" w:hAnsi="Arial" w:cs="Arial"/>
          <w:sz w:val="20"/>
          <w:szCs w:val="20"/>
        </w:rPr>
        <w:t xml:space="preserve">, 2, 30–32. </w:t>
      </w:r>
      <w:hyperlink r:id="rId16" w:history="1">
        <w:r w:rsidR="00544479">
          <w:rPr>
            <w:rStyle w:val="Hyperlink"/>
            <w:rFonts w:ascii="Arial" w:hAnsi="Arial" w:cs="Arial"/>
            <w:sz w:val="20"/>
            <w:szCs w:val="20"/>
          </w:rPr>
          <w:t>https://doi.org/10.1038/nclimate1323</w:t>
        </w:r>
      </w:hyperlink>
    </w:p>
    <w:p w:rsidR="00544479" w:rsidRDefault="0072223F">
      <w:pPr>
        <w:pStyle w:val="NormalWeb"/>
        <w:jc w:val="both"/>
        <w:rPr>
          <w:rFonts w:ascii="Arial" w:hAnsi="Arial" w:cs="Arial"/>
          <w:sz w:val="20"/>
          <w:szCs w:val="20"/>
        </w:rPr>
      </w:pPr>
      <w:r>
        <w:rPr>
          <w:rFonts w:ascii="Arial" w:hAnsi="Arial" w:cs="Arial"/>
          <w:sz w:val="20"/>
          <w:szCs w:val="20"/>
        </w:rPr>
        <w:t xml:space="preserve">Donelson, J. M., Wong, M., Booth, D. J., &amp; Munday, P. L. (2016). Transgenerational plasticity of reproduction depends on rate of warming across generations. </w:t>
      </w:r>
      <w:r>
        <w:rPr>
          <w:rStyle w:val="Emphasis"/>
          <w:rFonts w:ascii="Arial" w:hAnsi="Arial" w:cs="Arial"/>
          <w:sz w:val="20"/>
          <w:szCs w:val="20"/>
        </w:rPr>
        <w:t>Evolutionary Applications</w:t>
      </w:r>
      <w:r>
        <w:rPr>
          <w:rFonts w:ascii="Arial" w:hAnsi="Arial" w:cs="Arial"/>
          <w:sz w:val="20"/>
          <w:szCs w:val="20"/>
        </w:rPr>
        <w:t xml:space="preserve">, 9, 1072–1081. </w:t>
      </w:r>
      <w:hyperlink r:id="rId17" w:history="1">
        <w:r w:rsidR="00544479">
          <w:rPr>
            <w:rStyle w:val="Hyperlink"/>
            <w:rFonts w:ascii="Arial" w:hAnsi="Arial" w:cs="Arial"/>
            <w:sz w:val="20"/>
            <w:szCs w:val="20"/>
          </w:rPr>
          <w:t>https://doi.org/10.1111/eva.12386</w:t>
        </w:r>
      </w:hyperlink>
    </w:p>
    <w:p w:rsidR="00544479" w:rsidRDefault="0072223F">
      <w:pPr>
        <w:pStyle w:val="NormalWeb"/>
        <w:jc w:val="both"/>
        <w:rPr>
          <w:rFonts w:ascii="Arial" w:hAnsi="Arial" w:cs="Arial"/>
          <w:sz w:val="20"/>
          <w:szCs w:val="20"/>
        </w:rPr>
      </w:pPr>
      <w:r>
        <w:rPr>
          <w:rFonts w:ascii="Arial" w:hAnsi="Arial" w:cs="Arial"/>
          <w:sz w:val="20"/>
          <w:szCs w:val="20"/>
        </w:rPr>
        <w:lastRenderedPageBreak/>
        <w:t xml:space="preserve">Donelson, J. M., Salinas, S., Munday, P. L., &amp; Shama, L. N. S. (2018). Transgenerational plasticity and climate change experiments: Where do we go from here? </w:t>
      </w:r>
      <w:r>
        <w:rPr>
          <w:rStyle w:val="Emphasis"/>
          <w:rFonts w:ascii="Arial" w:hAnsi="Arial" w:cs="Arial"/>
          <w:sz w:val="20"/>
          <w:szCs w:val="20"/>
        </w:rPr>
        <w:t>Global Change Biology</w:t>
      </w:r>
      <w:r>
        <w:rPr>
          <w:rFonts w:ascii="Arial" w:hAnsi="Arial" w:cs="Arial"/>
          <w:sz w:val="20"/>
          <w:szCs w:val="20"/>
        </w:rPr>
        <w:t xml:space="preserve">, 24, 13–34. </w:t>
      </w:r>
      <w:hyperlink r:id="rId18" w:history="1">
        <w:r w:rsidR="00544479">
          <w:rPr>
            <w:rStyle w:val="Hyperlink"/>
            <w:rFonts w:ascii="Arial" w:hAnsi="Arial" w:cs="Arial"/>
            <w:sz w:val="20"/>
            <w:szCs w:val="20"/>
          </w:rPr>
          <w:t>https://doi.org/10.1111/gcb.13903</w:t>
        </w:r>
      </w:hyperlink>
    </w:p>
    <w:p w:rsidR="00544479" w:rsidRDefault="0072223F">
      <w:pPr>
        <w:pStyle w:val="NormalWeb"/>
        <w:jc w:val="both"/>
        <w:rPr>
          <w:rFonts w:ascii="Arial" w:hAnsi="Arial" w:cs="Arial"/>
          <w:sz w:val="20"/>
          <w:szCs w:val="20"/>
        </w:rPr>
      </w:pPr>
      <w:r>
        <w:rPr>
          <w:rFonts w:ascii="Arial" w:hAnsi="Arial" w:cs="Arial"/>
          <w:sz w:val="20"/>
          <w:szCs w:val="20"/>
        </w:rPr>
        <w:t xml:space="preserve">Dorts, J., Grenouillet, G., Douxfils, J., Mandiki, S. N. M., Milla, S., Silvestre, F., et al. (2012). Evidence that elevated water temperature affects the reproductive physiology of the European bullhead </w:t>
      </w:r>
      <w:r>
        <w:rPr>
          <w:rStyle w:val="Emphasis"/>
          <w:rFonts w:ascii="Arial" w:hAnsi="Arial" w:cs="Arial"/>
          <w:sz w:val="20"/>
          <w:szCs w:val="20"/>
        </w:rPr>
        <w:t>Cottus gobio</w:t>
      </w:r>
      <w:r>
        <w:rPr>
          <w:rFonts w:ascii="Arial" w:hAnsi="Arial" w:cs="Arial"/>
          <w:sz w:val="20"/>
          <w:szCs w:val="20"/>
        </w:rPr>
        <w:t xml:space="preserve">. </w:t>
      </w:r>
      <w:r>
        <w:rPr>
          <w:rStyle w:val="Emphasis"/>
          <w:rFonts w:ascii="Arial" w:hAnsi="Arial" w:cs="Arial"/>
          <w:sz w:val="20"/>
          <w:szCs w:val="20"/>
        </w:rPr>
        <w:t>Fish Physiology and Biochemistry</w:t>
      </w:r>
      <w:r>
        <w:rPr>
          <w:rFonts w:ascii="Arial" w:hAnsi="Arial" w:cs="Arial"/>
          <w:sz w:val="20"/>
          <w:szCs w:val="20"/>
        </w:rPr>
        <w:t xml:space="preserve">, 38, 389–399. </w:t>
      </w:r>
      <w:hyperlink r:id="rId19" w:history="1">
        <w:r w:rsidR="00544479">
          <w:rPr>
            <w:rStyle w:val="Hyperlink"/>
            <w:rFonts w:ascii="Arial" w:hAnsi="Arial" w:cs="Arial"/>
            <w:sz w:val="20"/>
            <w:szCs w:val="20"/>
          </w:rPr>
          <w:t>https://doi.org/10.1007/s10695-011-9515-y</w:t>
        </w:r>
      </w:hyperlink>
    </w:p>
    <w:p w:rsidR="00544479" w:rsidRDefault="0072223F">
      <w:pPr>
        <w:pStyle w:val="NormalWeb"/>
        <w:jc w:val="both"/>
        <w:rPr>
          <w:rFonts w:ascii="Arial" w:hAnsi="Arial" w:cs="Arial"/>
          <w:sz w:val="20"/>
          <w:szCs w:val="20"/>
        </w:rPr>
      </w:pPr>
      <w:r>
        <w:rPr>
          <w:rFonts w:ascii="Arial" w:hAnsi="Arial" w:cs="Arial"/>
          <w:sz w:val="20"/>
          <w:szCs w:val="20"/>
        </w:rPr>
        <w:t xml:space="preserve">Fenkes, M., Fitzpatrick, J. L., Ozolina, K., Shiels, H. A., &amp; Nudds, R. L. (2017). Sperm in hot water: Direct and indirect thermal challenges interact to impact on brown trout sperm quality. </w:t>
      </w:r>
      <w:r>
        <w:rPr>
          <w:rStyle w:val="Emphasis"/>
          <w:rFonts w:ascii="Arial" w:hAnsi="Arial" w:cs="Arial"/>
          <w:sz w:val="20"/>
          <w:szCs w:val="20"/>
        </w:rPr>
        <w:t>Journal of Experimental Biology</w:t>
      </w:r>
      <w:r>
        <w:rPr>
          <w:rFonts w:ascii="Arial" w:hAnsi="Arial" w:cs="Arial"/>
          <w:sz w:val="20"/>
          <w:szCs w:val="20"/>
        </w:rPr>
        <w:t xml:space="preserve">, 220, 2513–2520. </w:t>
      </w:r>
      <w:hyperlink r:id="rId20" w:history="1">
        <w:r w:rsidR="00544479">
          <w:rPr>
            <w:rStyle w:val="Hyperlink"/>
            <w:rFonts w:ascii="Arial" w:hAnsi="Arial" w:cs="Arial"/>
            <w:sz w:val="20"/>
            <w:szCs w:val="20"/>
          </w:rPr>
          <w:t>https://doi.org/10.1242/jeb.156018</w:t>
        </w:r>
      </w:hyperlink>
    </w:p>
    <w:p w:rsidR="00544479" w:rsidRDefault="0072223F">
      <w:pPr>
        <w:pStyle w:val="NormalWeb"/>
        <w:jc w:val="both"/>
        <w:rPr>
          <w:rFonts w:ascii="Arial" w:hAnsi="Arial" w:cs="Arial"/>
          <w:sz w:val="20"/>
          <w:szCs w:val="20"/>
        </w:rPr>
      </w:pPr>
      <w:r>
        <w:rPr>
          <w:rFonts w:ascii="Arial" w:hAnsi="Arial" w:cs="Arial"/>
          <w:sz w:val="20"/>
          <w:szCs w:val="20"/>
        </w:rPr>
        <w:t xml:space="preserve">Geffroy, B., &amp; Wedekind, C. (2020). Effects of global warming on sex ratios in fishes. </w:t>
      </w:r>
      <w:r>
        <w:rPr>
          <w:rStyle w:val="Emphasis"/>
          <w:rFonts w:ascii="Arial" w:hAnsi="Arial" w:cs="Arial"/>
          <w:sz w:val="20"/>
          <w:szCs w:val="20"/>
        </w:rPr>
        <w:t>Journal of Fish Biology</w:t>
      </w:r>
      <w:r>
        <w:rPr>
          <w:rFonts w:ascii="Arial" w:hAnsi="Arial" w:cs="Arial"/>
          <w:sz w:val="20"/>
          <w:szCs w:val="20"/>
        </w:rPr>
        <w:t xml:space="preserve">, 97, 596–606. </w:t>
      </w:r>
      <w:hyperlink r:id="rId21" w:history="1">
        <w:r w:rsidR="00544479">
          <w:rPr>
            <w:rStyle w:val="Hyperlink"/>
            <w:rFonts w:ascii="Arial" w:hAnsi="Arial" w:cs="Arial"/>
            <w:sz w:val="20"/>
            <w:szCs w:val="20"/>
          </w:rPr>
          <w:t>https://doi.org/10.1111/jfb.14429</w:t>
        </w:r>
      </w:hyperlink>
    </w:p>
    <w:p w:rsidR="00544479" w:rsidRDefault="0072223F">
      <w:pPr>
        <w:pStyle w:val="NormalWeb"/>
        <w:jc w:val="both"/>
        <w:rPr>
          <w:rFonts w:ascii="Arial" w:hAnsi="Arial" w:cs="Arial"/>
        </w:rPr>
      </w:pPr>
      <w:r>
        <w:rPr>
          <w:rFonts w:ascii="Arial" w:hAnsi="Arial" w:cs="Arial"/>
        </w:rPr>
        <w:t xml:space="preserve">Gosling, E. (2003). Reproduction, settlement and recruitment. In </w:t>
      </w:r>
      <w:r>
        <w:rPr>
          <w:rStyle w:val="Emphasis"/>
          <w:rFonts w:ascii="Arial" w:hAnsi="Arial" w:cs="Arial"/>
        </w:rPr>
        <w:t>Bivalve Molluscs: Biology, Ecology and Culture</w:t>
      </w:r>
      <w:r>
        <w:rPr>
          <w:rFonts w:ascii="Arial" w:hAnsi="Arial" w:cs="Arial"/>
        </w:rPr>
        <w:t xml:space="preserve"> (pp. 131–168). Oxford: Blackwell Publishing. </w:t>
      </w:r>
      <w:hyperlink r:id="rId22" w:tgtFrame="_new" w:history="1">
        <w:r w:rsidR="00544479">
          <w:rPr>
            <w:rStyle w:val="Hyperlink"/>
            <w:rFonts w:ascii="Arial" w:hAnsi="Arial" w:cs="Arial"/>
          </w:rPr>
          <w:t>https://doi.org/10.1002/9780470995532.ch5</w:t>
        </w:r>
      </w:hyperlink>
    </w:p>
    <w:p w:rsidR="00544479" w:rsidRDefault="0072223F">
      <w:pPr>
        <w:pStyle w:val="NormalWeb"/>
        <w:jc w:val="both"/>
        <w:rPr>
          <w:rFonts w:ascii="Arial" w:hAnsi="Arial" w:cs="Arial"/>
          <w:sz w:val="20"/>
          <w:szCs w:val="20"/>
        </w:rPr>
      </w:pPr>
      <w:r>
        <w:rPr>
          <w:rFonts w:ascii="Arial" w:hAnsi="Arial" w:cs="Arial"/>
          <w:sz w:val="20"/>
          <w:szCs w:val="20"/>
        </w:rPr>
        <w:t xml:space="preserve">Grazer, V. M., &amp; Martin, O. Y. (2012). Investigating climate change and reproduction: Experimental tools from evolutionary biology. </w:t>
      </w:r>
      <w:r>
        <w:rPr>
          <w:rStyle w:val="Emphasis"/>
          <w:rFonts w:ascii="Arial" w:hAnsi="Arial" w:cs="Arial"/>
          <w:sz w:val="20"/>
          <w:szCs w:val="20"/>
        </w:rPr>
        <w:t>Biology</w:t>
      </w:r>
      <w:r>
        <w:rPr>
          <w:rFonts w:ascii="Arial" w:hAnsi="Arial" w:cs="Arial"/>
          <w:sz w:val="20"/>
          <w:szCs w:val="20"/>
        </w:rPr>
        <w:t xml:space="preserve">, 1, 411–438. </w:t>
      </w:r>
      <w:hyperlink r:id="rId23" w:history="1">
        <w:r w:rsidR="00544479">
          <w:rPr>
            <w:rStyle w:val="Hyperlink"/>
            <w:rFonts w:ascii="Arial" w:hAnsi="Arial" w:cs="Arial"/>
            <w:sz w:val="20"/>
            <w:szCs w:val="20"/>
          </w:rPr>
          <w:t>https://doi.org/10.3390/biology1020411</w:t>
        </w:r>
      </w:hyperlink>
    </w:p>
    <w:p w:rsidR="00544479" w:rsidRDefault="0072223F">
      <w:pPr>
        <w:pStyle w:val="NormalWeb"/>
        <w:jc w:val="both"/>
        <w:rPr>
          <w:rFonts w:ascii="Arial" w:hAnsi="Arial" w:cs="Arial"/>
          <w:sz w:val="20"/>
          <w:szCs w:val="20"/>
        </w:rPr>
      </w:pPr>
      <w:r>
        <w:rPr>
          <w:rFonts w:ascii="Arial" w:hAnsi="Arial" w:cs="Arial"/>
          <w:sz w:val="20"/>
          <w:szCs w:val="20"/>
        </w:rPr>
        <w:t xml:space="preserve">Han, Y., Shi, W., Tang, Y., Zhao, X., Du, X., Sun, S., et al. (2021). Ocean acidification increases polyspermy of a broadcast spawning bivalve species by hampering membrane depolarization and cortical granule exocytosis. </w:t>
      </w:r>
      <w:r>
        <w:rPr>
          <w:rStyle w:val="Emphasis"/>
          <w:rFonts w:ascii="Arial" w:hAnsi="Arial" w:cs="Arial"/>
          <w:sz w:val="20"/>
          <w:szCs w:val="20"/>
        </w:rPr>
        <w:t>Aquatic Toxicology</w:t>
      </w:r>
      <w:r>
        <w:rPr>
          <w:rFonts w:ascii="Arial" w:hAnsi="Arial" w:cs="Arial"/>
          <w:sz w:val="20"/>
          <w:szCs w:val="20"/>
        </w:rPr>
        <w:t xml:space="preserve">, 231, 105740. </w:t>
      </w:r>
      <w:hyperlink r:id="rId24" w:history="1">
        <w:r w:rsidR="00544479">
          <w:rPr>
            <w:rStyle w:val="Hyperlink"/>
            <w:rFonts w:ascii="Arial" w:hAnsi="Arial" w:cs="Arial"/>
            <w:sz w:val="20"/>
            <w:szCs w:val="20"/>
          </w:rPr>
          <w:t>https://doi.org/10.1016/j.aquatox.2020.105740</w:t>
        </w:r>
      </w:hyperlink>
    </w:p>
    <w:p w:rsidR="00544479" w:rsidRDefault="0072223F">
      <w:pPr>
        <w:pStyle w:val="NormalWeb"/>
        <w:jc w:val="both"/>
        <w:rPr>
          <w:rFonts w:ascii="Arial" w:hAnsi="Arial" w:cs="Arial"/>
          <w:sz w:val="20"/>
          <w:szCs w:val="20"/>
        </w:rPr>
      </w:pPr>
      <w:r>
        <w:rPr>
          <w:rFonts w:ascii="Arial" w:hAnsi="Arial" w:cs="Arial"/>
          <w:sz w:val="20"/>
          <w:szCs w:val="20"/>
        </w:rPr>
        <w:t xml:space="preserve">Hani, Y. M. I., Turies, C., Palluel, O., Delahaut, L., Bado-Nilles, A., Geffard, A., et al. (2019). Effects of chronic exposure to different water temperatures and/or environmental cadmium concentration on reproduction of the threespine stickleback. </w:t>
      </w:r>
      <w:r>
        <w:rPr>
          <w:rStyle w:val="Emphasis"/>
          <w:rFonts w:ascii="Arial" w:hAnsi="Arial" w:cs="Arial"/>
          <w:sz w:val="20"/>
          <w:szCs w:val="20"/>
        </w:rPr>
        <w:t>Ecotoxicology and Environmental Safety</w:t>
      </w:r>
      <w:r>
        <w:rPr>
          <w:rFonts w:ascii="Arial" w:hAnsi="Arial" w:cs="Arial"/>
          <w:sz w:val="20"/>
          <w:szCs w:val="20"/>
        </w:rPr>
        <w:t xml:space="preserve">, 174, 48–57. </w:t>
      </w:r>
      <w:hyperlink r:id="rId25" w:history="1">
        <w:r w:rsidR="00544479">
          <w:rPr>
            <w:rStyle w:val="Hyperlink"/>
            <w:rFonts w:ascii="Arial" w:hAnsi="Arial" w:cs="Arial"/>
            <w:sz w:val="20"/>
            <w:szCs w:val="20"/>
          </w:rPr>
          <w:t>https://doi.org/10.1016/j.ecoenv.2019.02.032</w:t>
        </w:r>
      </w:hyperlink>
    </w:p>
    <w:p w:rsidR="00544479" w:rsidRDefault="0072223F">
      <w:pPr>
        <w:pStyle w:val="NormalWeb"/>
        <w:jc w:val="both"/>
        <w:rPr>
          <w:rFonts w:ascii="Arial" w:hAnsi="Arial" w:cs="Arial"/>
          <w:sz w:val="20"/>
          <w:szCs w:val="20"/>
        </w:rPr>
      </w:pPr>
      <w:r>
        <w:rPr>
          <w:rFonts w:ascii="Arial" w:hAnsi="Arial" w:cs="Arial"/>
          <w:sz w:val="20"/>
          <w:szCs w:val="20"/>
        </w:rPr>
        <w:t xml:space="preserve">Hu, N., Wang, Z., &amp; Sun, J. (2026). A global meta-analysis reveals consistently negative effects of ocean acidification on marine cultured bivalves: Implications for future bivalve aquaculture. </w:t>
      </w:r>
      <w:r>
        <w:rPr>
          <w:rStyle w:val="Emphasis"/>
          <w:rFonts w:ascii="Arial" w:hAnsi="Arial" w:cs="Arial"/>
          <w:sz w:val="20"/>
          <w:szCs w:val="20"/>
        </w:rPr>
        <w:t>Reviews in Fish Biology and Fisheries</w:t>
      </w:r>
      <w:r>
        <w:rPr>
          <w:rFonts w:ascii="Arial" w:hAnsi="Arial" w:cs="Arial"/>
          <w:sz w:val="20"/>
          <w:szCs w:val="20"/>
        </w:rPr>
        <w:t xml:space="preserve">, 36, 10. </w:t>
      </w:r>
      <w:hyperlink r:id="rId26" w:history="1">
        <w:r w:rsidR="00544479">
          <w:rPr>
            <w:rStyle w:val="Hyperlink"/>
            <w:rFonts w:ascii="Arial" w:hAnsi="Arial" w:cs="Arial"/>
            <w:sz w:val="20"/>
            <w:szCs w:val="20"/>
          </w:rPr>
          <w:t>https://doi.org/10.1007/s11160-025-10005-4</w:t>
        </w:r>
      </w:hyperlink>
    </w:p>
    <w:p w:rsidR="00544479" w:rsidRDefault="0072223F">
      <w:pPr>
        <w:pStyle w:val="NormalWeb"/>
        <w:jc w:val="both"/>
        <w:rPr>
          <w:rFonts w:ascii="Arial" w:hAnsi="Arial" w:cs="Arial"/>
          <w:sz w:val="20"/>
          <w:szCs w:val="20"/>
        </w:rPr>
      </w:pPr>
      <w:r>
        <w:rPr>
          <w:rFonts w:ascii="Arial" w:hAnsi="Arial" w:cs="Arial"/>
          <w:sz w:val="20"/>
          <w:szCs w:val="20"/>
        </w:rPr>
        <w:t xml:space="preserve">Islam, M. J., Kunzmann, A., &amp; Slater, M. J. (2022). Responses of aquaculture fish to climate change-induced extreme temperatures: A review. </w:t>
      </w:r>
      <w:r>
        <w:rPr>
          <w:rStyle w:val="Emphasis"/>
          <w:rFonts w:ascii="Arial" w:hAnsi="Arial" w:cs="Arial"/>
          <w:sz w:val="20"/>
          <w:szCs w:val="20"/>
        </w:rPr>
        <w:t>Journal of the World Aquaculture Society</w:t>
      </w:r>
      <w:r>
        <w:rPr>
          <w:rFonts w:ascii="Arial" w:hAnsi="Arial" w:cs="Arial"/>
          <w:sz w:val="20"/>
          <w:szCs w:val="20"/>
        </w:rPr>
        <w:t xml:space="preserve">, 53, 314–366. </w:t>
      </w:r>
      <w:hyperlink r:id="rId27" w:history="1">
        <w:r w:rsidR="00544479">
          <w:rPr>
            <w:rStyle w:val="Hyperlink"/>
            <w:rFonts w:ascii="Arial" w:hAnsi="Arial" w:cs="Arial"/>
            <w:sz w:val="20"/>
            <w:szCs w:val="20"/>
          </w:rPr>
          <w:t>https://doi.org/10.1111/jwas.12853</w:t>
        </w:r>
      </w:hyperlink>
    </w:p>
    <w:p w:rsidR="00544479" w:rsidRDefault="0072223F">
      <w:pPr>
        <w:pStyle w:val="NormalWeb"/>
        <w:jc w:val="both"/>
        <w:rPr>
          <w:rFonts w:ascii="Arial" w:hAnsi="Arial" w:cs="Arial"/>
          <w:sz w:val="20"/>
          <w:szCs w:val="20"/>
        </w:rPr>
      </w:pPr>
      <w:r>
        <w:rPr>
          <w:rFonts w:ascii="Arial" w:hAnsi="Arial" w:cs="Arial"/>
          <w:sz w:val="20"/>
          <w:szCs w:val="20"/>
        </w:rPr>
        <w:t xml:space="preserve">Jerez, S., Rodríguez, C., Cejas, J. R., Martín, M. V., Bolaños, A., &amp; Lorenzo, A. (2012). Influence of age of female gilthead seabream broodstock on spawning quality throughout the reproductive season. </w:t>
      </w:r>
      <w:r>
        <w:rPr>
          <w:rStyle w:val="Emphasis"/>
          <w:rFonts w:ascii="Arial" w:hAnsi="Arial" w:cs="Arial"/>
          <w:sz w:val="20"/>
          <w:szCs w:val="20"/>
        </w:rPr>
        <w:t>Aquaculture</w:t>
      </w:r>
      <w:r>
        <w:rPr>
          <w:rFonts w:ascii="Arial" w:hAnsi="Arial" w:cs="Arial"/>
          <w:sz w:val="20"/>
          <w:szCs w:val="20"/>
        </w:rPr>
        <w:t xml:space="preserve">, 350–353, 54–62. </w:t>
      </w:r>
      <w:hyperlink r:id="rId28" w:history="1">
        <w:r w:rsidR="00544479">
          <w:rPr>
            <w:rStyle w:val="Hyperlink"/>
            <w:rFonts w:ascii="Arial" w:hAnsi="Arial" w:cs="Arial"/>
            <w:sz w:val="20"/>
            <w:szCs w:val="20"/>
          </w:rPr>
          <w:t>https://doi.org/10.1016/j.aquaculture.2012.04.018</w:t>
        </w:r>
      </w:hyperlink>
    </w:p>
    <w:p w:rsidR="00544479" w:rsidRDefault="0072223F">
      <w:pPr>
        <w:pStyle w:val="NormalWeb"/>
        <w:jc w:val="both"/>
        <w:rPr>
          <w:rFonts w:ascii="Arial" w:hAnsi="Arial" w:cs="Arial"/>
          <w:sz w:val="20"/>
          <w:szCs w:val="20"/>
        </w:rPr>
      </w:pPr>
      <w:r>
        <w:rPr>
          <w:rFonts w:ascii="Arial" w:hAnsi="Arial" w:cs="Arial"/>
          <w:sz w:val="20"/>
          <w:szCs w:val="20"/>
        </w:rPr>
        <w:t xml:space="preserve">Karnatak, G., Sarkar, U. K., Naskar, M., Roy, K., Gupta, S., Nandy, S. K., et al. (2018). Understanding the role of climatic and environmental variables in gonadal maturation and spawning periodicity of spotted snakehead, </w:t>
      </w:r>
      <w:r>
        <w:rPr>
          <w:rStyle w:val="Emphasis"/>
          <w:rFonts w:ascii="Arial" w:hAnsi="Arial" w:cs="Arial"/>
          <w:sz w:val="20"/>
          <w:szCs w:val="20"/>
        </w:rPr>
        <w:t>Channa punctata</w:t>
      </w:r>
      <w:r>
        <w:rPr>
          <w:rFonts w:ascii="Arial" w:hAnsi="Arial" w:cs="Arial"/>
          <w:sz w:val="20"/>
          <w:szCs w:val="20"/>
        </w:rPr>
        <w:t xml:space="preserve">. </w:t>
      </w:r>
      <w:r>
        <w:rPr>
          <w:rStyle w:val="Emphasis"/>
          <w:rFonts w:ascii="Arial" w:hAnsi="Arial" w:cs="Arial"/>
          <w:sz w:val="20"/>
          <w:szCs w:val="20"/>
        </w:rPr>
        <w:t>Environmental Biology of Fishes</w:t>
      </w:r>
      <w:r>
        <w:rPr>
          <w:rFonts w:ascii="Arial" w:hAnsi="Arial" w:cs="Arial"/>
          <w:sz w:val="20"/>
          <w:szCs w:val="20"/>
        </w:rPr>
        <w:t xml:space="preserve">, 101, 595–607. </w:t>
      </w:r>
      <w:hyperlink r:id="rId29" w:history="1">
        <w:r w:rsidR="00544479">
          <w:rPr>
            <w:rStyle w:val="Hyperlink"/>
            <w:rFonts w:ascii="Arial" w:hAnsi="Arial" w:cs="Arial"/>
            <w:sz w:val="20"/>
            <w:szCs w:val="20"/>
          </w:rPr>
          <w:t>https://doi.org/10.1007/s10641-018-0722-6</w:t>
        </w:r>
      </w:hyperlink>
    </w:p>
    <w:p w:rsidR="00544479" w:rsidRDefault="0072223F">
      <w:pPr>
        <w:pStyle w:val="NormalWeb"/>
        <w:jc w:val="both"/>
        <w:rPr>
          <w:rFonts w:ascii="Arial" w:hAnsi="Arial" w:cs="Arial"/>
          <w:sz w:val="20"/>
          <w:szCs w:val="20"/>
        </w:rPr>
      </w:pPr>
      <w:r>
        <w:rPr>
          <w:rFonts w:ascii="Arial" w:hAnsi="Arial" w:cs="Arial"/>
          <w:sz w:val="20"/>
          <w:szCs w:val="20"/>
        </w:rPr>
        <w:t xml:space="preserve">King, H. R., Pankhurst, N. W., Watts, M., &amp; Pankhurst, P. M. (2003). Effect of elevated summer temperatures on gonadal steroid production, vitellogenesis and egg quality in female Atlantic salmon. </w:t>
      </w:r>
      <w:r>
        <w:rPr>
          <w:rStyle w:val="Emphasis"/>
          <w:rFonts w:ascii="Arial" w:hAnsi="Arial" w:cs="Arial"/>
          <w:sz w:val="20"/>
          <w:szCs w:val="20"/>
        </w:rPr>
        <w:t>Journal of Fish Biology</w:t>
      </w:r>
      <w:r>
        <w:rPr>
          <w:rFonts w:ascii="Arial" w:hAnsi="Arial" w:cs="Arial"/>
          <w:sz w:val="20"/>
          <w:szCs w:val="20"/>
        </w:rPr>
        <w:t xml:space="preserve">, 63, 153–167. </w:t>
      </w:r>
      <w:hyperlink r:id="rId30" w:history="1">
        <w:r w:rsidR="00544479">
          <w:rPr>
            <w:rStyle w:val="Hyperlink"/>
            <w:rFonts w:ascii="Arial" w:hAnsi="Arial" w:cs="Arial"/>
            <w:sz w:val="20"/>
            <w:szCs w:val="20"/>
          </w:rPr>
          <w:t>https://doi.org/10.1046/j.1095-8649.2003.00137.x</w:t>
        </w:r>
      </w:hyperlink>
    </w:p>
    <w:p w:rsidR="00544479" w:rsidRDefault="0072223F">
      <w:pPr>
        <w:pStyle w:val="NormalWeb"/>
        <w:jc w:val="both"/>
        <w:rPr>
          <w:rFonts w:ascii="Arial" w:hAnsi="Arial" w:cs="Arial"/>
          <w:sz w:val="20"/>
          <w:szCs w:val="20"/>
        </w:rPr>
      </w:pPr>
      <w:r>
        <w:rPr>
          <w:rFonts w:ascii="Arial" w:hAnsi="Arial" w:cs="Arial"/>
          <w:sz w:val="20"/>
          <w:szCs w:val="20"/>
        </w:rPr>
        <w:lastRenderedPageBreak/>
        <w:t xml:space="preserve">King, H. R., Pankhurst, N. W., &amp; Watts, M. (2007). Reproductive sensitivity to elevated water temperatures in female Atlantic salmon is heightened at certain stages of vitellogenesis. </w:t>
      </w:r>
      <w:r>
        <w:rPr>
          <w:rStyle w:val="Emphasis"/>
          <w:rFonts w:ascii="Arial" w:hAnsi="Arial" w:cs="Arial"/>
          <w:sz w:val="20"/>
          <w:szCs w:val="20"/>
        </w:rPr>
        <w:t>Journal of Fish Biology</w:t>
      </w:r>
      <w:r>
        <w:rPr>
          <w:rFonts w:ascii="Arial" w:hAnsi="Arial" w:cs="Arial"/>
          <w:sz w:val="20"/>
          <w:szCs w:val="20"/>
        </w:rPr>
        <w:t>, 70, 190–205. https://doi.org/10.1111/j.1095-8649.2006.01295.x</w:t>
      </w:r>
    </w:p>
    <w:p w:rsidR="00544479" w:rsidRDefault="0072223F">
      <w:pPr>
        <w:pStyle w:val="NormalWeb"/>
        <w:jc w:val="both"/>
        <w:rPr>
          <w:rFonts w:ascii="Arial" w:hAnsi="Arial" w:cs="Arial"/>
          <w:sz w:val="20"/>
          <w:szCs w:val="20"/>
        </w:rPr>
      </w:pPr>
      <w:r>
        <w:rPr>
          <w:rFonts w:ascii="Arial" w:hAnsi="Arial" w:cs="Arial"/>
          <w:sz w:val="20"/>
          <w:szCs w:val="20"/>
        </w:rPr>
        <w:t xml:space="preserve">Kjesbu, O. S., Righton, D., Krüger-Johnsen, M., Thorsen, A., Michalsen, K., Fonn, M., &amp;Witthames, P. R. (2010). Thermal dynamics of ovarian maturation in Atlantic cod. </w:t>
      </w:r>
      <w:r>
        <w:rPr>
          <w:rStyle w:val="Emphasis"/>
          <w:rFonts w:ascii="Arial" w:hAnsi="Arial" w:cs="Arial"/>
          <w:sz w:val="20"/>
          <w:szCs w:val="20"/>
        </w:rPr>
        <w:t>Canadian Journal of Fisheries and Aquatic Sciences</w:t>
      </w:r>
      <w:r>
        <w:rPr>
          <w:rFonts w:ascii="Arial" w:hAnsi="Arial" w:cs="Arial"/>
          <w:sz w:val="20"/>
          <w:szCs w:val="20"/>
        </w:rPr>
        <w:t xml:space="preserve">, 67, 605–625. </w:t>
      </w:r>
      <w:hyperlink r:id="rId31" w:history="1">
        <w:r w:rsidR="00544479">
          <w:rPr>
            <w:rStyle w:val="Hyperlink"/>
            <w:rFonts w:ascii="Arial" w:hAnsi="Arial" w:cs="Arial"/>
            <w:sz w:val="20"/>
            <w:szCs w:val="20"/>
          </w:rPr>
          <w:t>https://doi.org/10.1139/F10-011</w:t>
        </w:r>
      </w:hyperlink>
    </w:p>
    <w:p w:rsidR="00544479" w:rsidRDefault="0072223F">
      <w:pPr>
        <w:pStyle w:val="NormalWeb"/>
        <w:jc w:val="both"/>
        <w:rPr>
          <w:rFonts w:ascii="Arial" w:hAnsi="Arial" w:cs="Arial"/>
          <w:sz w:val="20"/>
          <w:szCs w:val="20"/>
        </w:rPr>
      </w:pPr>
      <w:r>
        <w:rPr>
          <w:rFonts w:ascii="Arial" w:hAnsi="Arial" w:cs="Arial"/>
          <w:sz w:val="20"/>
          <w:szCs w:val="20"/>
        </w:rPr>
        <w:t xml:space="preserve">Koner, D., &amp; Saha, N. (2022). Environmental hypoxia: A threat to the gonadal development and reproduction in bony fishes. </w:t>
      </w:r>
      <w:r>
        <w:rPr>
          <w:rStyle w:val="Emphasis"/>
          <w:rFonts w:ascii="Arial" w:hAnsi="Arial" w:cs="Arial"/>
          <w:sz w:val="20"/>
          <w:szCs w:val="20"/>
        </w:rPr>
        <w:t>Aquaculture and Fisheries</w:t>
      </w:r>
      <w:r>
        <w:rPr>
          <w:rFonts w:ascii="Arial" w:hAnsi="Arial" w:cs="Arial"/>
          <w:sz w:val="20"/>
          <w:szCs w:val="20"/>
        </w:rPr>
        <w:t xml:space="preserve">, 7, 572–582. </w:t>
      </w:r>
      <w:hyperlink r:id="rId32" w:history="1">
        <w:r w:rsidR="00544479">
          <w:rPr>
            <w:rStyle w:val="Hyperlink"/>
            <w:rFonts w:ascii="Arial" w:hAnsi="Arial" w:cs="Arial"/>
            <w:sz w:val="20"/>
            <w:szCs w:val="20"/>
          </w:rPr>
          <w:t>https://doi.org/10.1016/j.aaf.2022.02.002</w:t>
        </w:r>
      </w:hyperlink>
    </w:p>
    <w:p w:rsidR="00544479" w:rsidRDefault="0072223F">
      <w:pPr>
        <w:pStyle w:val="NormalWeb"/>
        <w:jc w:val="both"/>
        <w:rPr>
          <w:rFonts w:ascii="Arial" w:hAnsi="Arial" w:cs="Arial"/>
          <w:sz w:val="20"/>
          <w:szCs w:val="20"/>
        </w:rPr>
      </w:pPr>
      <w:r>
        <w:rPr>
          <w:rFonts w:ascii="Arial" w:hAnsi="Arial" w:cs="Arial"/>
          <w:sz w:val="20"/>
          <w:szCs w:val="20"/>
        </w:rPr>
        <w:t xml:space="preserve">Labbé, C., Robles, V., &amp;Herraez, M. P. (2017). Epigenetics in fish gametes and early embryo. </w:t>
      </w:r>
      <w:r>
        <w:rPr>
          <w:rStyle w:val="Emphasis"/>
          <w:rFonts w:ascii="Arial" w:hAnsi="Arial" w:cs="Arial"/>
          <w:sz w:val="20"/>
          <w:szCs w:val="20"/>
        </w:rPr>
        <w:t>Aquaculture</w:t>
      </w:r>
      <w:r>
        <w:rPr>
          <w:rFonts w:ascii="Arial" w:hAnsi="Arial" w:cs="Arial"/>
          <w:sz w:val="20"/>
          <w:szCs w:val="20"/>
        </w:rPr>
        <w:t xml:space="preserve">, 472, 93–106. </w:t>
      </w:r>
      <w:hyperlink r:id="rId33" w:history="1">
        <w:r w:rsidR="00544479">
          <w:rPr>
            <w:rStyle w:val="Hyperlink"/>
            <w:rFonts w:ascii="Arial" w:hAnsi="Arial" w:cs="Arial"/>
            <w:sz w:val="20"/>
            <w:szCs w:val="20"/>
          </w:rPr>
          <w:t>https://doi.org/10.1016/j.aquaculture.2016.07.026</w:t>
        </w:r>
      </w:hyperlink>
    </w:p>
    <w:p w:rsidR="00544479" w:rsidRDefault="0072223F">
      <w:pPr>
        <w:pStyle w:val="NormalWeb"/>
        <w:jc w:val="both"/>
        <w:rPr>
          <w:rFonts w:ascii="Arial" w:hAnsi="Arial" w:cs="Arial"/>
          <w:sz w:val="20"/>
          <w:szCs w:val="20"/>
        </w:rPr>
      </w:pPr>
      <w:r>
        <w:rPr>
          <w:rFonts w:ascii="Arial" w:hAnsi="Arial" w:cs="Arial"/>
          <w:sz w:val="20"/>
          <w:szCs w:val="20"/>
        </w:rPr>
        <w:t xml:space="preserve">Lahnsteiner, F., &amp; Kletzl, M. (2012). The effect of water temperature on gamete maturation and gamete quality in the European grayling. </w:t>
      </w:r>
      <w:r>
        <w:rPr>
          <w:rStyle w:val="Emphasis"/>
          <w:rFonts w:ascii="Arial" w:hAnsi="Arial" w:cs="Arial"/>
          <w:sz w:val="20"/>
          <w:szCs w:val="20"/>
        </w:rPr>
        <w:t>Fish Physiology and Biochemistry</w:t>
      </w:r>
      <w:r>
        <w:rPr>
          <w:rFonts w:ascii="Arial" w:hAnsi="Arial" w:cs="Arial"/>
          <w:sz w:val="20"/>
          <w:szCs w:val="20"/>
        </w:rPr>
        <w:t xml:space="preserve">, 38, 455–467. </w:t>
      </w:r>
      <w:hyperlink r:id="rId34" w:history="1">
        <w:r w:rsidR="00544479">
          <w:rPr>
            <w:rStyle w:val="Hyperlink"/>
            <w:rFonts w:ascii="Arial" w:hAnsi="Arial" w:cs="Arial"/>
            <w:sz w:val="20"/>
            <w:szCs w:val="20"/>
          </w:rPr>
          <w:t>https://doi.org/10.1007/s10695-011-9526-8</w:t>
        </w:r>
      </w:hyperlink>
    </w:p>
    <w:p w:rsidR="00544479" w:rsidRDefault="0072223F">
      <w:pPr>
        <w:pStyle w:val="NormalWeb"/>
        <w:jc w:val="both"/>
        <w:rPr>
          <w:rFonts w:ascii="Arial" w:hAnsi="Arial" w:cs="Arial"/>
          <w:sz w:val="20"/>
          <w:szCs w:val="20"/>
        </w:rPr>
      </w:pPr>
      <w:r>
        <w:rPr>
          <w:rFonts w:ascii="Arial" w:hAnsi="Arial" w:cs="Arial"/>
          <w:sz w:val="20"/>
          <w:szCs w:val="20"/>
        </w:rPr>
        <w:t xml:space="preserve">Lahnsteiner, F., &amp; Leitner, S. (2013). Effect of temperature on gametogenesis and gamete quality in brown trout. </w:t>
      </w:r>
      <w:r>
        <w:rPr>
          <w:rStyle w:val="Emphasis"/>
          <w:rFonts w:ascii="Arial" w:hAnsi="Arial" w:cs="Arial"/>
          <w:sz w:val="20"/>
          <w:szCs w:val="20"/>
        </w:rPr>
        <w:t>Journal of Experimental Zoology Part A</w:t>
      </w:r>
      <w:r>
        <w:rPr>
          <w:rFonts w:ascii="Arial" w:hAnsi="Arial" w:cs="Arial"/>
          <w:sz w:val="20"/>
          <w:szCs w:val="20"/>
        </w:rPr>
        <w:t xml:space="preserve">, 319, 138–148. </w:t>
      </w:r>
      <w:hyperlink r:id="rId35" w:history="1">
        <w:r w:rsidR="00544479">
          <w:rPr>
            <w:rStyle w:val="Hyperlink"/>
            <w:rFonts w:ascii="Arial" w:hAnsi="Arial" w:cs="Arial"/>
            <w:sz w:val="20"/>
            <w:szCs w:val="20"/>
          </w:rPr>
          <w:t>https://doi.org/10.1002/jez.1779</w:t>
        </w:r>
      </w:hyperlink>
    </w:p>
    <w:p w:rsidR="00544479" w:rsidRDefault="0072223F">
      <w:pPr>
        <w:pStyle w:val="NormalWeb"/>
        <w:jc w:val="both"/>
        <w:rPr>
          <w:rFonts w:ascii="Arial" w:hAnsi="Arial" w:cs="Arial"/>
          <w:sz w:val="20"/>
          <w:szCs w:val="20"/>
        </w:rPr>
      </w:pPr>
      <w:r>
        <w:rPr>
          <w:rFonts w:ascii="Arial" w:hAnsi="Arial" w:cs="Arial"/>
          <w:sz w:val="20"/>
          <w:szCs w:val="20"/>
        </w:rPr>
        <w:t xml:space="preserve">Lema, S. C., Luckenbach, J. A., Yamamoto, Y., &amp; Housh, M. J. (2024). Fish reproduction in a warming world: Vulnerable points in hormone regulation from sex determination to spawning. </w:t>
      </w:r>
      <w:r>
        <w:rPr>
          <w:rStyle w:val="Emphasis"/>
          <w:rFonts w:ascii="Arial" w:hAnsi="Arial" w:cs="Arial"/>
          <w:sz w:val="20"/>
          <w:szCs w:val="20"/>
        </w:rPr>
        <w:t>Philosophical Transactions of the Royal Society B: Biological Sciences</w:t>
      </w:r>
      <w:r>
        <w:rPr>
          <w:rFonts w:ascii="Arial" w:hAnsi="Arial" w:cs="Arial"/>
          <w:sz w:val="20"/>
          <w:szCs w:val="20"/>
        </w:rPr>
        <w:t xml:space="preserve">, 379, 20220516. </w:t>
      </w:r>
      <w:hyperlink r:id="rId36" w:history="1">
        <w:r w:rsidR="00544479">
          <w:rPr>
            <w:rStyle w:val="Hyperlink"/>
            <w:rFonts w:ascii="Arial" w:hAnsi="Arial" w:cs="Arial"/>
            <w:sz w:val="20"/>
            <w:szCs w:val="20"/>
          </w:rPr>
          <w:t>https://doi.org/10.1098/rstb.2022.0516</w:t>
        </w:r>
      </w:hyperlink>
    </w:p>
    <w:p w:rsidR="00544479" w:rsidRDefault="0072223F">
      <w:pPr>
        <w:pStyle w:val="NormalWeb"/>
        <w:jc w:val="both"/>
        <w:rPr>
          <w:rFonts w:ascii="Arial" w:hAnsi="Arial" w:cs="Arial"/>
        </w:rPr>
      </w:pPr>
      <w:r>
        <w:rPr>
          <w:rFonts w:ascii="Arial" w:hAnsi="Arial" w:cs="Arial"/>
        </w:rPr>
        <w:t xml:space="preserve">Lodhi, F. A., Khan, F. U., Khan, A. U., Lee, J.-S., Abbas, M., Fazhan, H., et al. (2026). Multi-stressor responses in marine bivalves: Integrating climate change, pollutants, and microbiome shifts for aquaculture resilience. </w:t>
      </w:r>
      <w:r>
        <w:rPr>
          <w:rStyle w:val="Emphasis"/>
          <w:rFonts w:ascii="Arial" w:hAnsi="Arial" w:cs="Arial"/>
        </w:rPr>
        <w:t>Reviews in Aquaculture</w:t>
      </w:r>
      <w:r>
        <w:rPr>
          <w:rFonts w:ascii="Arial" w:hAnsi="Arial" w:cs="Arial"/>
        </w:rPr>
        <w:t xml:space="preserve">, 18(3), e70169. </w:t>
      </w:r>
      <w:hyperlink r:id="rId37" w:tgtFrame="_new" w:history="1">
        <w:r w:rsidR="00544479">
          <w:rPr>
            <w:rStyle w:val="Hyperlink"/>
            <w:rFonts w:ascii="Arial" w:hAnsi="Arial" w:cs="Arial"/>
          </w:rPr>
          <w:t>https://doi.org/10.1111/raq.70169</w:t>
        </w:r>
      </w:hyperlink>
    </w:p>
    <w:p w:rsidR="00544479" w:rsidRDefault="0072223F">
      <w:pPr>
        <w:pStyle w:val="NormalWeb"/>
        <w:jc w:val="both"/>
        <w:rPr>
          <w:rFonts w:ascii="Arial" w:hAnsi="Arial" w:cs="Arial"/>
          <w:sz w:val="20"/>
          <w:szCs w:val="20"/>
        </w:rPr>
      </w:pPr>
      <w:r>
        <w:rPr>
          <w:rFonts w:ascii="Arial" w:hAnsi="Arial" w:cs="Arial"/>
          <w:sz w:val="20"/>
          <w:szCs w:val="20"/>
        </w:rPr>
        <w:t xml:space="preserve">Lubzens, E., Bobe, J., Young, G., &amp; Sullivan, C. V. (2017). Maternal investment in fish oocytes and eggs: The molecular cargo and its contributions to fertility and early development. </w:t>
      </w:r>
      <w:r>
        <w:rPr>
          <w:rStyle w:val="Emphasis"/>
          <w:rFonts w:ascii="Arial" w:hAnsi="Arial" w:cs="Arial"/>
          <w:sz w:val="20"/>
          <w:szCs w:val="20"/>
        </w:rPr>
        <w:t>Aquaculture</w:t>
      </w:r>
      <w:r>
        <w:rPr>
          <w:rFonts w:ascii="Arial" w:hAnsi="Arial" w:cs="Arial"/>
          <w:sz w:val="20"/>
          <w:szCs w:val="20"/>
        </w:rPr>
        <w:t xml:space="preserve">, 472, 107–143. </w:t>
      </w:r>
      <w:hyperlink r:id="rId38" w:history="1">
        <w:r w:rsidR="00544479">
          <w:rPr>
            <w:rStyle w:val="Hyperlink"/>
            <w:rFonts w:ascii="Arial" w:hAnsi="Arial" w:cs="Arial"/>
            <w:sz w:val="20"/>
            <w:szCs w:val="20"/>
          </w:rPr>
          <w:t>https://doi.org/10.1016/j.aquaculture.2016.10.029</w:t>
        </w:r>
      </w:hyperlink>
    </w:p>
    <w:p w:rsidR="00544479" w:rsidRDefault="0072223F">
      <w:pPr>
        <w:pStyle w:val="NormalWeb"/>
        <w:jc w:val="both"/>
        <w:rPr>
          <w:rFonts w:ascii="Arial" w:hAnsi="Arial" w:cs="Arial"/>
          <w:sz w:val="20"/>
          <w:szCs w:val="20"/>
        </w:rPr>
      </w:pPr>
      <w:r>
        <w:rPr>
          <w:rFonts w:ascii="Arial" w:hAnsi="Arial" w:cs="Arial"/>
          <w:sz w:val="20"/>
          <w:szCs w:val="20"/>
        </w:rPr>
        <w:t xml:space="preserve">McQueen, K., &amp; Marshall, C. T. (2017). Shifts in spawning phenology of cod linked to rising sea temperatures. </w:t>
      </w:r>
      <w:r>
        <w:rPr>
          <w:rStyle w:val="Emphasis"/>
          <w:rFonts w:ascii="Arial" w:hAnsi="Arial" w:cs="Arial"/>
          <w:sz w:val="20"/>
          <w:szCs w:val="20"/>
        </w:rPr>
        <w:t>ICES Journal of Marine Science</w:t>
      </w:r>
      <w:r>
        <w:rPr>
          <w:rFonts w:ascii="Arial" w:hAnsi="Arial" w:cs="Arial"/>
          <w:sz w:val="20"/>
          <w:szCs w:val="20"/>
        </w:rPr>
        <w:t xml:space="preserve">, 74, 1561–1573. </w:t>
      </w:r>
      <w:hyperlink r:id="rId39" w:history="1">
        <w:r w:rsidR="00544479">
          <w:rPr>
            <w:rStyle w:val="Hyperlink"/>
            <w:rFonts w:ascii="Arial" w:hAnsi="Arial" w:cs="Arial"/>
            <w:sz w:val="20"/>
            <w:szCs w:val="20"/>
          </w:rPr>
          <w:t>https://doi.org/10.1093/icesjms/fsx025</w:t>
        </w:r>
      </w:hyperlink>
    </w:p>
    <w:p w:rsidR="00544479" w:rsidRDefault="0072223F">
      <w:pPr>
        <w:pStyle w:val="NormalWeb"/>
        <w:jc w:val="both"/>
        <w:rPr>
          <w:rFonts w:ascii="Arial" w:hAnsi="Arial" w:cs="Arial"/>
          <w:sz w:val="20"/>
          <w:szCs w:val="20"/>
        </w:rPr>
      </w:pPr>
      <w:r>
        <w:rPr>
          <w:rFonts w:ascii="Arial" w:hAnsi="Arial" w:cs="Arial"/>
          <w:sz w:val="20"/>
          <w:szCs w:val="20"/>
        </w:rPr>
        <w:t xml:space="preserve">Merino, O., Risopatrón, J., Valdebenito, I., Figueroa, E., &amp;Farías, J. G. (2023). Effect of the temperature of activation medium on fish sperm quality: Impact on fertilization in vitro in aquaculture practice. </w:t>
      </w:r>
      <w:r>
        <w:rPr>
          <w:rStyle w:val="Emphasis"/>
          <w:rFonts w:ascii="Arial" w:hAnsi="Arial" w:cs="Arial"/>
          <w:sz w:val="20"/>
          <w:szCs w:val="20"/>
        </w:rPr>
        <w:t>Reviews in Aquaculture</w:t>
      </w:r>
      <w:r>
        <w:rPr>
          <w:rFonts w:ascii="Arial" w:hAnsi="Arial" w:cs="Arial"/>
          <w:sz w:val="20"/>
          <w:szCs w:val="20"/>
        </w:rPr>
        <w:t xml:space="preserve">, 15, 434–451. </w:t>
      </w:r>
      <w:hyperlink r:id="rId40" w:history="1">
        <w:r w:rsidR="00544479">
          <w:rPr>
            <w:rStyle w:val="Hyperlink"/>
            <w:rFonts w:ascii="Arial" w:hAnsi="Arial" w:cs="Arial"/>
            <w:sz w:val="20"/>
            <w:szCs w:val="20"/>
          </w:rPr>
          <w:t>https://doi.org/10.1111/raq.12729</w:t>
        </w:r>
      </w:hyperlink>
    </w:p>
    <w:p w:rsidR="00544479" w:rsidRDefault="0072223F">
      <w:pPr>
        <w:pStyle w:val="NormalWeb"/>
        <w:jc w:val="both"/>
        <w:rPr>
          <w:rFonts w:ascii="Arial" w:hAnsi="Arial" w:cs="Arial"/>
          <w:sz w:val="20"/>
          <w:szCs w:val="20"/>
        </w:rPr>
      </w:pPr>
      <w:r>
        <w:rPr>
          <w:rFonts w:ascii="Arial" w:hAnsi="Arial" w:cs="Arial"/>
          <w:sz w:val="20"/>
          <w:szCs w:val="20"/>
        </w:rPr>
        <w:t xml:space="preserve">Migaud, H., Davie, A., &amp; Taylor, J. F. (2010). Current knowledge on the photoneuroendocrine regulation of reproduction in temperate fish species. </w:t>
      </w:r>
      <w:r>
        <w:rPr>
          <w:rStyle w:val="Emphasis"/>
          <w:rFonts w:ascii="Arial" w:hAnsi="Arial" w:cs="Arial"/>
          <w:sz w:val="20"/>
          <w:szCs w:val="20"/>
        </w:rPr>
        <w:t>Journal of Fish Biology</w:t>
      </w:r>
      <w:r>
        <w:rPr>
          <w:rFonts w:ascii="Arial" w:hAnsi="Arial" w:cs="Arial"/>
          <w:sz w:val="20"/>
          <w:szCs w:val="20"/>
        </w:rPr>
        <w:t xml:space="preserve">, 76, 27–68. </w:t>
      </w:r>
      <w:hyperlink r:id="rId41" w:history="1">
        <w:r w:rsidR="00544479">
          <w:rPr>
            <w:rStyle w:val="Hyperlink"/>
            <w:rFonts w:ascii="Arial" w:hAnsi="Arial" w:cs="Arial"/>
            <w:sz w:val="20"/>
            <w:szCs w:val="20"/>
          </w:rPr>
          <w:t>https://doi.org/10.1111/j.1095-8649.2009.02500.x</w:t>
        </w:r>
      </w:hyperlink>
    </w:p>
    <w:p w:rsidR="00544479" w:rsidRDefault="0072223F">
      <w:pPr>
        <w:pStyle w:val="NormalWeb"/>
        <w:jc w:val="both"/>
        <w:rPr>
          <w:rFonts w:ascii="Arial" w:hAnsi="Arial" w:cs="Arial"/>
          <w:sz w:val="20"/>
          <w:szCs w:val="20"/>
        </w:rPr>
      </w:pPr>
      <w:r>
        <w:rPr>
          <w:rFonts w:ascii="Arial" w:hAnsi="Arial" w:cs="Arial"/>
          <w:sz w:val="20"/>
          <w:szCs w:val="20"/>
        </w:rPr>
        <w:t xml:space="preserve">Miller, G. M., Kroon, F. J., Metcalfe, S., &amp; Munday, P. L. (2015). Temperature is the evil twin: Effects of increased temperature and ocean acidification on reproduction in a reef fish. </w:t>
      </w:r>
      <w:r>
        <w:rPr>
          <w:rStyle w:val="Emphasis"/>
          <w:rFonts w:ascii="Arial" w:hAnsi="Arial" w:cs="Arial"/>
          <w:sz w:val="20"/>
          <w:szCs w:val="20"/>
        </w:rPr>
        <w:t>Ecological Applications</w:t>
      </w:r>
      <w:r>
        <w:rPr>
          <w:rFonts w:ascii="Arial" w:hAnsi="Arial" w:cs="Arial"/>
          <w:sz w:val="20"/>
          <w:szCs w:val="20"/>
        </w:rPr>
        <w:t xml:space="preserve">, 25, 603–620. </w:t>
      </w:r>
      <w:hyperlink r:id="rId42" w:history="1">
        <w:r w:rsidR="00544479">
          <w:rPr>
            <w:rStyle w:val="Hyperlink"/>
            <w:rFonts w:ascii="Arial" w:hAnsi="Arial" w:cs="Arial"/>
            <w:sz w:val="20"/>
            <w:szCs w:val="20"/>
          </w:rPr>
          <w:t>https://doi.org/10.1890/14-0559.1</w:t>
        </w:r>
      </w:hyperlink>
    </w:p>
    <w:p w:rsidR="00544479" w:rsidRDefault="0072223F">
      <w:pPr>
        <w:pStyle w:val="NormalWeb"/>
        <w:jc w:val="both"/>
        <w:rPr>
          <w:rFonts w:ascii="Arial" w:hAnsi="Arial" w:cs="Arial"/>
          <w:sz w:val="20"/>
          <w:szCs w:val="20"/>
        </w:rPr>
      </w:pPr>
      <w:r>
        <w:rPr>
          <w:rFonts w:ascii="Arial" w:hAnsi="Arial" w:cs="Arial"/>
          <w:sz w:val="20"/>
          <w:szCs w:val="20"/>
        </w:rPr>
        <w:t xml:space="preserve">Padilla-Gamiño, J. L., &amp; Alma, L. A. (2022). Ocean acidification does not overlook sex: Review of understudied effects and implications of low pH on marine invertebrate sexual reproduction. </w:t>
      </w:r>
      <w:r>
        <w:rPr>
          <w:rStyle w:val="Emphasis"/>
          <w:rFonts w:ascii="Arial" w:hAnsi="Arial" w:cs="Arial"/>
          <w:sz w:val="20"/>
          <w:szCs w:val="20"/>
        </w:rPr>
        <w:t>Frontiers in Marine Science</w:t>
      </w:r>
      <w:r>
        <w:rPr>
          <w:rFonts w:ascii="Arial" w:hAnsi="Arial" w:cs="Arial"/>
          <w:sz w:val="20"/>
          <w:szCs w:val="20"/>
        </w:rPr>
        <w:t xml:space="preserve">, 9, 977754. </w:t>
      </w:r>
      <w:hyperlink r:id="rId43" w:history="1">
        <w:r w:rsidR="00544479">
          <w:rPr>
            <w:rStyle w:val="Hyperlink"/>
            <w:rFonts w:ascii="Arial" w:hAnsi="Arial" w:cs="Arial"/>
            <w:sz w:val="20"/>
            <w:szCs w:val="20"/>
          </w:rPr>
          <w:t>https://doi.org/10.3389/fmars.2022.977754</w:t>
        </w:r>
      </w:hyperlink>
    </w:p>
    <w:p w:rsidR="00544479" w:rsidRDefault="0072223F">
      <w:pPr>
        <w:pStyle w:val="NormalWeb"/>
        <w:jc w:val="both"/>
        <w:rPr>
          <w:rFonts w:ascii="Arial" w:hAnsi="Arial" w:cs="Arial"/>
          <w:sz w:val="20"/>
          <w:szCs w:val="20"/>
        </w:rPr>
      </w:pPr>
      <w:r>
        <w:rPr>
          <w:rFonts w:ascii="Arial" w:hAnsi="Arial" w:cs="Arial"/>
          <w:sz w:val="20"/>
          <w:szCs w:val="20"/>
        </w:rPr>
        <w:lastRenderedPageBreak/>
        <w:t xml:space="preserve">Pankhurst, N. W., &amp; King, H. R. (2010). Temperature and salmonid reproduction: Implications for aquaculture. </w:t>
      </w:r>
      <w:r>
        <w:rPr>
          <w:rStyle w:val="Emphasis"/>
          <w:rFonts w:ascii="Arial" w:hAnsi="Arial" w:cs="Arial"/>
          <w:sz w:val="20"/>
          <w:szCs w:val="20"/>
        </w:rPr>
        <w:t>Journal of Fish Biology</w:t>
      </w:r>
      <w:r>
        <w:rPr>
          <w:rFonts w:ascii="Arial" w:hAnsi="Arial" w:cs="Arial"/>
          <w:sz w:val="20"/>
          <w:szCs w:val="20"/>
        </w:rPr>
        <w:t xml:space="preserve">, 76, 69–85. </w:t>
      </w:r>
      <w:hyperlink r:id="rId44" w:history="1">
        <w:r w:rsidR="00544479">
          <w:rPr>
            <w:rStyle w:val="Hyperlink"/>
            <w:rFonts w:ascii="Arial" w:hAnsi="Arial" w:cs="Arial"/>
            <w:sz w:val="20"/>
            <w:szCs w:val="20"/>
          </w:rPr>
          <w:t>https://doi.org/10.1111/j.1095-8649.2009.02484.x</w:t>
        </w:r>
      </w:hyperlink>
    </w:p>
    <w:p w:rsidR="00544479" w:rsidRDefault="0072223F">
      <w:pPr>
        <w:pStyle w:val="NormalWeb"/>
        <w:jc w:val="both"/>
        <w:rPr>
          <w:rFonts w:ascii="Arial" w:hAnsi="Arial" w:cs="Arial"/>
          <w:sz w:val="20"/>
          <w:szCs w:val="20"/>
        </w:rPr>
      </w:pPr>
      <w:r>
        <w:rPr>
          <w:rFonts w:ascii="Arial" w:hAnsi="Arial" w:cs="Arial"/>
          <w:sz w:val="20"/>
          <w:szCs w:val="20"/>
        </w:rPr>
        <w:t xml:space="preserve">Pankhurst, N. W., &amp; Munday, P. L. (2011). Effects of climate change on fish reproduction and early life history stages. </w:t>
      </w:r>
      <w:r>
        <w:rPr>
          <w:rStyle w:val="Emphasis"/>
          <w:rFonts w:ascii="Arial" w:hAnsi="Arial" w:cs="Arial"/>
          <w:sz w:val="20"/>
          <w:szCs w:val="20"/>
        </w:rPr>
        <w:t>Marine and Freshwater Research</w:t>
      </w:r>
      <w:r>
        <w:rPr>
          <w:rFonts w:ascii="Arial" w:hAnsi="Arial" w:cs="Arial"/>
          <w:sz w:val="20"/>
          <w:szCs w:val="20"/>
        </w:rPr>
        <w:t xml:space="preserve">, 62, 1015–1026. </w:t>
      </w:r>
      <w:hyperlink r:id="rId45" w:history="1">
        <w:r w:rsidR="00544479">
          <w:rPr>
            <w:rStyle w:val="Hyperlink"/>
            <w:rFonts w:ascii="Arial" w:hAnsi="Arial" w:cs="Arial"/>
            <w:sz w:val="20"/>
            <w:szCs w:val="20"/>
          </w:rPr>
          <w:t>https://doi.org/10.1071/MF10269</w:t>
        </w:r>
      </w:hyperlink>
    </w:p>
    <w:p w:rsidR="00544479" w:rsidRDefault="0072223F">
      <w:pPr>
        <w:pStyle w:val="NormalWeb"/>
        <w:jc w:val="both"/>
        <w:rPr>
          <w:rFonts w:ascii="Arial" w:hAnsi="Arial" w:cs="Arial"/>
          <w:sz w:val="20"/>
          <w:szCs w:val="20"/>
        </w:rPr>
      </w:pPr>
      <w:r>
        <w:rPr>
          <w:rFonts w:ascii="Arial" w:hAnsi="Arial" w:cs="Arial"/>
          <w:sz w:val="20"/>
          <w:szCs w:val="20"/>
        </w:rPr>
        <w:t xml:space="preserve">Parker, L. M., O'Connor, W. A., Byrne, M., Dove, M., Coleman, R. A., Pörtner, H. O., et al. (2018). Ocean acidification but not warming alters sex determination in the Sydney rock oyster, </w:t>
      </w:r>
      <w:r>
        <w:rPr>
          <w:rStyle w:val="Emphasis"/>
          <w:rFonts w:ascii="Arial" w:hAnsi="Arial" w:cs="Arial"/>
          <w:sz w:val="20"/>
          <w:szCs w:val="20"/>
        </w:rPr>
        <w:t>Saccostrea glomerata</w:t>
      </w:r>
      <w:r>
        <w:rPr>
          <w:rFonts w:ascii="Arial" w:hAnsi="Arial" w:cs="Arial"/>
          <w:sz w:val="20"/>
          <w:szCs w:val="20"/>
        </w:rPr>
        <w:t xml:space="preserve">. </w:t>
      </w:r>
      <w:r>
        <w:rPr>
          <w:rStyle w:val="Emphasis"/>
          <w:rFonts w:ascii="Arial" w:hAnsi="Arial" w:cs="Arial"/>
          <w:sz w:val="20"/>
          <w:szCs w:val="20"/>
        </w:rPr>
        <w:t>Proceedings of the Royal Society B: Biological Sciences</w:t>
      </w:r>
      <w:r>
        <w:rPr>
          <w:rFonts w:ascii="Arial" w:hAnsi="Arial" w:cs="Arial"/>
          <w:sz w:val="20"/>
          <w:szCs w:val="20"/>
        </w:rPr>
        <w:t xml:space="preserve">, 285, 20172869. </w:t>
      </w:r>
      <w:hyperlink r:id="rId46" w:history="1">
        <w:r w:rsidR="00544479">
          <w:rPr>
            <w:rStyle w:val="Hyperlink"/>
            <w:rFonts w:ascii="Arial" w:hAnsi="Arial" w:cs="Arial"/>
            <w:sz w:val="20"/>
            <w:szCs w:val="20"/>
          </w:rPr>
          <w:t>https://doi.org/10.1098/rspb.2017.2869</w:t>
        </w:r>
      </w:hyperlink>
    </w:p>
    <w:p w:rsidR="00544479" w:rsidRDefault="0072223F">
      <w:pPr>
        <w:pStyle w:val="NormalWeb"/>
        <w:jc w:val="both"/>
        <w:rPr>
          <w:rFonts w:ascii="Arial" w:hAnsi="Arial" w:cs="Arial"/>
          <w:sz w:val="20"/>
          <w:szCs w:val="20"/>
        </w:rPr>
      </w:pPr>
      <w:r>
        <w:rPr>
          <w:rFonts w:ascii="Arial" w:hAnsi="Arial" w:cs="Arial"/>
          <w:sz w:val="20"/>
          <w:szCs w:val="20"/>
        </w:rPr>
        <w:t xml:space="preserve">Peruzza, L., Tucci, C. F., Frizzo, R., Riello, T., Quagliariello, A., Martino, M. E., et al. (2023). Impaired reproduction, energy reserves and dysbiosis: The overlooked consequences of heatwaves in a bivalve mollusc. </w:t>
      </w:r>
      <w:r>
        <w:rPr>
          <w:rStyle w:val="Emphasis"/>
          <w:rFonts w:ascii="Arial" w:hAnsi="Arial" w:cs="Arial"/>
          <w:sz w:val="20"/>
          <w:szCs w:val="20"/>
        </w:rPr>
        <w:t>Marine Pollution Bulletin</w:t>
      </w:r>
      <w:r>
        <w:rPr>
          <w:rFonts w:ascii="Arial" w:hAnsi="Arial" w:cs="Arial"/>
          <w:sz w:val="20"/>
          <w:szCs w:val="20"/>
        </w:rPr>
        <w:t xml:space="preserve">, 193, 115192. </w:t>
      </w:r>
      <w:hyperlink r:id="rId47" w:history="1">
        <w:r w:rsidR="00544479">
          <w:rPr>
            <w:rStyle w:val="Hyperlink"/>
            <w:rFonts w:ascii="Arial" w:hAnsi="Arial" w:cs="Arial"/>
            <w:sz w:val="20"/>
            <w:szCs w:val="20"/>
          </w:rPr>
          <w:t>https://doi.org/10.1016/j.marpolbul.2023.115192</w:t>
        </w:r>
      </w:hyperlink>
    </w:p>
    <w:p w:rsidR="00544479" w:rsidRDefault="0072223F">
      <w:pPr>
        <w:pStyle w:val="NormalWeb"/>
        <w:jc w:val="both"/>
        <w:rPr>
          <w:rFonts w:ascii="Arial" w:hAnsi="Arial" w:cs="Arial"/>
          <w:sz w:val="20"/>
          <w:szCs w:val="20"/>
        </w:rPr>
      </w:pPr>
      <w:r>
        <w:rPr>
          <w:rFonts w:ascii="Arial" w:hAnsi="Arial" w:cs="Arial"/>
          <w:sz w:val="20"/>
          <w:szCs w:val="20"/>
        </w:rPr>
        <w:t xml:space="preserve">Poloczanska, E. S., Brown, C. J., Sydeman, W. J., Kiessling, W., Schoeman, D. S., Moore, P. J., et al. (2013). Global imprint of climate change on marine life. </w:t>
      </w:r>
      <w:r>
        <w:rPr>
          <w:rStyle w:val="Emphasis"/>
          <w:rFonts w:ascii="Arial" w:hAnsi="Arial" w:cs="Arial"/>
          <w:sz w:val="20"/>
          <w:szCs w:val="20"/>
        </w:rPr>
        <w:t>Nature Climate Change</w:t>
      </w:r>
      <w:r>
        <w:rPr>
          <w:rFonts w:ascii="Arial" w:hAnsi="Arial" w:cs="Arial"/>
          <w:sz w:val="20"/>
          <w:szCs w:val="20"/>
        </w:rPr>
        <w:t xml:space="preserve">, 3, 919–925. </w:t>
      </w:r>
      <w:hyperlink r:id="rId48" w:history="1">
        <w:r w:rsidR="00544479">
          <w:rPr>
            <w:rStyle w:val="Hyperlink"/>
            <w:rFonts w:ascii="Arial" w:hAnsi="Arial" w:cs="Arial"/>
            <w:sz w:val="20"/>
            <w:szCs w:val="20"/>
          </w:rPr>
          <w:t>https://doi.org/10.1038/nclimate1958</w:t>
        </w:r>
      </w:hyperlink>
    </w:p>
    <w:p w:rsidR="00544479" w:rsidRDefault="0072223F">
      <w:pPr>
        <w:pStyle w:val="NormalWeb"/>
        <w:jc w:val="both"/>
        <w:rPr>
          <w:rFonts w:ascii="Arial" w:hAnsi="Arial" w:cs="Arial"/>
          <w:sz w:val="20"/>
          <w:szCs w:val="20"/>
        </w:rPr>
      </w:pPr>
      <w:commentRangeStart w:id="0"/>
      <w:r>
        <w:rPr>
          <w:rFonts w:ascii="Arial" w:hAnsi="Arial" w:cs="Arial"/>
          <w:sz w:val="20"/>
          <w:szCs w:val="20"/>
        </w:rPr>
        <w:t>Pountney, S. M., Lein, I., Migaud, H., &amp; Davie, A. (2020). High temperature is detrimental to captive lumpfish (</w:t>
      </w:r>
      <w:r>
        <w:rPr>
          <w:rStyle w:val="Emphasis"/>
          <w:rFonts w:ascii="Arial" w:hAnsi="Arial" w:cs="Arial"/>
          <w:sz w:val="20"/>
          <w:szCs w:val="20"/>
        </w:rPr>
        <w:t>Cyclopteruslumpus</w:t>
      </w:r>
      <w:r>
        <w:rPr>
          <w:rFonts w:ascii="Arial" w:hAnsi="Arial" w:cs="Arial"/>
          <w:sz w:val="20"/>
          <w:szCs w:val="20"/>
        </w:rPr>
        <w:t xml:space="preserve">) reproductive performance. </w:t>
      </w:r>
      <w:r>
        <w:rPr>
          <w:rStyle w:val="Emphasis"/>
          <w:rFonts w:ascii="Arial" w:hAnsi="Arial" w:cs="Arial"/>
          <w:sz w:val="20"/>
          <w:szCs w:val="20"/>
        </w:rPr>
        <w:t>Aquaculture</w:t>
      </w:r>
      <w:r>
        <w:rPr>
          <w:rFonts w:ascii="Arial" w:hAnsi="Arial" w:cs="Arial"/>
          <w:sz w:val="20"/>
          <w:szCs w:val="20"/>
        </w:rPr>
        <w:t xml:space="preserve">, 522, 735121. </w:t>
      </w:r>
      <w:hyperlink r:id="rId49" w:history="1">
        <w:r w:rsidR="00544479">
          <w:rPr>
            <w:rStyle w:val="Hyperlink"/>
            <w:rFonts w:ascii="Arial" w:hAnsi="Arial" w:cs="Arial"/>
            <w:sz w:val="20"/>
            <w:szCs w:val="20"/>
          </w:rPr>
          <w:t>https://doi.org/10.1016/j.aquaculture.2020.735121</w:t>
        </w:r>
      </w:hyperlink>
    </w:p>
    <w:p w:rsidR="00544479" w:rsidRDefault="0072223F">
      <w:pPr>
        <w:pStyle w:val="NormalWeb"/>
        <w:jc w:val="both"/>
        <w:rPr>
          <w:rFonts w:ascii="Arial" w:hAnsi="Arial" w:cs="Arial"/>
          <w:sz w:val="20"/>
          <w:szCs w:val="20"/>
        </w:rPr>
      </w:pPr>
      <w:r>
        <w:rPr>
          <w:rFonts w:ascii="Arial" w:hAnsi="Arial" w:cs="Arial"/>
          <w:sz w:val="20"/>
          <w:szCs w:val="20"/>
        </w:rPr>
        <w:t xml:space="preserve">Pörtner, H. O., &amp; Farrell, A. P. (2008). Physiology and climate change. </w:t>
      </w:r>
      <w:r>
        <w:rPr>
          <w:rStyle w:val="Emphasis"/>
          <w:rFonts w:ascii="Arial" w:hAnsi="Arial" w:cs="Arial"/>
          <w:sz w:val="20"/>
          <w:szCs w:val="20"/>
        </w:rPr>
        <w:t>Science</w:t>
      </w:r>
      <w:r>
        <w:rPr>
          <w:rFonts w:ascii="Arial" w:hAnsi="Arial" w:cs="Arial"/>
          <w:sz w:val="20"/>
          <w:szCs w:val="20"/>
        </w:rPr>
        <w:t xml:space="preserve">, 322, 690–692. </w:t>
      </w:r>
      <w:hyperlink r:id="rId50" w:history="1">
        <w:r w:rsidR="00544479">
          <w:rPr>
            <w:rStyle w:val="Hyperlink"/>
            <w:rFonts w:ascii="Arial" w:hAnsi="Arial" w:cs="Arial"/>
            <w:sz w:val="20"/>
            <w:szCs w:val="20"/>
          </w:rPr>
          <w:t>https://doi.org/10.1126/science.1163156</w:t>
        </w:r>
      </w:hyperlink>
    </w:p>
    <w:p w:rsidR="00544479" w:rsidRDefault="0072223F">
      <w:pPr>
        <w:pStyle w:val="NormalWeb"/>
        <w:jc w:val="both"/>
        <w:rPr>
          <w:rFonts w:ascii="Arial" w:hAnsi="Arial" w:cs="Arial"/>
          <w:sz w:val="20"/>
          <w:szCs w:val="20"/>
        </w:rPr>
      </w:pPr>
      <w:r>
        <w:rPr>
          <w:rFonts w:ascii="Arial" w:hAnsi="Arial" w:cs="Arial"/>
          <w:sz w:val="20"/>
          <w:szCs w:val="20"/>
        </w:rPr>
        <w:t xml:space="preserve">Pörtner, H. O., &amp; Peck, M. A. (2010). Climate change effects on fishes and fisheries: Towards a cause-and-effect understanding. </w:t>
      </w:r>
      <w:r>
        <w:rPr>
          <w:rStyle w:val="Emphasis"/>
          <w:rFonts w:ascii="Arial" w:hAnsi="Arial" w:cs="Arial"/>
          <w:sz w:val="20"/>
          <w:szCs w:val="20"/>
        </w:rPr>
        <w:t>Journal of Fish Biology</w:t>
      </w:r>
      <w:r>
        <w:rPr>
          <w:rFonts w:ascii="Arial" w:hAnsi="Arial" w:cs="Arial"/>
          <w:sz w:val="20"/>
          <w:szCs w:val="20"/>
        </w:rPr>
        <w:t xml:space="preserve">, 77, 1745–1779. </w:t>
      </w:r>
      <w:hyperlink r:id="rId51" w:history="1">
        <w:r w:rsidR="00544479">
          <w:rPr>
            <w:rStyle w:val="Hyperlink"/>
            <w:rFonts w:ascii="Arial" w:hAnsi="Arial" w:cs="Arial"/>
            <w:sz w:val="20"/>
            <w:szCs w:val="20"/>
          </w:rPr>
          <w:t>https://doi.org/10.1111/j.1095-8649.2010.02783.x</w:t>
        </w:r>
      </w:hyperlink>
    </w:p>
    <w:commentRangeEnd w:id="0"/>
    <w:p w:rsidR="00544479" w:rsidRDefault="0012739C">
      <w:pPr>
        <w:pStyle w:val="NormalWeb"/>
        <w:jc w:val="both"/>
        <w:rPr>
          <w:rFonts w:ascii="Arial" w:hAnsi="Arial" w:cs="Arial"/>
          <w:sz w:val="20"/>
          <w:szCs w:val="20"/>
        </w:rPr>
      </w:pPr>
      <w:r>
        <w:rPr>
          <w:rStyle w:val="CommentReference"/>
          <w:rFonts w:asciiTheme="minorHAnsi" w:eastAsiaTheme="minorEastAsia" w:hAnsiTheme="minorHAnsi" w:cstheme="minorBidi"/>
        </w:rPr>
        <w:commentReference w:id="0"/>
      </w:r>
      <w:r w:rsidR="0072223F">
        <w:rPr>
          <w:rFonts w:ascii="Arial" w:hAnsi="Arial" w:cs="Arial"/>
          <w:sz w:val="20"/>
          <w:szCs w:val="20"/>
        </w:rPr>
        <w:t xml:space="preserve">Ryu, T., Veilleux, H. D., Donelson, J. M., Munday, P. L., &amp;Ravasi, T. (2018). The epigenetic landscape of transgenerational acclimation to ocean warming. </w:t>
      </w:r>
      <w:r w:rsidR="0072223F">
        <w:rPr>
          <w:rStyle w:val="Emphasis"/>
          <w:rFonts w:ascii="Arial" w:hAnsi="Arial" w:cs="Arial"/>
          <w:sz w:val="20"/>
          <w:szCs w:val="20"/>
        </w:rPr>
        <w:t>Nature Climate Change</w:t>
      </w:r>
      <w:r w:rsidR="0072223F">
        <w:rPr>
          <w:rFonts w:ascii="Arial" w:hAnsi="Arial" w:cs="Arial"/>
          <w:sz w:val="20"/>
          <w:szCs w:val="20"/>
        </w:rPr>
        <w:t xml:space="preserve">, 8, 504–509. </w:t>
      </w:r>
      <w:hyperlink r:id="rId53" w:history="1">
        <w:r w:rsidR="00544479">
          <w:rPr>
            <w:rStyle w:val="Hyperlink"/>
            <w:rFonts w:ascii="Arial" w:hAnsi="Arial" w:cs="Arial"/>
            <w:sz w:val="20"/>
            <w:szCs w:val="20"/>
          </w:rPr>
          <w:t>https://doi.org/10.1038/s41558-018-0159-0</w:t>
        </w:r>
      </w:hyperlink>
    </w:p>
    <w:p w:rsidR="00544479" w:rsidRDefault="0072223F">
      <w:pPr>
        <w:pStyle w:val="NormalWeb"/>
        <w:jc w:val="both"/>
        <w:rPr>
          <w:rFonts w:ascii="Arial" w:hAnsi="Arial" w:cs="Arial"/>
          <w:sz w:val="20"/>
          <w:szCs w:val="20"/>
        </w:rPr>
      </w:pPr>
      <w:r>
        <w:rPr>
          <w:rFonts w:ascii="Arial" w:hAnsi="Arial" w:cs="Arial"/>
          <w:sz w:val="20"/>
          <w:szCs w:val="20"/>
        </w:rPr>
        <w:t xml:space="preserve">Ryu, T., Veilleux, H. D., Munday, P. L., Jung, I., Donelson, J. M., &amp;Ravasi, T. (2020). An epigenetic signature for within-generational plasticity of a reef fish to ocean warming. </w:t>
      </w:r>
      <w:r>
        <w:rPr>
          <w:rStyle w:val="Emphasis"/>
          <w:rFonts w:ascii="Arial" w:hAnsi="Arial" w:cs="Arial"/>
          <w:sz w:val="20"/>
          <w:szCs w:val="20"/>
        </w:rPr>
        <w:t>Frontiers in Marine Science</w:t>
      </w:r>
      <w:r>
        <w:rPr>
          <w:rFonts w:ascii="Arial" w:hAnsi="Arial" w:cs="Arial"/>
          <w:sz w:val="20"/>
          <w:szCs w:val="20"/>
        </w:rPr>
        <w:t xml:space="preserve">, 7, 284. </w:t>
      </w:r>
      <w:hyperlink r:id="rId54" w:history="1">
        <w:r w:rsidR="00544479">
          <w:rPr>
            <w:rStyle w:val="Hyperlink"/>
            <w:rFonts w:ascii="Arial" w:hAnsi="Arial" w:cs="Arial"/>
            <w:sz w:val="20"/>
            <w:szCs w:val="20"/>
          </w:rPr>
          <w:t>https://doi.org/10.3389/fmars.2020.00284</w:t>
        </w:r>
      </w:hyperlink>
    </w:p>
    <w:p w:rsidR="00544479" w:rsidRDefault="0072223F">
      <w:pPr>
        <w:pStyle w:val="NormalWeb"/>
        <w:jc w:val="both"/>
        <w:rPr>
          <w:rFonts w:ascii="Arial" w:hAnsi="Arial" w:cs="Arial"/>
          <w:sz w:val="20"/>
          <w:szCs w:val="20"/>
        </w:rPr>
      </w:pPr>
      <w:r>
        <w:rPr>
          <w:rFonts w:ascii="Arial" w:hAnsi="Arial" w:cs="Arial"/>
          <w:sz w:val="20"/>
          <w:szCs w:val="20"/>
        </w:rPr>
        <w:t xml:space="preserve">Schulz, R. W., de França, L. R., Lareyre, J. J., LeGac, F., Chiarini-Garcia, H., Nobrega, R. H., et al. (2010). Spermatogenesis in fish. </w:t>
      </w:r>
      <w:r>
        <w:rPr>
          <w:rStyle w:val="Emphasis"/>
          <w:rFonts w:ascii="Arial" w:hAnsi="Arial" w:cs="Arial"/>
          <w:sz w:val="20"/>
          <w:szCs w:val="20"/>
        </w:rPr>
        <w:t>General and Comparative Endocrinology</w:t>
      </w:r>
      <w:r>
        <w:rPr>
          <w:rFonts w:ascii="Arial" w:hAnsi="Arial" w:cs="Arial"/>
          <w:sz w:val="20"/>
          <w:szCs w:val="20"/>
        </w:rPr>
        <w:t xml:space="preserve">, 165, 390–411. </w:t>
      </w:r>
      <w:hyperlink r:id="rId55" w:history="1">
        <w:r w:rsidR="00544479">
          <w:rPr>
            <w:rStyle w:val="Hyperlink"/>
            <w:rFonts w:ascii="Arial" w:hAnsi="Arial" w:cs="Arial"/>
            <w:sz w:val="20"/>
            <w:szCs w:val="20"/>
          </w:rPr>
          <w:t>https://doi.org/10.1016/j.ygcen.2009.02.013</w:t>
        </w:r>
      </w:hyperlink>
    </w:p>
    <w:p w:rsidR="00544479" w:rsidRDefault="0072223F">
      <w:pPr>
        <w:pStyle w:val="NormalWeb"/>
        <w:jc w:val="both"/>
        <w:rPr>
          <w:rFonts w:ascii="Arial" w:hAnsi="Arial" w:cs="Arial"/>
          <w:sz w:val="20"/>
          <w:szCs w:val="20"/>
        </w:rPr>
      </w:pPr>
      <w:r>
        <w:rPr>
          <w:rFonts w:ascii="Arial" w:hAnsi="Arial" w:cs="Arial"/>
          <w:sz w:val="20"/>
          <w:szCs w:val="20"/>
        </w:rPr>
        <w:t xml:space="preserve">Seale, A. P., Cao, K., Chang, R. J. A., Goodearly, T. R., Malintha, G. H. T., Merlo, R. S., et al. (2024). Salinity tolerance of fishes: Experimental approaches and implications for aquaculture production. </w:t>
      </w:r>
      <w:r>
        <w:rPr>
          <w:rStyle w:val="Emphasis"/>
          <w:rFonts w:ascii="Arial" w:hAnsi="Arial" w:cs="Arial"/>
          <w:sz w:val="20"/>
          <w:szCs w:val="20"/>
        </w:rPr>
        <w:t>Reviews in Aquaculture</w:t>
      </w:r>
      <w:r>
        <w:rPr>
          <w:rFonts w:ascii="Arial" w:hAnsi="Arial" w:cs="Arial"/>
          <w:sz w:val="20"/>
          <w:szCs w:val="20"/>
        </w:rPr>
        <w:t xml:space="preserve">, 16, 1351–1373. </w:t>
      </w:r>
      <w:hyperlink r:id="rId56" w:history="1">
        <w:r w:rsidR="00544479">
          <w:rPr>
            <w:rStyle w:val="Hyperlink"/>
            <w:rFonts w:ascii="Arial" w:hAnsi="Arial" w:cs="Arial"/>
            <w:sz w:val="20"/>
            <w:szCs w:val="20"/>
          </w:rPr>
          <w:t>https://doi.org/10.1111/raq.12900</w:t>
        </w:r>
      </w:hyperlink>
    </w:p>
    <w:p w:rsidR="00544479" w:rsidRDefault="0072223F">
      <w:pPr>
        <w:pStyle w:val="NormalWeb"/>
        <w:jc w:val="both"/>
        <w:rPr>
          <w:rFonts w:ascii="Arial" w:hAnsi="Arial" w:cs="Arial"/>
          <w:sz w:val="20"/>
          <w:szCs w:val="20"/>
        </w:rPr>
      </w:pPr>
      <w:r>
        <w:rPr>
          <w:rFonts w:ascii="Arial" w:hAnsi="Arial" w:cs="Arial"/>
          <w:sz w:val="20"/>
          <w:szCs w:val="20"/>
        </w:rPr>
        <w:t xml:space="preserve">Servili, A., Canario, A. V. M., Mouchel, O., &amp; Muñoz-Cueto, J. A. (2020). Climate change impacts on fish reproduction are mediated at multiple levels of the brain–pituitary–gonad axis. </w:t>
      </w:r>
      <w:r>
        <w:rPr>
          <w:rStyle w:val="Emphasis"/>
          <w:rFonts w:ascii="Arial" w:hAnsi="Arial" w:cs="Arial"/>
          <w:sz w:val="20"/>
          <w:szCs w:val="20"/>
        </w:rPr>
        <w:t>General and Comparative Endocrinology</w:t>
      </w:r>
      <w:r>
        <w:rPr>
          <w:rFonts w:ascii="Arial" w:hAnsi="Arial" w:cs="Arial"/>
          <w:sz w:val="20"/>
          <w:szCs w:val="20"/>
        </w:rPr>
        <w:t xml:space="preserve">, 291, 113439. </w:t>
      </w:r>
      <w:hyperlink r:id="rId57" w:history="1">
        <w:r w:rsidR="00544479">
          <w:rPr>
            <w:rStyle w:val="Hyperlink"/>
            <w:rFonts w:ascii="Arial" w:hAnsi="Arial" w:cs="Arial"/>
            <w:sz w:val="20"/>
            <w:szCs w:val="20"/>
          </w:rPr>
          <w:t>https://doi.org/10.1016/j.ygcen.2020.113439</w:t>
        </w:r>
      </w:hyperlink>
    </w:p>
    <w:p w:rsidR="00544479" w:rsidRDefault="0072223F">
      <w:pPr>
        <w:pStyle w:val="NormalWeb"/>
        <w:jc w:val="both"/>
        <w:rPr>
          <w:rFonts w:ascii="Arial" w:hAnsi="Arial" w:cs="Arial"/>
          <w:sz w:val="20"/>
          <w:szCs w:val="20"/>
        </w:rPr>
      </w:pPr>
      <w:r>
        <w:rPr>
          <w:rFonts w:ascii="Arial" w:hAnsi="Arial" w:cs="Arial"/>
          <w:sz w:val="20"/>
          <w:szCs w:val="20"/>
        </w:rPr>
        <w:t xml:space="preserve">Shahjahan, M., Kitahashi, T., &amp; Ando, H. (2017). Temperature affects sexual maturation through the control of kisspeptin, kisspeptin receptor, GnRH and GTH subunit gene </w:t>
      </w:r>
      <w:r>
        <w:rPr>
          <w:rFonts w:ascii="Arial" w:hAnsi="Arial" w:cs="Arial"/>
          <w:sz w:val="20"/>
          <w:szCs w:val="20"/>
        </w:rPr>
        <w:lastRenderedPageBreak/>
        <w:t xml:space="preserve">expression in the grass puffer during the spawning season. </w:t>
      </w:r>
      <w:r>
        <w:rPr>
          <w:rStyle w:val="Emphasis"/>
          <w:rFonts w:ascii="Arial" w:hAnsi="Arial" w:cs="Arial"/>
          <w:sz w:val="20"/>
          <w:szCs w:val="20"/>
        </w:rPr>
        <w:t>General and Comparative Endocrinology</w:t>
      </w:r>
      <w:r>
        <w:rPr>
          <w:rFonts w:ascii="Arial" w:hAnsi="Arial" w:cs="Arial"/>
          <w:sz w:val="20"/>
          <w:szCs w:val="20"/>
        </w:rPr>
        <w:t xml:space="preserve">, 243, 138–145. </w:t>
      </w:r>
      <w:hyperlink r:id="rId58" w:history="1">
        <w:r w:rsidR="00544479">
          <w:rPr>
            <w:rStyle w:val="Hyperlink"/>
            <w:rFonts w:ascii="Arial" w:hAnsi="Arial" w:cs="Arial"/>
            <w:sz w:val="20"/>
            <w:szCs w:val="20"/>
          </w:rPr>
          <w:t>https://doi.org/10.1016/j.ygcen.2016.11.012</w:t>
        </w:r>
      </w:hyperlink>
    </w:p>
    <w:p w:rsidR="00544479" w:rsidRDefault="0072223F">
      <w:pPr>
        <w:pStyle w:val="NormalWeb"/>
        <w:jc w:val="both"/>
        <w:rPr>
          <w:rFonts w:ascii="Arial" w:hAnsi="Arial" w:cs="Arial"/>
          <w:sz w:val="20"/>
          <w:szCs w:val="20"/>
        </w:rPr>
      </w:pPr>
      <w:r>
        <w:rPr>
          <w:rFonts w:ascii="Arial" w:hAnsi="Arial" w:cs="Arial"/>
          <w:sz w:val="20"/>
          <w:szCs w:val="20"/>
        </w:rPr>
        <w:t xml:space="preserve">Tan, K., &amp; Zheng, H. (2020). Ocean acidification and adaptive bivalve farming. </w:t>
      </w:r>
      <w:r>
        <w:rPr>
          <w:rStyle w:val="Emphasis"/>
          <w:rFonts w:ascii="Arial" w:hAnsi="Arial" w:cs="Arial"/>
          <w:sz w:val="20"/>
          <w:szCs w:val="20"/>
        </w:rPr>
        <w:t>Science of the Total Environment</w:t>
      </w:r>
      <w:r>
        <w:rPr>
          <w:rFonts w:ascii="Arial" w:hAnsi="Arial" w:cs="Arial"/>
          <w:sz w:val="20"/>
          <w:szCs w:val="20"/>
        </w:rPr>
        <w:t xml:space="preserve">, 701, 134794. </w:t>
      </w:r>
      <w:hyperlink r:id="rId59" w:history="1">
        <w:r w:rsidR="00544479">
          <w:rPr>
            <w:rStyle w:val="Hyperlink"/>
            <w:rFonts w:ascii="Arial" w:hAnsi="Arial" w:cs="Arial"/>
            <w:sz w:val="20"/>
            <w:szCs w:val="20"/>
          </w:rPr>
          <w:t>https://doi.org/10.1016/j.scitotenv.2019.134794</w:t>
        </w:r>
      </w:hyperlink>
    </w:p>
    <w:p w:rsidR="00544479" w:rsidRDefault="0072223F">
      <w:pPr>
        <w:pStyle w:val="NormalWeb"/>
        <w:jc w:val="both"/>
        <w:rPr>
          <w:rFonts w:ascii="Arial" w:hAnsi="Arial" w:cs="Arial"/>
          <w:sz w:val="20"/>
          <w:szCs w:val="20"/>
        </w:rPr>
      </w:pPr>
      <w:r>
        <w:rPr>
          <w:rFonts w:ascii="Arial" w:hAnsi="Arial" w:cs="Arial"/>
          <w:sz w:val="20"/>
          <w:szCs w:val="20"/>
        </w:rPr>
        <w:t xml:space="preserve">Taranger, G. L., Muncaster, S., Norberg, B., Thorsen, A., &amp; Andersson, E. (2015). Environmental impacts on the gonadotropic system in female Atlantic salmon during vitellogenesis: Photothermal effects on pituitary gonadotropins, ovarian gonadotropin receptor expression, plasma sex steroids and oocyte growth. </w:t>
      </w:r>
      <w:r>
        <w:rPr>
          <w:rStyle w:val="Emphasis"/>
          <w:rFonts w:ascii="Arial" w:hAnsi="Arial" w:cs="Arial"/>
          <w:sz w:val="20"/>
          <w:szCs w:val="20"/>
        </w:rPr>
        <w:t>General and Comparative Endocrinology</w:t>
      </w:r>
      <w:r>
        <w:rPr>
          <w:rFonts w:ascii="Arial" w:hAnsi="Arial" w:cs="Arial"/>
          <w:sz w:val="20"/>
          <w:szCs w:val="20"/>
        </w:rPr>
        <w:t xml:space="preserve">, 221, 86–93. </w:t>
      </w:r>
      <w:hyperlink r:id="rId60" w:history="1">
        <w:r w:rsidR="00544479">
          <w:rPr>
            <w:rStyle w:val="Hyperlink"/>
            <w:rFonts w:ascii="Arial" w:hAnsi="Arial" w:cs="Arial"/>
            <w:sz w:val="20"/>
            <w:szCs w:val="20"/>
          </w:rPr>
          <w:t>https://doi.org/10.1016/j.ygcen.2015.02.008</w:t>
        </w:r>
      </w:hyperlink>
    </w:p>
    <w:p w:rsidR="00544479" w:rsidRDefault="0072223F">
      <w:pPr>
        <w:pStyle w:val="NormalWeb"/>
        <w:jc w:val="both"/>
        <w:rPr>
          <w:rFonts w:ascii="Arial" w:hAnsi="Arial" w:cs="Arial"/>
          <w:sz w:val="20"/>
          <w:szCs w:val="20"/>
        </w:rPr>
      </w:pPr>
      <w:r>
        <w:rPr>
          <w:rFonts w:ascii="Arial" w:hAnsi="Arial" w:cs="Arial"/>
          <w:sz w:val="20"/>
          <w:szCs w:val="20"/>
        </w:rPr>
        <w:t xml:space="preserve">Thorn, M. W., Dick, M. F., Oviedo, L., Guglielmo, C. G., &amp;Morbey, Y. E. (2019). Transgenerational effects of egg nutrients on the early development of Chinook salmon across a thermal gradient. </w:t>
      </w:r>
      <w:r>
        <w:rPr>
          <w:rStyle w:val="Emphasis"/>
          <w:rFonts w:ascii="Arial" w:hAnsi="Arial" w:cs="Arial"/>
          <w:sz w:val="20"/>
          <w:szCs w:val="20"/>
        </w:rPr>
        <w:t>Canadian Journal of Fisheries and Aquatic Sciences</w:t>
      </w:r>
      <w:r>
        <w:rPr>
          <w:rFonts w:ascii="Arial" w:hAnsi="Arial" w:cs="Arial"/>
          <w:sz w:val="20"/>
          <w:szCs w:val="20"/>
        </w:rPr>
        <w:t xml:space="preserve">, 76, 1253–1262. </w:t>
      </w:r>
      <w:hyperlink r:id="rId61" w:history="1">
        <w:r w:rsidR="00544479">
          <w:rPr>
            <w:rStyle w:val="Hyperlink"/>
            <w:rFonts w:ascii="Arial" w:hAnsi="Arial" w:cs="Arial"/>
            <w:sz w:val="20"/>
            <w:szCs w:val="20"/>
          </w:rPr>
          <w:t>https://doi.org/10.1139/cjfas-2018-0013</w:t>
        </w:r>
      </w:hyperlink>
    </w:p>
    <w:p w:rsidR="00544479" w:rsidRDefault="0072223F">
      <w:pPr>
        <w:pStyle w:val="NormalWeb"/>
        <w:jc w:val="both"/>
        <w:rPr>
          <w:rFonts w:ascii="Arial" w:hAnsi="Arial" w:cs="Arial"/>
          <w:sz w:val="20"/>
          <w:szCs w:val="20"/>
        </w:rPr>
      </w:pPr>
      <w:r>
        <w:rPr>
          <w:rFonts w:ascii="Arial" w:hAnsi="Arial" w:cs="Arial"/>
          <w:sz w:val="20"/>
          <w:szCs w:val="20"/>
        </w:rPr>
        <w:t xml:space="preserve">Vagner, M., Zambonino-Infante, J. L., &amp;Mazurais, D. (2019). Fish facing global change: Are early stages the lifeline? </w:t>
      </w:r>
      <w:r>
        <w:rPr>
          <w:rStyle w:val="Emphasis"/>
          <w:rFonts w:ascii="Arial" w:hAnsi="Arial" w:cs="Arial"/>
          <w:sz w:val="20"/>
          <w:szCs w:val="20"/>
        </w:rPr>
        <w:t>Marine Environmental Research</w:t>
      </w:r>
      <w:r>
        <w:rPr>
          <w:rFonts w:ascii="Arial" w:hAnsi="Arial" w:cs="Arial"/>
          <w:sz w:val="20"/>
          <w:szCs w:val="20"/>
        </w:rPr>
        <w:t xml:space="preserve">, 147, 159–178. </w:t>
      </w:r>
      <w:hyperlink r:id="rId62" w:history="1">
        <w:r w:rsidR="00544479">
          <w:rPr>
            <w:rStyle w:val="Hyperlink"/>
            <w:rFonts w:ascii="Arial" w:hAnsi="Arial" w:cs="Arial"/>
            <w:sz w:val="20"/>
            <w:szCs w:val="20"/>
          </w:rPr>
          <w:t>https://doi.org/10.1016/j.marenvres.2019.04.005</w:t>
        </w:r>
      </w:hyperlink>
    </w:p>
    <w:p w:rsidR="00544479" w:rsidRDefault="0072223F">
      <w:pPr>
        <w:pStyle w:val="NormalWeb"/>
        <w:jc w:val="both"/>
        <w:rPr>
          <w:rFonts w:ascii="Arial" w:hAnsi="Arial" w:cs="Arial"/>
          <w:sz w:val="20"/>
          <w:szCs w:val="20"/>
        </w:rPr>
      </w:pPr>
      <w:r>
        <w:rPr>
          <w:rFonts w:ascii="Arial" w:hAnsi="Arial" w:cs="Arial"/>
          <w:sz w:val="20"/>
          <w:szCs w:val="20"/>
        </w:rPr>
        <w:t xml:space="preserve">Valdebenito, I. I., Gallegos, P. C., &amp; Effer, B. R. (2015). Gamete quality in fish: Evaluation parameters and determining factors. </w:t>
      </w:r>
      <w:r>
        <w:rPr>
          <w:rStyle w:val="Emphasis"/>
          <w:rFonts w:ascii="Arial" w:hAnsi="Arial" w:cs="Arial"/>
          <w:sz w:val="20"/>
          <w:szCs w:val="20"/>
        </w:rPr>
        <w:t>Zygote</w:t>
      </w:r>
      <w:r>
        <w:rPr>
          <w:rFonts w:ascii="Arial" w:hAnsi="Arial" w:cs="Arial"/>
          <w:sz w:val="20"/>
          <w:szCs w:val="20"/>
        </w:rPr>
        <w:t xml:space="preserve">, 23, 177–197. </w:t>
      </w:r>
      <w:hyperlink r:id="rId63" w:history="1">
        <w:r w:rsidR="00544479">
          <w:rPr>
            <w:rStyle w:val="Hyperlink"/>
            <w:rFonts w:ascii="Arial" w:hAnsi="Arial" w:cs="Arial"/>
            <w:sz w:val="20"/>
            <w:szCs w:val="20"/>
          </w:rPr>
          <w:t>https://doi.org/10.1017/S0967199413000506</w:t>
        </w:r>
      </w:hyperlink>
    </w:p>
    <w:p w:rsidR="00544479" w:rsidRDefault="0072223F">
      <w:pPr>
        <w:pStyle w:val="NormalWeb"/>
        <w:jc w:val="both"/>
        <w:rPr>
          <w:rFonts w:ascii="Arial" w:hAnsi="Arial" w:cs="Arial"/>
          <w:sz w:val="20"/>
          <w:szCs w:val="20"/>
        </w:rPr>
      </w:pPr>
      <w:r>
        <w:rPr>
          <w:rFonts w:ascii="Arial" w:hAnsi="Arial" w:cs="Arial"/>
          <w:sz w:val="20"/>
          <w:szCs w:val="20"/>
        </w:rPr>
        <w:t xml:space="preserve">Wang, D. S., Kobayashi, T., Zhou, L. Y., Paul-Prasanth, B., Ijiri, S., Sakai, F., et al. (2007). Foxl2 up-regulates aromatase gene transcription in a female-specific manner by binding to the promoter as well as interacting with Ad4 binding protein/steroidogenic factor 1. </w:t>
      </w:r>
      <w:r>
        <w:rPr>
          <w:rStyle w:val="Emphasis"/>
          <w:rFonts w:ascii="Arial" w:hAnsi="Arial" w:cs="Arial"/>
          <w:sz w:val="20"/>
          <w:szCs w:val="20"/>
        </w:rPr>
        <w:t>Molecular Endocrinology</w:t>
      </w:r>
      <w:r>
        <w:rPr>
          <w:rFonts w:ascii="Arial" w:hAnsi="Arial" w:cs="Arial"/>
          <w:sz w:val="20"/>
          <w:szCs w:val="20"/>
        </w:rPr>
        <w:t xml:space="preserve">, 21, 712–725. </w:t>
      </w:r>
      <w:hyperlink r:id="rId64" w:history="1">
        <w:r w:rsidR="00544479">
          <w:rPr>
            <w:rStyle w:val="Hyperlink"/>
            <w:rFonts w:ascii="Arial" w:hAnsi="Arial" w:cs="Arial"/>
            <w:sz w:val="20"/>
            <w:szCs w:val="20"/>
          </w:rPr>
          <w:t>https://doi.org/10.1210/me.2006-0248</w:t>
        </w:r>
      </w:hyperlink>
    </w:p>
    <w:p w:rsidR="00544479" w:rsidRDefault="0072223F">
      <w:pPr>
        <w:pStyle w:val="NormalWeb"/>
        <w:jc w:val="both"/>
        <w:rPr>
          <w:rFonts w:ascii="Arial" w:hAnsi="Arial" w:cs="Arial"/>
          <w:sz w:val="20"/>
          <w:szCs w:val="20"/>
        </w:rPr>
      </w:pPr>
      <w:r>
        <w:rPr>
          <w:rFonts w:ascii="Arial" w:hAnsi="Arial" w:cs="Arial"/>
          <w:sz w:val="20"/>
          <w:szCs w:val="20"/>
        </w:rPr>
        <w:t xml:space="preserve">Wang, N., Teletchea, F., Kestemont, P., Milla, S., &amp; Fontaine, P. (2010). Photothermal control of the reproductive cycle in temperate fishes. </w:t>
      </w:r>
      <w:r>
        <w:rPr>
          <w:rStyle w:val="Emphasis"/>
          <w:rFonts w:ascii="Arial" w:hAnsi="Arial" w:cs="Arial"/>
          <w:sz w:val="20"/>
          <w:szCs w:val="20"/>
        </w:rPr>
        <w:t>Reviews in Aquaculture</w:t>
      </w:r>
      <w:r>
        <w:rPr>
          <w:rFonts w:ascii="Arial" w:hAnsi="Arial" w:cs="Arial"/>
          <w:sz w:val="20"/>
          <w:szCs w:val="20"/>
        </w:rPr>
        <w:t xml:space="preserve">, 2, 209–222. </w:t>
      </w:r>
      <w:hyperlink r:id="rId65" w:history="1">
        <w:r w:rsidR="00544479">
          <w:rPr>
            <w:rStyle w:val="Hyperlink"/>
            <w:rFonts w:ascii="Arial" w:hAnsi="Arial" w:cs="Arial"/>
            <w:sz w:val="20"/>
            <w:szCs w:val="20"/>
          </w:rPr>
          <w:t>https://doi.org/10.1111/j.1753-5131.2010.01037.x</w:t>
        </w:r>
      </w:hyperlink>
    </w:p>
    <w:p w:rsidR="00544479" w:rsidRDefault="0072223F">
      <w:pPr>
        <w:pStyle w:val="NormalWeb"/>
        <w:jc w:val="both"/>
        <w:rPr>
          <w:rFonts w:ascii="Arial" w:hAnsi="Arial" w:cs="Arial"/>
          <w:sz w:val="20"/>
          <w:szCs w:val="20"/>
        </w:rPr>
      </w:pPr>
      <w:r>
        <w:rPr>
          <w:rFonts w:ascii="Arial" w:hAnsi="Arial" w:cs="Arial"/>
          <w:sz w:val="20"/>
          <w:szCs w:val="20"/>
        </w:rPr>
        <w:t xml:space="preserve">Wu, R. S. S. (2009). Effects of hypoxia on fish reproduction and development. In J. G. Richards, A. P. Farrell, &amp; C. J. Brauner (Eds.), </w:t>
      </w:r>
      <w:r>
        <w:rPr>
          <w:rStyle w:val="Emphasis"/>
          <w:rFonts w:ascii="Arial" w:hAnsi="Arial" w:cs="Arial"/>
          <w:sz w:val="20"/>
          <w:szCs w:val="20"/>
        </w:rPr>
        <w:t>Fish Physiology: Hypoxia</w:t>
      </w:r>
      <w:r>
        <w:rPr>
          <w:rFonts w:ascii="Arial" w:hAnsi="Arial" w:cs="Arial"/>
          <w:sz w:val="20"/>
          <w:szCs w:val="20"/>
        </w:rPr>
        <w:t xml:space="preserve"> (Vol. 27, pp. 79–141). Elsevier/Academic Press. </w:t>
      </w:r>
      <w:hyperlink r:id="rId66" w:tgtFrame="_new" w:history="1">
        <w:r w:rsidR="00544479">
          <w:rPr>
            <w:rStyle w:val="Hyperlink"/>
            <w:rFonts w:ascii="Arial" w:hAnsi="Arial" w:cs="Arial"/>
            <w:sz w:val="20"/>
            <w:szCs w:val="20"/>
          </w:rPr>
          <w:t>https://doi.org/10.1016/S1546-5098(08)00003-4</w:t>
        </w:r>
      </w:hyperlink>
    </w:p>
    <w:p w:rsidR="00544479" w:rsidRDefault="0072223F">
      <w:pPr>
        <w:pStyle w:val="NormalWeb"/>
        <w:jc w:val="both"/>
        <w:rPr>
          <w:rFonts w:ascii="Arial" w:hAnsi="Arial" w:cs="Arial"/>
          <w:sz w:val="20"/>
          <w:szCs w:val="20"/>
        </w:rPr>
      </w:pPr>
      <w:r>
        <w:rPr>
          <w:rFonts w:ascii="Arial" w:hAnsi="Arial" w:cs="Arial"/>
          <w:sz w:val="20"/>
          <w:szCs w:val="20"/>
        </w:rPr>
        <w:t xml:space="preserve">Wu, R. S. S., Zhou, B. S., Randall, D. J., Woo, N. Y. S., &amp; Lam, P. K. S. (2003). Aquatic hypoxia is an endocrine disruptor and impairs fish reproduction. </w:t>
      </w:r>
      <w:r>
        <w:rPr>
          <w:rStyle w:val="Emphasis"/>
          <w:rFonts w:ascii="Arial" w:hAnsi="Arial" w:cs="Arial"/>
          <w:sz w:val="20"/>
          <w:szCs w:val="20"/>
        </w:rPr>
        <w:t>Environmental Science &amp; Technology</w:t>
      </w:r>
      <w:r>
        <w:rPr>
          <w:rFonts w:ascii="Arial" w:hAnsi="Arial" w:cs="Arial"/>
          <w:sz w:val="20"/>
          <w:szCs w:val="20"/>
        </w:rPr>
        <w:t xml:space="preserve">, 37, 1137–1141. </w:t>
      </w:r>
      <w:hyperlink r:id="rId67" w:history="1">
        <w:r w:rsidR="00544479">
          <w:rPr>
            <w:rStyle w:val="Hyperlink"/>
            <w:rFonts w:ascii="Arial" w:hAnsi="Arial" w:cs="Arial"/>
            <w:sz w:val="20"/>
            <w:szCs w:val="20"/>
          </w:rPr>
          <w:t>https://doi.org/10.1021/es0258327</w:t>
        </w:r>
      </w:hyperlink>
    </w:p>
    <w:p w:rsidR="00544479" w:rsidRDefault="0072223F">
      <w:pPr>
        <w:pStyle w:val="NormalWeb"/>
        <w:jc w:val="both"/>
        <w:rPr>
          <w:rFonts w:ascii="Arial" w:hAnsi="Arial" w:cs="Arial"/>
          <w:sz w:val="20"/>
          <w:szCs w:val="20"/>
        </w:rPr>
      </w:pPr>
      <w:r>
        <w:rPr>
          <w:rFonts w:ascii="Arial" w:hAnsi="Arial" w:cs="Arial"/>
          <w:sz w:val="20"/>
          <w:szCs w:val="20"/>
        </w:rPr>
        <w:t xml:space="preserve">Zhao, L., Shirai, K., Tanaka, K., Milano, S., Higuchi, T., Murakami-Sugihara, N., et al. (2020). A review of transgenerational effects of ocean acidification on marine bivalves and their implications for sclerochronology. </w:t>
      </w:r>
      <w:r>
        <w:rPr>
          <w:rStyle w:val="Emphasis"/>
          <w:rFonts w:ascii="Arial" w:hAnsi="Arial" w:cs="Arial"/>
          <w:sz w:val="20"/>
          <w:szCs w:val="20"/>
        </w:rPr>
        <w:t>Estuarine, Coastal and Shelf Science</w:t>
      </w:r>
      <w:r>
        <w:rPr>
          <w:rFonts w:ascii="Arial" w:hAnsi="Arial" w:cs="Arial"/>
          <w:sz w:val="20"/>
          <w:szCs w:val="20"/>
        </w:rPr>
        <w:t xml:space="preserve">, 235, 106620. </w:t>
      </w:r>
      <w:hyperlink r:id="rId68" w:history="1">
        <w:r w:rsidR="00544479">
          <w:rPr>
            <w:rStyle w:val="Hyperlink"/>
            <w:rFonts w:ascii="Arial" w:hAnsi="Arial" w:cs="Arial"/>
            <w:sz w:val="20"/>
            <w:szCs w:val="20"/>
          </w:rPr>
          <w:t>https://doi.org/10.1016/j.ecss.2020.106620</w:t>
        </w:r>
      </w:hyperlink>
    </w:p>
    <w:p w:rsidR="00544479" w:rsidRDefault="0072223F">
      <w:pPr>
        <w:pStyle w:val="NormalWeb"/>
        <w:jc w:val="both"/>
        <w:rPr>
          <w:rFonts w:ascii="Arial" w:hAnsi="Arial" w:cs="Arial"/>
          <w:sz w:val="20"/>
          <w:szCs w:val="20"/>
        </w:rPr>
      </w:pPr>
      <w:r>
        <w:rPr>
          <w:rFonts w:ascii="Arial" w:hAnsi="Arial" w:cs="Arial"/>
          <w:sz w:val="20"/>
          <w:szCs w:val="20"/>
        </w:rPr>
        <w:t xml:space="preserve">Zohar, Y., Muñoz-Cueto, J. A., Elizur, A., &amp; Kah, O. (2010). Neuroendocrinology of reproduction in teleost fish. </w:t>
      </w:r>
      <w:r>
        <w:rPr>
          <w:rStyle w:val="Emphasis"/>
          <w:rFonts w:ascii="Arial" w:hAnsi="Arial" w:cs="Arial"/>
          <w:sz w:val="20"/>
          <w:szCs w:val="20"/>
        </w:rPr>
        <w:t>General and Comparative Endocrinology</w:t>
      </w:r>
      <w:r>
        <w:rPr>
          <w:rFonts w:ascii="Arial" w:hAnsi="Arial" w:cs="Arial"/>
          <w:sz w:val="20"/>
          <w:szCs w:val="20"/>
        </w:rPr>
        <w:t xml:space="preserve">, 165, 438–455. </w:t>
      </w:r>
      <w:hyperlink r:id="rId69" w:history="1">
        <w:r w:rsidR="00544479">
          <w:rPr>
            <w:rStyle w:val="Hyperlink"/>
            <w:rFonts w:ascii="Arial" w:hAnsi="Arial" w:cs="Arial"/>
            <w:sz w:val="20"/>
            <w:szCs w:val="20"/>
          </w:rPr>
          <w:t>https://doi.org/10.1016/j.ygcen.2009.04.017</w:t>
        </w:r>
      </w:hyperlink>
    </w:p>
    <w:p w:rsidR="00544479" w:rsidRDefault="00544479">
      <w:pPr>
        <w:spacing w:after="80"/>
        <w:ind w:left="280" w:hanging="280"/>
        <w:rPr>
          <w:rFonts w:ascii="Arial" w:hAnsi="Arial" w:cs="Arial"/>
        </w:rPr>
      </w:pPr>
    </w:p>
    <w:p w:rsidR="00544479" w:rsidRDefault="00544479">
      <w:pPr>
        <w:spacing w:after="80"/>
        <w:ind w:left="280" w:hanging="280"/>
        <w:jc w:val="both"/>
        <w:rPr>
          <w:rFonts w:ascii="Arial" w:hAnsi="Arial" w:cs="Arial"/>
        </w:rPr>
      </w:pPr>
    </w:p>
    <w:p w:rsidR="00544479" w:rsidRDefault="00544479">
      <w:pPr>
        <w:spacing w:after="80"/>
        <w:ind w:left="280" w:hanging="280"/>
        <w:jc w:val="both"/>
        <w:rPr>
          <w:rFonts w:ascii="Arial" w:hAnsi="Arial" w:cs="Arial"/>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rPr>
          <w:vanish/>
          <w:sz w:val="24"/>
          <w:szCs w:val="24"/>
        </w:rPr>
      </w:pPr>
    </w:p>
    <w:p w:rsidR="00544479" w:rsidRDefault="00544479">
      <w:pPr>
        <w:spacing w:after="80"/>
        <w:ind w:left="280" w:hanging="280"/>
        <w:jc w:val="both"/>
        <w:rPr>
          <w:rFonts w:ascii="Arial" w:hAnsi="Arial" w:cs="Arial"/>
        </w:rPr>
      </w:pPr>
    </w:p>
    <w:sectPr w:rsidR="00544479" w:rsidSect="004674B8">
      <w:headerReference w:type="even" r:id="rId70"/>
      <w:headerReference w:type="default" r:id="rId71"/>
      <w:footerReference w:type="even" r:id="rId72"/>
      <w:footerReference w:type="default" r:id="rId73"/>
      <w:headerReference w:type="first" r:id="rId74"/>
      <w:footerReference w:type="first" r:id="rId75"/>
      <w:pgSz w:w="11906" w:h="16838"/>
      <w:pgMar w:top="1440" w:right="1800" w:bottom="1440" w:left="180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Dr. Rakesh" w:date="2026-09-13T16:54:00Z" w:initials="s">
    <w:p w:rsidR="0012739C" w:rsidRDefault="0012739C">
      <w:pPr>
        <w:pStyle w:val="CommentText"/>
      </w:pPr>
      <w:r>
        <w:rPr>
          <w:rStyle w:val="CommentReference"/>
        </w:rPr>
        <w:annotationRef/>
      </w:r>
      <w:r>
        <w:t>These references are not alphabetically present.</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C24" w:rsidRDefault="00E00C24" w:rsidP="00E00E1A">
      <w:r>
        <w:separator/>
      </w:r>
    </w:p>
  </w:endnote>
  <w:endnote w:type="continuationSeparator" w:id="1">
    <w:p w:rsidR="00E00C24" w:rsidRDefault="00E00C24" w:rsidP="00E00E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E00E1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E00E1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E00E1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C24" w:rsidRDefault="00E00C24" w:rsidP="00E00E1A">
      <w:r>
        <w:separator/>
      </w:r>
    </w:p>
  </w:footnote>
  <w:footnote w:type="continuationSeparator" w:id="1">
    <w:p w:rsidR="00E00C24" w:rsidRDefault="00E00C24" w:rsidP="00E00E1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DF6C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0" o:spid="_x0000_s1026" type="#_x0000_t136" style="position:absolute;margin-left:0;margin-top:0;width:493.05pt;height:92.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DF6C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11" o:spid="_x0000_s1027" type="#_x0000_t136" style="position:absolute;margin-left:0;margin-top:0;width:493.05pt;height:92.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E1A" w:rsidRDefault="00DF6C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566109" o:spid="_x0000_s1025" type="#_x0000_t136" style="position:absolute;margin-left:0;margin-top:0;width:493.05pt;height:92.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C2836"/>
    <w:multiLevelType w:val="singleLevel"/>
    <w:tmpl w:val="381C2836"/>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trackRevisions/>
  <w:defaultTabStop w:val="720"/>
  <w:drawingGridVerticalSpacing w:val="156"/>
  <w:noPunctuationKerning/>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spaceForUL/>
    <w:doNotLeaveBackslashAlone/>
    <w:ulTrailSpace/>
    <w:doNotExpandShiftReturn/>
    <w:adjustLineHeightInTable/>
    <w:doNotWrapTextWithPunct/>
    <w:doNotUseEastAsianBreakRules/>
    <w:useFELayout/>
  </w:compat>
  <w:rsids>
    <w:rsidRoot w:val="00544479"/>
    <w:rsid w:val="000B5063"/>
    <w:rsid w:val="0012739C"/>
    <w:rsid w:val="00313B5E"/>
    <w:rsid w:val="00345D8D"/>
    <w:rsid w:val="004061D7"/>
    <w:rsid w:val="004674B8"/>
    <w:rsid w:val="00544479"/>
    <w:rsid w:val="0072223F"/>
    <w:rsid w:val="007D043E"/>
    <w:rsid w:val="00D02E39"/>
    <w:rsid w:val="00DF5514"/>
    <w:rsid w:val="00DF6C13"/>
    <w:rsid w:val="00E00C24"/>
    <w:rsid w:val="00E00E1A"/>
    <w:rsid w:val="00EC012A"/>
    <w:rsid w:val="00F81C42"/>
    <w:rsid w:val="0F0E518B"/>
    <w:rsid w:val="2B1B3B2C"/>
    <w:rsid w:val="2C346696"/>
    <w:rsid w:val="350717EA"/>
    <w:rsid w:val="4C7540FA"/>
    <w:rsid w:val="51DD610E"/>
    <w:rsid w:val="5BCF2A6E"/>
    <w:rsid w:val="5BFD6956"/>
    <w:rsid w:val="61A82E41"/>
    <w:rsid w:val="70F21E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74B8"/>
    <w:rPr>
      <w:rFonts w:asciiTheme="minorHAnsi" w:eastAsiaTheme="minorEastAsia" w:hAnsiTheme="minorHAnsi" w:cstheme="minorBidi"/>
      <w:lang w:val="en-US" w:eastAsia="zh-CN"/>
    </w:rPr>
  </w:style>
  <w:style w:type="paragraph" w:styleId="Heading1">
    <w:name w:val="heading 1"/>
    <w:next w:val="Normal"/>
    <w:qFormat/>
    <w:rsid w:val="004674B8"/>
    <w:pPr>
      <w:spacing w:beforeAutospacing="1" w:afterAutospacing="1"/>
      <w:outlineLvl w:val="0"/>
    </w:pPr>
    <w:rPr>
      <w:rFonts w:ascii="SimSun" w:hAnsi="SimSun" w:hint="eastAsia"/>
      <w:b/>
      <w:bCs/>
      <w:kern w:val="44"/>
      <w:sz w:val="48"/>
      <w:szCs w:val="48"/>
      <w:lang w:val="en-US" w:eastAsia="zh-CN"/>
    </w:rPr>
  </w:style>
  <w:style w:type="paragraph" w:styleId="Heading2">
    <w:name w:val="heading 2"/>
    <w:next w:val="Normal"/>
    <w:semiHidden/>
    <w:unhideWhenUsed/>
    <w:qFormat/>
    <w:rsid w:val="004674B8"/>
    <w:pPr>
      <w:spacing w:beforeAutospacing="1" w:afterAutospacing="1"/>
      <w:outlineLvl w:val="1"/>
    </w:pPr>
    <w:rPr>
      <w:rFonts w:ascii="SimSun" w:hAnsi="SimSun" w:hint="eastAsia"/>
      <w:b/>
      <w:bCs/>
      <w:sz w:val="36"/>
      <w:szCs w:val="36"/>
      <w:lang w:val="en-US" w:eastAsia="zh-CN"/>
    </w:rPr>
  </w:style>
  <w:style w:type="paragraph" w:styleId="Heading3">
    <w:name w:val="heading 3"/>
    <w:next w:val="Normal"/>
    <w:semiHidden/>
    <w:unhideWhenUsed/>
    <w:qFormat/>
    <w:rsid w:val="004674B8"/>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4674B8"/>
    <w:rPr>
      <w:i/>
      <w:iCs/>
    </w:rPr>
  </w:style>
  <w:style w:type="character" w:styleId="Hyperlink">
    <w:name w:val="Hyperlink"/>
    <w:basedOn w:val="DefaultParagraphFont"/>
    <w:qFormat/>
    <w:rsid w:val="004674B8"/>
    <w:rPr>
      <w:color w:val="0000FF"/>
      <w:u w:val="single"/>
    </w:rPr>
  </w:style>
  <w:style w:type="paragraph" w:styleId="NormalWeb">
    <w:name w:val="Normal (Web)"/>
    <w:qFormat/>
    <w:rsid w:val="004674B8"/>
    <w:pPr>
      <w:spacing w:beforeAutospacing="1" w:afterAutospacing="1"/>
    </w:pPr>
    <w:rPr>
      <w:sz w:val="24"/>
      <w:szCs w:val="24"/>
      <w:lang w:val="en-US" w:eastAsia="zh-CN"/>
    </w:rPr>
  </w:style>
  <w:style w:type="character" w:styleId="Strong">
    <w:name w:val="Strong"/>
    <w:basedOn w:val="DefaultParagraphFont"/>
    <w:qFormat/>
    <w:rsid w:val="004674B8"/>
    <w:rPr>
      <w:b/>
      <w:bCs/>
    </w:rPr>
  </w:style>
  <w:style w:type="table" w:styleId="TableGrid">
    <w:name w:val="Table Grid"/>
    <w:basedOn w:val="TableNormal"/>
    <w:rsid w:val="004674B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4061D7"/>
    <w:rPr>
      <w:color w:val="605E5C"/>
      <w:shd w:val="clear" w:color="auto" w:fill="E1DFDD"/>
    </w:rPr>
  </w:style>
  <w:style w:type="paragraph" w:styleId="Header">
    <w:name w:val="header"/>
    <w:basedOn w:val="Normal"/>
    <w:link w:val="HeaderChar"/>
    <w:rsid w:val="00E00E1A"/>
    <w:pPr>
      <w:tabs>
        <w:tab w:val="center" w:pos="4680"/>
        <w:tab w:val="right" w:pos="9360"/>
      </w:tabs>
    </w:pPr>
  </w:style>
  <w:style w:type="character" w:customStyle="1" w:styleId="HeaderChar">
    <w:name w:val="Header Char"/>
    <w:basedOn w:val="DefaultParagraphFont"/>
    <w:link w:val="Header"/>
    <w:rsid w:val="00E00E1A"/>
    <w:rPr>
      <w:rFonts w:asciiTheme="minorHAnsi" w:eastAsiaTheme="minorEastAsia" w:hAnsiTheme="minorHAnsi" w:cstheme="minorBidi"/>
      <w:lang w:val="en-US" w:eastAsia="zh-CN"/>
    </w:rPr>
  </w:style>
  <w:style w:type="paragraph" w:styleId="Footer">
    <w:name w:val="footer"/>
    <w:basedOn w:val="Normal"/>
    <w:link w:val="FooterChar"/>
    <w:rsid w:val="00E00E1A"/>
    <w:pPr>
      <w:tabs>
        <w:tab w:val="center" w:pos="4680"/>
        <w:tab w:val="right" w:pos="9360"/>
      </w:tabs>
    </w:pPr>
  </w:style>
  <w:style w:type="character" w:customStyle="1" w:styleId="FooterChar">
    <w:name w:val="Footer Char"/>
    <w:basedOn w:val="DefaultParagraphFont"/>
    <w:link w:val="Footer"/>
    <w:rsid w:val="00E00E1A"/>
    <w:rPr>
      <w:rFonts w:asciiTheme="minorHAnsi" w:eastAsiaTheme="minorEastAsia" w:hAnsiTheme="minorHAnsi" w:cstheme="minorBidi"/>
      <w:lang w:val="en-US" w:eastAsia="zh-CN"/>
    </w:rPr>
  </w:style>
  <w:style w:type="paragraph" w:styleId="BalloonText">
    <w:name w:val="Balloon Text"/>
    <w:basedOn w:val="Normal"/>
    <w:link w:val="BalloonTextChar"/>
    <w:rsid w:val="00345D8D"/>
    <w:rPr>
      <w:rFonts w:ascii="Tahoma" w:hAnsi="Tahoma" w:cs="Tahoma"/>
      <w:sz w:val="16"/>
      <w:szCs w:val="16"/>
    </w:rPr>
  </w:style>
  <w:style w:type="character" w:customStyle="1" w:styleId="BalloonTextChar">
    <w:name w:val="Balloon Text Char"/>
    <w:basedOn w:val="DefaultParagraphFont"/>
    <w:link w:val="BalloonText"/>
    <w:rsid w:val="00345D8D"/>
    <w:rPr>
      <w:rFonts w:ascii="Tahoma" w:eastAsiaTheme="minorEastAsia" w:hAnsi="Tahoma" w:cs="Tahoma"/>
      <w:sz w:val="16"/>
      <w:szCs w:val="16"/>
      <w:lang w:val="en-US" w:eastAsia="zh-CN"/>
    </w:rPr>
  </w:style>
  <w:style w:type="character" w:styleId="CommentReference">
    <w:name w:val="annotation reference"/>
    <w:basedOn w:val="DefaultParagraphFont"/>
    <w:rsid w:val="0012739C"/>
    <w:rPr>
      <w:sz w:val="16"/>
      <w:szCs w:val="16"/>
    </w:rPr>
  </w:style>
  <w:style w:type="paragraph" w:styleId="CommentText">
    <w:name w:val="annotation text"/>
    <w:basedOn w:val="Normal"/>
    <w:link w:val="CommentTextChar"/>
    <w:rsid w:val="0012739C"/>
  </w:style>
  <w:style w:type="character" w:customStyle="1" w:styleId="CommentTextChar">
    <w:name w:val="Comment Text Char"/>
    <w:basedOn w:val="DefaultParagraphFont"/>
    <w:link w:val="CommentText"/>
    <w:rsid w:val="0012739C"/>
    <w:rPr>
      <w:rFonts w:asciiTheme="minorHAnsi" w:eastAsiaTheme="minorEastAsia" w:hAnsiTheme="minorHAnsi" w:cstheme="minorBidi"/>
      <w:lang w:val="en-US" w:eastAsia="zh-CN"/>
    </w:rPr>
  </w:style>
  <w:style w:type="paragraph" w:styleId="CommentSubject">
    <w:name w:val="annotation subject"/>
    <w:basedOn w:val="CommentText"/>
    <w:next w:val="CommentText"/>
    <w:link w:val="CommentSubjectChar"/>
    <w:rsid w:val="0012739C"/>
    <w:rPr>
      <w:b/>
      <w:bCs/>
    </w:rPr>
  </w:style>
  <w:style w:type="character" w:customStyle="1" w:styleId="CommentSubjectChar">
    <w:name w:val="Comment Subject Char"/>
    <w:basedOn w:val="CommentTextChar"/>
    <w:link w:val="CommentSubject"/>
    <w:rsid w:val="0012739C"/>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doi.org/10.1016/j.scitotenv.2023.165900" TargetMode="External"/><Relationship Id="rId18" Type="http://schemas.openxmlformats.org/officeDocument/2006/relationships/hyperlink" Target="https://doi.org/10.1111/gcb.13903" TargetMode="External"/><Relationship Id="rId26" Type="http://schemas.openxmlformats.org/officeDocument/2006/relationships/hyperlink" Target="https://doi.org/10.1007/s11160-025-10005-4" TargetMode="External"/><Relationship Id="rId39" Type="http://schemas.openxmlformats.org/officeDocument/2006/relationships/hyperlink" Target="https://doi.org/10.1093/icesjms/fsx025" TargetMode="External"/><Relationship Id="rId21" Type="http://schemas.openxmlformats.org/officeDocument/2006/relationships/hyperlink" Target="https://doi.org/10.1111/jfb.14429" TargetMode="External"/><Relationship Id="rId34" Type="http://schemas.openxmlformats.org/officeDocument/2006/relationships/hyperlink" Target="https://doi.org/10.1007/s10695-011-9526-8" TargetMode="External"/><Relationship Id="rId42" Type="http://schemas.openxmlformats.org/officeDocument/2006/relationships/hyperlink" Target="https://doi.org/10.1890/14-0559.1" TargetMode="External"/><Relationship Id="rId47" Type="http://schemas.openxmlformats.org/officeDocument/2006/relationships/hyperlink" Target="https://doi.org/10.1016/j.marpolbul.2023.115192" TargetMode="External"/><Relationship Id="rId50" Type="http://schemas.openxmlformats.org/officeDocument/2006/relationships/hyperlink" Target="https://doi.org/10.1126/science.1163156" TargetMode="External"/><Relationship Id="rId55" Type="http://schemas.openxmlformats.org/officeDocument/2006/relationships/hyperlink" Target="https://doi.org/10.1016/j.ygcen.2009.02.013" TargetMode="External"/><Relationship Id="rId63" Type="http://schemas.openxmlformats.org/officeDocument/2006/relationships/hyperlink" Target="https://doi.org/10.1017/S0967199413000506" TargetMode="External"/><Relationship Id="rId68" Type="http://schemas.openxmlformats.org/officeDocument/2006/relationships/hyperlink" Target="https://doi.org/10.1016/j.ecss.2020.106620" TargetMode="External"/><Relationship Id="rId76" Type="http://schemas.openxmlformats.org/officeDocument/2006/relationships/fontTable" Target="fontTable.xml"/><Relationship Id="rId7" Type="http://schemas.openxmlformats.org/officeDocument/2006/relationships/hyperlink" Target="https://doi.org/10.1155/2024/5782274" TargetMode="External"/><Relationship Id="rId71"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doi.org/10.1038/nclimate1323" TargetMode="External"/><Relationship Id="rId29" Type="http://schemas.openxmlformats.org/officeDocument/2006/relationships/hyperlink" Target="https://doi.org/10.1007/s10641-018-0722-6" TargetMode="External"/><Relationship Id="rId11" Type="http://schemas.openxmlformats.org/officeDocument/2006/relationships/hyperlink" Target="https://doi.org/10.1007/s10695-015-0176-0" TargetMode="External"/><Relationship Id="rId24" Type="http://schemas.openxmlformats.org/officeDocument/2006/relationships/hyperlink" Target="https://doi.org/10.1016/j.aquatox.2020.105740" TargetMode="External"/><Relationship Id="rId32" Type="http://schemas.openxmlformats.org/officeDocument/2006/relationships/hyperlink" Target="https://doi.org/10.1016/j.aaf.2022.02.002" TargetMode="External"/><Relationship Id="rId37" Type="http://schemas.openxmlformats.org/officeDocument/2006/relationships/hyperlink" Target="https://doi.org/10.1111/raq.70169" TargetMode="External"/><Relationship Id="rId40" Type="http://schemas.openxmlformats.org/officeDocument/2006/relationships/hyperlink" Target="https://doi.org/10.1111/raq.12729" TargetMode="External"/><Relationship Id="rId45" Type="http://schemas.openxmlformats.org/officeDocument/2006/relationships/hyperlink" Target="https://doi.org/10.1071/MF10269" TargetMode="External"/><Relationship Id="rId53" Type="http://schemas.openxmlformats.org/officeDocument/2006/relationships/hyperlink" Target="https://doi.org/10.1038/s41558-018-0159-0" TargetMode="External"/><Relationship Id="rId58" Type="http://schemas.openxmlformats.org/officeDocument/2006/relationships/hyperlink" Target="https://doi.org/10.1016/j.ygcen.2016.11.012" TargetMode="External"/><Relationship Id="rId66" Type="http://schemas.openxmlformats.org/officeDocument/2006/relationships/hyperlink" Target="https://doi.org/10.1016/S1546-5098(08)00003-4" TargetMode="External"/><Relationship Id="rId7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1126/science.aaz3658" TargetMode="External"/><Relationship Id="rId23" Type="http://schemas.openxmlformats.org/officeDocument/2006/relationships/hyperlink" Target="https://doi.org/10.3390/biology1020411" TargetMode="External"/><Relationship Id="rId28" Type="http://schemas.openxmlformats.org/officeDocument/2006/relationships/hyperlink" Target="https://doi.org/10.1016/j.aquaculture.2012.04.018" TargetMode="External"/><Relationship Id="rId36" Type="http://schemas.openxmlformats.org/officeDocument/2006/relationships/hyperlink" Target="https://doi.org/10.1098/rstb.2022.0516" TargetMode="External"/><Relationship Id="rId49" Type="http://schemas.openxmlformats.org/officeDocument/2006/relationships/hyperlink" Target="https://doi.org/10.1016/j.aquaculture.2020.735121" TargetMode="External"/><Relationship Id="rId57" Type="http://schemas.openxmlformats.org/officeDocument/2006/relationships/hyperlink" Target="https://doi.org/10.1016/j.ygcen.2020.113439" TargetMode="External"/><Relationship Id="rId61" Type="http://schemas.openxmlformats.org/officeDocument/2006/relationships/hyperlink" Target="https://doi.org/10.1139/cjfas-2018-0013" TargetMode="External"/><Relationship Id="rId10" Type="http://schemas.openxmlformats.org/officeDocument/2006/relationships/hyperlink" Target="https://doi.org/10.1111/gcb.14882" TargetMode="External"/><Relationship Id="rId19" Type="http://schemas.openxmlformats.org/officeDocument/2006/relationships/hyperlink" Target="https://doi.org/10.1007/s10695-011-9515-y" TargetMode="External"/><Relationship Id="rId31" Type="http://schemas.openxmlformats.org/officeDocument/2006/relationships/hyperlink" Target="https://doi.org/10.1139/F10-011" TargetMode="External"/><Relationship Id="rId44" Type="http://schemas.openxmlformats.org/officeDocument/2006/relationships/hyperlink" Target="https://doi.org/10.1111/j.1095-8649.2009.02484.x" TargetMode="External"/><Relationship Id="rId52" Type="http://schemas.openxmlformats.org/officeDocument/2006/relationships/comments" Target="comments.xml"/><Relationship Id="rId60" Type="http://schemas.openxmlformats.org/officeDocument/2006/relationships/hyperlink" Target="https://doi.org/10.1016/j.ygcen.2015.02.008" TargetMode="External"/><Relationship Id="rId65" Type="http://schemas.openxmlformats.org/officeDocument/2006/relationships/hyperlink" Target="https://doi.org/10.1111/j.1753-5131.2010.01037.x" TargetMode="External"/><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016/j.ygcen.2009.02.011" TargetMode="External"/><Relationship Id="rId14" Type="http://schemas.openxmlformats.org/officeDocument/2006/relationships/hyperlink" Target="https://doi.org/10.1111/are.13049" TargetMode="External"/><Relationship Id="rId22" Type="http://schemas.openxmlformats.org/officeDocument/2006/relationships/hyperlink" Target="https://doi.org/10.1002/9780470995532.ch5" TargetMode="External"/><Relationship Id="rId27" Type="http://schemas.openxmlformats.org/officeDocument/2006/relationships/hyperlink" Target="https://doi.org/10.1111/jwas.12853" TargetMode="External"/><Relationship Id="rId30" Type="http://schemas.openxmlformats.org/officeDocument/2006/relationships/hyperlink" Target="https://doi.org/10.1046/j.1095-8649.2003.00137.x" TargetMode="External"/><Relationship Id="rId35" Type="http://schemas.openxmlformats.org/officeDocument/2006/relationships/hyperlink" Target="https://doi.org/10.1002/jez.1779" TargetMode="External"/><Relationship Id="rId43" Type="http://schemas.openxmlformats.org/officeDocument/2006/relationships/hyperlink" Target="https://doi.org/10.3389/fmars.2022.977754" TargetMode="External"/><Relationship Id="rId48" Type="http://schemas.openxmlformats.org/officeDocument/2006/relationships/hyperlink" Target="https://doi.org/10.1038/nclimate1958" TargetMode="External"/><Relationship Id="rId56" Type="http://schemas.openxmlformats.org/officeDocument/2006/relationships/hyperlink" Target="https://doi.org/10.1111/raq.12900" TargetMode="External"/><Relationship Id="rId64" Type="http://schemas.openxmlformats.org/officeDocument/2006/relationships/hyperlink" Target="https://doi.org/10.1210/me.2006-0248" TargetMode="External"/><Relationship Id="rId69" Type="http://schemas.openxmlformats.org/officeDocument/2006/relationships/hyperlink" Target="https://doi.org/10.1016/j.ygcen.2009.04.017" TargetMode="External"/><Relationship Id="rId77" Type="http://schemas.openxmlformats.org/officeDocument/2006/relationships/theme" Target="theme/theme1.xml"/><Relationship Id="rId8" Type="http://schemas.openxmlformats.org/officeDocument/2006/relationships/hyperlink" Target="https://doi.org/10.1111/jfb.14439" TargetMode="External"/><Relationship Id="rId51" Type="http://schemas.openxmlformats.org/officeDocument/2006/relationships/hyperlink" Target="https://doi.org/10.1111/j.1095-8649.2010.02783.x"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doi.org/10.1038/s41558-018-0067-3" TargetMode="External"/><Relationship Id="rId17" Type="http://schemas.openxmlformats.org/officeDocument/2006/relationships/hyperlink" Target="https://doi.org/10.1111/eva.12386" TargetMode="External"/><Relationship Id="rId25" Type="http://schemas.openxmlformats.org/officeDocument/2006/relationships/hyperlink" Target="https://doi.org/10.1016/j.ecoenv.2019.02.032" TargetMode="External"/><Relationship Id="rId33" Type="http://schemas.openxmlformats.org/officeDocument/2006/relationships/hyperlink" Target="https://doi.org/10.1016/j.aquaculture.2016.07.026" TargetMode="External"/><Relationship Id="rId38" Type="http://schemas.openxmlformats.org/officeDocument/2006/relationships/hyperlink" Target="https://doi.org/10.1016/j.aquaculture.2016.10.029" TargetMode="External"/><Relationship Id="rId46" Type="http://schemas.openxmlformats.org/officeDocument/2006/relationships/hyperlink" Target="https://doi.org/10.1098/rspb.2017.2869" TargetMode="External"/><Relationship Id="rId59" Type="http://schemas.openxmlformats.org/officeDocument/2006/relationships/hyperlink" Target="https://doi.org/10.1016/j.scitotenv.2019.134794" TargetMode="External"/><Relationship Id="rId67" Type="http://schemas.openxmlformats.org/officeDocument/2006/relationships/hyperlink" Target="https://doi.org/10.1021/es0258327" TargetMode="External"/><Relationship Id="rId20" Type="http://schemas.openxmlformats.org/officeDocument/2006/relationships/hyperlink" Target="https://doi.org/10.1242/jeb.156018" TargetMode="External"/><Relationship Id="rId41" Type="http://schemas.openxmlformats.org/officeDocument/2006/relationships/hyperlink" Target="https://doi.org/10.1111/j.1095-8649.2009.02500.x" TargetMode="External"/><Relationship Id="rId54" Type="http://schemas.openxmlformats.org/officeDocument/2006/relationships/hyperlink" Target="https://doi.org/10.3389/fmars.2020.00284" TargetMode="External"/><Relationship Id="rId62" Type="http://schemas.openxmlformats.org/officeDocument/2006/relationships/hyperlink" Target="https://doi.org/10.1016/j.marenvres.2019.04.005"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19</Pages>
  <Words>10206</Words>
  <Characters>58175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Dr. Rakesh</cp:lastModifiedBy>
  <cp:revision>7</cp:revision>
  <dcterms:created xsi:type="dcterms:W3CDTF">2026-09-09T12:46:00Z</dcterms:created>
  <dcterms:modified xsi:type="dcterms:W3CDTF">2026-09-13T11:24:00Z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eyJoZGlkIjoiYTY1Yjg1YWIyMjZiOWU4MTczY2RjYmIzMjRjMzE3NGIiLCJ1c2VySWQiOiI1NjcwMTY0MjMzMDcifQ==</vt:lpwstr>
  </property>
  <property fmtid="{D5CDD505-2E9C-101B-9397-08002B2CF9AE}" pid="4" name="ICV">
    <vt:lpwstr>4458E3FE82904FF6A049B96E7C9A34BF_12</vt:lpwstr>
  </property>
</Properties>
</file>