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17582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758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7582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758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7582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758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8F626B7" w:rsidR="000F510C" w:rsidRPr="00175821" w:rsidRDefault="009958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Ms_UPJOZ_6382</w:t>
            </w:r>
          </w:p>
        </w:tc>
      </w:tr>
      <w:tr w:rsidR="000F510C" w:rsidRPr="0017582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758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E06535B" w:rsidR="000F510C" w:rsidRPr="00175821" w:rsidRDefault="009958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Dietary Quercetin Pretreatment Protects Against UV-C Radiation-Induced Seizure Vulnerability, Motor, and Visual Biomarker Impairments in Drosophila melanogaster</w:t>
            </w:r>
          </w:p>
        </w:tc>
      </w:tr>
      <w:tr w:rsidR="000F510C" w:rsidRPr="0017582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758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7582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175821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17582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758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7582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7582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17582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7582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75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58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7582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B3DCEF8" w14:textId="77777777" w:rsidR="00B103FF" w:rsidRPr="00175821" w:rsidRDefault="00B103FF" w:rsidP="00B103FF">
            <w:pPr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n-IN"/>
              </w:rPr>
            </w:pPr>
            <w:r w:rsidRPr="00175821">
              <w:rPr>
                <w:rFonts w:ascii="Arial" w:eastAsia="Calibri" w:hAnsi="Arial" w:cs="Arial"/>
                <w:bCs/>
                <w:sz w:val="20"/>
                <w:szCs w:val="20"/>
                <w:lang w:val="en-IN"/>
              </w:rPr>
              <w:t>UV-C represents the highest-energy band of non-ionizing radiation.</w:t>
            </w:r>
          </w:p>
          <w:p w14:paraId="441BE65A" w14:textId="2514F4CE" w:rsidR="00B103FF" w:rsidRPr="00175821" w:rsidRDefault="00B103FF" w:rsidP="00B103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21">
              <w:rPr>
                <w:rFonts w:ascii="Arial" w:eastAsia="Calibri" w:hAnsi="Arial" w:cs="Arial"/>
                <w:bCs/>
                <w:sz w:val="20"/>
                <w:szCs w:val="20"/>
                <w:lang w:val="en-IN"/>
              </w:rPr>
              <w:t xml:space="preserve">accidental exposure to artificial UV-C can pose an even greater biological hazard. This study investigated the radioprotective efficacy of quercetin pre-treatment against UV-C radiation induced damage in </w:t>
            </w:r>
            <w:r w:rsidRPr="00175821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IN"/>
              </w:rPr>
              <w:t>Drosophila</w:t>
            </w:r>
            <w:r w:rsidRPr="00175821">
              <w:rPr>
                <w:rFonts w:ascii="Arial" w:eastAsia="Calibri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Pr="00175821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IN"/>
              </w:rPr>
              <w:t>melanogaster. This may be helpful in protecting beneficial insects from the hazardous effect of UV.</w:t>
            </w:r>
          </w:p>
          <w:p w14:paraId="03DC2AB4" w14:textId="77777777" w:rsidR="000F510C" w:rsidRPr="00175821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17582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7582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758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7582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7582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7582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758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758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758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7582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758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00054E2" w:rsidR="000F510C" w:rsidRPr="00175821" w:rsidRDefault="00B103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7C537F9" w:rsidR="000F510C" w:rsidRPr="00175821" w:rsidRDefault="00B103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2CB9EE6" w:rsidR="000F510C" w:rsidRPr="00175821" w:rsidRDefault="00B103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62C9DE4" w:rsidR="000F510C" w:rsidRPr="00175821" w:rsidRDefault="00B103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BA5D0C7" w:rsidR="000F510C" w:rsidRPr="00175821" w:rsidRDefault="002F51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34748A5" w:rsidR="000F510C" w:rsidRPr="00175821" w:rsidRDefault="002F51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349D8C6" w:rsidR="000F510C" w:rsidRPr="00175821" w:rsidRDefault="00E230F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C5A4A20" w:rsidR="000F510C" w:rsidRPr="00175821" w:rsidRDefault="002F51B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50B49DE" w:rsidR="000F510C" w:rsidRPr="00175821" w:rsidRDefault="00E230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7582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7582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EDA9314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F834205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1034218" w:rsidR="000F510C" w:rsidRPr="00175821" w:rsidRDefault="00E230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2493DDB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490685B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3002E0C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758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758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8F344AC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7582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7582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7582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758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7582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7582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7582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7582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758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758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758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758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7582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7582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BC4F15C" w:rsidR="000F510C" w:rsidRPr="00175821" w:rsidRDefault="007C19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790F9D04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7582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177779F" w:rsidR="000F510C" w:rsidRPr="00175821" w:rsidRDefault="007C19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7582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758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758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0E4F61" w14:textId="77777777" w:rsidR="000F510C" w:rsidRPr="00175821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081733" w14:textId="37583465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Methods sections 2.8 and 2.</w:t>
            </w:r>
            <w:r w:rsidR="00CF6D6D" w:rsidRPr="00175821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 xml:space="preserve"> are missed.</w:t>
            </w:r>
          </w:p>
          <w:p w14:paraId="796EECFF" w14:textId="77777777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The author referred that he will study the circadian rhythmicity and mating success  in the introduction section  but he did not state neither the method nor the results. section.</w:t>
            </w:r>
          </w:p>
          <w:p w14:paraId="2F86DAF0" w14:textId="77777777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Check the references to remove those of the circadian rhythmicity and mating success.</w:t>
            </w:r>
          </w:p>
          <w:p w14:paraId="6389FD08" w14:textId="77777777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nl-BE"/>
              </w:rPr>
              <w:t>Rearrange “(Benzer, 1967; Halder, 1964).”: (Majumder et. al., 2019; Enciso et. al., 2018; Lotfy et. al., 2024)”.</w:t>
            </w:r>
          </w:p>
          <w:p w14:paraId="3FBCFF90" w14:textId="77777777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Some references are not cited in the text as (Allada &amp; Chung 2010; Helfrich-Förster 2005; Nelson et al. 1979; Seong, K. M. et al. 2015").</w:t>
            </w:r>
          </w:p>
          <w:p w14:paraId="50A5011E" w14:textId="77777777" w:rsidR="006B35AF" w:rsidRPr="00175821" w:rsidRDefault="006B35AF" w:rsidP="006B35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Some references as “"</w:t>
            </w:r>
            <w:proofErr w:type="spellStart"/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Abolaji</w:t>
            </w:r>
            <w:proofErr w:type="spellEnd"/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 xml:space="preserve"> et al., 2013" and "Kumar and Pandey, 2013"” are cited in the introduction but not found in the references list.</w:t>
            </w:r>
          </w:p>
          <w:p w14:paraId="6528B283" w14:textId="77777777" w:rsidR="006B35AF" w:rsidRPr="00175821" w:rsidRDefault="006B35AF" w:rsidP="006B35AF">
            <w:pPr>
              <w:spacing w:after="160" w:line="27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Check the year of the following references; hence years differ in both text and references list; "Hunter et al., 1985” in  reference list "Hunter, Pereira &amp; Keenan (2016)." "Arking &amp; Wells, 1990" in reference list "Arking, R., &amp; Wells, R. A. (1989)."</w:t>
            </w:r>
          </w:p>
          <w:p w14:paraId="65554AE4" w14:textId="77777777" w:rsidR="006B35AF" w:rsidRPr="00175821" w:rsidRDefault="006B35AF" w:rsidP="006B35AF">
            <w:pPr>
              <w:spacing w:after="160" w:line="27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Check the author’s name in text "Halder, 1964" but in reference list "Hadler, N. M. (1964).</w:t>
            </w:r>
          </w:p>
          <w:p w14:paraId="1426FDF9" w14:textId="77777777" w:rsidR="006B35AF" w:rsidRPr="00175821" w:rsidRDefault="006B35AF" w:rsidP="006B35AF">
            <w:pPr>
              <w:spacing w:after="160" w:line="27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Numeric inconsistency in age-dependent climbing assay: section 2.5.2 states N = 200 flies (50/cohort, 3 replicates), but the Table 1 footnote states "3 replicates/cohort, 20 flies/replicate" (= 60/cohort). Please confirm which value is correct.</w:t>
            </w:r>
          </w:p>
          <w:p w14:paraId="36E9F793" w14:textId="77777777" w:rsidR="006B35AF" w:rsidRPr="00175821" w:rsidRDefault="006B35AF" w:rsidP="006B35AF">
            <w:pPr>
              <w:spacing w:after="160" w:line="27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sz w:val="20"/>
                <w:szCs w:val="20"/>
                <w:lang w:val="en-GB"/>
              </w:rPr>
              <w:t>Cohort-label inconsistency: "pre-Q" in section 2.3 refers to the quercetin-only, non-irradiated group, but "Q" in the section3.1.2 narrative and in Table 1's column headers ("Q vs C"). One label should be used throughout.</w:t>
            </w:r>
          </w:p>
          <w:p w14:paraId="48CB8C22" w14:textId="77777777" w:rsidR="006B35AF" w:rsidRPr="00175821" w:rsidRDefault="006B35AF" w:rsidP="006B35AF">
            <w:pPr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175821">
              <w:rPr>
                <w:rFonts w:ascii="Arial" w:hAnsi="Arial" w:cs="Arial"/>
                <w:sz w:val="20"/>
                <w:szCs w:val="20"/>
              </w:rPr>
              <w:t>Author did not indicate the reference of the quercetin’s used dose.</w:t>
            </w:r>
          </w:p>
          <w:p w14:paraId="5E369BE9" w14:textId="77777777" w:rsidR="006B35AF" w:rsidRPr="00175821" w:rsidRDefault="006B35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758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7582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7582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96480EE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7582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758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7582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758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7582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E99B399" w:rsidR="000F510C" w:rsidRPr="00175821" w:rsidRDefault="002F51B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758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17582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6FAB38" w14:textId="77777777" w:rsidR="00175821" w:rsidRPr="00175821" w:rsidRDefault="00175821" w:rsidP="0017582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75821">
        <w:rPr>
          <w:rFonts w:ascii="Arial" w:hAnsi="Arial" w:cs="Arial"/>
          <w:b/>
          <w:u w:val="single"/>
        </w:rPr>
        <w:t>Reviewer details:</w:t>
      </w:r>
    </w:p>
    <w:p w14:paraId="6D083FBC" w14:textId="77777777" w:rsidR="00175821" w:rsidRPr="00175821" w:rsidRDefault="00175821" w:rsidP="00175821">
      <w:pPr>
        <w:rPr>
          <w:rFonts w:ascii="Arial" w:hAnsi="Arial" w:cs="Arial"/>
          <w:sz w:val="20"/>
          <w:szCs w:val="20"/>
        </w:rPr>
      </w:pPr>
      <w:r w:rsidRPr="00175821">
        <w:rPr>
          <w:rFonts w:ascii="Arial" w:hAnsi="Arial" w:cs="Arial"/>
          <w:color w:val="000000"/>
          <w:sz w:val="20"/>
          <w:szCs w:val="20"/>
        </w:rPr>
        <w:t>Hanaa Ali, Egypt</w:t>
      </w:r>
    </w:p>
    <w:p w14:paraId="4AB6FF00" w14:textId="77777777" w:rsidR="000F510C" w:rsidRPr="00175821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1758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74256" w14:textId="77777777" w:rsidR="00AE4B71" w:rsidRDefault="00AE4B71">
      <w:r>
        <w:separator/>
      </w:r>
    </w:p>
  </w:endnote>
  <w:endnote w:type="continuationSeparator" w:id="0">
    <w:p w14:paraId="0A56191A" w14:textId="77777777" w:rsidR="00AE4B71" w:rsidRDefault="00AE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6900" w14:textId="77777777" w:rsidR="00AE4B71" w:rsidRDefault="00AE4B71">
      <w:r>
        <w:separator/>
      </w:r>
    </w:p>
  </w:footnote>
  <w:footnote w:type="continuationSeparator" w:id="0">
    <w:p w14:paraId="28A96CCE" w14:textId="77777777" w:rsidR="00AE4B71" w:rsidRDefault="00AE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00311C"/>
    <w:multiLevelType w:val="multilevel"/>
    <w:tmpl w:val="95AA0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  <w:num w:numId="13" w16cid:durableId="7827275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A52C3"/>
    <w:rsid w:val="000F510C"/>
    <w:rsid w:val="00145AB3"/>
    <w:rsid w:val="00165EFF"/>
    <w:rsid w:val="00175821"/>
    <w:rsid w:val="001E57C8"/>
    <w:rsid w:val="002F51B8"/>
    <w:rsid w:val="00571E40"/>
    <w:rsid w:val="005D1429"/>
    <w:rsid w:val="00611E01"/>
    <w:rsid w:val="00613FE6"/>
    <w:rsid w:val="006518EB"/>
    <w:rsid w:val="006B35AF"/>
    <w:rsid w:val="006D4715"/>
    <w:rsid w:val="007C1986"/>
    <w:rsid w:val="008618E4"/>
    <w:rsid w:val="008A048C"/>
    <w:rsid w:val="00995851"/>
    <w:rsid w:val="009A41EE"/>
    <w:rsid w:val="00A0629D"/>
    <w:rsid w:val="00A80A00"/>
    <w:rsid w:val="00AD2A0C"/>
    <w:rsid w:val="00AE4B71"/>
    <w:rsid w:val="00B103FF"/>
    <w:rsid w:val="00B27293"/>
    <w:rsid w:val="00B3066E"/>
    <w:rsid w:val="00B93CDB"/>
    <w:rsid w:val="00C21838"/>
    <w:rsid w:val="00C22F7B"/>
    <w:rsid w:val="00CF6D6D"/>
    <w:rsid w:val="00D14709"/>
    <w:rsid w:val="00D3484E"/>
    <w:rsid w:val="00DB6C20"/>
    <w:rsid w:val="00E230F3"/>
    <w:rsid w:val="00EA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7582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2026-09-10T15:59:00Z</dcterms:created>
  <dcterms:modified xsi:type="dcterms:W3CDTF">2026-09-16T09:56:00Z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