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4CCE" w14:textId="77777777" w:rsidR="00976B9E" w:rsidRDefault="00976B9E" w:rsidP="00AB5048">
      <w:pPr>
        <w:pStyle w:val="PlainText"/>
        <w:spacing w:line="276" w:lineRule="auto"/>
        <w:ind w:firstLine="720"/>
        <w:jc w:val="right"/>
        <w:rPr>
          <w:rFonts w:ascii="Arial" w:hAnsi="Arial" w:cs="Arial"/>
          <w:b/>
          <w:sz w:val="36"/>
          <w:szCs w:val="36"/>
        </w:rPr>
      </w:pPr>
      <w:commentRangeStart w:id="0"/>
      <w:r w:rsidRPr="00AB5048">
        <w:rPr>
          <w:rFonts w:ascii="Arial" w:hAnsi="Arial" w:cs="Arial"/>
          <w:b/>
          <w:sz w:val="36"/>
          <w:szCs w:val="36"/>
        </w:rPr>
        <w:t xml:space="preserve">Bacteriocin-Mediated Inhibition of Biofilm-Forming Meat Isolates by </w:t>
      </w:r>
      <w:proofErr w:type="spellStart"/>
      <w:r w:rsidRPr="00AB5048">
        <w:rPr>
          <w:rStyle w:val="Emphasis"/>
          <w:rFonts w:ascii="Arial" w:hAnsi="Arial" w:cs="Arial"/>
          <w:b/>
          <w:sz w:val="36"/>
          <w:szCs w:val="36"/>
        </w:rPr>
        <w:t>Lactiplantibacillus</w:t>
      </w:r>
      <w:proofErr w:type="spellEnd"/>
      <w:r w:rsidRPr="00AB5048">
        <w:rPr>
          <w:rStyle w:val="Emphasis"/>
          <w:rFonts w:ascii="Arial" w:hAnsi="Arial" w:cs="Arial"/>
          <w:b/>
          <w:sz w:val="36"/>
          <w:szCs w:val="36"/>
        </w:rPr>
        <w:t xml:space="preserve"> plantarum</w:t>
      </w:r>
      <w:r w:rsidRPr="00AB5048">
        <w:rPr>
          <w:rFonts w:ascii="Arial" w:hAnsi="Arial" w:cs="Arial"/>
          <w:b/>
          <w:sz w:val="36"/>
          <w:szCs w:val="36"/>
        </w:rPr>
        <w:t xml:space="preserve"> Isolated from Milk products</w:t>
      </w:r>
      <w:commentRangeEnd w:id="0"/>
      <w:r w:rsidR="00B9342A">
        <w:rPr>
          <w:rStyle w:val="CommentReference"/>
          <w:rFonts w:asciiTheme="minorHAnsi" w:hAnsiTheme="minorHAnsi"/>
        </w:rPr>
        <w:commentReference w:id="0"/>
      </w:r>
    </w:p>
    <w:p w14:paraId="05005F4B" w14:textId="77777777" w:rsidR="001316D3" w:rsidRPr="00AB5048" w:rsidRDefault="001316D3" w:rsidP="00AB5048">
      <w:pPr>
        <w:pStyle w:val="PlainText"/>
        <w:spacing w:line="276" w:lineRule="auto"/>
        <w:ind w:firstLine="720"/>
        <w:jc w:val="right"/>
        <w:rPr>
          <w:rFonts w:ascii="Arial" w:hAnsi="Arial" w:cs="Arial"/>
          <w:b/>
          <w:sz w:val="36"/>
          <w:szCs w:val="36"/>
        </w:rPr>
      </w:pPr>
    </w:p>
    <w:p w14:paraId="4DBF2407" w14:textId="16D6806A" w:rsidR="00DC0FB8" w:rsidRDefault="00DC0FB8" w:rsidP="00AB5048">
      <w:pPr>
        <w:pStyle w:val="NormalWeb"/>
        <w:spacing w:before="0" w:beforeAutospacing="0" w:after="0" w:afterAutospacing="0" w:line="276" w:lineRule="auto"/>
        <w:jc w:val="right"/>
        <w:rPr>
          <w:rFonts w:ascii="Arial" w:hAnsi="Arial" w:cs="Arial"/>
          <w:b/>
          <w:sz w:val="20"/>
          <w:szCs w:val="20"/>
        </w:rPr>
      </w:pPr>
      <w:r>
        <w:rPr>
          <w:rFonts w:ascii="Arial" w:hAnsi="Arial" w:cs="Arial"/>
          <w:b/>
          <w:sz w:val="20"/>
          <w:szCs w:val="20"/>
        </w:rPr>
        <w:t xml:space="preserve"> </w:t>
      </w:r>
    </w:p>
    <w:p w14:paraId="66C88683" w14:textId="77777777" w:rsidR="001316D3" w:rsidRPr="00AB5048" w:rsidRDefault="001316D3" w:rsidP="00AB5048">
      <w:pPr>
        <w:pStyle w:val="NormalWeb"/>
        <w:spacing w:before="0" w:beforeAutospacing="0" w:after="0" w:afterAutospacing="0" w:line="276" w:lineRule="auto"/>
        <w:jc w:val="right"/>
        <w:rPr>
          <w:rFonts w:ascii="Arial" w:hAnsi="Arial" w:cs="Arial"/>
          <w:b/>
          <w:sz w:val="20"/>
          <w:szCs w:val="20"/>
        </w:rPr>
      </w:pPr>
    </w:p>
    <w:p w14:paraId="4B5FC760" w14:textId="77777777" w:rsidR="00976B9E" w:rsidRPr="00AB5048" w:rsidRDefault="00976B9E" w:rsidP="00B55DC3">
      <w:pPr>
        <w:pStyle w:val="PlainText"/>
        <w:spacing w:line="276" w:lineRule="auto"/>
        <w:jc w:val="center"/>
        <w:rPr>
          <w:rFonts w:ascii="Arial" w:hAnsi="Arial" w:cs="Arial"/>
          <w:b/>
          <w:sz w:val="24"/>
          <w:szCs w:val="24"/>
        </w:rPr>
      </w:pPr>
      <w:r w:rsidRPr="00AB5048">
        <w:rPr>
          <w:rFonts w:ascii="Arial" w:hAnsi="Arial" w:cs="Arial"/>
          <w:b/>
          <w:sz w:val="24"/>
          <w:szCs w:val="24"/>
        </w:rPr>
        <w:t>Abstract</w:t>
      </w:r>
    </w:p>
    <w:p w14:paraId="34708C6F" w14:textId="77777777" w:rsidR="008F5075" w:rsidRPr="00AB5048" w:rsidRDefault="008F5075" w:rsidP="00B55DC3">
      <w:pPr>
        <w:pStyle w:val="PlainText"/>
        <w:spacing w:line="276" w:lineRule="auto"/>
        <w:ind w:firstLine="720"/>
        <w:jc w:val="both"/>
        <w:rPr>
          <w:rFonts w:ascii="Arial" w:hAnsi="Arial" w:cs="Arial"/>
          <w:sz w:val="22"/>
          <w:szCs w:val="22"/>
        </w:rPr>
      </w:pPr>
      <w:r w:rsidRPr="00AB5048">
        <w:rPr>
          <w:rFonts w:ascii="Arial" w:hAnsi="Arial" w:cs="Arial"/>
          <w:sz w:val="22"/>
          <w:szCs w:val="22"/>
        </w:rPr>
        <w:t xml:space="preserve">Biofilm-forming foodborne bacteria in meat products represent an important food-safety concern because biofilms promote bacterial persistence, cross-contamination, and tolerance to conventional antimicrobial agents and sanitizers. This study aimed to isolate bacteriocin-producing lactic acid bacteria (LAB) from milk and milk products and evaluate their inhibitory activity against biofilm-producing bacterial isolates recovered from meat samples. Eight milk and milk-product samples were screened, yielding 20 LAB isolates comprising </w:t>
      </w:r>
      <w:r w:rsidRPr="00AB5048">
        <w:rPr>
          <w:rStyle w:val="Emphasis"/>
          <w:rFonts w:ascii="Arial" w:hAnsi="Arial" w:cs="Arial"/>
          <w:sz w:val="22"/>
          <w:szCs w:val="22"/>
        </w:rPr>
        <w:t>Lactobacillus</w:t>
      </w:r>
      <w:r w:rsidRPr="00AB5048">
        <w:rPr>
          <w:rFonts w:ascii="Arial" w:hAnsi="Arial" w:cs="Arial"/>
          <w:sz w:val="22"/>
          <w:szCs w:val="22"/>
        </w:rPr>
        <w:t xml:space="preserve"> (50%), </w:t>
      </w:r>
      <w:r w:rsidRPr="00AB5048">
        <w:rPr>
          <w:rStyle w:val="Emphasis"/>
          <w:rFonts w:ascii="Arial" w:hAnsi="Arial" w:cs="Arial"/>
          <w:sz w:val="22"/>
          <w:szCs w:val="22"/>
        </w:rPr>
        <w:t>Lactococcus</w:t>
      </w:r>
      <w:r w:rsidRPr="00AB5048">
        <w:rPr>
          <w:rFonts w:ascii="Arial" w:hAnsi="Arial" w:cs="Arial"/>
          <w:sz w:val="22"/>
          <w:szCs w:val="22"/>
        </w:rPr>
        <w:t xml:space="preserve"> (35%), </w:t>
      </w:r>
      <w:r w:rsidRPr="00AB5048">
        <w:rPr>
          <w:rStyle w:val="Emphasis"/>
          <w:rFonts w:ascii="Arial" w:hAnsi="Arial" w:cs="Arial"/>
          <w:sz w:val="22"/>
          <w:szCs w:val="22"/>
        </w:rPr>
        <w:t>Enterococcus</w:t>
      </w:r>
      <w:r w:rsidRPr="00AB5048">
        <w:rPr>
          <w:rFonts w:ascii="Arial" w:hAnsi="Arial" w:cs="Arial"/>
          <w:sz w:val="22"/>
          <w:szCs w:val="22"/>
        </w:rPr>
        <w:t xml:space="preserve"> (10%), and </w:t>
      </w:r>
      <w:proofErr w:type="spellStart"/>
      <w:r w:rsidRPr="00AB5048">
        <w:rPr>
          <w:rStyle w:val="Emphasis"/>
          <w:rFonts w:ascii="Arial" w:hAnsi="Arial" w:cs="Arial"/>
          <w:sz w:val="22"/>
          <w:szCs w:val="22"/>
        </w:rPr>
        <w:t>Leuconostoc</w:t>
      </w:r>
      <w:proofErr w:type="spellEnd"/>
      <w:r w:rsidRPr="00AB5048">
        <w:rPr>
          <w:rFonts w:ascii="Arial" w:hAnsi="Arial" w:cs="Arial"/>
          <w:sz w:val="22"/>
          <w:szCs w:val="22"/>
        </w:rPr>
        <w:t xml:space="preserve"> (5%). A total of 30 bacterial isolates were recovered from chicken, goat meat, and fish samples, including </w:t>
      </w:r>
      <w:r w:rsidRPr="00AB5048">
        <w:rPr>
          <w:rStyle w:val="Emphasis"/>
          <w:rFonts w:ascii="Arial" w:hAnsi="Arial" w:cs="Arial"/>
          <w:sz w:val="22"/>
          <w:szCs w:val="22"/>
        </w:rPr>
        <w:t>Escherichia coli</w:t>
      </w:r>
      <w:r w:rsidRPr="00AB5048">
        <w:rPr>
          <w:rFonts w:ascii="Arial" w:hAnsi="Arial" w:cs="Arial"/>
          <w:sz w:val="22"/>
          <w:szCs w:val="22"/>
        </w:rPr>
        <w:t xml:space="preserve">, </w:t>
      </w:r>
      <w:r w:rsidRPr="00AB5048">
        <w:rPr>
          <w:rStyle w:val="Emphasis"/>
          <w:rFonts w:ascii="Arial" w:hAnsi="Arial" w:cs="Arial"/>
          <w:sz w:val="22"/>
          <w:szCs w:val="22"/>
        </w:rPr>
        <w:t>Staphylococcus aureus</w:t>
      </w:r>
      <w:r w:rsidRPr="00AB5048">
        <w:rPr>
          <w:rFonts w:ascii="Arial" w:hAnsi="Arial" w:cs="Arial"/>
          <w:sz w:val="22"/>
          <w:szCs w:val="22"/>
        </w:rPr>
        <w:t xml:space="preserve">, </w:t>
      </w:r>
      <w:r w:rsidRPr="00AB5048">
        <w:rPr>
          <w:rStyle w:val="Emphasis"/>
          <w:rFonts w:ascii="Arial" w:hAnsi="Arial" w:cs="Arial"/>
          <w:sz w:val="22"/>
          <w:szCs w:val="22"/>
        </w:rPr>
        <w:t>Enterococcus faecalis</w:t>
      </w:r>
      <w:r w:rsidRPr="00AB5048">
        <w:rPr>
          <w:rFonts w:ascii="Arial" w:hAnsi="Arial" w:cs="Arial"/>
          <w:sz w:val="22"/>
          <w:szCs w:val="22"/>
        </w:rPr>
        <w:t xml:space="preserve">, </w:t>
      </w:r>
      <w:r w:rsidRPr="00AB5048">
        <w:rPr>
          <w:rStyle w:val="Emphasis"/>
          <w:rFonts w:ascii="Arial" w:hAnsi="Arial" w:cs="Arial"/>
          <w:sz w:val="22"/>
          <w:szCs w:val="22"/>
        </w:rPr>
        <w:t>Klebsiella pneumoniae</w:t>
      </w:r>
      <w:r w:rsidRPr="00AB5048">
        <w:rPr>
          <w:rFonts w:ascii="Arial" w:hAnsi="Arial" w:cs="Arial"/>
          <w:sz w:val="22"/>
          <w:szCs w:val="22"/>
        </w:rPr>
        <w:t xml:space="preserve">, </w:t>
      </w:r>
      <w:r w:rsidRPr="00AB5048">
        <w:rPr>
          <w:rStyle w:val="Emphasis"/>
          <w:rFonts w:ascii="Arial" w:hAnsi="Arial" w:cs="Arial"/>
          <w:sz w:val="22"/>
          <w:szCs w:val="22"/>
        </w:rPr>
        <w:t>Pseudomonas aeruginosa</w:t>
      </w:r>
      <w:r w:rsidRPr="00AB5048">
        <w:rPr>
          <w:rFonts w:ascii="Arial" w:hAnsi="Arial" w:cs="Arial"/>
          <w:sz w:val="22"/>
          <w:szCs w:val="22"/>
        </w:rPr>
        <w:t xml:space="preserve">, </w:t>
      </w:r>
      <w:r w:rsidRPr="00AB5048">
        <w:rPr>
          <w:rStyle w:val="Emphasis"/>
          <w:rFonts w:ascii="Arial" w:hAnsi="Arial" w:cs="Arial"/>
          <w:sz w:val="22"/>
          <w:szCs w:val="22"/>
        </w:rPr>
        <w:t>Proteus mirabilis</w:t>
      </w:r>
      <w:r w:rsidRPr="00AB5048">
        <w:rPr>
          <w:rFonts w:ascii="Arial" w:hAnsi="Arial" w:cs="Arial"/>
          <w:sz w:val="22"/>
          <w:szCs w:val="22"/>
        </w:rPr>
        <w:t xml:space="preserve">, and </w:t>
      </w:r>
      <w:r w:rsidRPr="00AB5048">
        <w:rPr>
          <w:rStyle w:val="Emphasis"/>
          <w:rFonts w:ascii="Arial" w:hAnsi="Arial" w:cs="Arial"/>
          <w:sz w:val="22"/>
          <w:szCs w:val="22"/>
        </w:rPr>
        <w:t>Salmonella</w:t>
      </w:r>
      <w:r w:rsidRPr="00AB5048">
        <w:rPr>
          <w:rFonts w:ascii="Arial" w:hAnsi="Arial" w:cs="Arial"/>
          <w:sz w:val="22"/>
          <w:szCs w:val="22"/>
        </w:rPr>
        <w:t xml:space="preserve"> spp. Biofilm formation was assessed using Congo Red </w:t>
      </w:r>
      <w:r w:rsidR="006660BD" w:rsidRPr="00AB5048">
        <w:rPr>
          <w:rFonts w:ascii="Arial" w:hAnsi="Arial" w:cs="Arial"/>
          <w:sz w:val="22"/>
          <w:szCs w:val="22"/>
        </w:rPr>
        <w:t>Agar</w:t>
      </w:r>
      <w:r w:rsidRPr="00AB5048">
        <w:rPr>
          <w:rFonts w:ascii="Arial" w:hAnsi="Arial" w:cs="Arial"/>
          <w:sz w:val="22"/>
          <w:szCs w:val="22"/>
        </w:rPr>
        <w:t xml:space="preserve"> and 15 isolates (50%) were biofilm positive. </w:t>
      </w:r>
      <w:r w:rsidRPr="00AB5048">
        <w:rPr>
          <w:rStyle w:val="Emphasis"/>
          <w:rFonts w:ascii="Arial" w:hAnsi="Arial" w:cs="Arial"/>
          <w:sz w:val="22"/>
          <w:szCs w:val="22"/>
        </w:rPr>
        <w:t>E. coli</w:t>
      </w:r>
      <w:r w:rsidRPr="00AB5048">
        <w:rPr>
          <w:rFonts w:ascii="Arial" w:hAnsi="Arial" w:cs="Arial"/>
          <w:sz w:val="22"/>
          <w:szCs w:val="22"/>
        </w:rPr>
        <w:t xml:space="preserve"> showed the highest biofilm-forming frequency (80%), followed by </w:t>
      </w:r>
      <w:r w:rsidRPr="00AB5048">
        <w:rPr>
          <w:rStyle w:val="Emphasis"/>
          <w:rFonts w:ascii="Arial" w:hAnsi="Arial" w:cs="Arial"/>
          <w:sz w:val="22"/>
          <w:szCs w:val="22"/>
        </w:rPr>
        <w:t>Salmonella</w:t>
      </w:r>
      <w:r w:rsidRPr="00AB5048">
        <w:rPr>
          <w:rFonts w:ascii="Arial" w:hAnsi="Arial" w:cs="Arial"/>
          <w:sz w:val="22"/>
          <w:szCs w:val="22"/>
        </w:rPr>
        <w:t xml:space="preserve"> spp. (66.7%) and </w:t>
      </w:r>
      <w:r w:rsidRPr="00AB5048">
        <w:rPr>
          <w:rStyle w:val="Emphasis"/>
          <w:rFonts w:ascii="Arial" w:hAnsi="Arial" w:cs="Arial"/>
          <w:sz w:val="22"/>
          <w:szCs w:val="22"/>
        </w:rPr>
        <w:t>S. aureus</w:t>
      </w:r>
      <w:r w:rsidRPr="00AB5048">
        <w:rPr>
          <w:rFonts w:ascii="Arial" w:hAnsi="Arial" w:cs="Arial"/>
          <w:sz w:val="22"/>
          <w:szCs w:val="22"/>
        </w:rPr>
        <w:t xml:space="preserve"> (60%). Cell-free supernatants of</w:t>
      </w:r>
      <w:r w:rsidR="00976B9E" w:rsidRPr="00AB5048">
        <w:rPr>
          <w:rFonts w:ascii="Arial" w:hAnsi="Arial" w:cs="Arial"/>
          <w:sz w:val="22"/>
          <w:szCs w:val="22"/>
        </w:rPr>
        <w:t xml:space="preserve"> LAB cultures were </w:t>
      </w:r>
      <w:r w:rsidRPr="00AB5048">
        <w:rPr>
          <w:rFonts w:ascii="Arial" w:hAnsi="Arial" w:cs="Arial"/>
          <w:sz w:val="22"/>
          <w:szCs w:val="22"/>
        </w:rPr>
        <w:t xml:space="preserve">used as crude bacteriocin preparations, exhibited variable antibacterial activity against the biofilm-producing meat isolates, with inhibition zones ranging from 12 to 25 mm. </w:t>
      </w:r>
      <w:r w:rsidR="00B82C9E" w:rsidRPr="00AB5048">
        <w:rPr>
          <w:rFonts w:ascii="Arial" w:hAnsi="Arial" w:cs="Arial"/>
          <w:sz w:val="22"/>
          <w:szCs w:val="22"/>
        </w:rPr>
        <w:t>LAB isolate 6 was exhibited the broadest inhibitory activity, showing measurable inhibition against all seven tested pathogens</w:t>
      </w:r>
      <w:r w:rsidRPr="00AB5048">
        <w:rPr>
          <w:rFonts w:ascii="Arial" w:hAnsi="Arial" w:cs="Arial"/>
          <w:sz w:val="22"/>
          <w:szCs w:val="22"/>
        </w:rPr>
        <w:t xml:space="preserve">. The selected isolate was identified by biochemical characterization and 16S rRNA gene sequencing as </w:t>
      </w:r>
      <w:proofErr w:type="spellStart"/>
      <w:r w:rsidRPr="00AB5048">
        <w:rPr>
          <w:rStyle w:val="Emphasis"/>
          <w:rFonts w:ascii="Arial" w:hAnsi="Arial" w:cs="Arial"/>
          <w:sz w:val="22"/>
          <w:szCs w:val="22"/>
        </w:rPr>
        <w:t>Lactiplantibacillus</w:t>
      </w:r>
      <w:proofErr w:type="spellEnd"/>
      <w:r w:rsidRPr="00AB5048">
        <w:rPr>
          <w:rStyle w:val="Emphasis"/>
          <w:rFonts w:ascii="Arial" w:hAnsi="Arial" w:cs="Arial"/>
          <w:sz w:val="22"/>
          <w:szCs w:val="22"/>
        </w:rPr>
        <w:t xml:space="preserve"> plantarum</w:t>
      </w:r>
      <w:r w:rsidRPr="00AB5048">
        <w:rPr>
          <w:rFonts w:ascii="Arial" w:hAnsi="Arial" w:cs="Arial"/>
          <w:sz w:val="22"/>
          <w:szCs w:val="22"/>
        </w:rPr>
        <w:t xml:space="preserve"> (99.28% sequence identity). These findings indicate that milk-derived bacteriocin-producing LAB, particularly </w:t>
      </w:r>
      <w:r w:rsidRPr="00AB5048">
        <w:rPr>
          <w:rStyle w:val="Emphasis"/>
          <w:rFonts w:ascii="Arial" w:hAnsi="Arial" w:cs="Arial"/>
          <w:sz w:val="22"/>
          <w:szCs w:val="22"/>
        </w:rPr>
        <w:t>L. plantarum</w:t>
      </w:r>
      <w:r w:rsidRPr="00AB5048">
        <w:rPr>
          <w:rFonts w:ascii="Arial" w:hAnsi="Arial" w:cs="Arial"/>
          <w:sz w:val="22"/>
          <w:szCs w:val="22"/>
        </w:rPr>
        <w:t>, may serve as a natural and cost-effective bi</w:t>
      </w:r>
      <w:r w:rsidR="00976B9E" w:rsidRPr="00AB5048">
        <w:rPr>
          <w:rFonts w:ascii="Arial" w:hAnsi="Arial" w:cs="Arial"/>
          <w:sz w:val="22"/>
          <w:szCs w:val="22"/>
        </w:rPr>
        <w:t>ocontrol agent.</w:t>
      </w:r>
    </w:p>
    <w:p w14:paraId="1F7C17A8" w14:textId="77777777" w:rsidR="00B9342A" w:rsidRDefault="00B9342A" w:rsidP="00B55DC3">
      <w:pPr>
        <w:pStyle w:val="PlainText"/>
        <w:spacing w:line="276" w:lineRule="auto"/>
        <w:jc w:val="both"/>
        <w:rPr>
          <w:rFonts w:ascii="Arial" w:hAnsi="Arial" w:cs="Arial"/>
          <w:b/>
          <w:sz w:val="22"/>
          <w:szCs w:val="22"/>
        </w:rPr>
      </w:pPr>
    </w:p>
    <w:p w14:paraId="5CC86101" w14:textId="5ECAA72B" w:rsidR="00976B9E" w:rsidRPr="00AB5048" w:rsidRDefault="00976B9E" w:rsidP="00B55DC3">
      <w:pPr>
        <w:pStyle w:val="PlainText"/>
        <w:spacing w:line="276" w:lineRule="auto"/>
        <w:jc w:val="both"/>
        <w:rPr>
          <w:rFonts w:ascii="Arial" w:hAnsi="Arial" w:cs="Arial"/>
          <w:b/>
          <w:sz w:val="22"/>
          <w:szCs w:val="22"/>
        </w:rPr>
      </w:pPr>
      <w:r w:rsidRPr="00AB5048">
        <w:rPr>
          <w:rFonts w:ascii="Arial" w:hAnsi="Arial" w:cs="Arial"/>
          <w:b/>
          <w:sz w:val="22"/>
          <w:szCs w:val="22"/>
        </w:rPr>
        <w:t>Keywords</w:t>
      </w:r>
      <w:r w:rsidRPr="00AB5048">
        <w:rPr>
          <w:rFonts w:ascii="Arial" w:hAnsi="Arial" w:cs="Arial"/>
          <w:sz w:val="22"/>
          <w:szCs w:val="22"/>
        </w:rPr>
        <w:t xml:space="preserve">: Lactic acid bacteria; Bacteriocin; Biofilm; </w:t>
      </w:r>
      <w:proofErr w:type="spellStart"/>
      <w:r w:rsidRPr="00AB5048">
        <w:rPr>
          <w:rStyle w:val="Emphasis"/>
          <w:rFonts w:ascii="Arial" w:hAnsi="Arial" w:cs="Arial"/>
          <w:sz w:val="22"/>
          <w:szCs w:val="22"/>
        </w:rPr>
        <w:t>Lactiplantibacillus</w:t>
      </w:r>
      <w:proofErr w:type="spellEnd"/>
      <w:r w:rsidRPr="00AB5048">
        <w:rPr>
          <w:rStyle w:val="Emphasis"/>
          <w:rFonts w:ascii="Arial" w:hAnsi="Arial" w:cs="Arial"/>
          <w:sz w:val="22"/>
          <w:szCs w:val="22"/>
        </w:rPr>
        <w:t xml:space="preserve"> plantarum</w:t>
      </w:r>
      <w:r w:rsidRPr="00AB5048">
        <w:rPr>
          <w:rFonts w:ascii="Arial" w:hAnsi="Arial" w:cs="Arial"/>
          <w:sz w:val="22"/>
          <w:szCs w:val="22"/>
        </w:rPr>
        <w:t>; Meat-borne pathogens; Antimicrobial activity.</w:t>
      </w:r>
    </w:p>
    <w:p w14:paraId="0E3E45AC" w14:textId="77777777" w:rsidR="008F5075" w:rsidRPr="00AB5048" w:rsidRDefault="008F5075" w:rsidP="00B55DC3">
      <w:pPr>
        <w:pStyle w:val="PlainText"/>
        <w:spacing w:line="276" w:lineRule="auto"/>
        <w:jc w:val="both"/>
        <w:rPr>
          <w:rFonts w:ascii="Arial" w:hAnsi="Arial" w:cs="Arial"/>
          <w:b/>
          <w:sz w:val="24"/>
          <w:szCs w:val="24"/>
        </w:rPr>
      </w:pPr>
    </w:p>
    <w:p w14:paraId="060396F4" w14:textId="77777777" w:rsidR="00CA2DA9" w:rsidRPr="00186746" w:rsidRDefault="00186746" w:rsidP="00B55DC3">
      <w:pPr>
        <w:pStyle w:val="PlainText"/>
        <w:spacing w:line="276" w:lineRule="auto"/>
        <w:jc w:val="both"/>
        <w:rPr>
          <w:rFonts w:ascii="Arial" w:hAnsi="Arial" w:cs="Arial"/>
          <w:b/>
          <w:sz w:val="22"/>
          <w:szCs w:val="22"/>
        </w:rPr>
      </w:pPr>
      <w:r>
        <w:rPr>
          <w:rFonts w:ascii="Arial" w:hAnsi="Arial" w:cs="Arial"/>
          <w:b/>
          <w:sz w:val="22"/>
          <w:szCs w:val="22"/>
        </w:rPr>
        <w:t xml:space="preserve">1. </w:t>
      </w:r>
      <w:r w:rsidR="00CA2DA9" w:rsidRPr="00186746">
        <w:rPr>
          <w:rFonts w:ascii="Arial" w:hAnsi="Arial" w:cs="Arial"/>
          <w:b/>
          <w:sz w:val="22"/>
          <w:szCs w:val="22"/>
        </w:rPr>
        <w:t>Introduction</w:t>
      </w:r>
    </w:p>
    <w:p w14:paraId="52C2BC59" w14:textId="77777777" w:rsidR="00CA2DA9" w:rsidRPr="00186746" w:rsidRDefault="00CA2DA9" w:rsidP="00B55DC3">
      <w:pPr>
        <w:pStyle w:val="PlainText"/>
        <w:spacing w:line="276" w:lineRule="auto"/>
        <w:jc w:val="both"/>
        <w:rPr>
          <w:rFonts w:ascii="Arial" w:hAnsi="Arial" w:cs="Arial"/>
          <w:sz w:val="20"/>
          <w:szCs w:val="20"/>
        </w:rPr>
      </w:pPr>
    </w:p>
    <w:p w14:paraId="13C07488" w14:textId="77777777" w:rsidR="00CA2DA9" w:rsidRPr="00186746" w:rsidRDefault="00CA2DA9" w:rsidP="00B55DC3">
      <w:pPr>
        <w:pStyle w:val="PlainText"/>
        <w:spacing w:line="276" w:lineRule="auto"/>
        <w:ind w:firstLine="720"/>
        <w:jc w:val="both"/>
        <w:rPr>
          <w:rFonts w:ascii="Arial" w:hAnsi="Arial" w:cs="Arial"/>
          <w:sz w:val="20"/>
          <w:szCs w:val="20"/>
        </w:rPr>
      </w:pPr>
      <w:commentRangeStart w:id="1"/>
      <w:r w:rsidRPr="00186746">
        <w:rPr>
          <w:rFonts w:ascii="Arial" w:hAnsi="Arial" w:cs="Arial"/>
          <w:sz w:val="20"/>
          <w:szCs w:val="20"/>
        </w:rPr>
        <w:t>Antibiotics h</w:t>
      </w:r>
      <w:commentRangeEnd w:id="1"/>
      <w:r w:rsidR="00B9342A">
        <w:rPr>
          <w:rStyle w:val="CommentReference"/>
          <w:rFonts w:asciiTheme="minorHAnsi" w:hAnsiTheme="minorHAnsi"/>
        </w:rPr>
        <w:commentReference w:id="1"/>
      </w:r>
      <w:r w:rsidRPr="00186746">
        <w:rPr>
          <w:rFonts w:ascii="Arial" w:hAnsi="Arial" w:cs="Arial"/>
          <w:sz w:val="20"/>
          <w:szCs w:val="20"/>
        </w:rPr>
        <w:t xml:space="preserve">ave been among the most important discoveries of modern medicine, transforming the treatment of infectious disease and enabling advances such as surgery, cancer chemotherapy, and organ transplantation. However, the sustained misuse and overuse of antibiotics in human medicine, veterinary care, aquaculture, and agriculture has driven the rapid emergence and spread of antibiotic-resistant bacteria (Mancuso </w:t>
      </w:r>
      <w:r w:rsidR="00186746" w:rsidRPr="00186746">
        <w:rPr>
          <w:rFonts w:ascii="Arial" w:hAnsi="Arial" w:cs="Arial"/>
          <w:i/>
          <w:sz w:val="20"/>
          <w:szCs w:val="20"/>
        </w:rPr>
        <w:t>et al</w:t>
      </w:r>
      <w:r w:rsidRPr="00186746">
        <w:rPr>
          <w:rFonts w:ascii="Arial" w:hAnsi="Arial" w:cs="Arial"/>
          <w:sz w:val="20"/>
          <w:szCs w:val="20"/>
        </w:rPr>
        <w:t>., 2021). Resistance arises through several interconnected mechanisms, including enzymatic drug inactivation, alteration of antibiotic target sites, reduced membrane permeability, overexpression of efflux pumps, and horizontal transfer of resistance genes between bacterial populations (</w:t>
      </w:r>
      <w:proofErr w:type="spellStart"/>
      <w:r w:rsidRPr="00186746">
        <w:rPr>
          <w:rFonts w:ascii="Arial" w:hAnsi="Arial" w:cs="Arial"/>
          <w:sz w:val="20"/>
          <w:szCs w:val="20"/>
        </w:rPr>
        <w:t>Reygaert</w:t>
      </w:r>
      <w:proofErr w:type="spellEnd"/>
      <w:r w:rsidRPr="00186746">
        <w:rPr>
          <w:rFonts w:ascii="Arial" w:hAnsi="Arial" w:cs="Arial"/>
          <w:sz w:val="20"/>
          <w:szCs w:val="20"/>
        </w:rPr>
        <w:t xml:space="preserve">, 2018; Uddin </w:t>
      </w:r>
      <w:r w:rsidR="00186746" w:rsidRPr="00186746">
        <w:rPr>
          <w:rFonts w:ascii="Arial" w:hAnsi="Arial" w:cs="Arial"/>
          <w:i/>
          <w:sz w:val="20"/>
          <w:szCs w:val="20"/>
        </w:rPr>
        <w:t>et al</w:t>
      </w:r>
      <w:r w:rsidRPr="00186746">
        <w:rPr>
          <w:rFonts w:ascii="Arial" w:hAnsi="Arial" w:cs="Arial"/>
          <w:sz w:val="20"/>
          <w:szCs w:val="20"/>
        </w:rPr>
        <w:t>., 2021). Because resistance genes can disseminate rapidly across geographic regions and between commensal and pathogenic species, antibiotic resistance is no longer a localized clinical problem but a global public health crisis requiring coordinated international action (</w:t>
      </w:r>
      <w:proofErr w:type="spellStart"/>
      <w:r w:rsidRPr="00186746">
        <w:rPr>
          <w:rFonts w:ascii="Arial" w:hAnsi="Arial" w:cs="Arial"/>
          <w:sz w:val="20"/>
          <w:szCs w:val="20"/>
        </w:rPr>
        <w:t>Pormohammad</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2019).</w:t>
      </w:r>
    </w:p>
    <w:p w14:paraId="594342D9" w14:textId="77777777" w:rsidR="00397307" w:rsidRPr="00186746" w:rsidRDefault="00397307" w:rsidP="00B55DC3">
      <w:pPr>
        <w:pStyle w:val="pdq2pgselectionanchorcontainer"/>
        <w:spacing w:line="276" w:lineRule="auto"/>
        <w:ind w:firstLine="720"/>
        <w:jc w:val="both"/>
        <w:rPr>
          <w:rFonts w:ascii="Arial" w:hAnsi="Arial" w:cs="Arial"/>
          <w:sz w:val="20"/>
          <w:szCs w:val="20"/>
        </w:rPr>
      </w:pPr>
      <w:r w:rsidRPr="00186746">
        <w:rPr>
          <w:rFonts w:ascii="Arial" w:hAnsi="Arial" w:cs="Arial"/>
          <w:sz w:val="20"/>
          <w:szCs w:val="20"/>
        </w:rPr>
        <w:t xml:space="preserve">The impact of antibiotic resistance extends across medical, social, and economic domains. The World Health Organization ranks antibiotic resistance among the top ten global public health threats, with </w:t>
      </w:r>
      <w:r w:rsidRPr="00186746">
        <w:rPr>
          <w:rFonts w:ascii="Arial" w:hAnsi="Arial" w:cs="Arial"/>
          <w:sz w:val="20"/>
          <w:szCs w:val="20"/>
        </w:rPr>
        <w:lastRenderedPageBreak/>
        <w:t xml:space="preserve">MDR infections causing hundreds of thousands of deaths annually and potentially reaching ten million deaths per year by 2050 if unaddressed (Salam </w:t>
      </w:r>
      <w:r w:rsidR="00186746" w:rsidRPr="00186746">
        <w:rPr>
          <w:rFonts w:ascii="Arial" w:hAnsi="Arial" w:cs="Arial"/>
          <w:i/>
          <w:sz w:val="20"/>
          <w:szCs w:val="20"/>
        </w:rPr>
        <w:t>et al</w:t>
      </w:r>
      <w:r w:rsidRPr="00186746">
        <w:rPr>
          <w:rFonts w:ascii="Arial" w:hAnsi="Arial" w:cs="Arial"/>
          <w:sz w:val="20"/>
          <w:szCs w:val="20"/>
        </w:rPr>
        <w:t xml:space="preserve">., 2023). Resistant infections also prolong hospital stays, increase treatment costs, and reduce the effectiveness of standard prophylactic regimens (Zhen </w:t>
      </w:r>
      <w:r w:rsidR="00186746" w:rsidRPr="00186746">
        <w:rPr>
          <w:rFonts w:ascii="Arial" w:hAnsi="Arial" w:cs="Arial"/>
          <w:i/>
          <w:sz w:val="20"/>
          <w:szCs w:val="20"/>
        </w:rPr>
        <w:t>et al</w:t>
      </w:r>
      <w:r w:rsidRPr="00186746">
        <w:rPr>
          <w:rFonts w:ascii="Arial" w:hAnsi="Arial" w:cs="Arial"/>
          <w:sz w:val="20"/>
          <w:szCs w:val="20"/>
        </w:rPr>
        <w:t>., 2019). The economic burden includes increased healthcare expenditure, lost productivity, and reduced agricultural output, particularly in low- and middle-income countries (</w:t>
      </w:r>
      <w:proofErr w:type="spellStart"/>
      <w:r w:rsidRPr="00186746">
        <w:rPr>
          <w:rFonts w:ascii="Arial" w:hAnsi="Arial" w:cs="Arial"/>
          <w:sz w:val="20"/>
          <w:szCs w:val="20"/>
        </w:rPr>
        <w:t>Dadgostar</w:t>
      </w:r>
      <w:proofErr w:type="spellEnd"/>
      <w:r w:rsidRPr="00186746">
        <w:rPr>
          <w:rFonts w:ascii="Arial" w:hAnsi="Arial" w:cs="Arial"/>
          <w:sz w:val="20"/>
          <w:szCs w:val="20"/>
        </w:rPr>
        <w:t>, 2019). These consequences highlight the urgent need for sustainable alternatives to conventional antibiotics.</w:t>
      </w:r>
    </w:p>
    <w:p w14:paraId="04685694" w14:textId="77777777" w:rsidR="00397307" w:rsidRPr="00186746" w:rsidRDefault="00397307" w:rsidP="00B55DC3">
      <w:pPr>
        <w:pStyle w:val="pdq2pgselectionanchorcontainer"/>
        <w:spacing w:line="276" w:lineRule="auto"/>
        <w:ind w:firstLine="720"/>
        <w:jc w:val="both"/>
        <w:rPr>
          <w:rFonts w:ascii="Arial" w:hAnsi="Arial" w:cs="Arial"/>
          <w:sz w:val="20"/>
          <w:szCs w:val="20"/>
        </w:rPr>
      </w:pPr>
      <w:r w:rsidRPr="00186746">
        <w:rPr>
          <w:rFonts w:ascii="Arial" w:hAnsi="Arial" w:cs="Arial"/>
          <w:sz w:val="20"/>
          <w:szCs w:val="20"/>
        </w:rPr>
        <w:t xml:space="preserve">A major factor contributing to antibiotic resistance is the ability of bacteria to form biofilms. Biofilms are structured microbial communities embedded in a self-produced extracellular polymeric substance (EPS) matrix that adheres to medical devices, hospital equipment, and host tissues. The EPS matrix protects bacteria from immune </w:t>
      </w:r>
      <w:proofErr w:type="spellStart"/>
      <w:r w:rsidRPr="00186746">
        <w:rPr>
          <w:rFonts w:ascii="Arial" w:hAnsi="Arial" w:cs="Arial"/>
          <w:sz w:val="20"/>
          <w:szCs w:val="20"/>
        </w:rPr>
        <w:t>defenses</w:t>
      </w:r>
      <w:proofErr w:type="spellEnd"/>
      <w:r w:rsidRPr="00186746">
        <w:rPr>
          <w:rFonts w:ascii="Arial" w:hAnsi="Arial" w:cs="Arial"/>
          <w:sz w:val="20"/>
          <w:szCs w:val="20"/>
        </w:rPr>
        <w:t xml:space="preserve"> and antibiotics through restricted drug diffusion, </w:t>
      </w:r>
      <w:proofErr w:type="spellStart"/>
      <w:r w:rsidRPr="00186746">
        <w:rPr>
          <w:rFonts w:ascii="Arial" w:hAnsi="Arial" w:cs="Arial"/>
          <w:sz w:val="20"/>
          <w:szCs w:val="20"/>
        </w:rPr>
        <w:t>persister</w:t>
      </w:r>
      <w:proofErr w:type="spellEnd"/>
      <w:r w:rsidRPr="00186746">
        <w:rPr>
          <w:rFonts w:ascii="Arial" w:hAnsi="Arial" w:cs="Arial"/>
          <w:sz w:val="20"/>
          <w:szCs w:val="20"/>
        </w:rPr>
        <w:t xml:space="preserve"> cells, stress responses, and enhanced horizontal gene transfer (Sharma </w:t>
      </w:r>
      <w:r w:rsidR="00186746" w:rsidRPr="00186746">
        <w:rPr>
          <w:rFonts w:ascii="Arial" w:hAnsi="Arial" w:cs="Arial"/>
          <w:i/>
          <w:sz w:val="20"/>
          <w:szCs w:val="20"/>
        </w:rPr>
        <w:t>et al</w:t>
      </w:r>
      <w:r w:rsidRPr="00186746">
        <w:rPr>
          <w:rFonts w:ascii="Arial" w:hAnsi="Arial" w:cs="Arial"/>
          <w:sz w:val="20"/>
          <w:szCs w:val="20"/>
        </w:rPr>
        <w:t xml:space="preserve">., 2019; Sanyal </w:t>
      </w:r>
      <w:r w:rsidR="00186746" w:rsidRPr="00186746">
        <w:rPr>
          <w:rFonts w:ascii="Arial" w:hAnsi="Arial" w:cs="Arial"/>
          <w:i/>
          <w:sz w:val="20"/>
          <w:szCs w:val="20"/>
        </w:rPr>
        <w:t>et al</w:t>
      </w:r>
      <w:r w:rsidRPr="00186746">
        <w:rPr>
          <w:rFonts w:ascii="Arial" w:hAnsi="Arial" w:cs="Arial"/>
          <w:sz w:val="20"/>
          <w:szCs w:val="20"/>
        </w:rPr>
        <w:t>., 2025). Consequently, biofilm-associated infections are difficult to eradicate and often cause chronic, recurrent infections and treatment failure (</w:t>
      </w:r>
      <w:proofErr w:type="spellStart"/>
      <w:r w:rsidRPr="00186746">
        <w:rPr>
          <w:rFonts w:ascii="Arial" w:hAnsi="Arial" w:cs="Arial"/>
          <w:sz w:val="20"/>
          <w:szCs w:val="20"/>
        </w:rPr>
        <w:t>Karygianni</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2020). This combination of antibiotic resistance and biofilm-mediated tolerance highlights the need for novel, non-antibiotic antimicrobial strategies.</w:t>
      </w:r>
    </w:p>
    <w:p w14:paraId="31CE13C7" w14:textId="77777777" w:rsidR="00397307" w:rsidRPr="00186746" w:rsidRDefault="00397307"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Among the promising alternatives are lactic acid bacteria (LAB) and their bacteriocins. LAB are Generally Recognized as Safe (GRAS) microorganisms found in fermented foods, plants, and the gastrointestinal tract, producing antimicrobial metabolites such as organic acids, hydrogen peroxide, and bacteriocins (</w:t>
      </w:r>
      <w:proofErr w:type="spellStart"/>
      <w:r w:rsidRPr="00186746">
        <w:rPr>
          <w:rFonts w:ascii="Arial" w:hAnsi="Arial" w:cs="Arial"/>
          <w:sz w:val="20"/>
          <w:szCs w:val="20"/>
        </w:rPr>
        <w:t>Vieco-Saiz</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2019). Bacteriocins are </w:t>
      </w:r>
      <w:proofErr w:type="spellStart"/>
      <w:r w:rsidRPr="00186746">
        <w:rPr>
          <w:rFonts w:ascii="Arial" w:hAnsi="Arial" w:cs="Arial"/>
          <w:sz w:val="20"/>
          <w:szCs w:val="20"/>
        </w:rPr>
        <w:t>ribosomally</w:t>
      </w:r>
      <w:proofErr w:type="spellEnd"/>
      <w:r w:rsidRPr="00186746">
        <w:rPr>
          <w:rFonts w:ascii="Arial" w:hAnsi="Arial" w:cs="Arial"/>
          <w:sz w:val="20"/>
          <w:szCs w:val="20"/>
        </w:rPr>
        <w:t xml:space="preserve"> synthesized antimicrobial peptides that act through membrane pore formation and inhibition of cell wall synthesis, with bacteria being less prone to developing resistance against them than conventional antibiotics (Hernández-González </w:t>
      </w:r>
      <w:r w:rsidR="00186746" w:rsidRPr="00186746">
        <w:rPr>
          <w:rFonts w:ascii="Arial" w:hAnsi="Arial" w:cs="Arial"/>
          <w:i/>
          <w:sz w:val="20"/>
          <w:szCs w:val="20"/>
        </w:rPr>
        <w:t>et al</w:t>
      </w:r>
      <w:r w:rsidRPr="00186746">
        <w:rPr>
          <w:rFonts w:ascii="Arial" w:hAnsi="Arial" w:cs="Arial"/>
          <w:sz w:val="20"/>
          <w:szCs w:val="20"/>
        </w:rPr>
        <w:t xml:space="preserve">., 2021). Bacteriocin-producing LAB have shown activity against multidrug-resistant pathogens, including vancomycin-resistant enterococci, and may interfere with biofilm formation and quorum-sensing pathways (Grabovac </w:t>
      </w:r>
      <w:r w:rsidR="00186746" w:rsidRPr="00186746">
        <w:rPr>
          <w:rFonts w:ascii="Arial" w:hAnsi="Arial" w:cs="Arial"/>
          <w:i/>
          <w:sz w:val="20"/>
          <w:szCs w:val="20"/>
        </w:rPr>
        <w:t>et al</w:t>
      </w:r>
      <w:r w:rsidRPr="00186746">
        <w:rPr>
          <w:rFonts w:ascii="Arial" w:hAnsi="Arial" w:cs="Arial"/>
          <w:sz w:val="20"/>
          <w:szCs w:val="20"/>
        </w:rPr>
        <w:t>., 2022). Thus, LAB-derived bacteriocins represent a promising and biologically compatible alternative for controlling antibiotic-resistant and biofilm-forming isolates.</w:t>
      </w:r>
    </w:p>
    <w:p w14:paraId="49D992FB" w14:textId="77777777" w:rsidR="00CA2DA9" w:rsidRPr="00186746" w:rsidRDefault="00CA2DA9" w:rsidP="00B55DC3">
      <w:pPr>
        <w:pStyle w:val="PlainText"/>
        <w:spacing w:line="276" w:lineRule="auto"/>
        <w:ind w:firstLine="720"/>
        <w:jc w:val="both"/>
        <w:rPr>
          <w:rFonts w:ascii="Arial" w:hAnsi="Arial" w:cs="Arial"/>
          <w:sz w:val="20"/>
          <w:szCs w:val="20"/>
        </w:rPr>
      </w:pPr>
    </w:p>
    <w:p w14:paraId="3AE89148" w14:textId="77777777" w:rsidR="00CA2DA9" w:rsidRPr="00186746" w:rsidRDefault="00397307"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Despite their potential, the practical application of bacteriocins is often limited by low production yields under standard culture conditions. Bacteriocin production by LAB is strongly influenced by medium composition, including carbon and nitrogen sources, mineral supplementation, pH, temperature, and incubation time (</w:t>
      </w:r>
      <w:proofErr w:type="spellStart"/>
      <w:r w:rsidRPr="00186746">
        <w:rPr>
          <w:rFonts w:ascii="Arial" w:hAnsi="Arial" w:cs="Arial"/>
          <w:sz w:val="20"/>
          <w:szCs w:val="20"/>
        </w:rPr>
        <w:t>Ogunbanwo</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2021). Although MRS broth supports LAB growth, it is not specifically designed to maximize bacteriocin production and is costly for large-scale use. Therefore, optimizing culture conditions along with the isolation and characterization of bacteriocin-producing LAB is essential for developing a cost-effective, high-yield, and scalable alternative against antibiotic-resistant and biofilm-forming bacterial isolates.</w:t>
      </w:r>
    </w:p>
    <w:p w14:paraId="071A58CB" w14:textId="77777777" w:rsidR="00CA2DA9" w:rsidRPr="00186746" w:rsidRDefault="00CA2DA9" w:rsidP="00B55DC3">
      <w:pPr>
        <w:pStyle w:val="PlainText"/>
        <w:spacing w:line="276" w:lineRule="auto"/>
        <w:jc w:val="both"/>
        <w:rPr>
          <w:rFonts w:ascii="Arial" w:hAnsi="Arial" w:cs="Arial"/>
          <w:sz w:val="20"/>
          <w:szCs w:val="20"/>
        </w:rPr>
      </w:pPr>
    </w:p>
    <w:p w14:paraId="18CD0ADD" w14:textId="77777777" w:rsidR="000B5F3F" w:rsidRPr="00186746" w:rsidRDefault="00280A43" w:rsidP="00B55DC3">
      <w:pPr>
        <w:pStyle w:val="PlainText"/>
        <w:spacing w:line="276" w:lineRule="auto"/>
        <w:ind w:firstLine="720"/>
        <w:jc w:val="both"/>
        <w:rPr>
          <w:rFonts w:ascii="Arial" w:hAnsi="Arial" w:cs="Arial"/>
          <w:sz w:val="20"/>
          <w:szCs w:val="20"/>
        </w:rPr>
      </w:pPr>
      <w:commentRangeStart w:id="2"/>
      <w:r w:rsidRPr="00186746">
        <w:rPr>
          <w:rFonts w:ascii="Arial" w:hAnsi="Arial" w:cs="Arial"/>
          <w:sz w:val="20"/>
          <w:szCs w:val="20"/>
        </w:rPr>
        <w:t xml:space="preserve">However, reports specifically evaluating the antimicrobial activity of LAB-derived bacteriocins against multidrug-resistant (MDR) and biofilm-producing </w:t>
      </w:r>
      <w:r w:rsidR="005C7911" w:rsidRPr="00186746">
        <w:rPr>
          <w:rFonts w:ascii="Arial" w:hAnsi="Arial" w:cs="Arial"/>
          <w:sz w:val="20"/>
          <w:szCs w:val="20"/>
        </w:rPr>
        <w:t>food</w:t>
      </w:r>
      <w:r w:rsidRPr="00186746">
        <w:rPr>
          <w:rFonts w:ascii="Arial" w:hAnsi="Arial" w:cs="Arial"/>
          <w:sz w:val="20"/>
          <w:szCs w:val="20"/>
        </w:rPr>
        <w:t xml:space="preserve"> isolates remain limited, and most optimization studies have focused on maximizing yield against standard indicator strains rather than against resistant, biofilm-forming pathogens of clinical concern. This gap restricts the translation of bacteriocin research into a practical alternative for managing infections that are simultaneously drug-resistant and biofilm-associated. Therefore, the goal of the present study was to isolate and characterize bacteriocin-</w:t>
      </w:r>
      <w:r w:rsidR="00BF53CB" w:rsidRPr="00186746">
        <w:rPr>
          <w:rFonts w:ascii="Arial" w:hAnsi="Arial" w:cs="Arial"/>
          <w:sz w:val="20"/>
          <w:szCs w:val="20"/>
        </w:rPr>
        <w:t>producing lactic acid bacteria,</w:t>
      </w:r>
      <w:r w:rsidRPr="00186746">
        <w:rPr>
          <w:rFonts w:ascii="Arial" w:hAnsi="Arial" w:cs="Arial"/>
          <w:sz w:val="20"/>
          <w:szCs w:val="20"/>
        </w:rPr>
        <w:t xml:space="preserve"> and evaluate the resulting bacteriocin for its ability to inhibit </w:t>
      </w:r>
      <w:r w:rsidR="00BF53CB" w:rsidRPr="00186746">
        <w:rPr>
          <w:rFonts w:ascii="Arial" w:hAnsi="Arial" w:cs="Arial"/>
          <w:sz w:val="20"/>
          <w:szCs w:val="20"/>
        </w:rPr>
        <w:t xml:space="preserve">the </w:t>
      </w:r>
      <w:r w:rsidRPr="00186746">
        <w:rPr>
          <w:rFonts w:ascii="Arial" w:hAnsi="Arial" w:cs="Arial"/>
          <w:sz w:val="20"/>
          <w:szCs w:val="20"/>
        </w:rPr>
        <w:t>biofilm-producing bacterial isolates, thereby developing a scalable alternative to conventional antibiotics.</w:t>
      </w:r>
      <w:commentRangeEnd w:id="2"/>
      <w:r w:rsidR="00B9342A">
        <w:rPr>
          <w:rStyle w:val="CommentReference"/>
          <w:rFonts w:asciiTheme="minorHAnsi" w:hAnsiTheme="minorHAnsi"/>
        </w:rPr>
        <w:commentReference w:id="2"/>
      </w:r>
    </w:p>
    <w:p w14:paraId="0D266CB9" w14:textId="77777777" w:rsidR="00280A43" w:rsidRPr="00186746" w:rsidRDefault="00280A43" w:rsidP="00B55DC3">
      <w:pPr>
        <w:pStyle w:val="PlainText"/>
        <w:spacing w:line="276" w:lineRule="auto"/>
        <w:ind w:firstLine="720"/>
        <w:jc w:val="both"/>
        <w:rPr>
          <w:rFonts w:ascii="Arial" w:hAnsi="Arial" w:cs="Arial"/>
          <w:sz w:val="20"/>
          <w:szCs w:val="20"/>
        </w:rPr>
      </w:pPr>
    </w:p>
    <w:p w14:paraId="16259DAC" w14:textId="77777777" w:rsidR="00CA2DA9" w:rsidRPr="00186746" w:rsidRDefault="00186746" w:rsidP="00B55DC3">
      <w:pPr>
        <w:pStyle w:val="PlainText"/>
        <w:spacing w:line="276" w:lineRule="auto"/>
        <w:jc w:val="both"/>
        <w:rPr>
          <w:rFonts w:ascii="Arial" w:hAnsi="Arial" w:cs="Arial"/>
          <w:b/>
          <w:sz w:val="22"/>
          <w:szCs w:val="22"/>
        </w:rPr>
      </w:pPr>
      <w:commentRangeStart w:id="3"/>
      <w:r w:rsidRPr="00186746">
        <w:rPr>
          <w:rFonts w:ascii="Arial" w:hAnsi="Arial" w:cs="Arial"/>
          <w:b/>
          <w:sz w:val="22"/>
          <w:szCs w:val="22"/>
        </w:rPr>
        <w:t xml:space="preserve">2.0 </w:t>
      </w:r>
      <w:r w:rsidR="00BA5EA6" w:rsidRPr="00186746">
        <w:rPr>
          <w:rFonts w:ascii="Arial" w:hAnsi="Arial" w:cs="Arial"/>
          <w:b/>
          <w:sz w:val="22"/>
          <w:szCs w:val="22"/>
        </w:rPr>
        <w:t>Materials and methods</w:t>
      </w:r>
      <w:commentRangeEnd w:id="3"/>
      <w:r w:rsidR="00B9342A">
        <w:rPr>
          <w:rStyle w:val="CommentReference"/>
          <w:rFonts w:asciiTheme="minorHAnsi" w:hAnsiTheme="minorHAnsi"/>
        </w:rPr>
        <w:commentReference w:id="3"/>
      </w:r>
    </w:p>
    <w:p w14:paraId="3C1E8642" w14:textId="77777777" w:rsidR="00244DA8" w:rsidRPr="00186746" w:rsidRDefault="00186746" w:rsidP="00B55DC3">
      <w:pPr>
        <w:pStyle w:val="PlainText"/>
        <w:spacing w:line="276" w:lineRule="auto"/>
        <w:jc w:val="both"/>
        <w:rPr>
          <w:rFonts w:ascii="Arial" w:hAnsi="Arial" w:cs="Arial"/>
          <w:b/>
          <w:sz w:val="22"/>
          <w:szCs w:val="22"/>
        </w:rPr>
      </w:pPr>
      <w:r w:rsidRPr="00186746">
        <w:rPr>
          <w:rFonts w:ascii="Arial" w:hAnsi="Arial" w:cs="Arial"/>
          <w:b/>
          <w:sz w:val="22"/>
          <w:szCs w:val="22"/>
        </w:rPr>
        <w:t xml:space="preserve">2.1 </w:t>
      </w:r>
      <w:r w:rsidR="005F0308" w:rsidRPr="00186746">
        <w:rPr>
          <w:rFonts w:ascii="Arial" w:hAnsi="Arial" w:cs="Arial"/>
          <w:b/>
          <w:sz w:val="22"/>
          <w:szCs w:val="22"/>
        </w:rPr>
        <w:t>Collection of milk samples</w:t>
      </w:r>
    </w:p>
    <w:p w14:paraId="7A116358" w14:textId="77777777" w:rsidR="00BA5EA6" w:rsidRDefault="00623E82"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For the bacteriological analysis, a total of eight milk and milk product samples were collected, including three raw milk samples from dairy farms, two milk samples from vending shops, and three curd samples from milk and milk product vending shops. A total volume of 250 mL of each sample was collected early in the morning using sterile glass bottles. The collected samples were properly </w:t>
      </w:r>
      <w:r w:rsidR="00E1352D" w:rsidRPr="00186746">
        <w:rPr>
          <w:rFonts w:ascii="Arial" w:hAnsi="Arial" w:cs="Arial"/>
          <w:sz w:val="20"/>
          <w:szCs w:val="20"/>
        </w:rPr>
        <w:t>labelled</w:t>
      </w:r>
      <w:r w:rsidRPr="00186746">
        <w:rPr>
          <w:rFonts w:ascii="Arial" w:hAnsi="Arial" w:cs="Arial"/>
          <w:sz w:val="20"/>
          <w:szCs w:val="20"/>
        </w:rPr>
        <w:t>, stored at 4°C, and subsequently subjected to bacteriological analysis.</w:t>
      </w:r>
    </w:p>
    <w:p w14:paraId="081D3137" w14:textId="77777777" w:rsidR="00C54D67" w:rsidRPr="00186746" w:rsidRDefault="00C54D67" w:rsidP="00B55DC3">
      <w:pPr>
        <w:pStyle w:val="PlainText"/>
        <w:spacing w:line="276" w:lineRule="auto"/>
        <w:ind w:firstLine="720"/>
        <w:jc w:val="both"/>
        <w:rPr>
          <w:rFonts w:ascii="Arial" w:hAnsi="Arial" w:cs="Arial"/>
          <w:sz w:val="20"/>
          <w:szCs w:val="20"/>
        </w:rPr>
      </w:pPr>
    </w:p>
    <w:p w14:paraId="62F5C366" w14:textId="77777777" w:rsidR="005F0308" w:rsidRPr="00186746" w:rsidRDefault="00186746" w:rsidP="00B55DC3">
      <w:pPr>
        <w:pStyle w:val="PlainText"/>
        <w:spacing w:line="276" w:lineRule="auto"/>
        <w:jc w:val="both"/>
        <w:rPr>
          <w:rFonts w:ascii="Arial" w:hAnsi="Arial" w:cs="Arial"/>
          <w:b/>
          <w:sz w:val="22"/>
          <w:szCs w:val="22"/>
        </w:rPr>
      </w:pPr>
      <w:r w:rsidRPr="00186746">
        <w:rPr>
          <w:rFonts w:ascii="Arial" w:hAnsi="Arial" w:cs="Arial"/>
          <w:b/>
          <w:sz w:val="22"/>
          <w:szCs w:val="22"/>
        </w:rPr>
        <w:t xml:space="preserve">2.2 </w:t>
      </w:r>
      <w:r w:rsidR="005F0308" w:rsidRPr="00186746">
        <w:rPr>
          <w:rFonts w:ascii="Arial" w:hAnsi="Arial" w:cs="Arial"/>
          <w:b/>
          <w:sz w:val="22"/>
          <w:szCs w:val="22"/>
        </w:rPr>
        <w:t>Isolation of lactic acid bacteria</w:t>
      </w:r>
    </w:p>
    <w:p w14:paraId="095617A5" w14:textId="77777777" w:rsidR="00E76520" w:rsidRDefault="005F0308" w:rsidP="00B55DC3">
      <w:pPr>
        <w:pStyle w:val="isselectedend"/>
        <w:spacing w:before="0" w:beforeAutospacing="0" w:after="0" w:afterAutospacing="0" w:line="276" w:lineRule="auto"/>
        <w:jc w:val="both"/>
        <w:rPr>
          <w:rFonts w:ascii="Arial" w:hAnsi="Arial" w:cs="Arial"/>
          <w:sz w:val="20"/>
          <w:szCs w:val="20"/>
        </w:rPr>
      </w:pPr>
      <w:r w:rsidRPr="00186746">
        <w:rPr>
          <w:rFonts w:ascii="Arial" w:hAnsi="Arial" w:cs="Arial"/>
          <w:sz w:val="20"/>
          <w:szCs w:val="20"/>
        </w:rPr>
        <w:tab/>
      </w:r>
      <w:r w:rsidR="00E76520" w:rsidRPr="00186746">
        <w:rPr>
          <w:rFonts w:ascii="Arial" w:hAnsi="Arial" w:cs="Arial"/>
          <w:sz w:val="20"/>
          <w:szCs w:val="20"/>
        </w:rPr>
        <w:t>To isolate lactic acid bacteria (LAB) from milk samples, serial dilutions were prepared by adding 1 mL of each milk sample to 9 mL of sterile distilled water to obtain dilutions ranging from 10</w:t>
      </w:r>
      <w:r w:rsidR="00E76520" w:rsidRPr="00186746">
        <w:rPr>
          <w:rFonts w:ascii="Cambria Math" w:hAnsi="Cambria Math" w:cs="Cambria Math"/>
          <w:sz w:val="20"/>
          <w:szCs w:val="20"/>
        </w:rPr>
        <w:t>⁻</w:t>
      </w:r>
      <w:r w:rsidR="00E76520" w:rsidRPr="00186746">
        <w:rPr>
          <w:rFonts w:ascii="Arial" w:hAnsi="Arial" w:cs="Arial"/>
          <w:sz w:val="20"/>
          <w:szCs w:val="20"/>
        </w:rPr>
        <w:t>¹ to 10</w:t>
      </w:r>
      <w:r w:rsidR="00E76520" w:rsidRPr="00186746">
        <w:rPr>
          <w:rFonts w:ascii="Cambria Math" w:hAnsi="Cambria Math" w:cs="Cambria Math"/>
          <w:sz w:val="20"/>
          <w:szCs w:val="20"/>
        </w:rPr>
        <w:t>⁻</w:t>
      </w:r>
      <w:r w:rsidR="00E76520" w:rsidRPr="00186746">
        <w:rPr>
          <w:rFonts w:ascii="Arial" w:hAnsi="Arial" w:cs="Arial"/>
          <w:sz w:val="20"/>
          <w:szCs w:val="20"/>
        </w:rPr>
        <w:t xml:space="preserve">⁷. Subsequently, 0.1 mL aliquots from the appropriate serial dilutions were spread onto the surface of pre-dried de Man, </w:t>
      </w:r>
      <w:proofErr w:type="spellStart"/>
      <w:r w:rsidR="00E76520" w:rsidRPr="00186746">
        <w:rPr>
          <w:rFonts w:ascii="Arial" w:hAnsi="Arial" w:cs="Arial"/>
          <w:sz w:val="20"/>
          <w:szCs w:val="20"/>
        </w:rPr>
        <w:t>Rogosa</w:t>
      </w:r>
      <w:proofErr w:type="spellEnd"/>
      <w:r w:rsidR="00E76520" w:rsidRPr="00186746">
        <w:rPr>
          <w:rFonts w:ascii="Arial" w:hAnsi="Arial" w:cs="Arial"/>
          <w:sz w:val="20"/>
          <w:szCs w:val="20"/>
        </w:rPr>
        <w:t xml:space="preserve"> and Sharpe (MRS) agar (</w:t>
      </w:r>
      <w:proofErr w:type="spellStart"/>
      <w:r w:rsidR="00E76520" w:rsidRPr="00186746">
        <w:rPr>
          <w:rFonts w:ascii="Arial" w:hAnsi="Arial" w:cs="Arial"/>
          <w:sz w:val="20"/>
          <w:szCs w:val="20"/>
        </w:rPr>
        <w:t>HiMedia</w:t>
      </w:r>
      <w:proofErr w:type="spellEnd"/>
      <w:r w:rsidR="00E76520" w:rsidRPr="00186746">
        <w:rPr>
          <w:rFonts w:ascii="Arial" w:hAnsi="Arial" w:cs="Arial"/>
          <w:sz w:val="20"/>
          <w:szCs w:val="20"/>
        </w:rPr>
        <w:t>, India). The inoculated plates were incubated under anaerobic conditions using an anaerobic candle jar at 37°C for 48 h.</w:t>
      </w:r>
    </w:p>
    <w:p w14:paraId="46D5C485" w14:textId="77777777" w:rsidR="00C54D67" w:rsidRPr="00186746" w:rsidRDefault="00C54D67" w:rsidP="00B55DC3">
      <w:pPr>
        <w:pStyle w:val="isselectedend"/>
        <w:spacing w:before="0" w:beforeAutospacing="0" w:after="0" w:afterAutospacing="0" w:line="276" w:lineRule="auto"/>
        <w:jc w:val="both"/>
        <w:rPr>
          <w:rFonts w:ascii="Arial" w:hAnsi="Arial" w:cs="Arial"/>
          <w:sz w:val="20"/>
          <w:szCs w:val="20"/>
        </w:rPr>
      </w:pPr>
    </w:p>
    <w:p w14:paraId="11E10945" w14:textId="77777777" w:rsidR="00E76520" w:rsidRDefault="00E76520" w:rsidP="00B55DC3">
      <w:pPr>
        <w:pStyle w:val="NormalWeb"/>
        <w:spacing w:before="0" w:beforeAutospacing="0" w:after="0" w:afterAutospacing="0" w:line="276" w:lineRule="auto"/>
        <w:ind w:firstLine="720"/>
        <w:jc w:val="both"/>
        <w:rPr>
          <w:rFonts w:ascii="Arial" w:hAnsi="Arial" w:cs="Arial"/>
          <w:sz w:val="20"/>
          <w:szCs w:val="20"/>
        </w:rPr>
      </w:pPr>
      <w:r w:rsidRPr="00186746">
        <w:rPr>
          <w:rFonts w:ascii="Arial" w:hAnsi="Arial" w:cs="Arial"/>
          <w:sz w:val="20"/>
          <w:szCs w:val="20"/>
        </w:rPr>
        <w:t>Following incubation, morphologically distinct colonies were selected and further purified by repeated streaking onto fresh MRS agar plates. The purified isolates were incubated at 37°C for 24–48 h. The isolates were preliminarily identified as LAB based on their morphological and physiological characteristics and were subsequently categorized into different genera. Furthermore, carbohydrate fermentation tests were performed using the tube method. The LAB isolates were identified based on their patterns of carbohydrate utilization, with the results interpreted according to the criteria described in Bergey’s Manual of Determinative Bacteriology.</w:t>
      </w:r>
    </w:p>
    <w:p w14:paraId="012D6593" w14:textId="77777777" w:rsidR="00C54D67" w:rsidRPr="00186746" w:rsidRDefault="00C54D67" w:rsidP="00B55DC3">
      <w:pPr>
        <w:pStyle w:val="NormalWeb"/>
        <w:spacing w:before="0" w:beforeAutospacing="0" w:after="0" w:afterAutospacing="0" w:line="276" w:lineRule="auto"/>
        <w:ind w:firstLine="720"/>
        <w:jc w:val="both"/>
        <w:rPr>
          <w:rFonts w:ascii="Arial" w:hAnsi="Arial" w:cs="Arial"/>
          <w:sz w:val="20"/>
          <w:szCs w:val="20"/>
        </w:rPr>
      </w:pPr>
    </w:p>
    <w:p w14:paraId="459E7325" w14:textId="77777777" w:rsidR="006E2824" w:rsidRPr="00186746" w:rsidRDefault="00186746" w:rsidP="00B55DC3">
      <w:pPr>
        <w:pStyle w:val="PlainText"/>
        <w:spacing w:line="276" w:lineRule="auto"/>
        <w:jc w:val="both"/>
        <w:rPr>
          <w:rFonts w:ascii="Arial" w:hAnsi="Arial" w:cs="Arial"/>
          <w:sz w:val="22"/>
          <w:szCs w:val="22"/>
        </w:rPr>
      </w:pPr>
      <w:r w:rsidRPr="00186746">
        <w:rPr>
          <w:rStyle w:val="Strong"/>
          <w:rFonts w:ascii="Arial" w:hAnsi="Arial" w:cs="Arial"/>
          <w:sz w:val="22"/>
          <w:szCs w:val="22"/>
        </w:rPr>
        <w:t xml:space="preserve">2.3 </w:t>
      </w:r>
      <w:r w:rsidR="00C347D5" w:rsidRPr="00186746">
        <w:rPr>
          <w:rStyle w:val="Strong"/>
          <w:rFonts w:ascii="Arial" w:hAnsi="Arial" w:cs="Arial"/>
          <w:sz w:val="22"/>
          <w:szCs w:val="22"/>
        </w:rPr>
        <w:t>Isolation of bacter</w:t>
      </w:r>
      <w:r w:rsidR="006E2824" w:rsidRPr="00186746">
        <w:rPr>
          <w:rStyle w:val="Strong"/>
          <w:rFonts w:ascii="Arial" w:hAnsi="Arial" w:cs="Arial"/>
          <w:sz w:val="22"/>
          <w:szCs w:val="22"/>
        </w:rPr>
        <w:t>ial pathogens from meat samples</w:t>
      </w:r>
    </w:p>
    <w:p w14:paraId="6AB43BDD" w14:textId="77777777" w:rsidR="00BA5EA6" w:rsidRDefault="00C347D5"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Ten fresh meat samples, including chicken (n = 5), goat meat (n = 3), and fish (n = 2), were aseptically collected and transported to the laboratory in an icebox. One gram of each sample was aseptically minced, serially diluted, inoculated into nutrient broth, and incubated for 24 h. The enriched cultures were streaked onto nutrient agar plates to isolate bacterial colonies. The isolates were preserved on nutrient agar (NA) slants at 4 °C. Preliminary identification was based on colony morphology, cell morphology, and Gram staining, followed by biochemical tests, selective media, and chromogenic media, according to the procedures described by Holt </w:t>
      </w:r>
      <w:r w:rsidR="00186746" w:rsidRPr="00186746">
        <w:rPr>
          <w:rStyle w:val="Emphasis"/>
          <w:rFonts w:ascii="Arial" w:hAnsi="Arial" w:cs="Arial"/>
          <w:sz w:val="20"/>
          <w:szCs w:val="20"/>
        </w:rPr>
        <w:t>et al</w:t>
      </w:r>
      <w:r w:rsidRPr="00186746">
        <w:rPr>
          <w:rStyle w:val="Emphasis"/>
          <w:rFonts w:ascii="Arial" w:hAnsi="Arial" w:cs="Arial"/>
          <w:sz w:val="20"/>
          <w:szCs w:val="20"/>
        </w:rPr>
        <w:t>.</w:t>
      </w:r>
      <w:r w:rsidRPr="00186746">
        <w:rPr>
          <w:rFonts w:ascii="Arial" w:hAnsi="Arial" w:cs="Arial"/>
          <w:sz w:val="20"/>
          <w:szCs w:val="20"/>
        </w:rPr>
        <w:t xml:space="preserve"> in </w:t>
      </w:r>
      <w:r w:rsidRPr="00186746">
        <w:rPr>
          <w:rStyle w:val="Emphasis"/>
          <w:rFonts w:ascii="Arial" w:hAnsi="Arial" w:cs="Arial"/>
          <w:i w:val="0"/>
          <w:sz w:val="20"/>
          <w:szCs w:val="20"/>
        </w:rPr>
        <w:t>Bergey’s Manual of Determinative Bacteriology</w:t>
      </w:r>
      <w:r w:rsidRPr="00186746">
        <w:rPr>
          <w:rFonts w:ascii="Arial" w:hAnsi="Arial" w:cs="Arial"/>
          <w:sz w:val="20"/>
          <w:szCs w:val="20"/>
        </w:rPr>
        <w:t>.</w:t>
      </w:r>
    </w:p>
    <w:p w14:paraId="1F698865" w14:textId="77777777" w:rsidR="00C54D67" w:rsidRPr="00186746" w:rsidRDefault="00C54D67" w:rsidP="00B55DC3">
      <w:pPr>
        <w:pStyle w:val="PlainText"/>
        <w:spacing w:line="276" w:lineRule="auto"/>
        <w:ind w:firstLine="720"/>
        <w:jc w:val="both"/>
        <w:rPr>
          <w:rFonts w:ascii="Arial" w:hAnsi="Arial" w:cs="Arial"/>
          <w:sz w:val="20"/>
          <w:szCs w:val="20"/>
        </w:rPr>
      </w:pPr>
    </w:p>
    <w:p w14:paraId="2EA24EE1" w14:textId="77777777" w:rsidR="00D5129D" w:rsidRPr="00186746" w:rsidRDefault="00186746" w:rsidP="00B55DC3">
      <w:pPr>
        <w:pStyle w:val="PlainText"/>
        <w:spacing w:line="276" w:lineRule="auto"/>
        <w:jc w:val="both"/>
        <w:rPr>
          <w:rFonts w:ascii="Arial" w:hAnsi="Arial" w:cs="Arial"/>
          <w:sz w:val="22"/>
          <w:szCs w:val="22"/>
        </w:rPr>
      </w:pPr>
      <w:r w:rsidRPr="00186746">
        <w:rPr>
          <w:rStyle w:val="Strong"/>
          <w:rFonts w:ascii="Arial" w:hAnsi="Arial" w:cs="Arial"/>
          <w:sz w:val="22"/>
          <w:szCs w:val="22"/>
        </w:rPr>
        <w:t xml:space="preserve">2.4 </w:t>
      </w:r>
      <w:r w:rsidR="00D5129D" w:rsidRPr="00186746">
        <w:rPr>
          <w:rStyle w:val="Strong"/>
          <w:rFonts w:ascii="Arial" w:hAnsi="Arial" w:cs="Arial"/>
          <w:sz w:val="22"/>
          <w:szCs w:val="22"/>
        </w:rPr>
        <w:t>Isolation of biofilm producing isolates</w:t>
      </w:r>
      <w:r w:rsidR="00D5129D" w:rsidRPr="00186746">
        <w:rPr>
          <w:rFonts w:ascii="Arial" w:hAnsi="Arial" w:cs="Arial"/>
          <w:sz w:val="22"/>
          <w:szCs w:val="22"/>
        </w:rPr>
        <w:t xml:space="preserve"> </w:t>
      </w:r>
    </w:p>
    <w:p w14:paraId="23B8CC75" w14:textId="77777777" w:rsidR="00BA5EA6" w:rsidRDefault="00D5129D"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Congo Red Agar (CRA) was prepared using brain heart infusion (BHI) broth (37 g/L), sucrose (50 g/L), agar (15 g/L), and Congo red dye (0.8 g/L). The medium components were sterilized by autoclaving at 121 °C for 15 min. After cooling the medium to 55 °C, sterile Congo red dye was added, and the medium was poured into sterile Petri plates and allowed to solidify. Test organisms were enriched overnight in 5 mL of Tryptic Soy Broth (TSB) and streaked onto CRA plates using a sterile inoculating loop. The plates were incubated at 37 °C for 24 h, after which colony morphology and pigmentation were recorded. Biofilm-producing isolates formed black, dry, and crystalline colonies, whereas non-biofilm-producing isolates produced smooth colonies with orange, red, or pink pigmentation (Turu and Canli, 2025).</w:t>
      </w:r>
    </w:p>
    <w:p w14:paraId="03885942" w14:textId="77777777" w:rsidR="00C54D67" w:rsidRPr="00186746" w:rsidRDefault="00C54D67" w:rsidP="00B55DC3">
      <w:pPr>
        <w:pStyle w:val="PlainText"/>
        <w:spacing w:line="276" w:lineRule="auto"/>
        <w:ind w:firstLine="720"/>
        <w:jc w:val="both"/>
        <w:rPr>
          <w:rFonts w:ascii="Arial" w:hAnsi="Arial" w:cs="Arial"/>
          <w:sz w:val="20"/>
          <w:szCs w:val="20"/>
        </w:rPr>
      </w:pPr>
    </w:p>
    <w:p w14:paraId="20D4E7A9" w14:textId="77777777" w:rsidR="001C08AE" w:rsidRPr="00186746" w:rsidRDefault="00186746" w:rsidP="00B55DC3">
      <w:pPr>
        <w:shd w:val="clear" w:color="auto" w:fill="FFFFFF"/>
        <w:spacing w:after="0"/>
        <w:outlineLvl w:val="2"/>
        <w:rPr>
          <w:rFonts w:ascii="Arial" w:eastAsia="Times New Roman" w:hAnsi="Arial" w:cs="Arial"/>
          <w:b/>
          <w:color w:val="1B1B1B"/>
          <w:lang w:eastAsia="en-IN"/>
        </w:rPr>
      </w:pPr>
      <w:r w:rsidRPr="00186746">
        <w:rPr>
          <w:rFonts w:ascii="Arial" w:eastAsia="Times New Roman" w:hAnsi="Arial" w:cs="Arial"/>
          <w:b/>
          <w:color w:val="1B1B1B"/>
          <w:lang w:eastAsia="en-IN"/>
        </w:rPr>
        <w:t xml:space="preserve">2.5 </w:t>
      </w:r>
      <w:r w:rsidR="001C08AE" w:rsidRPr="00186746">
        <w:rPr>
          <w:rFonts w:ascii="Arial" w:eastAsia="Times New Roman" w:hAnsi="Arial" w:cs="Arial"/>
          <w:b/>
          <w:color w:val="1B1B1B"/>
          <w:lang w:eastAsia="en-IN"/>
        </w:rPr>
        <w:t>Screening of Antimicrobial Activity of each LAB Isolate</w:t>
      </w:r>
    </w:p>
    <w:p w14:paraId="22C7F817" w14:textId="77777777" w:rsidR="003C7F12" w:rsidRDefault="003C7F12" w:rsidP="00B55DC3">
      <w:pPr>
        <w:spacing w:after="0"/>
        <w:ind w:firstLine="720"/>
        <w:jc w:val="both"/>
        <w:rPr>
          <w:rFonts w:ascii="Arial" w:eastAsia="Times New Roman" w:hAnsi="Arial" w:cs="Arial"/>
          <w:sz w:val="20"/>
          <w:szCs w:val="20"/>
          <w:lang w:eastAsia="en-IN"/>
        </w:rPr>
      </w:pPr>
      <w:r w:rsidRPr="00186746">
        <w:rPr>
          <w:rFonts w:ascii="Arial" w:eastAsia="Times New Roman" w:hAnsi="Arial" w:cs="Arial"/>
          <w:sz w:val="20"/>
          <w:szCs w:val="20"/>
          <w:lang w:eastAsia="en-IN"/>
        </w:rPr>
        <w:t xml:space="preserve">Each lactic acid bacterial (LAB) isolate was inoculated into MRS broth and incubated under anaerobic conditions for 48 h. Following incubation, the cultures were centrifuged at 6,500 × </w:t>
      </w:r>
      <w:r w:rsidRPr="00186746">
        <w:rPr>
          <w:rFonts w:ascii="Arial" w:eastAsia="Times New Roman" w:hAnsi="Arial" w:cs="Arial"/>
          <w:i/>
          <w:iCs/>
          <w:sz w:val="20"/>
          <w:szCs w:val="20"/>
          <w:lang w:eastAsia="en-IN"/>
        </w:rPr>
        <w:t>g</w:t>
      </w:r>
      <w:r w:rsidRPr="00186746">
        <w:rPr>
          <w:rFonts w:ascii="Arial" w:eastAsia="Times New Roman" w:hAnsi="Arial" w:cs="Arial"/>
          <w:sz w:val="20"/>
          <w:szCs w:val="20"/>
          <w:lang w:eastAsia="en-IN"/>
        </w:rPr>
        <w:t xml:space="preserve"> for 10 min, and the bacterial cells were removed to obtain the cell-free supernatants. The pH of each supernatant was adjusted to 6.0 using sterile NaOH to eliminate the inhibitory effects of organic acids. The resulting cell-free supernatants were used as crude bacteriocin preparations.</w:t>
      </w:r>
    </w:p>
    <w:p w14:paraId="6C855EF2" w14:textId="77777777" w:rsidR="00C54D67" w:rsidRPr="00186746" w:rsidRDefault="00C54D67" w:rsidP="00B55DC3">
      <w:pPr>
        <w:spacing w:after="0"/>
        <w:ind w:firstLine="720"/>
        <w:jc w:val="both"/>
        <w:rPr>
          <w:rFonts w:ascii="Arial" w:eastAsia="Times New Roman" w:hAnsi="Arial" w:cs="Arial"/>
          <w:sz w:val="20"/>
          <w:szCs w:val="20"/>
          <w:lang w:eastAsia="en-IN"/>
        </w:rPr>
      </w:pPr>
    </w:p>
    <w:p w14:paraId="53986CE3" w14:textId="77777777" w:rsidR="003C7F12" w:rsidRDefault="003C7F12" w:rsidP="00B55DC3">
      <w:pPr>
        <w:spacing w:after="0"/>
        <w:ind w:firstLine="720"/>
        <w:jc w:val="both"/>
        <w:rPr>
          <w:rFonts w:ascii="Arial" w:eastAsia="Times New Roman" w:hAnsi="Arial" w:cs="Arial"/>
          <w:sz w:val="20"/>
          <w:szCs w:val="20"/>
          <w:lang w:eastAsia="en-IN"/>
        </w:rPr>
      </w:pPr>
      <w:r w:rsidRPr="00186746">
        <w:rPr>
          <w:rFonts w:ascii="Arial" w:eastAsia="Times New Roman" w:hAnsi="Arial" w:cs="Arial"/>
          <w:sz w:val="20"/>
          <w:szCs w:val="20"/>
          <w:lang w:eastAsia="en-IN"/>
        </w:rPr>
        <w:t xml:space="preserve">The agar well diffusion method was employed to screen the </w:t>
      </w:r>
      <w:r w:rsidR="00E011D1" w:rsidRPr="00186746">
        <w:rPr>
          <w:rFonts w:ascii="Arial" w:eastAsia="Times New Roman" w:hAnsi="Arial" w:cs="Arial"/>
          <w:sz w:val="20"/>
          <w:szCs w:val="20"/>
          <w:lang w:eastAsia="en-IN"/>
        </w:rPr>
        <w:t>20</w:t>
      </w:r>
      <w:r w:rsidRPr="00186746">
        <w:rPr>
          <w:rFonts w:ascii="Arial" w:eastAsia="Times New Roman" w:hAnsi="Arial" w:cs="Arial"/>
          <w:sz w:val="20"/>
          <w:szCs w:val="20"/>
          <w:lang w:eastAsia="en-IN"/>
        </w:rPr>
        <w:t xml:space="preserve"> LAB isolates for bacteriocin production against selected foodborne pathogens. A bacterial lawn of each test pathogen was prepared by uniformly spreading the standardized bacterial suspension over the surface of Mueller–Hinton agar (MHA) plates using sterile cotton swabs. The inoculated plates were allowed to dry, after which uniform wells of 6 mm diameter were aseptically punched using a sterile cork borer. Each well was filled with 50 µL of the cell-free supernatant obtained from the respective LAB isolate. The plates were incubated at 37 °C for 24 h. Bacteriocin activity was determined by measuring the diameter of the clear inhibition zones formed around the wells, and the results were expressed in millimetres (mm).</w:t>
      </w:r>
    </w:p>
    <w:p w14:paraId="19962DCA" w14:textId="77777777" w:rsidR="00C54D67" w:rsidRPr="00186746" w:rsidRDefault="00C54D67" w:rsidP="00B55DC3">
      <w:pPr>
        <w:spacing w:after="0"/>
        <w:ind w:firstLine="720"/>
        <w:jc w:val="both"/>
        <w:rPr>
          <w:rFonts w:ascii="Arial" w:eastAsia="Times New Roman" w:hAnsi="Arial" w:cs="Arial"/>
          <w:sz w:val="20"/>
          <w:szCs w:val="20"/>
          <w:lang w:eastAsia="en-IN"/>
        </w:rPr>
      </w:pPr>
    </w:p>
    <w:p w14:paraId="31675262" w14:textId="77777777" w:rsidR="00FE0765" w:rsidRPr="00186746" w:rsidRDefault="00186746" w:rsidP="00B55DC3">
      <w:pPr>
        <w:spacing w:after="0"/>
        <w:jc w:val="both"/>
        <w:rPr>
          <w:rFonts w:ascii="Arial" w:eastAsia="Times New Roman" w:hAnsi="Arial" w:cs="Arial"/>
          <w:b/>
          <w:lang w:eastAsia="en-IN"/>
        </w:rPr>
      </w:pPr>
      <w:r w:rsidRPr="00186746">
        <w:rPr>
          <w:rFonts w:ascii="Arial" w:eastAsia="Times New Roman" w:hAnsi="Arial" w:cs="Arial"/>
          <w:b/>
          <w:lang w:eastAsia="en-IN"/>
        </w:rPr>
        <w:t>2.</w:t>
      </w:r>
      <w:r w:rsidR="00C237E4">
        <w:rPr>
          <w:rFonts w:ascii="Arial" w:eastAsia="Times New Roman" w:hAnsi="Arial" w:cs="Arial"/>
          <w:b/>
          <w:lang w:eastAsia="en-IN"/>
        </w:rPr>
        <w:t>6</w:t>
      </w:r>
      <w:r w:rsidRPr="00186746">
        <w:rPr>
          <w:rFonts w:ascii="Arial" w:eastAsia="Times New Roman" w:hAnsi="Arial" w:cs="Arial"/>
          <w:b/>
          <w:lang w:eastAsia="en-IN"/>
        </w:rPr>
        <w:t xml:space="preserve"> </w:t>
      </w:r>
      <w:r w:rsidR="00FE0765" w:rsidRPr="00186746">
        <w:rPr>
          <w:rFonts w:ascii="Arial" w:eastAsia="Times New Roman" w:hAnsi="Arial" w:cs="Arial"/>
          <w:b/>
          <w:lang w:eastAsia="en-IN"/>
        </w:rPr>
        <w:t>Identification of potential isolate</w:t>
      </w:r>
    </w:p>
    <w:p w14:paraId="63D055B0" w14:textId="77777777" w:rsidR="00336F79" w:rsidRDefault="00DD7751" w:rsidP="00B55DC3">
      <w:pPr>
        <w:spacing w:after="0"/>
        <w:ind w:firstLine="851"/>
        <w:jc w:val="both"/>
        <w:rPr>
          <w:rFonts w:ascii="Arial" w:hAnsi="Arial" w:cs="Arial"/>
          <w:sz w:val="20"/>
          <w:szCs w:val="20"/>
        </w:rPr>
      </w:pPr>
      <w:r w:rsidRPr="00186746">
        <w:rPr>
          <w:rFonts w:ascii="Arial" w:hAnsi="Arial" w:cs="Arial"/>
          <w:sz w:val="20"/>
          <w:szCs w:val="20"/>
        </w:rPr>
        <w:lastRenderedPageBreak/>
        <w:t xml:space="preserve">The </w:t>
      </w:r>
      <w:r w:rsidR="00EC0DE2" w:rsidRPr="00186746">
        <w:rPr>
          <w:rFonts w:ascii="Arial" w:hAnsi="Arial" w:cs="Arial"/>
          <w:sz w:val="20"/>
          <w:szCs w:val="20"/>
        </w:rPr>
        <w:t>potential</w:t>
      </w:r>
      <w:r w:rsidRPr="00186746">
        <w:rPr>
          <w:rFonts w:ascii="Arial" w:hAnsi="Arial" w:cs="Arial"/>
          <w:sz w:val="20"/>
          <w:szCs w:val="20"/>
        </w:rPr>
        <w:t xml:space="preserve"> bacterial isolates were subjected to morphological and biochemical characterization for preliminary identification. The biochemical profile of isolate was established using conventional diagnostic tests, and the observed reactions were compared with the characteristic properties of bacterial taxa described in </w:t>
      </w:r>
      <w:r w:rsidRPr="00186746">
        <w:rPr>
          <w:rFonts w:ascii="Arial" w:hAnsi="Arial" w:cs="Arial"/>
          <w:i/>
          <w:iCs/>
          <w:sz w:val="20"/>
          <w:szCs w:val="20"/>
        </w:rPr>
        <w:t>Bergey’s Manual of Determinative Bacteriology</w:t>
      </w:r>
      <w:r w:rsidRPr="00186746">
        <w:rPr>
          <w:rFonts w:ascii="Arial" w:hAnsi="Arial" w:cs="Arial"/>
          <w:sz w:val="20"/>
          <w:szCs w:val="20"/>
        </w:rPr>
        <w:t xml:space="preserve"> (Holt </w:t>
      </w:r>
      <w:r w:rsidR="00186746" w:rsidRPr="00186746">
        <w:rPr>
          <w:rFonts w:ascii="Arial" w:hAnsi="Arial" w:cs="Arial"/>
          <w:i/>
          <w:iCs/>
          <w:sz w:val="20"/>
          <w:szCs w:val="20"/>
        </w:rPr>
        <w:t>et al</w:t>
      </w:r>
      <w:r w:rsidRPr="00186746">
        <w:rPr>
          <w:rFonts w:ascii="Arial" w:hAnsi="Arial" w:cs="Arial"/>
          <w:sz w:val="20"/>
          <w:szCs w:val="20"/>
        </w:rPr>
        <w:t xml:space="preserve">., 1994). The tests included Gram staining, catalase, oxidase, indole, methyl red (MR), Voges–Proskauer (VP), citrate utilization, urease, triple sugar iron (TSI) and </w:t>
      </w:r>
      <w:r w:rsidR="004D02F0" w:rsidRPr="00186746">
        <w:rPr>
          <w:rFonts w:ascii="Arial" w:hAnsi="Arial" w:cs="Arial"/>
          <w:sz w:val="20"/>
          <w:szCs w:val="20"/>
        </w:rPr>
        <w:t>carbohydrate fermentation tests.</w:t>
      </w:r>
    </w:p>
    <w:p w14:paraId="4A7423D8" w14:textId="77777777" w:rsidR="00C54D67" w:rsidRPr="00186746" w:rsidRDefault="00C54D67" w:rsidP="00B55DC3">
      <w:pPr>
        <w:spacing w:after="0"/>
        <w:ind w:firstLine="851"/>
        <w:jc w:val="both"/>
        <w:rPr>
          <w:rFonts w:ascii="Arial" w:hAnsi="Arial" w:cs="Arial"/>
          <w:sz w:val="20"/>
          <w:szCs w:val="20"/>
        </w:rPr>
      </w:pPr>
    </w:p>
    <w:p w14:paraId="648FE651" w14:textId="77777777" w:rsidR="00B55DC3" w:rsidRPr="00186746" w:rsidRDefault="00186746" w:rsidP="00B55DC3">
      <w:pPr>
        <w:spacing w:after="0"/>
        <w:jc w:val="both"/>
        <w:rPr>
          <w:rFonts w:ascii="Arial" w:hAnsi="Arial" w:cs="Arial"/>
          <w:b/>
          <w:bCs/>
        </w:rPr>
      </w:pPr>
      <w:r w:rsidRPr="00186746">
        <w:rPr>
          <w:rFonts w:ascii="Arial" w:hAnsi="Arial" w:cs="Arial"/>
          <w:b/>
          <w:bCs/>
        </w:rPr>
        <w:t>2.</w:t>
      </w:r>
      <w:r w:rsidR="00C237E4">
        <w:rPr>
          <w:rFonts w:ascii="Arial" w:hAnsi="Arial" w:cs="Arial"/>
          <w:b/>
          <w:bCs/>
        </w:rPr>
        <w:t>7</w:t>
      </w:r>
      <w:r w:rsidRPr="00186746">
        <w:rPr>
          <w:rFonts w:ascii="Arial" w:hAnsi="Arial" w:cs="Arial"/>
          <w:b/>
          <w:bCs/>
        </w:rPr>
        <w:t xml:space="preserve"> </w:t>
      </w:r>
      <w:r w:rsidR="00B55DC3" w:rsidRPr="00186746">
        <w:rPr>
          <w:rFonts w:ascii="Arial" w:hAnsi="Arial" w:cs="Arial"/>
          <w:b/>
          <w:bCs/>
        </w:rPr>
        <w:t>Potential Isolate Identification</w:t>
      </w:r>
    </w:p>
    <w:p w14:paraId="7F838AE3" w14:textId="77777777" w:rsidR="00B55DC3" w:rsidRPr="00186746" w:rsidRDefault="00B55DC3" w:rsidP="00B55DC3">
      <w:pPr>
        <w:ind w:firstLine="720"/>
        <w:jc w:val="both"/>
        <w:rPr>
          <w:rFonts w:ascii="Arial" w:hAnsi="Arial" w:cs="Arial"/>
          <w:sz w:val="20"/>
          <w:szCs w:val="20"/>
        </w:rPr>
      </w:pPr>
      <w:r w:rsidRPr="00186746">
        <w:rPr>
          <w:rFonts w:ascii="Arial" w:hAnsi="Arial" w:cs="Arial"/>
          <w:sz w:val="20"/>
          <w:szCs w:val="20"/>
        </w:rPr>
        <w:t xml:space="preserve">Identification of the potential isolate 6, at the species level was performed using 16S rRNA gene sequencing. Genomic DNA was extracted from </w:t>
      </w:r>
      <w:r w:rsidR="00FF7FB3" w:rsidRPr="00186746">
        <w:rPr>
          <w:rFonts w:ascii="Arial" w:hAnsi="Arial" w:cs="Arial"/>
          <w:sz w:val="20"/>
          <w:szCs w:val="20"/>
        </w:rPr>
        <w:t>isolate 6</w:t>
      </w:r>
      <w:r w:rsidRPr="00186746">
        <w:rPr>
          <w:rFonts w:ascii="Arial" w:hAnsi="Arial" w:cs="Arial"/>
          <w:sz w:val="20"/>
          <w:szCs w:val="20"/>
        </w:rPr>
        <w:t xml:space="preserve">, and its quality was confirmed by the presence of a distinct high-molecular-weight band on a 1.0% agarose gel. Amplification of the 16S rRNA gene was performed with 16SrRNA-F (5′-AGAGTTTGATCCTGGCTCAG-3′) and 16SrRNA-R (5′-TACGGTTACCTTGTTAC GACTT-3′), primers resulting in a single, discrete amplicon of approximately 1500 bp. The PCR product was purified to remove any residual contaminants and subjected to bidirectional sequencing on an ABI 3730xl Genetic Analyzer with BDT v3.1 Cycle Sequencing Kit. Forward and reverse sequences were assembled to generate a consensus </w:t>
      </w:r>
      <w:r w:rsidR="000C0004" w:rsidRPr="00186746">
        <w:rPr>
          <w:rFonts w:ascii="Arial" w:hAnsi="Arial" w:cs="Arial"/>
          <w:sz w:val="20"/>
          <w:szCs w:val="20"/>
        </w:rPr>
        <w:t xml:space="preserve">sequence using aligner software (Chen </w:t>
      </w:r>
      <w:r w:rsidR="00186746" w:rsidRPr="00186746">
        <w:rPr>
          <w:rFonts w:ascii="Arial" w:hAnsi="Arial" w:cs="Arial"/>
          <w:i/>
          <w:sz w:val="20"/>
          <w:szCs w:val="20"/>
        </w:rPr>
        <w:t>et al</w:t>
      </w:r>
      <w:r w:rsidR="000C0004" w:rsidRPr="00186746">
        <w:rPr>
          <w:rFonts w:ascii="Arial" w:hAnsi="Arial" w:cs="Arial"/>
          <w:sz w:val="20"/>
          <w:szCs w:val="20"/>
        </w:rPr>
        <w:t>., 2014).</w:t>
      </w:r>
      <w:r w:rsidRPr="00186746">
        <w:rPr>
          <w:rFonts w:ascii="Arial" w:hAnsi="Arial" w:cs="Arial"/>
          <w:sz w:val="20"/>
          <w:szCs w:val="20"/>
        </w:rPr>
        <w:t xml:space="preserve"> The resulting 16S rRNA gene sequence was queried against the NCBI GenBank database using BLAST, and the top ten hits based on maximum identity were aligned using </w:t>
      </w:r>
      <w:proofErr w:type="spellStart"/>
      <w:r w:rsidRPr="00186746">
        <w:rPr>
          <w:rFonts w:ascii="Arial" w:hAnsi="Arial" w:cs="Arial"/>
          <w:sz w:val="20"/>
          <w:szCs w:val="20"/>
        </w:rPr>
        <w:t>ClustalW</w:t>
      </w:r>
      <w:proofErr w:type="spellEnd"/>
      <w:r w:rsidRPr="00186746">
        <w:rPr>
          <w:rFonts w:ascii="Arial" w:hAnsi="Arial" w:cs="Arial"/>
          <w:sz w:val="20"/>
          <w:szCs w:val="20"/>
        </w:rPr>
        <w:t xml:space="preserve">. To determine the evolutionary relationship, a phylogenetic tree along with a distance matrix was constructed using the </w:t>
      </w:r>
      <w:proofErr w:type="spellStart"/>
      <w:r w:rsidRPr="00186746">
        <w:rPr>
          <w:rFonts w:ascii="Arial" w:hAnsi="Arial" w:cs="Arial"/>
          <w:sz w:val="20"/>
          <w:szCs w:val="20"/>
        </w:rPr>
        <w:t>neighbor</w:t>
      </w:r>
      <w:proofErr w:type="spellEnd"/>
      <w:r w:rsidRPr="00186746">
        <w:rPr>
          <w:rFonts w:ascii="Arial" w:hAnsi="Arial" w:cs="Arial"/>
          <w:sz w:val="20"/>
          <w:szCs w:val="20"/>
        </w:rPr>
        <w:t>-join</w:t>
      </w:r>
      <w:r w:rsidR="000C0004" w:rsidRPr="00186746">
        <w:rPr>
          <w:rFonts w:ascii="Arial" w:hAnsi="Arial" w:cs="Arial"/>
          <w:sz w:val="20"/>
          <w:szCs w:val="20"/>
        </w:rPr>
        <w:t xml:space="preserve">ing approach in MEGA 11 version (Kumar </w:t>
      </w:r>
      <w:r w:rsidR="00186746" w:rsidRPr="00186746">
        <w:rPr>
          <w:rFonts w:ascii="Arial" w:hAnsi="Arial" w:cs="Arial"/>
          <w:i/>
          <w:sz w:val="20"/>
          <w:szCs w:val="20"/>
        </w:rPr>
        <w:t>et al</w:t>
      </w:r>
      <w:r w:rsidR="000C0004" w:rsidRPr="00186746">
        <w:rPr>
          <w:rFonts w:ascii="Arial" w:hAnsi="Arial" w:cs="Arial"/>
          <w:sz w:val="20"/>
          <w:szCs w:val="20"/>
        </w:rPr>
        <w:t>., 2018).</w:t>
      </w:r>
    </w:p>
    <w:p w14:paraId="74742205" w14:textId="77777777" w:rsidR="00CE31DF" w:rsidRPr="00186746" w:rsidRDefault="00186746" w:rsidP="00B55DC3">
      <w:pPr>
        <w:spacing w:after="0"/>
        <w:jc w:val="both"/>
        <w:rPr>
          <w:rFonts w:ascii="Arial" w:eastAsia="Times New Roman" w:hAnsi="Arial" w:cs="Arial"/>
          <w:b/>
          <w:lang w:eastAsia="en-IN"/>
        </w:rPr>
      </w:pPr>
      <w:commentRangeStart w:id="4"/>
      <w:r w:rsidRPr="00186746">
        <w:rPr>
          <w:rFonts w:ascii="Arial" w:eastAsia="Times New Roman" w:hAnsi="Arial" w:cs="Arial"/>
          <w:b/>
          <w:lang w:eastAsia="en-IN"/>
        </w:rPr>
        <w:t xml:space="preserve">3.0 </w:t>
      </w:r>
      <w:r w:rsidR="00406494" w:rsidRPr="00186746">
        <w:rPr>
          <w:rFonts w:ascii="Arial" w:eastAsia="Times New Roman" w:hAnsi="Arial" w:cs="Arial"/>
          <w:b/>
          <w:lang w:eastAsia="en-IN"/>
        </w:rPr>
        <w:t xml:space="preserve">Result and discussion </w:t>
      </w:r>
      <w:commentRangeEnd w:id="4"/>
      <w:r w:rsidR="00B9342A">
        <w:rPr>
          <w:rStyle w:val="CommentReference"/>
        </w:rPr>
        <w:commentReference w:id="4"/>
      </w:r>
    </w:p>
    <w:p w14:paraId="264A07E3" w14:textId="77777777" w:rsidR="00222502" w:rsidRDefault="00222502"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A total of 20 LAB isolates were recovered from milk and curd samples using MRS agar. All isolates showed typical LAB characteristics, including Gram-positive staining, characteristic cell morphology, and carbohydrate fermentation. Lactobacillus was predominant (10 isolates; 50%), followed by Lactococcus (7; 35%), Enterococcus (2; 10%), and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(1; 5%). This diversity reflects the suitability of milk and fermented dairy products as sources of LAB. </w:t>
      </w:r>
      <w:r w:rsidR="0000667B">
        <w:rPr>
          <w:rFonts w:ascii="Arial" w:hAnsi="Arial" w:cs="Arial"/>
          <w:sz w:val="20"/>
          <w:szCs w:val="20"/>
        </w:rPr>
        <w:t xml:space="preserve">In this study, LAB isolates were identified with culture characterization, staining and sugar fermentation and result was tabulated in Table.1. </w:t>
      </w:r>
      <w:r w:rsidRPr="00186746">
        <w:rPr>
          <w:rFonts w:ascii="Arial" w:hAnsi="Arial" w:cs="Arial"/>
          <w:sz w:val="20"/>
          <w:szCs w:val="20"/>
        </w:rPr>
        <w:t xml:space="preserve">The predominance of Lactobacillus agrees with previous reports. </w:t>
      </w:r>
      <w:proofErr w:type="spellStart"/>
      <w:r w:rsidRPr="00186746">
        <w:rPr>
          <w:rFonts w:ascii="Arial" w:hAnsi="Arial" w:cs="Arial"/>
          <w:sz w:val="20"/>
          <w:szCs w:val="20"/>
        </w:rPr>
        <w:t>Bintsis</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w:t>
      </w:r>
      <w:r w:rsidR="00206251">
        <w:rPr>
          <w:rFonts w:ascii="Arial" w:hAnsi="Arial" w:cs="Arial"/>
          <w:sz w:val="20"/>
          <w:szCs w:val="20"/>
        </w:rPr>
        <w:t>18</w:t>
      </w:r>
      <w:r w:rsidRPr="00186746">
        <w:rPr>
          <w:rFonts w:ascii="Arial" w:hAnsi="Arial" w:cs="Arial"/>
          <w:sz w:val="20"/>
          <w:szCs w:val="20"/>
        </w:rPr>
        <w:t xml:space="preserve">) and </w:t>
      </w:r>
      <w:proofErr w:type="spellStart"/>
      <w:r w:rsidR="007F3C89" w:rsidRPr="007F3C89">
        <w:rPr>
          <w:rFonts w:ascii="Arial" w:hAnsi="Arial" w:cs="Arial"/>
          <w:sz w:val="20"/>
          <w:szCs w:val="20"/>
        </w:rPr>
        <w:t>Tafvizi</w:t>
      </w:r>
      <w:proofErr w:type="spellEnd"/>
      <w:r w:rsidR="007F3C89">
        <w:t xml:space="preserve"> </w:t>
      </w:r>
      <w:r w:rsidR="00186746" w:rsidRPr="00186746">
        <w:rPr>
          <w:rFonts w:ascii="Arial" w:hAnsi="Arial" w:cs="Arial"/>
          <w:i/>
          <w:sz w:val="20"/>
          <w:szCs w:val="20"/>
        </w:rPr>
        <w:t>et al</w:t>
      </w:r>
      <w:r w:rsidRPr="00186746">
        <w:rPr>
          <w:rFonts w:ascii="Arial" w:hAnsi="Arial" w:cs="Arial"/>
          <w:sz w:val="20"/>
          <w:szCs w:val="20"/>
        </w:rPr>
        <w:t>. (20</w:t>
      </w:r>
      <w:r w:rsidR="001753D0" w:rsidRPr="00186746">
        <w:rPr>
          <w:rFonts w:ascii="Arial" w:hAnsi="Arial" w:cs="Arial"/>
          <w:sz w:val="20"/>
          <w:szCs w:val="20"/>
        </w:rPr>
        <w:t>12</w:t>
      </w:r>
      <w:r w:rsidRPr="00186746">
        <w:rPr>
          <w:rFonts w:ascii="Arial" w:hAnsi="Arial" w:cs="Arial"/>
          <w:sz w:val="20"/>
          <w:szCs w:val="20"/>
        </w:rPr>
        <w:t xml:space="preserve">) reported Lactobacillus, Lactococcus,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and Enterococcus among LAB isolated from dairy products, with Lactobacillus frequently occurring as a dominant group. Similarly, </w:t>
      </w:r>
      <w:r w:rsidR="001753D0" w:rsidRPr="00186746">
        <w:rPr>
          <w:rFonts w:ascii="Arial" w:hAnsi="Arial" w:cs="Arial"/>
          <w:sz w:val="20"/>
          <w:szCs w:val="20"/>
        </w:rPr>
        <w:t>Balamurugan</w:t>
      </w:r>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(2014) reported a high proportion of lactobacilli in homemade curd from southern India. Krishnaveni </w:t>
      </w:r>
      <w:r w:rsidR="00186746" w:rsidRPr="00186746">
        <w:rPr>
          <w:rFonts w:ascii="Arial" w:hAnsi="Arial" w:cs="Arial"/>
          <w:i/>
          <w:sz w:val="20"/>
          <w:szCs w:val="20"/>
        </w:rPr>
        <w:t>et al</w:t>
      </w:r>
      <w:r w:rsidRPr="00186746">
        <w:rPr>
          <w:rFonts w:ascii="Arial" w:hAnsi="Arial" w:cs="Arial"/>
          <w:sz w:val="20"/>
          <w:szCs w:val="20"/>
        </w:rPr>
        <w:t xml:space="preserve">. (2020) also identified Lactobacillus, </w:t>
      </w:r>
      <w:proofErr w:type="spellStart"/>
      <w:r w:rsidRPr="00186746">
        <w:rPr>
          <w:rFonts w:ascii="Arial" w:hAnsi="Arial" w:cs="Arial"/>
          <w:sz w:val="20"/>
          <w:szCs w:val="20"/>
        </w:rPr>
        <w:t>Leuconostoc</w:t>
      </w:r>
      <w:proofErr w:type="spellEnd"/>
      <w:r w:rsidRPr="00186746">
        <w:rPr>
          <w:rFonts w:ascii="Arial" w:hAnsi="Arial" w:cs="Arial"/>
          <w:sz w:val="20"/>
          <w:szCs w:val="20"/>
        </w:rPr>
        <w:t>, and Enterococcus from traditional curd samples collected in Tamil Nadu.</w:t>
      </w:r>
    </w:p>
    <w:p w14:paraId="011D62DD" w14:textId="77777777" w:rsidR="00C54D67" w:rsidRPr="00186746" w:rsidRDefault="00C54D67" w:rsidP="00B55DC3">
      <w:pPr>
        <w:pStyle w:val="PlainText"/>
        <w:spacing w:line="276" w:lineRule="auto"/>
        <w:ind w:firstLine="720"/>
        <w:jc w:val="both"/>
        <w:rPr>
          <w:rFonts w:ascii="Arial" w:hAnsi="Arial" w:cs="Arial"/>
          <w:sz w:val="20"/>
          <w:szCs w:val="20"/>
        </w:rPr>
      </w:pPr>
    </w:p>
    <w:p w14:paraId="5F667221" w14:textId="77777777" w:rsidR="00222502" w:rsidRPr="00186746" w:rsidRDefault="00222502"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The occurrence of Lactococcus, Enterococcus, and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in lower proportions is consistent with their reported presence in milk and fermented dairy products (Zamfir </w:t>
      </w:r>
      <w:r w:rsidR="00186746" w:rsidRPr="00186746">
        <w:rPr>
          <w:rFonts w:ascii="Arial" w:hAnsi="Arial" w:cs="Arial"/>
          <w:i/>
          <w:sz w:val="20"/>
          <w:szCs w:val="20"/>
        </w:rPr>
        <w:t>et al</w:t>
      </w:r>
      <w:r w:rsidRPr="00186746">
        <w:rPr>
          <w:rFonts w:ascii="Arial" w:hAnsi="Arial" w:cs="Arial"/>
          <w:sz w:val="20"/>
          <w:szCs w:val="20"/>
        </w:rPr>
        <w:t xml:space="preserve">., 2006; </w:t>
      </w:r>
      <w:proofErr w:type="spellStart"/>
      <w:r w:rsidRPr="00186746">
        <w:rPr>
          <w:rFonts w:ascii="Arial" w:hAnsi="Arial" w:cs="Arial"/>
          <w:sz w:val="20"/>
          <w:szCs w:val="20"/>
        </w:rPr>
        <w:t>Joishy</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2019). The predominance of rod-shaped Lactobacillus may be associated with their adaptation to the carbohydrate-rich and acidic conditions of fermented dairy products. Overall, the isolated LAB population provides a suitable source for further screening and identification of potential bacteriocin-producing strains.</w:t>
      </w:r>
    </w:p>
    <w:p w14:paraId="78353E84" w14:textId="77777777" w:rsidR="00B013A3" w:rsidRDefault="00B013A3" w:rsidP="0000667B">
      <w:pPr>
        <w:pStyle w:val="PlainText"/>
        <w:spacing w:line="276" w:lineRule="auto"/>
        <w:ind w:firstLine="720"/>
        <w:jc w:val="both"/>
        <w:rPr>
          <w:rFonts w:ascii="Arial" w:hAnsi="Arial" w:cs="Arial"/>
          <w:sz w:val="20"/>
          <w:szCs w:val="20"/>
        </w:rPr>
        <w:sectPr w:rsidR="00B013A3" w:rsidSect="00186746">
          <w:headerReference w:type="even" r:id="rId11"/>
          <w:headerReference w:type="default" r:id="rId12"/>
          <w:footerReference w:type="even" r:id="rId13"/>
          <w:footerReference w:type="default" r:id="rId14"/>
          <w:headerReference w:type="first" r:id="rId15"/>
          <w:footerReference w:type="first" r:id="rId16"/>
          <w:pgSz w:w="11906" w:h="16838"/>
          <w:pgMar w:top="1440" w:right="1335" w:bottom="1440" w:left="1334" w:header="708" w:footer="708" w:gutter="0"/>
          <w:cols w:space="708"/>
          <w:docGrid w:linePitch="360"/>
        </w:sectPr>
      </w:pPr>
    </w:p>
    <w:p w14:paraId="2DAC5427" w14:textId="77777777" w:rsidR="00186746" w:rsidRDefault="00186746" w:rsidP="0000667B">
      <w:pPr>
        <w:pStyle w:val="PlainText"/>
        <w:spacing w:line="276" w:lineRule="auto"/>
        <w:jc w:val="both"/>
        <w:rPr>
          <w:rFonts w:ascii="Arial" w:hAnsi="Arial" w:cs="Arial"/>
          <w:sz w:val="20"/>
          <w:szCs w:val="20"/>
        </w:rPr>
      </w:pPr>
    </w:p>
    <w:p w14:paraId="47251BEF" w14:textId="77777777" w:rsidR="00186746" w:rsidRDefault="0000667B" w:rsidP="0000667B">
      <w:pPr>
        <w:pStyle w:val="PlainText"/>
        <w:spacing w:line="276" w:lineRule="auto"/>
        <w:jc w:val="center"/>
        <w:rPr>
          <w:rFonts w:ascii="Arial" w:hAnsi="Arial" w:cs="Arial"/>
          <w:b/>
          <w:sz w:val="20"/>
          <w:szCs w:val="20"/>
        </w:rPr>
      </w:pPr>
      <w:r w:rsidRPr="0000667B">
        <w:rPr>
          <w:rFonts w:ascii="Arial" w:hAnsi="Arial" w:cs="Arial"/>
          <w:b/>
          <w:sz w:val="20"/>
          <w:szCs w:val="20"/>
        </w:rPr>
        <w:t>Table . 1. Colony morphology and sugar fermentation of lactic acid bacteria</w:t>
      </w:r>
    </w:p>
    <w:p w14:paraId="75AD6967" w14:textId="77777777" w:rsidR="00B013A3" w:rsidRPr="0000667B" w:rsidRDefault="00B013A3" w:rsidP="0000667B">
      <w:pPr>
        <w:pStyle w:val="PlainText"/>
        <w:spacing w:line="276" w:lineRule="auto"/>
        <w:jc w:val="center"/>
        <w:rPr>
          <w:rFonts w:ascii="Arial" w:hAnsi="Arial" w:cs="Arial"/>
          <w:b/>
          <w:sz w:val="20"/>
          <w:szCs w:val="20"/>
        </w:rPr>
      </w:pPr>
    </w:p>
    <w:tbl>
      <w:tblPr>
        <w:tblW w:w="14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880"/>
        <w:gridCol w:w="1594"/>
        <w:gridCol w:w="742"/>
        <w:gridCol w:w="1683"/>
        <w:gridCol w:w="1694"/>
        <w:gridCol w:w="4001"/>
        <w:gridCol w:w="507"/>
        <w:gridCol w:w="616"/>
        <w:gridCol w:w="463"/>
        <w:gridCol w:w="462"/>
        <w:gridCol w:w="616"/>
        <w:gridCol w:w="615"/>
        <w:gridCol w:w="615"/>
      </w:tblGrid>
      <w:tr w:rsidR="00186746" w:rsidRPr="00186746" w14:paraId="6E87E49D" w14:textId="77777777" w:rsidTr="00186746">
        <w:trPr>
          <w:trHeight w:val="577"/>
          <w:tblHeader/>
          <w:jc w:val="center"/>
        </w:trPr>
        <w:tc>
          <w:tcPr>
            <w:tcW w:w="880" w:type="dxa"/>
            <w:shd w:val="clear" w:color="auto" w:fill="FFFFFF" w:themeFill="background1"/>
            <w:tcMar>
              <w:top w:w="80" w:type="dxa"/>
              <w:left w:w="80" w:type="dxa"/>
              <w:bottom w:w="80" w:type="dxa"/>
              <w:right w:w="80" w:type="dxa"/>
            </w:tcMar>
            <w:vAlign w:val="center"/>
          </w:tcPr>
          <w:p w14:paraId="18B17C7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Isolate</w:t>
            </w:r>
          </w:p>
        </w:tc>
        <w:tc>
          <w:tcPr>
            <w:tcW w:w="1594" w:type="dxa"/>
            <w:shd w:val="clear" w:color="auto" w:fill="FFFFFF" w:themeFill="background1"/>
            <w:tcMar>
              <w:top w:w="80" w:type="dxa"/>
              <w:left w:w="80" w:type="dxa"/>
              <w:bottom w:w="80" w:type="dxa"/>
              <w:right w:w="80" w:type="dxa"/>
            </w:tcMar>
            <w:vAlign w:val="center"/>
          </w:tcPr>
          <w:p w14:paraId="6C01D3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LAB Genus</w:t>
            </w:r>
          </w:p>
        </w:tc>
        <w:tc>
          <w:tcPr>
            <w:tcW w:w="742" w:type="dxa"/>
            <w:shd w:val="clear" w:color="auto" w:fill="FFFFFF" w:themeFill="background1"/>
            <w:tcMar>
              <w:top w:w="80" w:type="dxa"/>
              <w:left w:w="80" w:type="dxa"/>
              <w:bottom w:w="80" w:type="dxa"/>
              <w:right w:w="80" w:type="dxa"/>
            </w:tcMar>
            <w:vAlign w:val="center"/>
          </w:tcPr>
          <w:p w14:paraId="1D0E4FC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Gram</w:t>
            </w:r>
          </w:p>
        </w:tc>
        <w:tc>
          <w:tcPr>
            <w:tcW w:w="1683" w:type="dxa"/>
            <w:shd w:val="clear" w:color="auto" w:fill="FFFFFF" w:themeFill="background1"/>
            <w:tcMar>
              <w:top w:w="80" w:type="dxa"/>
              <w:left w:w="80" w:type="dxa"/>
              <w:bottom w:w="80" w:type="dxa"/>
              <w:right w:w="80" w:type="dxa"/>
            </w:tcMar>
            <w:vAlign w:val="center"/>
          </w:tcPr>
          <w:p w14:paraId="4917E34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Cell morphology</w:t>
            </w:r>
          </w:p>
        </w:tc>
        <w:tc>
          <w:tcPr>
            <w:tcW w:w="1694" w:type="dxa"/>
            <w:shd w:val="clear" w:color="auto" w:fill="FFFFFF" w:themeFill="background1"/>
            <w:tcMar>
              <w:top w:w="80" w:type="dxa"/>
              <w:left w:w="80" w:type="dxa"/>
              <w:bottom w:w="80" w:type="dxa"/>
              <w:right w:w="80" w:type="dxa"/>
            </w:tcMar>
            <w:vAlign w:val="center"/>
          </w:tcPr>
          <w:p w14:paraId="347808E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 xml:space="preserve">Colony </w:t>
            </w:r>
            <w:proofErr w:type="spellStart"/>
            <w:r w:rsidRPr="00186746">
              <w:rPr>
                <w:rFonts w:ascii="Arial" w:hAnsi="Arial" w:cs="Arial"/>
                <w:b/>
                <w:bCs/>
                <w:sz w:val="20"/>
                <w:szCs w:val="20"/>
              </w:rPr>
              <w:t>color</w:t>
            </w:r>
            <w:proofErr w:type="spellEnd"/>
          </w:p>
        </w:tc>
        <w:tc>
          <w:tcPr>
            <w:tcW w:w="4001" w:type="dxa"/>
            <w:shd w:val="clear" w:color="auto" w:fill="FFFFFF" w:themeFill="background1"/>
            <w:tcMar>
              <w:top w:w="80" w:type="dxa"/>
              <w:left w:w="80" w:type="dxa"/>
              <w:bottom w:w="80" w:type="dxa"/>
              <w:right w:w="80" w:type="dxa"/>
            </w:tcMar>
            <w:vAlign w:val="center"/>
          </w:tcPr>
          <w:p w14:paraId="7BF9FFB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Colony appearance</w:t>
            </w:r>
          </w:p>
        </w:tc>
        <w:tc>
          <w:tcPr>
            <w:tcW w:w="507" w:type="dxa"/>
            <w:shd w:val="clear" w:color="auto" w:fill="FFFFFF" w:themeFill="background1"/>
            <w:tcMar>
              <w:top w:w="80" w:type="dxa"/>
              <w:left w:w="80" w:type="dxa"/>
              <w:bottom w:w="80" w:type="dxa"/>
              <w:right w:w="80" w:type="dxa"/>
            </w:tcMar>
            <w:vAlign w:val="center"/>
          </w:tcPr>
          <w:p w14:paraId="40D34C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S</w:t>
            </w:r>
          </w:p>
        </w:tc>
        <w:tc>
          <w:tcPr>
            <w:tcW w:w="616" w:type="dxa"/>
            <w:shd w:val="clear" w:color="auto" w:fill="FFFFFF" w:themeFill="background1"/>
            <w:tcMar>
              <w:top w:w="80" w:type="dxa"/>
              <w:left w:w="80" w:type="dxa"/>
              <w:bottom w:w="80" w:type="dxa"/>
              <w:right w:w="80" w:type="dxa"/>
            </w:tcMar>
            <w:vAlign w:val="center"/>
          </w:tcPr>
          <w:p w14:paraId="053BAE5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MA</w:t>
            </w:r>
          </w:p>
        </w:tc>
        <w:tc>
          <w:tcPr>
            <w:tcW w:w="463" w:type="dxa"/>
            <w:shd w:val="clear" w:color="auto" w:fill="FFFFFF" w:themeFill="background1"/>
            <w:tcMar>
              <w:top w:w="80" w:type="dxa"/>
              <w:left w:w="80" w:type="dxa"/>
              <w:bottom w:w="80" w:type="dxa"/>
              <w:right w:w="80" w:type="dxa"/>
            </w:tcMar>
            <w:vAlign w:val="center"/>
          </w:tcPr>
          <w:p w14:paraId="5D9D067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L</w:t>
            </w:r>
          </w:p>
        </w:tc>
        <w:tc>
          <w:tcPr>
            <w:tcW w:w="462" w:type="dxa"/>
            <w:shd w:val="clear" w:color="auto" w:fill="FFFFFF" w:themeFill="background1"/>
            <w:tcMar>
              <w:top w:w="80" w:type="dxa"/>
              <w:left w:w="80" w:type="dxa"/>
              <w:bottom w:w="80" w:type="dxa"/>
              <w:right w:w="80" w:type="dxa"/>
            </w:tcMar>
            <w:vAlign w:val="center"/>
          </w:tcPr>
          <w:p w14:paraId="6C0D030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M</w:t>
            </w:r>
          </w:p>
        </w:tc>
        <w:tc>
          <w:tcPr>
            <w:tcW w:w="616" w:type="dxa"/>
            <w:shd w:val="clear" w:color="auto" w:fill="FFFFFF" w:themeFill="background1"/>
            <w:tcMar>
              <w:top w:w="80" w:type="dxa"/>
              <w:left w:w="80" w:type="dxa"/>
              <w:bottom w:w="80" w:type="dxa"/>
              <w:right w:w="80" w:type="dxa"/>
            </w:tcMar>
            <w:vAlign w:val="center"/>
          </w:tcPr>
          <w:p w14:paraId="4A3A058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GA</w:t>
            </w:r>
          </w:p>
        </w:tc>
        <w:tc>
          <w:tcPr>
            <w:tcW w:w="615" w:type="dxa"/>
            <w:shd w:val="clear" w:color="auto" w:fill="FFFFFF" w:themeFill="background1"/>
            <w:tcMar>
              <w:top w:w="80" w:type="dxa"/>
              <w:left w:w="80" w:type="dxa"/>
              <w:bottom w:w="80" w:type="dxa"/>
              <w:right w:w="80" w:type="dxa"/>
            </w:tcMar>
            <w:vAlign w:val="center"/>
          </w:tcPr>
          <w:p w14:paraId="2EF3BC2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w:t>
            </w:r>
          </w:p>
        </w:tc>
        <w:tc>
          <w:tcPr>
            <w:tcW w:w="615" w:type="dxa"/>
            <w:shd w:val="clear" w:color="auto" w:fill="FFFFFF" w:themeFill="background1"/>
            <w:tcMar>
              <w:top w:w="80" w:type="dxa"/>
              <w:left w:w="80" w:type="dxa"/>
              <w:bottom w:w="80" w:type="dxa"/>
              <w:right w:w="80" w:type="dxa"/>
            </w:tcMar>
            <w:vAlign w:val="center"/>
          </w:tcPr>
          <w:p w14:paraId="5786EE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X</w:t>
            </w:r>
          </w:p>
        </w:tc>
      </w:tr>
      <w:tr w:rsidR="00186746" w:rsidRPr="00186746" w14:paraId="01BB8B86" w14:textId="77777777" w:rsidTr="009B7335">
        <w:trPr>
          <w:trHeight w:val="373"/>
          <w:jc w:val="center"/>
        </w:trPr>
        <w:tc>
          <w:tcPr>
            <w:tcW w:w="880" w:type="dxa"/>
            <w:shd w:val="clear" w:color="auto" w:fill="FFFFFF" w:themeFill="background1"/>
            <w:tcMar>
              <w:top w:w="60" w:type="dxa"/>
              <w:left w:w="80" w:type="dxa"/>
              <w:bottom w:w="60" w:type="dxa"/>
              <w:right w:w="80" w:type="dxa"/>
            </w:tcMar>
            <w:vAlign w:val="center"/>
          </w:tcPr>
          <w:p w14:paraId="6E5A4C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w:t>
            </w:r>
          </w:p>
        </w:tc>
        <w:tc>
          <w:tcPr>
            <w:tcW w:w="1594" w:type="dxa"/>
            <w:shd w:val="clear" w:color="auto" w:fill="FFFFFF" w:themeFill="background1"/>
            <w:tcMar>
              <w:top w:w="60" w:type="dxa"/>
              <w:left w:w="80" w:type="dxa"/>
              <w:bottom w:w="60" w:type="dxa"/>
              <w:right w:w="80" w:type="dxa"/>
            </w:tcMar>
            <w:vAlign w:val="center"/>
          </w:tcPr>
          <w:p w14:paraId="1945FD8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2D1C37B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E92B4E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4D3410E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61799D8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 along streak lines</w:t>
            </w:r>
          </w:p>
        </w:tc>
        <w:tc>
          <w:tcPr>
            <w:tcW w:w="507" w:type="dxa"/>
            <w:shd w:val="clear" w:color="auto" w:fill="FFFFFF" w:themeFill="background1"/>
            <w:tcMar>
              <w:top w:w="60" w:type="dxa"/>
              <w:left w:w="80" w:type="dxa"/>
              <w:bottom w:w="60" w:type="dxa"/>
              <w:right w:w="80" w:type="dxa"/>
            </w:tcMar>
            <w:vAlign w:val="center"/>
          </w:tcPr>
          <w:p w14:paraId="119DFB1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4B5BB0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AD3EA8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EDA37A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95FB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8DB64C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3B7155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B3663B1" w14:textId="77777777" w:rsidTr="009B7335">
        <w:trPr>
          <w:trHeight w:val="295"/>
          <w:jc w:val="center"/>
        </w:trPr>
        <w:tc>
          <w:tcPr>
            <w:tcW w:w="880" w:type="dxa"/>
            <w:shd w:val="clear" w:color="auto" w:fill="FFFFFF" w:themeFill="background1"/>
            <w:tcMar>
              <w:top w:w="60" w:type="dxa"/>
              <w:left w:w="80" w:type="dxa"/>
              <w:bottom w:w="60" w:type="dxa"/>
              <w:right w:w="80" w:type="dxa"/>
            </w:tcMar>
            <w:vAlign w:val="center"/>
          </w:tcPr>
          <w:p w14:paraId="12E4350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2</w:t>
            </w:r>
          </w:p>
        </w:tc>
        <w:tc>
          <w:tcPr>
            <w:tcW w:w="1594" w:type="dxa"/>
            <w:shd w:val="clear" w:color="auto" w:fill="FFFFFF" w:themeFill="background1"/>
            <w:tcMar>
              <w:top w:w="60" w:type="dxa"/>
              <w:left w:w="80" w:type="dxa"/>
              <w:bottom w:w="60" w:type="dxa"/>
              <w:right w:w="80" w:type="dxa"/>
            </w:tcMar>
            <w:vAlign w:val="center"/>
          </w:tcPr>
          <w:p w14:paraId="57D2FA8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3E0F0B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780869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18B8E37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07FC23E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6EFB1C0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270209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29E790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6494C7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AB34C9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B8DBB8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75F39B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18945C2" w14:textId="77777777" w:rsidTr="009B7335">
        <w:trPr>
          <w:trHeight w:val="287"/>
          <w:jc w:val="center"/>
        </w:trPr>
        <w:tc>
          <w:tcPr>
            <w:tcW w:w="880" w:type="dxa"/>
            <w:shd w:val="clear" w:color="auto" w:fill="FFFFFF" w:themeFill="background1"/>
            <w:tcMar>
              <w:top w:w="60" w:type="dxa"/>
              <w:left w:w="80" w:type="dxa"/>
              <w:bottom w:w="60" w:type="dxa"/>
              <w:right w:w="80" w:type="dxa"/>
            </w:tcMar>
            <w:vAlign w:val="center"/>
          </w:tcPr>
          <w:p w14:paraId="709B764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3</w:t>
            </w:r>
          </w:p>
        </w:tc>
        <w:tc>
          <w:tcPr>
            <w:tcW w:w="1594" w:type="dxa"/>
            <w:shd w:val="clear" w:color="auto" w:fill="FFFFFF" w:themeFill="background1"/>
            <w:tcMar>
              <w:top w:w="60" w:type="dxa"/>
              <w:left w:w="80" w:type="dxa"/>
              <w:bottom w:w="60" w:type="dxa"/>
              <w:right w:w="80" w:type="dxa"/>
            </w:tcMar>
            <w:vAlign w:val="center"/>
          </w:tcPr>
          <w:p w14:paraId="17169C0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96C7E9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241AD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1CA6A2B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3FBBF1F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283F254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98672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5E0CB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BDA19B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91A89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A1721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45A916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44800F2" w14:textId="77777777" w:rsidTr="009B7335">
        <w:trPr>
          <w:trHeight w:val="307"/>
          <w:jc w:val="center"/>
        </w:trPr>
        <w:tc>
          <w:tcPr>
            <w:tcW w:w="880" w:type="dxa"/>
            <w:shd w:val="clear" w:color="auto" w:fill="FFFFFF" w:themeFill="background1"/>
            <w:tcMar>
              <w:top w:w="60" w:type="dxa"/>
              <w:left w:w="80" w:type="dxa"/>
              <w:bottom w:w="60" w:type="dxa"/>
              <w:right w:w="80" w:type="dxa"/>
            </w:tcMar>
            <w:vAlign w:val="center"/>
          </w:tcPr>
          <w:p w14:paraId="4A45EA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4</w:t>
            </w:r>
          </w:p>
        </w:tc>
        <w:tc>
          <w:tcPr>
            <w:tcW w:w="1594" w:type="dxa"/>
            <w:shd w:val="clear" w:color="auto" w:fill="FFFFFF" w:themeFill="background1"/>
            <w:tcMar>
              <w:top w:w="60" w:type="dxa"/>
              <w:left w:w="80" w:type="dxa"/>
              <w:bottom w:w="60" w:type="dxa"/>
              <w:right w:w="80" w:type="dxa"/>
            </w:tcMar>
            <w:vAlign w:val="center"/>
          </w:tcPr>
          <w:p w14:paraId="773F7EA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9EC02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4E16832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0B293B6"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6DD9827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4C6EBE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F8C92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EEE39F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432695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D00C3D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165EBA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E0DD8E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27E6FED3" w14:textId="77777777" w:rsidTr="009B7335">
        <w:trPr>
          <w:trHeight w:val="299"/>
          <w:jc w:val="center"/>
        </w:trPr>
        <w:tc>
          <w:tcPr>
            <w:tcW w:w="880" w:type="dxa"/>
            <w:shd w:val="clear" w:color="auto" w:fill="FFFFFF" w:themeFill="background1"/>
            <w:tcMar>
              <w:top w:w="60" w:type="dxa"/>
              <w:left w:w="80" w:type="dxa"/>
              <w:bottom w:w="60" w:type="dxa"/>
              <w:right w:w="80" w:type="dxa"/>
            </w:tcMar>
            <w:vAlign w:val="center"/>
          </w:tcPr>
          <w:p w14:paraId="39591FA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5</w:t>
            </w:r>
          </w:p>
        </w:tc>
        <w:tc>
          <w:tcPr>
            <w:tcW w:w="1594" w:type="dxa"/>
            <w:shd w:val="clear" w:color="auto" w:fill="FFFFFF" w:themeFill="background1"/>
            <w:tcMar>
              <w:top w:w="60" w:type="dxa"/>
              <w:left w:w="80" w:type="dxa"/>
              <w:bottom w:w="60" w:type="dxa"/>
              <w:right w:w="80" w:type="dxa"/>
            </w:tcMar>
            <w:vAlign w:val="center"/>
          </w:tcPr>
          <w:p w14:paraId="2B1F238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64A3BD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8B06D7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2363487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32E0C55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73FF83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C76105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85CC3D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9D14B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D50CD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FD6E46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2043EB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FD86D58" w14:textId="77777777" w:rsidTr="009B7335">
        <w:trPr>
          <w:trHeight w:val="291"/>
          <w:jc w:val="center"/>
        </w:trPr>
        <w:tc>
          <w:tcPr>
            <w:tcW w:w="880" w:type="dxa"/>
            <w:shd w:val="clear" w:color="auto" w:fill="FFFFFF" w:themeFill="background1"/>
            <w:tcMar>
              <w:top w:w="60" w:type="dxa"/>
              <w:left w:w="80" w:type="dxa"/>
              <w:bottom w:w="60" w:type="dxa"/>
              <w:right w:w="80" w:type="dxa"/>
            </w:tcMar>
            <w:vAlign w:val="center"/>
          </w:tcPr>
          <w:p w14:paraId="63CAA05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6</w:t>
            </w:r>
          </w:p>
        </w:tc>
        <w:tc>
          <w:tcPr>
            <w:tcW w:w="1594" w:type="dxa"/>
            <w:shd w:val="clear" w:color="auto" w:fill="FFFFFF" w:themeFill="background1"/>
            <w:tcMar>
              <w:top w:w="60" w:type="dxa"/>
              <w:left w:w="80" w:type="dxa"/>
              <w:bottom w:w="60" w:type="dxa"/>
              <w:right w:w="80" w:type="dxa"/>
            </w:tcMar>
            <w:vAlign w:val="center"/>
          </w:tcPr>
          <w:p w14:paraId="6F772D6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A16DBC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9F9729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21AF331A"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5948312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w:t>
            </w:r>
          </w:p>
        </w:tc>
        <w:tc>
          <w:tcPr>
            <w:tcW w:w="507" w:type="dxa"/>
            <w:shd w:val="clear" w:color="auto" w:fill="FFFFFF" w:themeFill="background1"/>
            <w:tcMar>
              <w:top w:w="60" w:type="dxa"/>
              <w:left w:w="80" w:type="dxa"/>
              <w:bottom w:w="60" w:type="dxa"/>
              <w:right w:w="80" w:type="dxa"/>
            </w:tcMar>
            <w:vAlign w:val="center"/>
          </w:tcPr>
          <w:p w14:paraId="419294A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F5DFC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39A49D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10FD13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6DAEEF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80E89D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0C9FC1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33D658C" w14:textId="77777777" w:rsidTr="009B7335">
        <w:trPr>
          <w:trHeight w:val="297"/>
          <w:jc w:val="center"/>
        </w:trPr>
        <w:tc>
          <w:tcPr>
            <w:tcW w:w="880" w:type="dxa"/>
            <w:shd w:val="clear" w:color="auto" w:fill="FFFFFF" w:themeFill="background1"/>
            <w:tcMar>
              <w:top w:w="60" w:type="dxa"/>
              <w:left w:w="80" w:type="dxa"/>
              <w:bottom w:w="60" w:type="dxa"/>
              <w:right w:w="80" w:type="dxa"/>
            </w:tcMar>
            <w:vAlign w:val="center"/>
          </w:tcPr>
          <w:p w14:paraId="2CE7C04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7</w:t>
            </w:r>
          </w:p>
        </w:tc>
        <w:tc>
          <w:tcPr>
            <w:tcW w:w="1594" w:type="dxa"/>
            <w:shd w:val="clear" w:color="auto" w:fill="FFFFFF" w:themeFill="background1"/>
            <w:tcMar>
              <w:top w:w="60" w:type="dxa"/>
              <w:left w:w="80" w:type="dxa"/>
              <w:bottom w:w="60" w:type="dxa"/>
              <w:right w:w="80" w:type="dxa"/>
            </w:tcMar>
            <w:vAlign w:val="center"/>
          </w:tcPr>
          <w:p w14:paraId="51C75E0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686FC3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2A9415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23C22B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680C68D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3F201B2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DBEE02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EAA972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6175A29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8EB32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1EFDD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A22C71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05B4B38D" w14:textId="77777777" w:rsidTr="00186746">
        <w:trPr>
          <w:trHeight w:val="295"/>
          <w:jc w:val="center"/>
        </w:trPr>
        <w:tc>
          <w:tcPr>
            <w:tcW w:w="880" w:type="dxa"/>
            <w:shd w:val="clear" w:color="auto" w:fill="FFFFFF" w:themeFill="background1"/>
            <w:tcMar>
              <w:top w:w="60" w:type="dxa"/>
              <w:left w:w="80" w:type="dxa"/>
              <w:bottom w:w="60" w:type="dxa"/>
              <w:right w:w="80" w:type="dxa"/>
            </w:tcMar>
            <w:vAlign w:val="center"/>
          </w:tcPr>
          <w:p w14:paraId="256D86A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8</w:t>
            </w:r>
          </w:p>
        </w:tc>
        <w:tc>
          <w:tcPr>
            <w:tcW w:w="1594" w:type="dxa"/>
            <w:shd w:val="clear" w:color="auto" w:fill="FFFFFF" w:themeFill="background1"/>
            <w:tcMar>
              <w:top w:w="60" w:type="dxa"/>
              <w:left w:w="80" w:type="dxa"/>
              <w:bottom w:w="60" w:type="dxa"/>
              <w:right w:w="80" w:type="dxa"/>
            </w:tcMar>
            <w:vAlign w:val="center"/>
          </w:tcPr>
          <w:p w14:paraId="75D4540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6DA80DF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32DC2E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6D9A2A7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4E5B492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Small, smooth colonies, dense growth in streaked region</w:t>
            </w:r>
          </w:p>
        </w:tc>
        <w:tc>
          <w:tcPr>
            <w:tcW w:w="507" w:type="dxa"/>
            <w:shd w:val="clear" w:color="auto" w:fill="FFFFFF" w:themeFill="background1"/>
            <w:tcMar>
              <w:top w:w="60" w:type="dxa"/>
              <w:left w:w="80" w:type="dxa"/>
              <w:bottom w:w="60" w:type="dxa"/>
              <w:right w:w="80" w:type="dxa"/>
            </w:tcMar>
            <w:vAlign w:val="center"/>
          </w:tcPr>
          <w:p w14:paraId="1F12532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D0DE8C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9A7BE5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33DAAE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FD1581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D2C9E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3D321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7CBF7DC" w14:textId="77777777" w:rsidTr="00186746">
        <w:trPr>
          <w:trHeight w:val="417"/>
          <w:jc w:val="center"/>
        </w:trPr>
        <w:tc>
          <w:tcPr>
            <w:tcW w:w="880" w:type="dxa"/>
            <w:shd w:val="clear" w:color="auto" w:fill="FFFFFF" w:themeFill="background1"/>
            <w:tcMar>
              <w:top w:w="60" w:type="dxa"/>
              <w:left w:w="80" w:type="dxa"/>
              <w:bottom w:w="60" w:type="dxa"/>
              <w:right w:w="80" w:type="dxa"/>
            </w:tcMar>
            <w:vAlign w:val="center"/>
          </w:tcPr>
          <w:p w14:paraId="0058E0F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9</w:t>
            </w:r>
          </w:p>
        </w:tc>
        <w:tc>
          <w:tcPr>
            <w:tcW w:w="1594" w:type="dxa"/>
            <w:shd w:val="clear" w:color="auto" w:fill="FFFFFF" w:themeFill="background1"/>
            <w:tcMar>
              <w:top w:w="60" w:type="dxa"/>
              <w:left w:w="80" w:type="dxa"/>
              <w:bottom w:w="60" w:type="dxa"/>
              <w:right w:w="80" w:type="dxa"/>
            </w:tcMar>
            <w:vAlign w:val="center"/>
          </w:tcPr>
          <w:p w14:paraId="6CBA6AA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69A27C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2F45A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34A5BB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6ACEE1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5335EE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71216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6C063EC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46A3AA2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FC404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DFD88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26214F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36A2D26A" w14:textId="77777777" w:rsidTr="0000667B">
        <w:trPr>
          <w:trHeight w:val="439"/>
          <w:jc w:val="center"/>
        </w:trPr>
        <w:tc>
          <w:tcPr>
            <w:tcW w:w="880" w:type="dxa"/>
            <w:shd w:val="clear" w:color="auto" w:fill="FFFFFF" w:themeFill="background1"/>
            <w:tcMar>
              <w:top w:w="60" w:type="dxa"/>
              <w:left w:w="80" w:type="dxa"/>
              <w:bottom w:w="60" w:type="dxa"/>
              <w:right w:w="80" w:type="dxa"/>
            </w:tcMar>
            <w:vAlign w:val="center"/>
          </w:tcPr>
          <w:p w14:paraId="66F0BDD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10</w:t>
            </w:r>
          </w:p>
        </w:tc>
        <w:tc>
          <w:tcPr>
            <w:tcW w:w="1594" w:type="dxa"/>
            <w:shd w:val="clear" w:color="auto" w:fill="FFFFFF" w:themeFill="background1"/>
            <w:tcMar>
              <w:top w:w="60" w:type="dxa"/>
              <w:left w:w="80" w:type="dxa"/>
              <w:bottom w:w="60" w:type="dxa"/>
              <w:right w:w="80" w:type="dxa"/>
            </w:tcMar>
            <w:vAlign w:val="center"/>
          </w:tcPr>
          <w:p w14:paraId="3CAFB1F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3B4AB71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C5F5C0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315959F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4BDE57F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colonies, some more distinct isolated colonies</w:t>
            </w:r>
          </w:p>
        </w:tc>
        <w:tc>
          <w:tcPr>
            <w:tcW w:w="507" w:type="dxa"/>
            <w:shd w:val="clear" w:color="auto" w:fill="FFFFFF" w:themeFill="background1"/>
            <w:tcMar>
              <w:top w:w="60" w:type="dxa"/>
              <w:left w:w="80" w:type="dxa"/>
              <w:bottom w:w="60" w:type="dxa"/>
              <w:right w:w="80" w:type="dxa"/>
            </w:tcMar>
            <w:vAlign w:val="center"/>
          </w:tcPr>
          <w:p w14:paraId="2BE2624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6E0D75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AB2227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3EE1CEE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7CA73C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CC8F55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479905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5AAD7CF5"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1F6EF59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11</w:t>
            </w:r>
          </w:p>
        </w:tc>
        <w:tc>
          <w:tcPr>
            <w:tcW w:w="1594" w:type="dxa"/>
            <w:shd w:val="clear" w:color="auto" w:fill="FFFFFF" w:themeFill="background1"/>
            <w:tcMar>
              <w:top w:w="60" w:type="dxa"/>
              <w:left w:w="80" w:type="dxa"/>
              <w:bottom w:w="60" w:type="dxa"/>
              <w:right w:w="80" w:type="dxa"/>
            </w:tcMar>
            <w:vAlign w:val="center"/>
          </w:tcPr>
          <w:p w14:paraId="7ECF72F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777A963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4E2B5F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786CB9A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7E1AF01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6A7A8E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AB7029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9EAC1D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E1AC8B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93FBF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C36E0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03CE1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59FE8DC" w14:textId="77777777" w:rsidTr="0000667B">
        <w:trPr>
          <w:trHeight w:val="338"/>
          <w:jc w:val="center"/>
        </w:trPr>
        <w:tc>
          <w:tcPr>
            <w:tcW w:w="880" w:type="dxa"/>
            <w:shd w:val="clear" w:color="auto" w:fill="FFFFFF" w:themeFill="background1"/>
            <w:tcMar>
              <w:top w:w="60" w:type="dxa"/>
              <w:left w:w="80" w:type="dxa"/>
              <w:bottom w:w="60" w:type="dxa"/>
              <w:right w:w="80" w:type="dxa"/>
            </w:tcMar>
            <w:vAlign w:val="center"/>
          </w:tcPr>
          <w:p w14:paraId="4C9FA6A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12</w:t>
            </w:r>
          </w:p>
        </w:tc>
        <w:tc>
          <w:tcPr>
            <w:tcW w:w="1594" w:type="dxa"/>
            <w:shd w:val="clear" w:color="auto" w:fill="FFFFFF" w:themeFill="background1"/>
            <w:tcMar>
              <w:top w:w="60" w:type="dxa"/>
              <w:left w:w="80" w:type="dxa"/>
              <w:bottom w:w="60" w:type="dxa"/>
              <w:right w:w="80" w:type="dxa"/>
            </w:tcMar>
            <w:vAlign w:val="center"/>
          </w:tcPr>
          <w:p w14:paraId="23C96B33"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 xml:space="preserve">Lactobacillus </w:t>
            </w:r>
          </w:p>
        </w:tc>
        <w:tc>
          <w:tcPr>
            <w:tcW w:w="742" w:type="dxa"/>
            <w:shd w:val="clear" w:color="auto" w:fill="FFFFFF" w:themeFill="background1"/>
            <w:tcMar>
              <w:top w:w="60" w:type="dxa"/>
              <w:left w:w="80" w:type="dxa"/>
              <w:bottom w:w="60" w:type="dxa"/>
              <w:right w:w="80" w:type="dxa"/>
            </w:tcMar>
            <w:vAlign w:val="center"/>
          </w:tcPr>
          <w:p w14:paraId="01225A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DE916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20C786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0373113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Large, thick, opaque colonies; some irregular growth</w:t>
            </w:r>
          </w:p>
        </w:tc>
        <w:tc>
          <w:tcPr>
            <w:tcW w:w="507" w:type="dxa"/>
            <w:shd w:val="clear" w:color="auto" w:fill="FFFFFF" w:themeFill="background1"/>
            <w:tcMar>
              <w:top w:w="60" w:type="dxa"/>
              <w:left w:w="80" w:type="dxa"/>
              <w:bottom w:w="60" w:type="dxa"/>
              <w:right w:w="80" w:type="dxa"/>
            </w:tcMar>
            <w:vAlign w:val="center"/>
          </w:tcPr>
          <w:p w14:paraId="706869B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0ACAE4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BA657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7653F7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23FD01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51E7D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4DAFA02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0A4B12A"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2B520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13</w:t>
            </w:r>
          </w:p>
        </w:tc>
        <w:tc>
          <w:tcPr>
            <w:tcW w:w="1594" w:type="dxa"/>
            <w:shd w:val="clear" w:color="auto" w:fill="FFFFFF" w:themeFill="background1"/>
            <w:tcMar>
              <w:top w:w="60" w:type="dxa"/>
              <w:left w:w="80" w:type="dxa"/>
              <w:bottom w:w="60" w:type="dxa"/>
              <w:right w:w="80" w:type="dxa"/>
            </w:tcMar>
            <w:vAlign w:val="center"/>
          </w:tcPr>
          <w:p w14:paraId="39BE131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Enterococcus</w:t>
            </w:r>
          </w:p>
        </w:tc>
        <w:tc>
          <w:tcPr>
            <w:tcW w:w="742" w:type="dxa"/>
            <w:shd w:val="clear" w:color="auto" w:fill="FFFFFF" w:themeFill="background1"/>
            <w:tcMar>
              <w:top w:w="60" w:type="dxa"/>
              <w:left w:w="80" w:type="dxa"/>
              <w:bottom w:w="60" w:type="dxa"/>
              <w:right w:w="80" w:type="dxa"/>
            </w:tcMar>
            <w:vAlign w:val="center"/>
          </w:tcPr>
          <w:p w14:paraId="4BEF737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C2E27E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1BC8F5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49D3198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42880B1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81F500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644DACA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2E55E9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6B35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FE7BDE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86C5FD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2E11696"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192D62B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14</w:t>
            </w:r>
          </w:p>
        </w:tc>
        <w:tc>
          <w:tcPr>
            <w:tcW w:w="1594" w:type="dxa"/>
            <w:shd w:val="clear" w:color="auto" w:fill="FFFFFF" w:themeFill="background1"/>
            <w:tcMar>
              <w:top w:w="60" w:type="dxa"/>
              <w:left w:w="80" w:type="dxa"/>
              <w:bottom w:w="60" w:type="dxa"/>
              <w:right w:w="80" w:type="dxa"/>
            </w:tcMar>
            <w:vAlign w:val="center"/>
          </w:tcPr>
          <w:p w14:paraId="7D31B543"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 xml:space="preserve">Lactobacillus </w:t>
            </w:r>
          </w:p>
        </w:tc>
        <w:tc>
          <w:tcPr>
            <w:tcW w:w="742" w:type="dxa"/>
            <w:shd w:val="clear" w:color="auto" w:fill="FFFFFF" w:themeFill="background1"/>
            <w:tcMar>
              <w:top w:w="60" w:type="dxa"/>
              <w:left w:w="80" w:type="dxa"/>
              <w:bottom w:w="60" w:type="dxa"/>
              <w:right w:w="80" w:type="dxa"/>
            </w:tcMar>
            <w:vAlign w:val="center"/>
          </w:tcPr>
          <w:p w14:paraId="7703CBE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7B2C48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502A0D8A"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78563E3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1F9D06E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61F177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1D550D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F8AD2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BAF9C3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B07C25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3B85D5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2F75E377"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02C65B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15</w:t>
            </w:r>
          </w:p>
        </w:tc>
        <w:tc>
          <w:tcPr>
            <w:tcW w:w="1594" w:type="dxa"/>
            <w:shd w:val="clear" w:color="auto" w:fill="FFFFFF" w:themeFill="background1"/>
            <w:tcMar>
              <w:top w:w="60" w:type="dxa"/>
              <w:left w:w="80" w:type="dxa"/>
              <w:bottom w:w="60" w:type="dxa"/>
              <w:right w:w="80" w:type="dxa"/>
            </w:tcMar>
            <w:vAlign w:val="center"/>
          </w:tcPr>
          <w:p w14:paraId="0247D736"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1917D4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422E379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02165513"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2DCA718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w:t>
            </w:r>
          </w:p>
        </w:tc>
        <w:tc>
          <w:tcPr>
            <w:tcW w:w="507" w:type="dxa"/>
            <w:shd w:val="clear" w:color="auto" w:fill="FFFFFF" w:themeFill="background1"/>
            <w:tcMar>
              <w:top w:w="60" w:type="dxa"/>
              <w:left w:w="80" w:type="dxa"/>
              <w:bottom w:w="60" w:type="dxa"/>
              <w:right w:w="80" w:type="dxa"/>
            </w:tcMar>
            <w:vAlign w:val="center"/>
          </w:tcPr>
          <w:p w14:paraId="4A710CC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E04E2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C5FD9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438E3C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586C1A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DBFE94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466518D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F48D674"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58A4286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16</w:t>
            </w:r>
          </w:p>
        </w:tc>
        <w:tc>
          <w:tcPr>
            <w:tcW w:w="1594" w:type="dxa"/>
            <w:shd w:val="clear" w:color="auto" w:fill="FFFFFF" w:themeFill="background1"/>
            <w:tcMar>
              <w:top w:w="60" w:type="dxa"/>
              <w:left w:w="80" w:type="dxa"/>
              <w:bottom w:w="60" w:type="dxa"/>
              <w:right w:w="80" w:type="dxa"/>
            </w:tcMar>
            <w:vAlign w:val="center"/>
          </w:tcPr>
          <w:p w14:paraId="2CAE6E3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3AC68D9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E33C03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5262B5D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FE685E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39AC648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5999F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18059E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4050C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0CE4B3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528A31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305C44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1895A2F"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857EC1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17</w:t>
            </w:r>
          </w:p>
        </w:tc>
        <w:tc>
          <w:tcPr>
            <w:tcW w:w="1594" w:type="dxa"/>
            <w:shd w:val="clear" w:color="auto" w:fill="FFFFFF" w:themeFill="background1"/>
            <w:tcMar>
              <w:top w:w="60" w:type="dxa"/>
              <w:left w:w="80" w:type="dxa"/>
              <w:bottom w:w="60" w:type="dxa"/>
              <w:right w:w="80" w:type="dxa"/>
            </w:tcMar>
            <w:vAlign w:val="center"/>
          </w:tcPr>
          <w:p w14:paraId="700A1BC7"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ED89C2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6EC3FF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05FBE5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44165CA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28EE852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1782D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A6BB2A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0B2A8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0EEC1A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287E1E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1F3657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5592FB1"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5D55748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lastRenderedPageBreak/>
              <w:t>18</w:t>
            </w:r>
          </w:p>
        </w:tc>
        <w:tc>
          <w:tcPr>
            <w:tcW w:w="1594" w:type="dxa"/>
            <w:shd w:val="clear" w:color="auto" w:fill="FFFFFF" w:themeFill="background1"/>
            <w:tcMar>
              <w:top w:w="60" w:type="dxa"/>
              <w:left w:w="80" w:type="dxa"/>
              <w:bottom w:w="60" w:type="dxa"/>
              <w:right w:w="80" w:type="dxa"/>
            </w:tcMar>
            <w:vAlign w:val="center"/>
          </w:tcPr>
          <w:p w14:paraId="3263FC0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40C8F0C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7CA311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22CA835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4E1E8D9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Small, smooth colonies</w:t>
            </w:r>
          </w:p>
        </w:tc>
        <w:tc>
          <w:tcPr>
            <w:tcW w:w="507" w:type="dxa"/>
            <w:shd w:val="clear" w:color="auto" w:fill="FFFFFF" w:themeFill="background1"/>
            <w:tcMar>
              <w:top w:w="60" w:type="dxa"/>
              <w:left w:w="80" w:type="dxa"/>
              <w:bottom w:w="60" w:type="dxa"/>
              <w:right w:w="80" w:type="dxa"/>
            </w:tcMar>
            <w:vAlign w:val="center"/>
          </w:tcPr>
          <w:p w14:paraId="052A5E3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56CB8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6FE18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CFA56B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ADDB91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711B4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D432E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2FBB446" w14:textId="77777777" w:rsidTr="0000667B">
        <w:trPr>
          <w:trHeight w:val="359"/>
          <w:jc w:val="center"/>
        </w:trPr>
        <w:tc>
          <w:tcPr>
            <w:tcW w:w="880" w:type="dxa"/>
            <w:shd w:val="clear" w:color="auto" w:fill="FFFFFF" w:themeFill="background1"/>
            <w:tcMar>
              <w:top w:w="60" w:type="dxa"/>
              <w:left w:w="80" w:type="dxa"/>
              <w:bottom w:w="60" w:type="dxa"/>
              <w:right w:w="80" w:type="dxa"/>
            </w:tcMar>
            <w:vAlign w:val="center"/>
          </w:tcPr>
          <w:p w14:paraId="09876B5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19</w:t>
            </w:r>
          </w:p>
        </w:tc>
        <w:tc>
          <w:tcPr>
            <w:tcW w:w="1594" w:type="dxa"/>
            <w:shd w:val="clear" w:color="auto" w:fill="FFFFFF" w:themeFill="background1"/>
            <w:tcMar>
              <w:top w:w="60" w:type="dxa"/>
              <w:left w:w="80" w:type="dxa"/>
              <w:bottom w:w="60" w:type="dxa"/>
              <w:right w:w="80" w:type="dxa"/>
            </w:tcMar>
            <w:vAlign w:val="center"/>
          </w:tcPr>
          <w:p w14:paraId="2B2E0B3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Enterococcus</w:t>
            </w:r>
          </w:p>
        </w:tc>
        <w:tc>
          <w:tcPr>
            <w:tcW w:w="742" w:type="dxa"/>
            <w:shd w:val="clear" w:color="auto" w:fill="FFFFFF" w:themeFill="background1"/>
            <w:tcMar>
              <w:top w:w="60" w:type="dxa"/>
              <w:left w:w="80" w:type="dxa"/>
              <w:bottom w:w="60" w:type="dxa"/>
              <w:right w:w="80" w:type="dxa"/>
            </w:tcMar>
            <w:vAlign w:val="center"/>
          </w:tcPr>
          <w:p w14:paraId="2070838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77206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0C654CB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53CCF11"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Large, irregular, raised-looking colonies with variable appearance</w:t>
            </w:r>
          </w:p>
        </w:tc>
        <w:tc>
          <w:tcPr>
            <w:tcW w:w="507" w:type="dxa"/>
            <w:shd w:val="clear" w:color="auto" w:fill="FFFFFF" w:themeFill="background1"/>
            <w:tcMar>
              <w:top w:w="60" w:type="dxa"/>
              <w:left w:w="80" w:type="dxa"/>
              <w:bottom w:w="60" w:type="dxa"/>
              <w:right w:w="80" w:type="dxa"/>
            </w:tcMar>
            <w:vAlign w:val="center"/>
          </w:tcPr>
          <w:p w14:paraId="28E076B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6367B5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327331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1DFDBD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0087F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36CDA9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20989E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ED9D257"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6D3FCBB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20</w:t>
            </w:r>
          </w:p>
        </w:tc>
        <w:tc>
          <w:tcPr>
            <w:tcW w:w="1594" w:type="dxa"/>
            <w:shd w:val="clear" w:color="auto" w:fill="FFFFFF" w:themeFill="background1"/>
            <w:tcMar>
              <w:top w:w="60" w:type="dxa"/>
              <w:left w:w="80" w:type="dxa"/>
              <w:bottom w:w="60" w:type="dxa"/>
              <w:right w:w="80" w:type="dxa"/>
            </w:tcMar>
            <w:vAlign w:val="center"/>
          </w:tcPr>
          <w:p w14:paraId="43770B64" w14:textId="77777777" w:rsidR="00186746" w:rsidRPr="00186746" w:rsidRDefault="00186746" w:rsidP="00186746">
            <w:pPr>
              <w:spacing w:after="0" w:line="240" w:lineRule="auto"/>
              <w:rPr>
                <w:rFonts w:ascii="Arial" w:hAnsi="Arial" w:cs="Arial"/>
                <w:sz w:val="20"/>
                <w:szCs w:val="20"/>
              </w:rPr>
            </w:pPr>
            <w:proofErr w:type="spellStart"/>
            <w:r w:rsidRPr="00186746">
              <w:rPr>
                <w:rFonts w:ascii="Arial" w:hAnsi="Arial" w:cs="Arial"/>
                <w:i/>
                <w:iCs/>
                <w:sz w:val="20"/>
                <w:szCs w:val="20"/>
              </w:rPr>
              <w:t>Leuconostoc</w:t>
            </w:r>
            <w:proofErr w:type="spellEnd"/>
          </w:p>
        </w:tc>
        <w:tc>
          <w:tcPr>
            <w:tcW w:w="742" w:type="dxa"/>
            <w:shd w:val="clear" w:color="auto" w:fill="FFFFFF" w:themeFill="background1"/>
            <w:tcMar>
              <w:top w:w="60" w:type="dxa"/>
              <w:left w:w="80" w:type="dxa"/>
              <w:bottom w:w="60" w:type="dxa"/>
              <w:right w:w="80" w:type="dxa"/>
            </w:tcMar>
            <w:vAlign w:val="center"/>
          </w:tcPr>
          <w:p w14:paraId="48FCC1F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3AAC56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6963C6A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33C7C98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128B455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3EFF9C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84DA1E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4549029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CF6503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07078F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5DD88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bl>
    <w:p w14:paraId="05675E4D" w14:textId="77777777" w:rsidR="00186746" w:rsidRDefault="00186746" w:rsidP="00B55DC3">
      <w:pPr>
        <w:pStyle w:val="PlainText"/>
        <w:spacing w:line="276" w:lineRule="auto"/>
        <w:ind w:firstLine="720"/>
        <w:jc w:val="both"/>
        <w:rPr>
          <w:rFonts w:ascii="Arial" w:hAnsi="Arial" w:cs="Arial"/>
          <w:sz w:val="20"/>
          <w:szCs w:val="20"/>
        </w:rPr>
      </w:pPr>
    </w:p>
    <w:p w14:paraId="69996BD7" w14:textId="77777777" w:rsidR="00186746" w:rsidRDefault="00186746" w:rsidP="00B55DC3">
      <w:pPr>
        <w:pStyle w:val="PlainText"/>
        <w:spacing w:line="276" w:lineRule="auto"/>
        <w:ind w:firstLine="720"/>
        <w:jc w:val="both"/>
        <w:rPr>
          <w:rFonts w:ascii="Arial" w:hAnsi="Arial" w:cs="Arial"/>
          <w:sz w:val="20"/>
          <w:szCs w:val="20"/>
        </w:rPr>
      </w:pPr>
    </w:p>
    <w:p w14:paraId="3DCAF5F7" w14:textId="5CB5E5EA" w:rsidR="00F23CC7" w:rsidRDefault="00F23CC7" w:rsidP="00F23CC7">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The distribution of bacterial species isolated from chicken, fish, and goat meat samples is presented in the table </w:t>
      </w:r>
      <w:r w:rsidR="001F01C4">
        <w:rPr>
          <w:rFonts w:ascii="Arial" w:hAnsi="Arial" w:cs="Arial"/>
          <w:sz w:val="20"/>
          <w:szCs w:val="20"/>
        </w:rPr>
        <w:t>3</w:t>
      </w:r>
      <w:r w:rsidRPr="00186746">
        <w:rPr>
          <w:rFonts w:ascii="Arial" w:hAnsi="Arial" w:cs="Arial"/>
          <w:sz w:val="20"/>
          <w:szCs w:val="20"/>
        </w:rPr>
        <w:t xml:space="preserve">. A total of 30 bacterial isolates were recovered from chicken, fish, and goat meat samples, comprising </w:t>
      </w:r>
      <w:r w:rsidRPr="00186746">
        <w:rPr>
          <w:rFonts w:ascii="Arial" w:hAnsi="Arial" w:cs="Arial"/>
          <w:i/>
          <w:sz w:val="20"/>
          <w:szCs w:val="20"/>
        </w:rPr>
        <w:t xml:space="preserve">Escherichia coli, </w:t>
      </w:r>
      <w:r>
        <w:rPr>
          <w:rFonts w:ascii="Arial" w:hAnsi="Arial" w:cs="Arial"/>
          <w:i/>
          <w:sz w:val="20"/>
          <w:szCs w:val="20"/>
          <w:lang w:val="en-US"/>
        </w:rPr>
        <w:t xml:space="preserve">Salmonella </w:t>
      </w:r>
      <w:proofErr w:type="spellStart"/>
      <w:r>
        <w:rPr>
          <w:rFonts w:ascii="Arial" w:hAnsi="Arial" w:cs="Arial"/>
          <w:i/>
          <w:sz w:val="20"/>
          <w:szCs w:val="20"/>
          <w:lang w:val="en-US"/>
        </w:rPr>
        <w:t>sp</w:t>
      </w:r>
      <w:proofErr w:type="spellEnd"/>
      <w:r>
        <w:rPr>
          <w:rFonts w:ascii="Arial" w:hAnsi="Arial" w:cs="Arial"/>
          <w:i/>
          <w:sz w:val="20"/>
          <w:szCs w:val="20"/>
          <w:lang w:val="en-US"/>
        </w:rPr>
        <w:t xml:space="preserve">, Proteus </w:t>
      </w:r>
      <w:proofErr w:type="spellStart"/>
      <w:r>
        <w:rPr>
          <w:rFonts w:ascii="Arial" w:hAnsi="Arial" w:cs="Arial"/>
          <w:i/>
          <w:sz w:val="20"/>
          <w:szCs w:val="20"/>
          <w:lang w:val="en-US"/>
        </w:rPr>
        <w:t>sp</w:t>
      </w:r>
      <w:proofErr w:type="spellEnd"/>
      <w:r>
        <w:rPr>
          <w:rFonts w:ascii="Arial" w:hAnsi="Arial" w:cs="Arial"/>
          <w:i/>
          <w:sz w:val="20"/>
          <w:szCs w:val="20"/>
          <w:lang w:val="en-US"/>
        </w:rPr>
        <w:t xml:space="preserve">, </w:t>
      </w:r>
      <w:r w:rsidRPr="00186746">
        <w:rPr>
          <w:rFonts w:ascii="Arial" w:hAnsi="Arial" w:cs="Arial"/>
          <w:i/>
          <w:sz w:val="20"/>
          <w:szCs w:val="20"/>
        </w:rPr>
        <w:t>Staphylococcus aureus, Enterococcus faecalis, Klebsiella pneumoniae</w:t>
      </w:r>
      <w:r w:rsidRPr="00186746">
        <w:rPr>
          <w:rFonts w:ascii="Arial" w:hAnsi="Arial" w:cs="Arial"/>
          <w:sz w:val="20"/>
          <w:szCs w:val="20"/>
        </w:rPr>
        <w:t xml:space="preserve">, and </w:t>
      </w:r>
      <w:r w:rsidRPr="00186746">
        <w:rPr>
          <w:rFonts w:ascii="Arial" w:hAnsi="Arial" w:cs="Arial"/>
          <w:i/>
          <w:sz w:val="20"/>
          <w:szCs w:val="20"/>
        </w:rPr>
        <w:t>Pseudomonas aeruginosa</w:t>
      </w:r>
      <w:r w:rsidRPr="00186746">
        <w:rPr>
          <w:rFonts w:ascii="Arial" w:hAnsi="Arial" w:cs="Arial"/>
          <w:sz w:val="20"/>
          <w:szCs w:val="20"/>
        </w:rPr>
        <w:t xml:space="preserve">. The frequent occurrence of </w:t>
      </w:r>
      <w:r w:rsidRPr="00186746">
        <w:rPr>
          <w:rFonts w:ascii="Arial" w:hAnsi="Arial" w:cs="Arial"/>
          <w:i/>
          <w:sz w:val="20"/>
          <w:szCs w:val="20"/>
        </w:rPr>
        <w:t>E. coli</w:t>
      </w:r>
      <w:r w:rsidRPr="00186746">
        <w:rPr>
          <w:rFonts w:ascii="Arial" w:hAnsi="Arial" w:cs="Arial"/>
          <w:sz w:val="20"/>
          <w:szCs w:val="20"/>
        </w:rPr>
        <w:t xml:space="preserve"> and </w:t>
      </w:r>
      <w:r w:rsidRPr="00186746">
        <w:rPr>
          <w:rFonts w:ascii="Arial" w:hAnsi="Arial" w:cs="Arial"/>
          <w:i/>
          <w:sz w:val="20"/>
          <w:szCs w:val="20"/>
        </w:rPr>
        <w:t>S. aureus</w:t>
      </w:r>
      <w:r w:rsidRPr="00186746">
        <w:rPr>
          <w:rFonts w:ascii="Arial" w:hAnsi="Arial" w:cs="Arial"/>
          <w:sz w:val="20"/>
          <w:szCs w:val="20"/>
        </w:rPr>
        <w:t xml:space="preserve"> indicates possible </w:t>
      </w:r>
      <w:proofErr w:type="spellStart"/>
      <w:r w:rsidRPr="00186746">
        <w:rPr>
          <w:rFonts w:ascii="Arial" w:hAnsi="Arial" w:cs="Arial"/>
          <w:sz w:val="20"/>
          <w:szCs w:val="20"/>
        </w:rPr>
        <w:t>fecal</w:t>
      </w:r>
      <w:proofErr w:type="spellEnd"/>
      <w:r w:rsidRPr="00186746">
        <w:rPr>
          <w:rFonts w:ascii="Arial" w:hAnsi="Arial" w:cs="Arial"/>
          <w:sz w:val="20"/>
          <w:szCs w:val="20"/>
        </w:rPr>
        <w:t xml:space="preserve"> contamination and contamination during slaughtering, handling, or processing. Similar findings were reported by </w:t>
      </w:r>
      <w:proofErr w:type="spellStart"/>
      <w:r w:rsidRPr="00186746">
        <w:rPr>
          <w:rFonts w:ascii="Arial" w:hAnsi="Arial" w:cs="Arial"/>
          <w:sz w:val="20"/>
          <w:szCs w:val="20"/>
        </w:rPr>
        <w:t>Bantawa</w:t>
      </w:r>
      <w:proofErr w:type="spellEnd"/>
      <w:r w:rsidRPr="00186746">
        <w:rPr>
          <w:rFonts w:ascii="Arial" w:hAnsi="Arial" w:cs="Arial"/>
          <w:sz w:val="20"/>
          <w:szCs w:val="20"/>
        </w:rPr>
        <w:t xml:space="preserve"> </w:t>
      </w:r>
      <w:r w:rsidRPr="00186746">
        <w:rPr>
          <w:rFonts w:ascii="Arial" w:hAnsi="Arial" w:cs="Arial"/>
          <w:i/>
          <w:sz w:val="20"/>
          <w:szCs w:val="20"/>
        </w:rPr>
        <w:t>et al</w:t>
      </w:r>
      <w:r w:rsidRPr="00186746">
        <w:rPr>
          <w:rFonts w:ascii="Arial" w:hAnsi="Arial" w:cs="Arial"/>
          <w:sz w:val="20"/>
          <w:szCs w:val="20"/>
        </w:rPr>
        <w:t xml:space="preserve">. (2018), who detected </w:t>
      </w:r>
      <w:r w:rsidRPr="00186746">
        <w:rPr>
          <w:rFonts w:ascii="Arial" w:hAnsi="Arial" w:cs="Arial"/>
          <w:i/>
          <w:sz w:val="20"/>
          <w:szCs w:val="20"/>
        </w:rPr>
        <w:t>E. coli, S. aureus</w:t>
      </w:r>
      <w:r w:rsidRPr="00186746">
        <w:rPr>
          <w:rFonts w:ascii="Arial" w:hAnsi="Arial" w:cs="Arial"/>
          <w:sz w:val="20"/>
          <w:szCs w:val="20"/>
        </w:rPr>
        <w:t xml:space="preserve">, and </w:t>
      </w:r>
      <w:r w:rsidRPr="00186746">
        <w:rPr>
          <w:rFonts w:ascii="Arial" w:hAnsi="Arial" w:cs="Arial"/>
          <w:i/>
          <w:sz w:val="20"/>
          <w:szCs w:val="20"/>
        </w:rPr>
        <w:t>P. aeruginosa</w:t>
      </w:r>
      <w:r w:rsidRPr="00186746">
        <w:rPr>
          <w:rFonts w:ascii="Arial" w:hAnsi="Arial" w:cs="Arial"/>
          <w:sz w:val="20"/>
          <w:szCs w:val="20"/>
        </w:rPr>
        <w:t xml:space="preserve"> among bacterial contaminants of marketed chicken and goat meat. Another recent systematic review by </w:t>
      </w:r>
      <w:r w:rsidRPr="00186746">
        <w:rPr>
          <w:rStyle w:val="Strong"/>
          <w:rFonts w:ascii="Arial" w:hAnsi="Arial" w:cs="Arial"/>
          <w:b w:val="0"/>
          <w:sz w:val="20"/>
          <w:szCs w:val="20"/>
        </w:rPr>
        <w:t xml:space="preserve">Ayoub </w:t>
      </w:r>
      <w:r w:rsidRPr="00186746">
        <w:rPr>
          <w:rStyle w:val="Strong"/>
          <w:rFonts w:ascii="Arial" w:hAnsi="Arial" w:cs="Arial"/>
          <w:b w:val="0"/>
          <w:i/>
          <w:sz w:val="20"/>
          <w:szCs w:val="20"/>
        </w:rPr>
        <w:t>et al</w:t>
      </w:r>
      <w:r w:rsidRPr="00186746">
        <w:rPr>
          <w:rStyle w:val="Strong"/>
          <w:rFonts w:ascii="Arial" w:hAnsi="Arial" w:cs="Arial"/>
          <w:b w:val="0"/>
          <w:sz w:val="20"/>
          <w:szCs w:val="20"/>
        </w:rPr>
        <w:t>. (2025)</w:t>
      </w:r>
      <w:r w:rsidRPr="00186746">
        <w:rPr>
          <w:rFonts w:ascii="Arial" w:hAnsi="Arial" w:cs="Arial"/>
          <w:sz w:val="20"/>
          <w:szCs w:val="20"/>
        </w:rPr>
        <w:t xml:space="preserve"> reported high prevalence of </w:t>
      </w:r>
      <w:r w:rsidRPr="00186746">
        <w:rPr>
          <w:rStyle w:val="Emphasis"/>
          <w:rFonts w:ascii="Arial" w:hAnsi="Arial" w:cs="Arial"/>
          <w:sz w:val="20"/>
          <w:szCs w:val="20"/>
        </w:rPr>
        <w:t>S. aureus</w:t>
      </w:r>
      <w:r w:rsidRPr="00186746">
        <w:rPr>
          <w:rFonts w:ascii="Arial" w:hAnsi="Arial" w:cs="Arial"/>
          <w:sz w:val="20"/>
          <w:szCs w:val="20"/>
        </w:rPr>
        <w:t xml:space="preserve"> and </w:t>
      </w:r>
      <w:r w:rsidRPr="00186746">
        <w:rPr>
          <w:rStyle w:val="Emphasis"/>
          <w:rFonts w:ascii="Arial" w:hAnsi="Arial" w:cs="Arial"/>
          <w:sz w:val="20"/>
          <w:szCs w:val="20"/>
        </w:rPr>
        <w:t>E. coli</w:t>
      </w:r>
      <w:r w:rsidRPr="00186746">
        <w:rPr>
          <w:rFonts w:ascii="Arial" w:hAnsi="Arial" w:cs="Arial"/>
          <w:sz w:val="20"/>
          <w:szCs w:val="20"/>
        </w:rPr>
        <w:t xml:space="preserve"> in retail chicken meat in India, with pooled prevalences of 56% and 50%, respectively.</w:t>
      </w:r>
      <w:r>
        <w:rPr>
          <w:rFonts w:ascii="Arial" w:hAnsi="Arial" w:cs="Arial"/>
          <w:sz w:val="20"/>
          <w:szCs w:val="20"/>
        </w:rPr>
        <w:t xml:space="preserve"> </w:t>
      </w:r>
      <w:r w:rsidRPr="00186746">
        <w:rPr>
          <w:rFonts w:ascii="Arial" w:hAnsi="Arial" w:cs="Arial"/>
          <w:sz w:val="20"/>
          <w:szCs w:val="20"/>
        </w:rPr>
        <w:t xml:space="preserve">The recovery of </w:t>
      </w:r>
      <w:r w:rsidRPr="00186746">
        <w:rPr>
          <w:rStyle w:val="Emphasis"/>
          <w:rFonts w:ascii="Arial" w:hAnsi="Arial" w:cs="Arial"/>
          <w:sz w:val="20"/>
          <w:szCs w:val="20"/>
        </w:rPr>
        <w:t>K. pneumoniae</w:t>
      </w:r>
      <w:r w:rsidRPr="00186746">
        <w:rPr>
          <w:rFonts w:ascii="Arial" w:hAnsi="Arial" w:cs="Arial"/>
          <w:sz w:val="20"/>
          <w:szCs w:val="20"/>
        </w:rPr>
        <w:t xml:space="preserve"> and </w:t>
      </w:r>
      <w:r w:rsidRPr="00186746">
        <w:rPr>
          <w:rStyle w:val="Emphasis"/>
          <w:rFonts w:ascii="Arial" w:hAnsi="Arial" w:cs="Arial"/>
          <w:sz w:val="20"/>
          <w:szCs w:val="20"/>
        </w:rPr>
        <w:t>P. aeruginosa</w:t>
      </w:r>
      <w:r w:rsidRPr="00186746">
        <w:rPr>
          <w:rFonts w:ascii="Arial" w:hAnsi="Arial" w:cs="Arial"/>
          <w:sz w:val="20"/>
          <w:szCs w:val="20"/>
        </w:rPr>
        <w:t xml:space="preserve"> further indicates the presence of diverse Gram-negative contaminants in meat. </w:t>
      </w:r>
      <w:r w:rsidRPr="00186746">
        <w:rPr>
          <w:rStyle w:val="Strong"/>
          <w:rFonts w:ascii="Arial" w:hAnsi="Arial" w:cs="Arial"/>
          <w:b w:val="0"/>
          <w:sz w:val="20"/>
          <w:szCs w:val="20"/>
        </w:rPr>
        <w:t xml:space="preserve">Vasanthi </w:t>
      </w:r>
      <w:r w:rsidRPr="00186746">
        <w:rPr>
          <w:rStyle w:val="Strong"/>
          <w:rFonts w:ascii="Arial" w:hAnsi="Arial" w:cs="Arial"/>
          <w:b w:val="0"/>
          <w:i/>
          <w:sz w:val="20"/>
          <w:szCs w:val="20"/>
        </w:rPr>
        <w:t>et al</w:t>
      </w:r>
      <w:r w:rsidRPr="00186746">
        <w:rPr>
          <w:rStyle w:val="Strong"/>
          <w:rFonts w:ascii="Arial" w:hAnsi="Arial" w:cs="Arial"/>
          <w:b w:val="0"/>
          <w:sz w:val="20"/>
          <w:szCs w:val="20"/>
        </w:rPr>
        <w:t>. (2023)</w:t>
      </w:r>
      <w:r w:rsidRPr="00186746">
        <w:rPr>
          <w:rFonts w:ascii="Arial" w:hAnsi="Arial" w:cs="Arial"/>
          <w:sz w:val="20"/>
          <w:szCs w:val="20"/>
        </w:rPr>
        <w:t xml:space="preserve"> reported </w:t>
      </w:r>
      <w:r w:rsidRPr="00186746">
        <w:rPr>
          <w:rStyle w:val="Emphasis"/>
          <w:rFonts w:ascii="Arial" w:hAnsi="Arial" w:cs="Arial"/>
          <w:sz w:val="20"/>
          <w:szCs w:val="20"/>
        </w:rPr>
        <w:t>E. coli</w:t>
      </w:r>
      <w:r w:rsidRPr="00186746">
        <w:rPr>
          <w:rFonts w:ascii="Arial" w:hAnsi="Arial" w:cs="Arial"/>
          <w:sz w:val="20"/>
          <w:szCs w:val="20"/>
        </w:rPr>
        <w:t xml:space="preserve"> and </w:t>
      </w:r>
      <w:r w:rsidRPr="00186746">
        <w:rPr>
          <w:rStyle w:val="Emphasis"/>
          <w:rFonts w:ascii="Arial" w:hAnsi="Arial" w:cs="Arial"/>
          <w:sz w:val="20"/>
          <w:szCs w:val="20"/>
        </w:rPr>
        <w:t>Klebsiella</w:t>
      </w:r>
      <w:r w:rsidRPr="00186746">
        <w:rPr>
          <w:rFonts w:ascii="Arial" w:hAnsi="Arial" w:cs="Arial"/>
          <w:sz w:val="20"/>
          <w:szCs w:val="20"/>
        </w:rPr>
        <w:t xml:space="preserve"> spp. from </w:t>
      </w:r>
      <w:r>
        <w:rPr>
          <w:rFonts w:ascii="Arial" w:hAnsi="Arial" w:cs="Arial"/>
          <w:sz w:val="20"/>
          <w:szCs w:val="20"/>
        </w:rPr>
        <w:t xml:space="preserve"> </w:t>
      </w:r>
      <w:r w:rsidRPr="00186746">
        <w:rPr>
          <w:rFonts w:ascii="Arial" w:hAnsi="Arial" w:cs="Arial"/>
          <w:sz w:val="20"/>
          <w:szCs w:val="20"/>
        </w:rPr>
        <w:t xml:space="preserve">chicken meat samples collected in Tamil Nadu, confirming the occurrence of these organisms in poultry meat. The relatively higher occurrence of </w:t>
      </w:r>
      <w:r w:rsidRPr="00186746">
        <w:rPr>
          <w:rStyle w:val="Emphasis"/>
          <w:rFonts w:ascii="Arial" w:hAnsi="Arial" w:cs="Arial"/>
          <w:sz w:val="20"/>
          <w:szCs w:val="20"/>
        </w:rPr>
        <w:t>S. aureus</w:t>
      </w:r>
      <w:r w:rsidRPr="00186746">
        <w:rPr>
          <w:rFonts w:ascii="Arial" w:hAnsi="Arial" w:cs="Arial"/>
          <w:sz w:val="20"/>
          <w:szCs w:val="20"/>
        </w:rPr>
        <w:t xml:space="preserve"> in goat meat in the present study may be associated with handling and slaughtering practices. </w:t>
      </w:r>
      <w:r w:rsidRPr="00186746">
        <w:rPr>
          <w:rStyle w:val="Strong"/>
          <w:rFonts w:ascii="Arial" w:hAnsi="Arial" w:cs="Arial"/>
          <w:b w:val="0"/>
          <w:sz w:val="20"/>
          <w:szCs w:val="20"/>
        </w:rPr>
        <w:t xml:space="preserve">Muthusamy </w:t>
      </w:r>
      <w:r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also reported substantial microbial contamination of goat meat and highlighted the importance of hygienic handling and prevention of cross-contamination.</w:t>
      </w:r>
    </w:p>
    <w:p w14:paraId="2E4ADCEC" w14:textId="77777777" w:rsidR="00F23CC7" w:rsidRDefault="00F23CC7" w:rsidP="00F23CC7">
      <w:pPr>
        <w:pStyle w:val="PlainText"/>
        <w:spacing w:line="276" w:lineRule="auto"/>
        <w:ind w:firstLine="720"/>
        <w:jc w:val="both"/>
        <w:rPr>
          <w:rFonts w:ascii="Arial" w:hAnsi="Arial" w:cs="Arial"/>
          <w:sz w:val="20"/>
          <w:szCs w:val="20"/>
        </w:rPr>
      </w:pPr>
    </w:p>
    <w:p w14:paraId="090A1B8F" w14:textId="77777777" w:rsidR="00F23CC7" w:rsidRPr="00186746" w:rsidRDefault="00F23CC7" w:rsidP="00F23CC7">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The biofilm-forming ability of the bacterial isolates recovered from meat samples was evaluated, and the results are presented in the table. Among the 30 bacterial isolates tested, 15 isolates (50%) were positive for biofilm formation, whereas the remaining 15 isolates (50%) were negative. </w:t>
      </w:r>
      <w:r w:rsidRPr="00186746">
        <w:rPr>
          <w:rFonts w:ascii="Arial" w:hAnsi="Arial" w:cs="Arial"/>
          <w:i/>
          <w:sz w:val="20"/>
          <w:szCs w:val="20"/>
        </w:rPr>
        <w:t>E.coli</w:t>
      </w:r>
      <w:r w:rsidRPr="00186746">
        <w:rPr>
          <w:rFonts w:ascii="Arial" w:hAnsi="Arial" w:cs="Arial"/>
          <w:sz w:val="20"/>
          <w:szCs w:val="20"/>
        </w:rPr>
        <w:t xml:space="preserve"> showed the highest biofilm-forming ability, with 4 of 5 isolates (80%) exhibiting a positive reaction. Among the </w:t>
      </w:r>
      <w:proofErr w:type="spellStart"/>
      <w:r w:rsidRPr="00186746">
        <w:rPr>
          <w:rFonts w:ascii="Arial" w:hAnsi="Arial" w:cs="Arial"/>
          <w:i/>
          <w:sz w:val="20"/>
          <w:szCs w:val="20"/>
        </w:rPr>
        <w:t>S.aureus</w:t>
      </w:r>
      <w:proofErr w:type="spellEnd"/>
      <w:r w:rsidRPr="00186746">
        <w:rPr>
          <w:rFonts w:ascii="Arial" w:hAnsi="Arial" w:cs="Arial"/>
          <w:sz w:val="20"/>
          <w:szCs w:val="20"/>
        </w:rPr>
        <w:t xml:space="preserve"> isolates, 3 of 5 (60%) were biofilm producers. </w:t>
      </w:r>
      <w:proofErr w:type="spellStart"/>
      <w:r w:rsidRPr="00186746">
        <w:rPr>
          <w:rFonts w:ascii="Arial" w:hAnsi="Arial" w:cs="Arial"/>
          <w:i/>
          <w:sz w:val="20"/>
          <w:szCs w:val="20"/>
        </w:rPr>
        <w:t>P.aeruginosa</w:t>
      </w:r>
      <w:proofErr w:type="spellEnd"/>
      <w:r w:rsidRPr="00186746">
        <w:rPr>
          <w:rFonts w:ascii="Arial" w:hAnsi="Arial" w:cs="Arial"/>
          <w:sz w:val="20"/>
          <w:szCs w:val="20"/>
        </w:rPr>
        <w:t xml:space="preserve"> showed biofilm formation in 1 of 4 isolates (25%), while </w:t>
      </w:r>
      <w:proofErr w:type="spellStart"/>
      <w:r w:rsidRPr="00186746">
        <w:rPr>
          <w:rFonts w:ascii="Arial" w:hAnsi="Arial" w:cs="Arial"/>
          <w:i/>
          <w:sz w:val="20"/>
          <w:szCs w:val="20"/>
        </w:rPr>
        <w:t>E.faecalis</w:t>
      </w:r>
      <w:proofErr w:type="spellEnd"/>
      <w:r w:rsidRPr="00186746">
        <w:rPr>
          <w:rFonts w:ascii="Arial" w:hAnsi="Arial" w:cs="Arial"/>
          <w:sz w:val="20"/>
          <w:szCs w:val="20"/>
        </w:rPr>
        <w:t xml:space="preserve"> and </w:t>
      </w:r>
      <w:proofErr w:type="spellStart"/>
      <w:r w:rsidRPr="00186746">
        <w:rPr>
          <w:rFonts w:ascii="Arial" w:hAnsi="Arial" w:cs="Arial"/>
          <w:i/>
          <w:sz w:val="20"/>
          <w:szCs w:val="20"/>
        </w:rPr>
        <w:t>K.pneumoniae</w:t>
      </w:r>
      <w:proofErr w:type="spellEnd"/>
      <w:r w:rsidRPr="00186746">
        <w:rPr>
          <w:rFonts w:ascii="Arial" w:hAnsi="Arial" w:cs="Arial"/>
          <w:sz w:val="20"/>
          <w:szCs w:val="20"/>
        </w:rPr>
        <w:t xml:space="preserve"> each showed 2 of 5 isolates (40%) positive for biofilm formation. Among the </w:t>
      </w:r>
      <w:proofErr w:type="spellStart"/>
      <w:r w:rsidRPr="00186746">
        <w:rPr>
          <w:rFonts w:ascii="Arial" w:hAnsi="Arial" w:cs="Arial"/>
          <w:i/>
          <w:sz w:val="20"/>
          <w:szCs w:val="20"/>
        </w:rPr>
        <w:t>P.mirabilis</w:t>
      </w:r>
      <w:proofErr w:type="spellEnd"/>
      <w:r w:rsidRPr="00186746">
        <w:rPr>
          <w:rFonts w:ascii="Arial" w:hAnsi="Arial" w:cs="Arial"/>
          <w:sz w:val="20"/>
          <w:szCs w:val="20"/>
        </w:rPr>
        <w:t xml:space="preserve"> isolates, 1 of 3 (33.3%) demonstrated biofilm-forming ability. Similarly, 2 of 3 Salmonella sp. isolates (66.7%) were positive for biofilm formation. Overall, the results demonstrated that biofilm formation was common among the bacterial isolates, with </w:t>
      </w:r>
      <w:r w:rsidRPr="00186746">
        <w:rPr>
          <w:rFonts w:ascii="Arial" w:hAnsi="Arial" w:cs="Arial"/>
          <w:i/>
          <w:sz w:val="20"/>
          <w:szCs w:val="20"/>
        </w:rPr>
        <w:t>E. coli</w:t>
      </w:r>
      <w:r w:rsidRPr="00186746">
        <w:rPr>
          <w:rFonts w:ascii="Arial" w:hAnsi="Arial" w:cs="Arial"/>
          <w:sz w:val="20"/>
          <w:szCs w:val="20"/>
        </w:rPr>
        <w:t xml:space="preserve"> exhibiting the highest proportion of biofilm-positive isolates, while </w:t>
      </w:r>
      <w:r w:rsidRPr="00186746">
        <w:rPr>
          <w:rFonts w:ascii="Arial" w:hAnsi="Arial" w:cs="Arial"/>
          <w:i/>
          <w:sz w:val="20"/>
          <w:szCs w:val="20"/>
        </w:rPr>
        <w:t>P. aeruginosa</w:t>
      </w:r>
      <w:r w:rsidRPr="00186746">
        <w:rPr>
          <w:rFonts w:ascii="Arial" w:hAnsi="Arial" w:cs="Arial"/>
          <w:sz w:val="20"/>
          <w:szCs w:val="20"/>
        </w:rPr>
        <w:t xml:space="preserve"> showed the lowest proportion. Source-wise analysis showed that biofilm formation was highest among bacterial isolates recovered from </w:t>
      </w:r>
      <w:r w:rsidRPr="00186746">
        <w:rPr>
          <w:rStyle w:val="Strong"/>
          <w:rFonts w:ascii="Arial" w:hAnsi="Arial" w:cs="Arial"/>
          <w:b w:val="0"/>
          <w:sz w:val="20"/>
          <w:szCs w:val="20"/>
        </w:rPr>
        <w:t>chicken meat (77.8%; 7/9)</w:t>
      </w:r>
      <w:r w:rsidRPr="00186746">
        <w:rPr>
          <w:rFonts w:ascii="Arial" w:hAnsi="Arial" w:cs="Arial"/>
          <w:sz w:val="20"/>
          <w:szCs w:val="20"/>
        </w:rPr>
        <w:t xml:space="preserve">, followed by </w:t>
      </w:r>
      <w:r w:rsidRPr="00186746">
        <w:rPr>
          <w:rStyle w:val="Strong"/>
          <w:rFonts w:ascii="Arial" w:hAnsi="Arial" w:cs="Arial"/>
          <w:b w:val="0"/>
          <w:sz w:val="20"/>
          <w:szCs w:val="20"/>
        </w:rPr>
        <w:t>fish (50.0%; 5/10)</w:t>
      </w:r>
      <w:r w:rsidRPr="00186746">
        <w:rPr>
          <w:rFonts w:ascii="Arial" w:hAnsi="Arial" w:cs="Arial"/>
          <w:sz w:val="20"/>
          <w:szCs w:val="20"/>
        </w:rPr>
        <w:t xml:space="preserve"> and </w:t>
      </w:r>
      <w:r w:rsidRPr="00186746">
        <w:rPr>
          <w:rStyle w:val="Strong"/>
          <w:rFonts w:ascii="Arial" w:hAnsi="Arial" w:cs="Arial"/>
          <w:b w:val="0"/>
          <w:sz w:val="20"/>
          <w:szCs w:val="20"/>
        </w:rPr>
        <w:t>goat meat (27.3%; 3/11)</w:t>
      </w:r>
      <w:r w:rsidRPr="00186746">
        <w:rPr>
          <w:rFonts w:ascii="Arial" w:hAnsi="Arial" w:cs="Arial"/>
          <w:sz w:val="20"/>
          <w:szCs w:val="20"/>
        </w:rPr>
        <w:t xml:space="preserve">. Overall, </w:t>
      </w:r>
      <w:r w:rsidRPr="00186746">
        <w:rPr>
          <w:rStyle w:val="Strong"/>
          <w:rFonts w:ascii="Arial" w:hAnsi="Arial" w:cs="Arial"/>
          <w:b w:val="0"/>
          <w:sz w:val="20"/>
          <w:szCs w:val="20"/>
        </w:rPr>
        <w:t>15 of 30 isolates (50.0%)</w:t>
      </w:r>
      <w:r w:rsidRPr="00186746">
        <w:rPr>
          <w:rFonts w:ascii="Arial" w:hAnsi="Arial" w:cs="Arial"/>
          <w:sz w:val="20"/>
          <w:szCs w:val="20"/>
        </w:rPr>
        <w:t xml:space="preserve"> were positive for biofilm formation</w:t>
      </w:r>
      <w:r>
        <w:rPr>
          <w:rFonts w:ascii="Arial" w:hAnsi="Arial" w:cs="Arial"/>
          <w:sz w:val="20"/>
          <w:szCs w:val="20"/>
        </w:rPr>
        <w:t xml:space="preserve"> (Figure .1)</w:t>
      </w:r>
      <w:r w:rsidRPr="00186746">
        <w:rPr>
          <w:rFonts w:ascii="Arial" w:hAnsi="Arial" w:cs="Arial"/>
          <w:sz w:val="20"/>
          <w:szCs w:val="20"/>
        </w:rPr>
        <w:t>.</w:t>
      </w:r>
    </w:p>
    <w:p w14:paraId="63CFFDE9" w14:textId="77777777" w:rsidR="00F23CC7" w:rsidRDefault="00F23CC7" w:rsidP="00F23CC7">
      <w:pPr>
        <w:pStyle w:val="PlainText"/>
        <w:spacing w:line="276" w:lineRule="auto"/>
        <w:ind w:firstLine="720"/>
        <w:jc w:val="both"/>
        <w:rPr>
          <w:rFonts w:ascii="Arial" w:hAnsi="Arial" w:cs="Arial"/>
          <w:sz w:val="20"/>
          <w:szCs w:val="20"/>
        </w:rPr>
      </w:pPr>
    </w:p>
    <w:p w14:paraId="3D4CBFFE" w14:textId="77777777" w:rsidR="00186746" w:rsidRDefault="00186746" w:rsidP="00B55DC3">
      <w:pPr>
        <w:pStyle w:val="PlainText"/>
        <w:spacing w:line="276" w:lineRule="auto"/>
        <w:ind w:firstLine="720"/>
        <w:jc w:val="both"/>
        <w:rPr>
          <w:rFonts w:ascii="Arial" w:hAnsi="Arial" w:cs="Arial"/>
          <w:sz w:val="20"/>
          <w:szCs w:val="20"/>
        </w:rPr>
        <w:sectPr w:rsidR="00186746" w:rsidSect="00186746">
          <w:pgSz w:w="16838" w:h="11906" w:orient="landscape"/>
          <w:pgMar w:top="1332" w:right="1440" w:bottom="1332" w:left="1440" w:header="709" w:footer="709" w:gutter="0"/>
          <w:cols w:space="708"/>
          <w:docGrid w:linePitch="360"/>
        </w:sectPr>
      </w:pPr>
    </w:p>
    <w:p w14:paraId="446E3FC6" w14:textId="77777777" w:rsidR="00FC3AEE" w:rsidRPr="00186746" w:rsidRDefault="0000667B" w:rsidP="00B55DC3">
      <w:pPr>
        <w:pStyle w:val="PlainText"/>
        <w:tabs>
          <w:tab w:val="left" w:pos="6675"/>
        </w:tabs>
        <w:spacing w:line="276" w:lineRule="auto"/>
        <w:jc w:val="center"/>
        <w:rPr>
          <w:rFonts w:ascii="Arial" w:hAnsi="Arial" w:cs="Arial"/>
          <w:b/>
          <w:sz w:val="20"/>
          <w:szCs w:val="20"/>
        </w:rPr>
      </w:pPr>
      <w:r>
        <w:rPr>
          <w:rFonts w:ascii="Arial" w:hAnsi="Arial" w:cs="Arial"/>
          <w:b/>
          <w:sz w:val="20"/>
          <w:szCs w:val="20"/>
        </w:rPr>
        <w:lastRenderedPageBreak/>
        <w:t>Figure.</w:t>
      </w:r>
      <w:r w:rsidR="00C54D67">
        <w:rPr>
          <w:rFonts w:ascii="Arial" w:hAnsi="Arial" w:cs="Arial"/>
          <w:b/>
          <w:sz w:val="20"/>
          <w:szCs w:val="20"/>
        </w:rPr>
        <w:t>1</w:t>
      </w:r>
      <w:r>
        <w:rPr>
          <w:rFonts w:ascii="Arial" w:hAnsi="Arial" w:cs="Arial"/>
          <w:b/>
          <w:sz w:val="20"/>
          <w:szCs w:val="20"/>
        </w:rPr>
        <w:t xml:space="preserve"> </w:t>
      </w:r>
      <w:r w:rsidR="00A47643" w:rsidRPr="00186746">
        <w:rPr>
          <w:rFonts w:ascii="Arial" w:hAnsi="Arial" w:cs="Arial"/>
          <w:b/>
          <w:sz w:val="20"/>
          <w:szCs w:val="20"/>
        </w:rPr>
        <w:t>Isolation of biofilm producing isolates from meat samples</w:t>
      </w:r>
    </w:p>
    <w:p w14:paraId="54917A3A" w14:textId="77777777" w:rsidR="00FC3AEE" w:rsidRPr="00186746" w:rsidRDefault="00FC3AEE" w:rsidP="00B55DC3">
      <w:pPr>
        <w:pStyle w:val="PlainText"/>
        <w:spacing w:line="276" w:lineRule="auto"/>
        <w:ind w:firstLine="720"/>
        <w:jc w:val="both"/>
        <w:rPr>
          <w:rFonts w:ascii="Arial" w:hAnsi="Arial" w:cs="Arial"/>
          <w:sz w:val="20"/>
          <w:szCs w:val="20"/>
        </w:rPr>
      </w:pPr>
    </w:p>
    <w:p w14:paraId="6C0AE11A" w14:textId="77777777" w:rsidR="00FC3AEE" w:rsidRPr="00186746" w:rsidRDefault="00EC49AC" w:rsidP="00B55DC3">
      <w:pPr>
        <w:pStyle w:val="PlainText"/>
        <w:spacing w:line="276" w:lineRule="auto"/>
        <w:jc w:val="center"/>
        <w:rPr>
          <w:rFonts w:ascii="Arial" w:hAnsi="Arial" w:cs="Arial"/>
          <w:sz w:val="20"/>
          <w:szCs w:val="20"/>
        </w:rPr>
      </w:pPr>
      <w:r w:rsidRPr="00186746">
        <w:rPr>
          <w:rFonts w:ascii="Arial" w:hAnsi="Arial" w:cs="Arial"/>
          <w:noProof/>
          <w:sz w:val="20"/>
          <w:szCs w:val="20"/>
          <w:lang w:eastAsia="en-IN"/>
        </w:rPr>
        <w:drawing>
          <wp:inline distT="0" distB="0" distL="0" distR="0" wp14:anchorId="7483B8FF" wp14:editId="7C5D0B8A">
            <wp:extent cx="5255393" cy="2743200"/>
            <wp:effectExtent l="19050" t="19050" r="21590" b="19050"/>
            <wp:docPr id="1" name="Picture 1" descr="E:\PhD\phd 2\rajeshwari- RVS\3_biofilm_by_spec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phd 2\rajeshwari- RVS\3_biofilm_by_species.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5000"/>
                    <a:stretch/>
                  </pic:blipFill>
                  <pic:spPr bwMode="auto">
                    <a:xfrm>
                      <a:off x="0" y="0"/>
                      <a:ext cx="5259590" cy="2745391"/>
                    </a:xfrm>
                    <a:prstGeom prst="rect">
                      <a:avLst/>
                    </a:prstGeom>
                    <a:noFill/>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86AA112" w14:textId="77777777" w:rsidR="00FC3AEE" w:rsidRPr="00186746" w:rsidRDefault="00FC3AEE" w:rsidP="00B55DC3">
      <w:pPr>
        <w:pStyle w:val="PlainText"/>
        <w:spacing w:line="276" w:lineRule="auto"/>
        <w:ind w:firstLine="720"/>
        <w:jc w:val="both"/>
        <w:rPr>
          <w:rFonts w:ascii="Arial" w:hAnsi="Arial" w:cs="Arial"/>
          <w:sz w:val="20"/>
          <w:szCs w:val="20"/>
        </w:rPr>
      </w:pPr>
    </w:p>
    <w:p w14:paraId="2DB22ED8" w14:textId="77777777" w:rsidR="005332C5" w:rsidRDefault="005332C5"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In meat and meat-processing environments, biofilm formation is a major driver of product contamination, spoilage, and foodborne illness because biofilms on equipment, surfaces, and raw meat protect pathogens such as </w:t>
      </w:r>
      <w:r w:rsidRPr="00186746">
        <w:rPr>
          <w:rStyle w:val="Emphasis"/>
          <w:rFonts w:ascii="Arial" w:hAnsi="Arial" w:cs="Arial"/>
          <w:sz w:val="20"/>
          <w:szCs w:val="20"/>
        </w:rPr>
        <w:t>Listeria monocytogenes</w:t>
      </w:r>
      <w:r w:rsidRPr="00186746">
        <w:rPr>
          <w:rFonts w:ascii="Arial" w:hAnsi="Arial" w:cs="Arial"/>
          <w:sz w:val="20"/>
          <w:szCs w:val="20"/>
        </w:rPr>
        <w:t xml:space="preserve">, </w:t>
      </w:r>
      <w:r w:rsidRPr="00186746">
        <w:rPr>
          <w:rStyle w:val="Emphasis"/>
          <w:rFonts w:ascii="Arial" w:hAnsi="Arial" w:cs="Arial"/>
          <w:sz w:val="20"/>
          <w:szCs w:val="20"/>
        </w:rPr>
        <w:t>Salmonella</w:t>
      </w:r>
      <w:r w:rsidRPr="00186746">
        <w:rPr>
          <w:rFonts w:ascii="Arial" w:hAnsi="Arial" w:cs="Arial"/>
          <w:sz w:val="20"/>
          <w:szCs w:val="20"/>
        </w:rPr>
        <w:t xml:space="preserve"> spp., </w:t>
      </w:r>
      <w:r w:rsidRPr="00186746">
        <w:rPr>
          <w:rStyle w:val="Emphasis"/>
          <w:rFonts w:ascii="Arial" w:hAnsi="Arial" w:cs="Arial"/>
          <w:sz w:val="20"/>
          <w:szCs w:val="20"/>
        </w:rPr>
        <w:t>Escherichia coli</w:t>
      </w:r>
      <w:r w:rsidRPr="00186746">
        <w:rPr>
          <w:rFonts w:ascii="Arial" w:hAnsi="Arial" w:cs="Arial"/>
          <w:sz w:val="20"/>
          <w:szCs w:val="20"/>
        </w:rPr>
        <w:t xml:space="preserve"> O157:H7, and </w:t>
      </w:r>
      <w:r w:rsidRPr="00186746">
        <w:rPr>
          <w:rStyle w:val="Emphasis"/>
          <w:rFonts w:ascii="Arial" w:hAnsi="Arial" w:cs="Arial"/>
          <w:sz w:val="20"/>
          <w:szCs w:val="20"/>
        </w:rPr>
        <w:t>Staphylococcus aureus</w:t>
      </w:r>
      <w:r w:rsidRPr="00186746">
        <w:rPr>
          <w:rFonts w:ascii="Arial" w:hAnsi="Arial" w:cs="Arial"/>
          <w:sz w:val="20"/>
          <w:szCs w:val="20"/>
        </w:rPr>
        <w:t xml:space="preserve"> from routine cleaning and disinfectants, allowing them to persist, repeatedly seed the product, and survive cold storage (</w:t>
      </w:r>
      <w:proofErr w:type="spellStart"/>
      <w:r w:rsidRPr="00186746">
        <w:rPr>
          <w:rFonts w:ascii="Arial" w:hAnsi="Arial" w:cs="Arial"/>
          <w:sz w:val="20"/>
          <w:szCs w:val="20"/>
        </w:rPr>
        <w:t>Oliulla</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2024; Ban-</w:t>
      </w:r>
      <w:proofErr w:type="spellStart"/>
      <w:r w:rsidRPr="00186746">
        <w:rPr>
          <w:rFonts w:ascii="Arial" w:hAnsi="Arial" w:cs="Arial"/>
          <w:sz w:val="20"/>
          <w:szCs w:val="20"/>
        </w:rPr>
        <w:t>Cucerzan</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2025; Akter, 2025). On meat samples and processing surfaces, biofilms enhance bacterial attachment and accumulation (e.g., </w:t>
      </w:r>
      <w:r w:rsidRPr="00186746">
        <w:rPr>
          <w:rStyle w:val="Emphasis"/>
          <w:rFonts w:ascii="Arial" w:hAnsi="Arial" w:cs="Arial"/>
          <w:sz w:val="20"/>
          <w:szCs w:val="20"/>
        </w:rPr>
        <w:t>Salmonella</w:t>
      </w:r>
      <w:r w:rsidRPr="00186746">
        <w:rPr>
          <w:rFonts w:ascii="Arial" w:hAnsi="Arial" w:cs="Arial"/>
          <w:sz w:val="20"/>
          <w:szCs w:val="20"/>
        </w:rPr>
        <w:t xml:space="preserve"> reaching ~6 log CFU/g on chicken skin), promote mixed-species communities that increase resilience, and facilitate the transfer of antimicrobial-resistance genes, thereby elevating the risk of cross-contamination, reduced shelf life, and outbreaks linked to fresh, processed, and cured meats (Araújo </w:t>
      </w:r>
      <w:r w:rsidR="00186746" w:rsidRPr="00186746">
        <w:rPr>
          <w:rFonts w:ascii="Arial" w:hAnsi="Arial" w:cs="Arial"/>
          <w:i/>
          <w:sz w:val="20"/>
          <w:szCs w:val="20"/>
        </w:rPr>
        <w:t>et al</w:t>
      </w:r>
      <w:r w:rsidRPr="00186746">
        <w:rPr>
          <w:rFonts w:ascii="Arial" w:hAnsi="Arial" w:cs="Arial"/>
          <w:sz w:val="20"/>
          <w:szCs w:val="20"/>
        </w:rPr>
        <w:t>., 2024).</w:t>
      </w:r>
      <w:r w:rsidR="008E6DDB" w:rsidRPr="00186746">
        <w:rPr>
          <w:rFonts w:ascii="Arial" w:hAnsi="Arial" w:cs="Arial"/>
          <w:sz w:val="20"/>
          <w:szCs w:val="20"/>
        </w:rPr>
        <w:t xml:space="preserve"> </w:t>
      </w:r>
    </w:p>
    <w:p w14:paraId="27BBDF53" w14:textId="77777777" w:rsidR="0000667B" w:rsidRPr="00186746" w:rsidRDefault="0000667B" w:rsidP="00B55DC3">
      <w:pPr>
        <w:pStyle w:val="PlainText"/>
        <w:spacing w:line="276" w:lineRule="auto"/>
        <w:ind w:firstLine="720"/>
        <w:jc w:val="both"/>
        <w:rPr>
          <w:rFonts w:ascii="Arial" w:hAnsi="Arial" w:cs="Arial"/>
          <w:sz w:val="20"/>
          <w:szCs w:val="20"/>
        </w:rPr>
      </w:pPr>
    </w:p>
    <w:p w14:paraId="6D73383C" w14:textId="77777777" w:rsidR="005332C5" w:rsidRPr="00186746" w:rsidRDefault="005332C5"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In this context, there is a need to eradicate biofilm-producing isolates using a natural, side-effect-free alternative rather than conventional antibiotics or chemical sanitizers. Accordingly, the present study was focused on suppressing biofilm-producing isolates using bacteriocins produced by lactic acid bacteria. </w:t>
      </w:r>
      <w:r w:rsidR="00B968DD" w:rsidRPr="00186746">
        <w:rPr>
          <w:rFonts w:ascii="Arial" w:hAnsi="Arial" w:cs="Arial"/>
          <w:sz w:val="20"/>
          <w:szCs w:val="20"/>
        </w:rPr>
        <w:t xml:space="preserve">Presently, </w:t>
      </w:r>
      <w:r w:rsidR="00725234" w:rsidRPr="00186746">
        <w:rPr>
          <w:rFonts w:ascii="Arial" w:hAnsi="Arial" w:cs="Arial"/>
          <w:sz w:val="20"/>
          <w:szCs w:val="20"/>
        </w:rPr>
        <w:t xml:space="preserve">all </w:t>
      </w:r>
      <w:r w:rsidR="00B968DD" w:rsidRPr="00186746">
        <w:rPr>
          <w:rFonts w:ascii="Arial" w:hAnsi="Arial" w:cs="Arial"/>
          <w:sz w:val="20"/>
          <w:szCs w:val="20"/>
        </w:rPr>
        <w:t xml:space="preserve">isolated LAB were subjected </w:t>
      </w:r>
      <w:r w:rsidR="00725234" w:rsidRPr="00186746">
        <w:rPr>
          <w:rFonts w:ascii="Arial" w:hAnsi="Arial" w:cs="Arial"/>
          <w:sz w:val="20"/>
          <w:szCs w:val="20"/>
        </w:rPr>
        <w:t>to determination of bacteriocin producing isolates against biofilm producing meat isolates.</w:t>
      </w:r>
    </w:p>
    <w:p w14:paraId="784141C4" w14:textId="0C691503" w:rsidR="00BD20C7" w:rsidRPr="00186746" w:rsidRDefault="00BD20C7" w:rsidP="0000667B">
      <w:pPr>
        <w:pStyle w:val="isselectedend"/>
        <w:spacing w:line="276" w:lineRule="auto"/>
        <w:ind w:firstLine="720"/>
        <w:jc w:val="both"/>
        <w:rPr>
          <w:rFonts w:ascii="Arial" w:hAnsi="Arial" w:cs="Arial"/>
          <w:sz w:val="20"/>
          <w:szCs w:val="20"/>
        </w:rPr>
      </w:pPr>
      <w:r w:rsidRPr="00186746">
        <w:rPr>
          <w:rFonts w:ascii="Arial" w:hAnsi="Arial" w:cs="Arial"/>
          <w:sz w:val="20"/>
          <w:szCs w:val="20"/>
        </w:rPr>
        <w:t>The present study demonstrated considerable strain-dependent variation in the bacteriocin-mediated inhibitory activity of LAB isolates obtained from milk and milk products against biofilm-producing bacterial isolates recovered from meat samples. The inhibition zones ranged from 12 to 25 mm, indicating differences in the bacteriocin-producing capacity and inhibitory spectrum of the LAB isolates</w:t>
      </w:r>
      <w:r w:rsidR="00331A33">
        <w:rPr>
          <w:rFonts w:ascii="Arial" w:hAnsi="Arial" w:cs="Arial"/>
          <w:sz w:val="20"/>
          <w:szCs w:val="20"/>
        </w:rPr>
        <w:t xml:space="preserve"> (Table </w:t>
      </w:r>
      <w:r w:rsidR="001F01C4">
        <w:rPr>
          <w:rFonts w:ascii="Arial" w:hAnsi="Arial" w:cs="Arial"/>
          <w:sz w:val="20"/>
          <w:szCs w:val="20"/>
        </w:rPr>
        <w:t>2</w:t>
      </w:r>
      <w:r w:rsidR="00331A33">
        <w:rPr>
          <w:rFonts w:ascii="Arial" w:hAnsi="Arial" w:cs="Arial"/>
          <w:sz w:val="20"/>
          <w:szCs w:val="20"/>
        </w:rPr>
        <w:t>)</w:t>
      </w:r>
      <w:r w:rsidRPr="00186746">
        <w:rPr>
          <w:rFonts w:ascii="Arial" w:hAnsi="Arial" w:cs="Arial"/>
          <w:sz w:val="20"/>
          <w:szCs w:val="20"/>
        </w:rPr>
        <w:t xml:space="preserve">. In the present study, </w:t>
      </w:r>
      <w:proofErr w:type="spellStart"/>
      <w:r w:rsidRPr="00186746">
        <w:rPr>
          <w:rStyle w:val="Emphasis"/>
          <w:rFonts w:ascii="Arial" w:hAnsi="Arial" w:cs="Arial"/>
          <w:sz w:val="20"/>
          <w:szCs w:val="20"/>
        </w:rPr>
        <w:t>P.aeruginosa</w:t>
      </w:r>
      <w:proofErr w:type="spellEnd"/>
      <w:r w:rsidRPr="00186746">
        <w:rPr>
          <w:rFonts w:ascii="Arial" w:hAnsi="Arial" w:cs="Arial"/>
          <w:sz w:val="20"/>
          <w:szCs w:val="20"/>
        </w:rPr>
        <w:t xml:space="preserve"> exhibited comparatively high susceptibility to several LAB isolates, with the maximum inhibition zone of </w:t>
      </w:r>
      <w:r w:rsidRPr="00186746">
        <w:rPr>
          <w:rStyle w:val="Strong"/>
          <w:rFonts w:ascii="Arial" w:hAnsi="Arial" w:cs="Arial"/>
          <w:b w:val="0"/>
          <w:sz w:val="20"/>
          <w:szCs w:val="20"/>
        </w:rPr>
        <w:t>24 mm produced by isolate 19</w:t>
      </w:r>
      <w:r w:rsidRPr="00186746">
        <w:rPr>
          <w:rFonts w:ascii="Arial" w:hAnsi="Arial" w:cs="Arial"/>
          <w:b/>
          <w:sz w:val="20"/>
          <w:szCs w:val="20"/>
        </w:rPr>
        <w:t>,</w:t>
      </w:r>
      <w:r w:rsidRPr="00186746">
        <w:rPr>
          <w:rFonts w:ascii="Arial" w:hAnsi="Arial" w:cs="Arial"/>
          <w:sz w:val="20"/>
          <w:szCs w:val="20"/>
        </w:rPr>
        <w:t xml:space="preserve"> followed by isolates 6, 11 and 18, which produced inhibition zones of 22, 21 and 20 mm, respectively. The pronounced inhibition of </w:t>
      </w:r>
      <w:r w:rsidRPr="00186746">
        <w:rPr>
          <w:rStyle w:val="Emphasis"/>
          <w:rFonts w:ascii="Arial" w:hAnsi="Arial" w:cs="Arial"/>
          <w:sz w:val="20"/>
          <w:szCs w:val="20"/>
        </w:rPr>
        <w:t>P. aeruginosa</w:t>
      </w:r>
      <w:r w:rsidRPr="00186746">
        <w:rPr>
          <w:rFonts w:ascii="Arial" w:hAnsi="Arial" w:cs="Arial"/>
          <w:sz w:val="20"/>
          <w:szCs w:val="20"/>
        </w:rPr>
        <w:t xml:space="preserve"> is particularly relevant because this organism is an important biofilm-forming foodborne and spoilage-associated bacterium. A recent study by </w:t>
      </w:r>
      <w:r w:rsidR="003A53C8" w:rsidRPr="00186746">
        <w:rPr>
          <w:rStyle w:val="Strong"/>
          <w:rFonts w:ascii="Arial" w:hAnsi="Arial" w:cs="Arial"/>
          <w:b w:val="0"/>
          <w:sz w:val="20"/>
          <w:szCs w:val="20"/>
        </w:rPr>
        <w:t>Thuy</w:t>
      </w:r>
      <w:r w:rsidRPr="00186746">
        <w:rPr>
          <w:rStyle w:val="Strong"/>
          <w:rFonts w:ascii="Arial" w:hAnsi="Arial" w:cs="Arial"/>
          <w:b w:val="0"/>
          <w:sz w:val="20"/>
          <w:szCs w:val="20"/>
        </w:rPr>
        <w:t xml:space="preserve">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demonstrated that bacteriocin-like inhibitory substances produced by LAB could inhibit both the growth and biofilm formation of </w:t>
      </w:r>
      <w:r w:rsidRPr="00186746">
        <w:rPr>
          <w:rStyle w:val="Emphasis"/>
          <w:rFonts w:ascii="Arial" w:hAnsi="Arial" w:cs="Arial"/>
          <w:sz w:val="20"/>
          <w:szCs w:val="20"/>
        </w:rPr>
        <w:t>P. aeruginosa</w:t>
      </w:r>
      <w:r w:rsidRPr="00186746">
        <w:rPr>
          <w:rFonts w:ascii="Arial" w:hAnsi="Arial" w:cs="Arial"/>
          <w:sz w:val="20"/>
          <w:szCs w:val="20"/>
        </w:rPr>
        <w:t xml:space="preserve">, indicating that LAB-derived proteinaceous inhibitory compounds may have potential for controlling biofilm-associated pathogens. Furthermore, </w:t>
      </w:r>
      <w:r w:rsidRPr="00186746">
        <w:rPr>
          <w:rStyle w:val="Strong"/>
          <w:rFonts w:ascii="Arial" w:hAnsi="Arial" w:cs="Arial"/>
          <w:b w:val="0"/>
          <w:sz w:val="20"/>
          <w:szCs w:val="20"/>
        </w:rPr>
        <w:t>Amenu and Bacha (2025)</w:t>
      </w:r>
      <w:r w:rsidRPr="00186746">
        <w:rPr>
          <w:rFonts w:ascii="Arial" w:hAnsi="Arial" w:cs="Arial"/>
          <w:b/>
          <w:sz w:val="20"/>
          <w:szCs w:val="20"/>
        </w:rPr>
        <w:t xml:space="preserve"> </w:t>
      </w:r>
      <w:r w:rsidRPr="00186746">
        <w:rPr>
          <w:rFonts w:ascii="Arial" w:hAnsi="Arial" w:cs="Arial"/>
          <w:sz w:val="20"/>
          <w:szCs w:val="20"/>
        </w:rPr>
        <w:t xml:space="preserve">reported that </w:t>
      </w:r>
      <w:proofErr w:type="spellStart"/>
      <w:r w:rsidRPr="00186746">
        <w:rPr>
          <w:rStyle w:val="Emphasis"/>
          <w:rFonts w:ascii="Arial" w:hAnsi="Arial" w:cs="Arial"/>
          <w:sz w:val="20"/>
          <w:szCs w:val="20"/>
        </w:rPr>
        <w:t>Pediococcus</w:t>
      </w:r>
      <w:proofErr w:type="spellEnd"/>
      <w:r w:rsidRPr="00186746">
        <w:rPr>
          <w:rStyle w:val="Emphasis"/>
          <w:rFonts w:ascii="Arial" w:hAnsi="Arial" w:cs="Arial"/>
          <w:sz w:val="20"/>
          <w:szCs w:val="20"/>
        </w:rPr>
        <w:t xml:space="preserve"> </w:t>
      </w:r>
      <w:proofErr w:type="spellStart"/>
      <w:r w:rsidRPr="00186746">
        <w:rPr>
          <w:rStyle w:val="Emphasis"/>
          <w:rFonts w:ascii="Arial" w:hAnsi="Arial" w:cs="Arial"/>
          <w:sz w:val="20"/>
          <w:szCs w:val="20"/>
        </w:rPr>
        <w:t>pentosaceus</w:t>
      </w:r>
      <w:proofErr w:type="spellEnd"/>
      <w:r w:rsidRPr="00186746">
        <w:rPr>
          <w:rFonts w:ascii="Arial" w:hAnsi="Arial" w:cs="Arial"/>
          <w:sz w:val="20"/>
          <w:szCs w:val="20"/>
        </w:rPr>
        <w:t xml:space="preserve"> isolated from fermented dairy products exhibited a strong inhibition against </w:t>
      </w:r>
      <w:r w:rsidRPr="00186746">
        <w:rPr>
          <w:rStyle w:val="Emphasis"/>
          <w:rFonts w:ascii="Arial" w:hAnsi="Arial" w:cs="Arial"/>
          <w:sz w:val="20"/>
          <w:szCs w:val="20"/>
        </w:rPr>
        <w:t>P. aeruginosa</w:t>
      </w:r>
      <w:r w:rsidRPr="00186746">
        <w:rPr>
          <w:rFonts w:ascii="Arial" w:hAnsi="Arial" w:cs="Arial"/>
          <w:sz w:val="20"/>
          <w:szCs w:val="20"/>
        </w:rPr>
        <w:t>.</w:t>
      </w:r>
    </w:p>
    <w:p w14:paraId="7A84F2A9"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The present study also revealed strong inhibition of </w:t>
      </w:r>
      <w:r w:rsidRPr="00186746">
        <w:rPr>
          <w:rStyle w:val="Emphasis"/>
          <w:rFonts w:ascii="Arial" w:hAnsi="Arial" w:cs="Arial"/>
          <w:sz w:val="20"/>
          <w:szCs w:val="20"/>
        </w:rPr>
        <w:t>Proteus</w:t>
      </w:r>
      <w:r w:rsidRPr="00186746">
        <w:rPr>
          <w:rFonts w:ascii="Arial" w:hAnsi="Arial" w:cs="Arial"/>
          <w:sz w:val="20"/>
          <w:szCs w:val="20"/>
        </w:rPr>
        <w:t xml:space="preserve"> sp., with </w:t>
      </w:r>
      <w:r w:rsidRPr="00186746">
        <w:rPr>
          <w:rStyle w:val="Strong"/>
          <w:rFonts w:ascii="Arial" w:hAnsi="Arial" w:cs="Arial"/>
          <w:b w:val="0"/>
          <w:sz w:val="20"/>
          <w:szCs w:val="20"/>
        </w:rPr>
        <w:t>isolate 11 producing the maximum inhibition zone of 25 mm</w:t>
      </w:r>
      <w:r w:rsidRPr="00186746">
        <w:rPr>
          <w:rFonts w:ascii="Arial" w:hAnsi="Arial" w:cs="Arial"/>
          <w:sz w:val="20"/>
          <w:szCs w:val="20"/>
        </w:rPr>
        <w:t xml:space="preserve">. Although dairy-derived bacteriocins may show different spectra </w:t>
      </w:r>
      <w:r w:rsidRPr="00186746">
        <w:rPr>
          <w:rFonts w:ascii="Arial" w:hAnsi="Arial" w:cs="Arial"/>
          <w:sz w:val="20"/>
          <w:szCs w:val="20"/>
        </w:rPr>
        <w:lastRenderedPageBreak/>
        <w:t xml:space="preserve">depending on the producing strain and target organism, the present finding indicates that selected milk-associated LAB can inhibit </w:t>
      </w:r>
      <w:r w:rsidRPr="00186746">
        <w:rPr>
          <w:rStyle w:val="Emphasis"/>
          <w:rFonts w:ascii="Arial" w:hAnsi="Arial" w:cs="Arial"/>
          <w:sz w:val="20"/>
          <w:szCs w:val="20"/>
        </w:rPr>
        <w:t>Proteus</w:t>
      </w:r>
      <w:r w:rsidRPr="00186746">
        <w:rPr>
          <w:rFonts w:ascii="Arial" w:hAnsi="Arial" w:cs="Arial"/>
          <w:sz w:val="20"/>
          <w:szCs w:val="20"/>
        </w:rPr>
        <w:t xml:space="preserve"> isolates recovered from meat. Interestingly, </w:t>
      </w:r>
      <w:r w:rsidRPr="00186746">
        <w:rPr>
          <w:rStyle w:val="Strong"/>
          <w:rFonts w:ascii="Arial" w:hAnsi="Arial" w:cs="Arial"/>
          <w:b w:val="0"/>
          <w:sz w:val="20"/>
          <w:szCs w:val="20"/>
        </w:rPr>
        <w:t xml:space="preserve">Vyas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(2025)</w:t>
      </w:r>
      <w:r w:rsidRPr="00186746">
        <w:rPr>
          <w:rFonts w:ascii="Arial" w:hAnsi="Arial" w:cs="Arial"/>
          <w:sz w:val="20"/>
          <w:szCs w:val="20"/>
        </w:rPr>
        <w:t xml:space="preserve"> reported that their dairy LAB isolates did not inhibit </w:t>
      </w:r>
      <w:r w:rsidRPr="00186746">
        <w:rPr>
          <w:rStyle w:val="Emphasis"/>
          <w:rFonts w:ascii="Arial" w:hAnsi="Arial" w:cs="Arial"/>
          <w:sz w:val="20"/>
          <w:szCs w:val="20"/>
        </w:rPr>
        <w:t>Proteus</w:t>
      </w:r>
      <w:r w:rsidRPr="00186746">
        <w:rPr>
          <w:rFonts w:ascii="Arial" w:hAnsi="Arial" w:cs="Arial"/>
          <w:sz w:val="20"/>
          <w:szCs w:val="20"/>
        </w:rPr>
        <w:t xml:space="preserve"> under the conditions tested, demonstrating the considerable strain- and target-specific nature of bacteriocin activity. Thus, the strong inhibition of </w:t>
      </w:r>
      <w:r w:rsidRPr="00186746">
        <w:rPr>
          <w:rStyle w:val="Emphasis"/>
          <w:rFonts w:ascii="Arial" w:hAnsi="Arial" w:cs="Arial"/>
          <w:sz w:val="20"/>
          <w:szCs w:val="20"/>
        </w:rPr>
        <w:t>Proteus</w:t>
      </w:r>
      <w:r w:rsidRPr="00186746">
        <w:rPr>
          <w:rFonts w:ascii="Arial" w:hAnsi="Arial" w:cs="Arial"/>
          <w:sz w:val="20"/>
          <w:szCs w:val="20"/>
        </w:rPr>
        <w:t xml:space="preserve"> sp. observed for isolate 11 in the present investigation may represent a particularly useful property of this isolate and warrants further characterization of its bacteriocin.</w:t>
      </w:r>
    </w:p>
    <w:p w14:paraId="595E4457"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Against </w:t>
      </w:r>
      <w:r w:rsidRPr="00186746">
        <w:rPr>
          <w:rStyle w:val="Emphasis"/>
          <w:rFonts w:ascii="Arial" w:hAnsi="Arial" w:cs="Arial"/>
          <w:sz w:val="20"/>
          <w:szCs w:val="20"/>
        </w:rPr>
        <w:t>Salmonella</w:t>
      </w:r>
      <w:r w:rsidRPr="00186746">
        <w:rPr>
          <w:rFonts w:ascii="Arial" w:hAnsi="Arial" w:cs="Arial"/>
          <w:sz w:val="20"/>
          <w:szCs w:val="20"/>
        </w:rPr>
        <w:t xml:space="preserve"> sp., isolates 3, 6, 11, 14 and 15 produced inhibition zones ranging from </w:t>
      </w:r>
      <w:r w:rsidRPr="00186746">
        <w:rPr>
          <w:rStyle w:val="Strong"/>
          <w:rFonts w:ascii="Arial" w:hAnsi="Arial" w:cs="Arial"/>
          <w:b w:val="0"/>
          <w:sz w:val="20"/>
          <w:szCs w:val="20"/>
        </w:rPr>
        <w:t>15 to 18 mm</w:t>
      </w:r>
      <w:r w:rsidRPr="00186746">
        <w:rPr>
          <w:rFonts w:ascii="Arial" w:hAnsi="Arial" w:cs="Arial"/>
          <w:sz w:val="20"/>
          <w:szCs w:val="20"/>
        </w:rPr>
        <w:t xml:space="preserve">, demonstrating that selected milk-derived LAB could suppress a meat-associated </w:t>
      </w:r>
      <w:r w:rsidRPr="00186746">
        <w:rPr>
          <w:rStyle w:val="Emphasis"/>
          <w:rFonts w:ascii="Arial" w:hAnsi="Arial" w:cs="Arial"/>
          <w:sz w:val="20"/>
          <w:szCs w:val="20"/>
        </w:rPr>
        <w:t>Salmonella</w:t>
      </w:r>
      <w:r w:rsidRPr="00186746">
        <w:rPr>
          <w:rFonts w:ascii="Arial" w:hAnsi="Arial" w:cs="Arial"/>
          <w:sz w:val="20"/>
          <w:szCs w:val="20"/>
        </w:rPr>
        <w:t xml:space="preserve"> isolate. This finding is supported by the </w:t>
      </w:r>
      <w:r w:rsidR="00181B0D" w:rsidRPr="00186746">
        <w:rPr>
          <w:rFonts w:ascii="Arial" w:hAnsi="Arial" w:cs="Arial"/>
          <w:sz w:val="20"/>
          <w:szCs w:val="20"/>
        </w:rPr>
        <w:t>previous</w:t>
      </w:r>
      <w:r w:rsidRPr="00186746">
        <w:rPr>
          <w:rFonts w:ascii="Arial" w:hAnsi="Arial" w:cs="Arial"/>
          <w:sz w:val="20"/>
          <w:szCs w:val="20"/>
        </w:rPr>
        <w:t xml:space="preserve"> analysis of </w:t>
      </w:r>
      <w:proofErr w:type="spellStart"/>
      <w:r w:rsidR="00181B0D" w:rsidRPr="00186746">
        <w:rPr>
          <w:rFonts w:ascii="Arial" w:hAnsi="Arial" w:cs="Arial"/>
          <w:sz w:val="20"/>
          <w:szCs w:val="20"/>
        </w:rPr>
        <w:t>Bouchefra</w:t>
      </w:r>
      <w:proofErr w:type="spellEnd"/>
      <w:r w:rsidR="00181B0D" w:rsidRPr="00186746">
        <w:rPr>
          <w:rStyle w:val="Strong"/>
          <w:rFonts w:ascii="Arial" w:hAnsi="Arial" w:cs="Arial"/>
          <w:b w:val="0"/>
          <w:bCs w:val="0"/>
          <w:sz w:val="20"/>
          <w:szCs w:val="20"/>
        </w:rPr>
        <w:t xml:space="preserve"> </w:t>
      </w:r>
      <w:r w:rsidR="00186746" w:rsidRPr="00186746">
        <w:rPr>
          <w:rStyle w:val="Strong"/>
          <w:rFonts w:ascii="Arial" w:hAnsi="Arial" w:cs="Arial"/>
          <w:b w:val="0"/>
          <w:bCs w:val="0"/>
          <w:i/>
          <w:sz w:val="20"/>
          <w:szCs w:val="20"/>
        </w:rPr>
        <w:t>et al</w:t>
      </w:r>
      <w:r w:rsidR="00181B0D" w:rsidRPr="00186746">
        <w:rPr>
          <w:rStyle w:val="Strong"/>
          <w:rFonts w:ascii="Arial" w:hAnsi="Arial" w:cs="Arial"/>
          <w:b w:val="0"/>
          <w:bCs w:val="0"/>
          <w:sz w:val="20"/>
          <w:szCs w:val="20"/>
        </w:rPr>
        <w:t xml:space="preserve">., 2022; </w:t>
      </w:r>
      <w:r w:rsidR="00F76B4A" w:rsidRPr="00186746">
        <w:rPr>
          <w:rStyle w:val="Strong"/>
          <w:rFonts w:ascii="Arial" w:hAnsi="Arial" w:cs="Arial"/>
          <w:b w:val="0"/>
          <w:sz w:val="20"/>
          <w:szCs w:val="20"/>
        </w:rPr>
        <w:t>Heydarian</w:t>
      </w:r>
      <w:r w:rsidRPr="00186746">
        <w:rPr>
          <w:rStyle w:val="Strong"/>
          <w:rFonts w:ascii="Arial" w:hAnsi="Arial" w:cs="Arial"/>
          <w:b w:val="0"/>
          <w:sz w:val="20"/>
          <w:szCs w:val="20"/>
        </w:rPr>
        <w:t xml:space="preserve">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w:t>
      </w:r>
      <w:r w:rsidR="00181B0D" w:rsidRPr="00186746">
        <w:rPr>
          <w:rStyle w:val="Strong"/>
          <w:rFonts w:ascii="Arial" w:hAnsi="Arial" w:cs="Arial"/>
          <w:b w:val="0"/>
          <w:sz w:val="20"/>
          <w:szCs w:val="20"/>
        </w:rPr>
        <w:t>6</w:t>
      </w:r>
      <w:r w:rsidRPr="00186746">
        <w:rPr>
          <w:rStyle w:val="Strong"/>
          <w:rFonts w:ascii="Arial" w:hAnsi="Arial" w:cs="Arial"/>
          <w:b w:val="0"/>
          <w:sz w:val="20"/>
          <w:szCs w:val="20"/>
        </w:rPr>
        <w:t>)</w:t>
      </w:r>
      <w:r w:rsidRPr="00186746">
        <w:rPr>
          <w:rFonts w:ascii="Arial" w:hAnsi="Arial" w:cs="Arial"/>
          <w:b/>
          <w:sz w:val="20"/>
          <w:szCs w:val="20"/>
        </w:rPr>
        <w:t>,</w:t>
      </w:r>
      <w:r w:rsidRPr="00186746">
        <w:rPr>
          <w:rFonts w:ascii="Arial" w:hAnsi="Arial" w:cs="Arial"/>
          <w:sz w:val="20"/>
          <w:szCs w:val="20"/>
        </w:rPr>
        <w:t xml:space="preserve"> which evaluated LAB isolated from dairy products and confirmed measurable inhibitory effects against important foodborne pathogens, particularly </w:t>
      </w:r>
      <w:r w:rsidRPr="00186746">
        <w:rPr>
          <w:rStyle w:val="Emphasis"/>
          <w:rFonts w:ascii="Arial" w:hAnsi="Arial" w:cs="Arial"/>
          <w:sz w:val="20"/>
          <w:szCs w:val="20"/>
        </w:rPr>
        <w:t>Salmonella</w:t>
      </w:r>
      <w:r w:rsidRPr="00186746">
        <w:rPr>
          <w:rFonts w:ascii="Arial" w:hAnsi="Arial" w:cs="Arial"/>
          <w:sz w:val="20"/>
          <w:szCs w:val="20"/>
        </w:rPr>
        <w:t xml:space="preserve"> spp., </w:t>
      </w:r>
      <w:r w:rsidRPr="00186746">
        <w:rPr>
          <w:rStyle w:val="Emphasis"/>
          <w:rFonts w:ascii="Arial" w:hAnsi="Arial" w:cs="Arial"/>
          <w:sz w:val="20"/>
          <w:szCs w:val="20"/>
        </w:rPr>
        <w:t>S. aureus</w:t>
      </w:r>
      <w:r w:rsidRPr="00186746">
        <w:rPr>
          <w:rFonts w:ascii="Arial" w:hAnsi="Arial" w:cs="Arial"/>
          <w:sz w:val="20"/>
          <w:szCs w:val="20"/>
        </w:rPr>
        <w:t xml:space="preserve"> and </w:t>
      </w:r>
      <w:r w:rsidRPr="00186746">
        <w:rPr>
          <w:rStyle w:val="Emphasis"/>
          <w:rFonts w:ascii="Arial" w:hAnsi="Arial" w:cs="Arial"/>
          <w:sz w:val="20"/>
          <w:szCs w:val="20"/>
        </w:rPr>
        <w:t>L. monocytogenes</w:t>
      </w:r>
      <w:r w:rsidRPr="00186746">
        <w:rPr>
          <w:rFonts w:ascii="Arial" w:hAnsi="Arial" w:cs="Arial"/>
          <w:sz w:val="20"/>
          <w:szCs w:val="20"/>
        </w:rPr>
        <w:t xml:space="preserve">. In addition, </w:t>
      </w:r>
      <w:proofErr w:type="spellStart"/>
      <w:r w:rsidRPr="00186746">
        <w:rPr>
          <w:rStyle w:val="Strong"/>
          <w:rFonts w:ascii="Arial" w:hAnsi="Arial" w:cs="Arial"/>
          <w:b w:val="0"/>
          <w:sz w:val="20"/>
          <w:szCs w:val="20"/>
        </w:rPr>
        <w:t>Shahrir</w:t>
      </w:r>
      <w:proofErr w:type="spellEnd"/>
      <w:r w:rsidRPr="00186746">
        <w:rPr>
          <w:rStyle w:val="Strong"/>
          <w:rFonts w:ascii="Arial" w:hAnsi="Arial" w:cs="Arial"/>
          <w:b w:val="0"/>
          <w:sz w:val="20"/>
          <w:szCs w:val="20"/>
        </w:rPr>
        <w:t xml:space="preserve">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demonstrated that bacteriocin produced by </w:t>
      </w:r>
      <w:r w:rsidRPr="00186746">
        <w:rPr>
          <w:rStyle w:val="Emphasis"/>
          <w:rFonts w:ascii="Arial" w:hAnsi="Arial" w:cs="Arial"/>
          <w:sz w:val="20"/>
          <w:szCs w:val="20"/>
        </w:rPr>
        <w:t>Lactobacillus acidophilus</w:t>
      </w:r>
      <w:r w:rsidRPr="00186746">
        <w:rPr>
          <w:rFonts w:ascii="Arial" w:hAnsi="Arial" w:cs="Arial"/>
          <w:sz w:val="20"/>
          <w:szCs w:val="20"/>
        </w:rPr>
        <w:t xml:space="preserve"> exhibited strong inhibition of </w:t>
      </w:r>
      <w:r w:rsidRPr="00186746">
        <w:rPr>
          <w:rStyle w:val="Emphasis"/>
          <w:rFonts w:ascii="Arial" w:hAnsi="Arial" w:cs="Arial"/>
          <w:sz w:val="20"/>
          <w:szCs w:val="20"/>
        </w:rPr>
        <w:t>E. coli</w:t>
      </w:r>
      <w:r w:rsidRPr="00186746">
        <w:rPr>
          <w:rFonts w:ascii="Arial" w:hAnsi="Arial" w:cs="Arial"/>
          <w:sz w:val="20"/>
          <w:szCs w:val="20"/>
        </w:rPr>
        <w:t xml:space="preserve"> O157 and </w:t>
      </w:r>
      <w:r w:rsidRPr="00186746">
        <w:rPr>
          <w:rStyle w:val="Emphasis"/>
          <w:rFonts w:ascii="Arial" w:hAnsi="Arial" w:cs="Arial"/>
          <w:sz w:val="20"/>
          <w:szCs w:val="20"/>
        </w:rPr>
        <w:t>Salmonella</w:t>
      </w:r>
      <w:r w:rsidRPr="00186746">
        <w:rPr>
          <w:rFonts w:ascii="Arial" w:hAnsi="Arial" w:cs="Arial"/>
          <w:sz w:val="20"/>
          <w:szCs w:val="20"/>
        </w:rPr>
        <w:t xml:space="preserve"> sp., with inhibition exceeding 80% in their experimental system. These findings support the ability of LAB-derived bacteriocins to act against foodborne pathogens originating from food matrices different from the original source of the LAB.</w:t>
      </w:r>
    </w:p>
    <w:p w14:paraId="10709CB1"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The inhibition observed against </w:t>
      </w:r>
      <w:r w:rsidRPr="00186746">
        <w:rPr>
          <w:rStyle w:val="Emphasis"/>
          <w:rFonts w:ascii="Arial" w:hAnsi="Arial" w:cs="Arial"/>
          <w:sz w:val="20"/>
          <w:szCs w:val="20"/>
        </w:rPr>
        <w:t>Escherichia coli</w:t>
      </w:r>
      <w:r w:rsidRPr="00186746">
        <w:rPr>
          <w:rFonts w:ascii="Arial" w:hAnsi="Arial" w:cs="Arial"/>
          <w:sz w:val="20"/>
          <w:szCs w:val="20"/>
        </w:rPr>
        <w:t xml:space="preserve"> in the present study ranged from </w:t>
      </w:r>
      <w:r w:rsidRPr="00186746">
        <w:rPr>
          <w:rStyle w:val="Strong"/>
          <w:rFonts w:ascii="Arial" w:hAnsi="Arial" w:cs="Arial"/>
          <w:b w:val="0"/>
          <w:sz w:val="20"/>
          <w:szCs w:val="20"/>
        </w:rPr>
        <w:t>14 to 17 mm</w:t>
      </w:r>
      <w:r w:rsidRPr="00186746">
        <w:rPr>
          <w:rFonts w:ascii="Arial" w:hAnsi="Arial" w:cs="Arial"/>
          <w:sz w:val="20"/>
          <w:szCs w:val="20"/>
        </w:rPr>
        <w:t xml:space="preserve">, with isolates </w:t>
      </w:r>
      <w:r w:rsidR="00C93D52">
        <w:rPr>
          <w:rFonts w:ascii="Arial" w:hAnsi="Arial" w:cs="Arial"/>
          <w:sz w:val="20"/>
          <w:szCs w:val="20"/>
        </w:rPr>
        <w:t>6</w:t>
      </w:r>
      <w:r w:rsidR="00224A37" w:rsidRPr="00186746">
        <w:rPr>
          <w:rFonts w:ascii="Arial" w:hAnsi="Arial" w:cs="Arial"/>
          <w:sz w:val="20"/>
          <w:szCs w:val="20"/>
        </w:rPr>
        <w:t>, 1</w:t>
      </w:r>
      <w:r w:rsidR="00C93D52">
        <w:rPr>
          <w:rFonts w:ascii="Arial" w:hAnsi="Arial" w:cs="Arial"/>
          <w:sz w:val="20"/>
          <w:szCs w:val="20"/>
        </w:rPr>
        <w:t>1</w:t>
      </w:r>
      <w:r w:rsidRPr="00186746">
        <w:rPr>
          <w:rFonts w:ascii="Arial" w:hAnsi="Arial" w:cs="Arial"/>
          <w:sz w:val="20"/>
          <w:szCs w:val="20"/>
        </w:rPr>
        <w:t xml:space="preserve"> and 1</w:t>
      </w:r>
      <w:r w:rsidR="00224A37" w:rsidRPr="00186746">
        <w:rPr>
          <w:rFonts w:ascii="Arial" w:hAnsi="Arial" w:cs="Arial"/>
          <w:sz w:val="20"/>
          <w:szCs w:val="20"/>
        </w:rPr>
        <w:t>4</w:t>
      </w:r>
      <w:r w:rsidRPr="00186746">
        <w:rPr>
          <w:rFonts w:ascii="Arial" w:hAnsi="Arial" w:cs="Arial"/>
          <w:sz w:val="20"/>
          <w:szCs w:val="20"/>
        </w:rPr>
        <w:t xml:space="preserve"> producing the highest inhibition zone. This result is in agreement with the findings of </w:t>
      </w:r>
      <w:r w:rsidRPr="00186746">
        <w:rPr>
          <w:rStyle w:val="Strong"/>
          <w:rFonts w:ascii="Arial" w:hAnsi="Arial" w:cs="Arial"/>
          <w:b w:val="0"/>
          <w:sz w:val="20"/>
          <w:szCs w:val="20"/>
        </w:rPr>
        <w:t xml:space="preserve">Guo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who characterized a novel bacteriocin, LpH25, and demonstrated inhibitory activity against </w:t>
      </w:r>
      <w:r w:rsidRPr="00186746">
        <w:rPr>
          <w:rStyle w:val="Emphasis"/>
          <w:rFonts w:ascii="Arial" w:hAnsi="Arial" w:cs="Arial"/>
          <w:sz w:val="20"/>
          <w:szCs w:val="20"/>
        </w:rPr>
        <w:t>E. coli</w:t>
      </w:r>
      <w:r w:rsidRPr="00186746">
        <w:rPr>
          <w:rFonts w:ascii="Arial" w:hAnsi="Arial" w:cs="Arial"/>
          <w:sz w:val="20"/>
          <w:szCs w:val="20"/>
        </w:rPr>
        <w:t xml:space="preserve"> as well as </w:t>
      </w:r>
      <w:r w:rsidRPr="00186746">
        <w:rPr>
          <w:rStyle w:val="Emphasis"/>
          <w:rFonts w:ascii="Arial" w:hAnsi="Arial" w:cs="Arial"/>
          <w:sz w:val="20"/>
          <w:szCs w:val="20"/>
        </w:rPr>
        <w:t>S. aureus</w:t>
      </w:r>
      <w:r w:rsidRPr="00186746">
        <w:rPr>
          <w:rFonts w:ascii="Arial" w:hAnsi="Arial" w:cs="Arial"/>
          <w:sz w:val="20"/>
          <w:szCs w:val="20"/>
        </w:rPr>
        <w:t xml:space="preserve">. Similarly, </w:t>
      </w:r>
      <w:r w:rsidRPr="00186746">
        <w:rPr>
          <w:rStyle w:val="Strong"/>
          <w:rFonts w:ascii="Arial" w:hAnsi="Arial" w:cs="Arial"/>
          <w:b w:val="0"/>
          <w:sz w:val="20"/>
          <w:szCs w:val="20"/>
        </w:rPr>
        <w:t>Amenu and Bacha (2025)</w:t>
      </w:r>
      <w:r w:rsidRPr="00186746">
        <w:rPr>
          <w:rFonts w:ascii="Arial" w:hAnsi="Arial" w:cs="Arial"/>
          <w:sz w:val="20"/>
          <w:szCs w:val="20"/>
        </w:rPr>
        <w:t xml:space="preserve"> demonstrated inhibition of </w:t>
      </w:r>
      <w:r w:rsidRPr="00186746">
        <w:rPr>
          <w:rStyle w:val="Emphasis"/>
          <w:rFonts w:ascii="Arial" w:hAnsi="Arial" w:cs="Arial"/>
          <w:sz w:val="20"/>
          <w:szCs w:val="20"/>
        </w:rPr>
        <w:t>E. coli</w:t>
      </w:r>
      <w:r w:rsidRPr="00186746">
        <w:rPr>
          <w:rFonts w:ascii="Arial" w:hAnsi="Arial" w:cs="Arial"/>
          <w:sz w:val="20"/>
          <w:szCs w:val="20"/>
        </w:rPr>
        <w:t xml:space="preserve"> by bacteriocin-producing LAB isolated from dairy products, further supporting the present observation that milk-derived LAB can inhibit foodborne </w:t>
      </w:r>
      <w:r w:rsidRPr="00186746">
        <w:rPr>
          <w:rStyle w:val="Emphasis"/>
          <w:rFonts w:ascii="Arial" w:hAnsi="Arial" w:cs="Arial"/>
          <w:sz w:val="20"/>
          <w:szCs w:val="20"/>
        </w:rPr>
        <w:t>E. coli</w:t>
      </w:r>
      <w:r w:rsidRPr="00186746">
        <w:rPr>
          <w:rFonts w:ascii="Arial" w:hAnsi="Arial" w:cs="Arial"/>
          <w:sz w:val="20"/>
          <w:szCs w:val="20"/>
        </w:rPr>
        <w:t xml:space="preserve"> isolates originating from meat.</w:t>
      </w:r>
    </w:p>
    <w:p w14:paraId="4B37F908"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The present study further demonstrated inhibition of </w:t>
      </w:r>
      <w:r w:rsidRPr="00186746">
        <w:rPr>
          <w:rStyle w:val="Emphasis"/>
          <w:rFonts w:ascii="Arial" w:hAnsi="Arial" w:cs="Arial"/>
          <w:sz w:val="20"/>
          <w:szCs w:val="20"/>
        </w:rPr>
        <w:t>Klebsiella pneumoniae</w:t>
      </w:r>
      <w:r w:rsidRPr="00186746">
        <w:rPr>
          <w:rFonts w:ascii="Arial" w:hAnsi="Arial" w:cs="Arial"/>
          <w:sz w:val="20"/>
          <w:szCs w:val="20"/>
        </w:rPr>
        <w:t xml:space="preserve">, with inhibition zones ranging from </w:t>
      </w:r>
      <w:r w:rsidRPr="00186746">
        <w:rPr>
          <w:rStyle w:val="Strong"/>
          <w:rFonts w:ascii="Arial" w:hAnsi="Arial" w:cs="Arial"/>
          <w:b w:val="0"/>
          <w:sz w:val="20"/>
          <w:szCs w:val="20"/>
        </w:rPr>
        <w:t>12 to 17 mm</w:t>
      </w:r>
      <w:r w:rsidR="00207024" w:rsidRPr="00186746">
        <w:rPr>
          <w:rFonts w:ascii="Arial" w:hAnsi="Arial" w:cs="Arial"/>
          <w:sz w:val="20"/>
          <w:szCs w:val="20"/>
        </w:rPr>
        <w:t xml:space="preserve"> and isolate</w:t>
      </w:r>
      <w:r w:rsidRPr="00186746">
        <w:rPr>
          <w:rFonts w:ascii="Arial" w:hAnsi="Arial" w:cs="Arial"/>
          <w:sz w:val="20"/>
          <w:szCs w:val="20"/>
        </w:rPr>
        <w:t xml:space="preserve"> 15 showing the maximum inhibition of 17 mm. This finding is particularly noteworthy because </w:t>
      </w:r>
      <w:r w:rsidRPr="00186746">
        <w:rPr>
          <w:rStyle w:val="Emphasis"/>
          <w:rFonts w:ascii="Arial" w:hAnsi="Arial" w:cs="Arial"/>
          <w:sz w:val="20"/>
          <w:szCs w:val="20"/>
        </w:rPr>
        <w:t>K. pneumoniae</w:t>
      </w:r>
      <w:r w:rsidRPr="00186746">
        <w:rPr>
          <w:rFonts w:ascii="Arial" w:hAnsi="Arial" w:cs="Arial"/>
          <w:sz w:val="20"/>
          <w:szCs w:val="20"/>
        </w:rPr>
        <w:t xml:space="preserve"> can form biofilms and may persist on food-contact surfaces. </w:t>
      </w:r>
      <w:r w:rsidR="00181B0D" w:rsidRPr="00186746">
        <w:rPr>
          <w:rStyle w:val="Strong"/>
          <w:rFonts w:ascii="Arial" w:hAnsi="Arial" w:cs="Arial"/>
          <w:b w:val="0"/>
          <w:sz w:val="20"/>
          <w:szCs w:val="20"/>
        </w:rPr>
        <w:t>Thuy</w:t>
      </w:r>
      <w:r w:rsidRPr="00186746">
        <w:rPr>
          <w:rStyle w:val="Strong"/>
          <w:rFonts w:ascii="Arial" w:hAnsi="Arial" w:cs="Arial"/>
          <w:b w:val="0"/>
          <w:sz w:val="20"/>
          <w:szCs w:val="20"/>
        </w:rPr>
        <w:t xml:space="preserve">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reported that selected LAB-derived bacteriocin-like inhibitory substances exhibited activity against drug-resistant </w:t>
      </w:r>
      <w:r w:rsidRPr="00186746">
        <w:rPr>
          <w:rStyle w:val="Emphasis"/>
          <w:rFonts w:ascii="Arial" w:hAnsi="Arial" w:cs="Arial"/>
          <w:sz w:val="20"/>
          <w:szCs w:val="20"/>
        </w:rPr>
        <w:t>K. pneumoniae</w:t>
      </w:r>
      <w:r w:rsidRPr="00186746">
        <w:rPr>
          <w:rFonts w:ascii="Arial" w:hAnsi="Arial" w:cs="Arial"/>
          <w:sz w:val="20"/>
          <w:szCs w:val="20"/>
        </w:rPr>
        <w:t xml:space="preserve">, </w:t>
      </w:r>
      <w:r w:rsidRPr="00186746">
        <w:rPr>
          <w:rStyle w:val="Emphasis"/>
          <w:rFonts w:ascii="Arial" w:hAnsi="Arial" w:cs="Arial"/>
          <w:sz w:val="20"/>
          <w:szCs w:val="20"/>
        </w:rPr>
        <w:t>E. coli</w:t>
      </w:r>
      <w:r w:rsidRPr="00186746">
        <w:rPr>
          <w:rFonts w:ascii="Arial" w:hAnsi="Arial" w:cs="Arial"/>
          <w:sz w:val="20"/>
          <w:szCs w:val="20"/>
        </w:rPr>
        <w:t xml:space="preserve">, </w:t>
      </w:r>
      <w:r w:rsidRPr="00186746">
        <w:rPr>
          <w:rStyle w:val="Emphasis"/>
          <w:rFonts w:ascii="Arial" w:hAnsi="Arial" w:cs="Arial"/>
          <w:sz w:val="20"/>
          <w:szCs w:val="20"/>
        </w:rPr>
        <w:t>P. aeruginosa</w:t>
      </w:r>
      <w:r w:rsidRPr="00186746">
        <w:rPr>
          <w:rFonts w:ascii="Arial" w:hAnsi="Arial" w:cs="Arial"/>
          <w:sz w:val="20"/>
          <w:szCs w:val="20"/>
        </w:rPr>
        <w:t xml:space="preserve"> and </w:t>
      </w:r>
      <w:r w:rsidRPr="00186746">
        <w:rPr>
          <w:rStyle w:val="Emphasis"/>
          <w:rFonts w:ascii="Arial" w:hAnsi="Arial" w:cs="Arial"/>
          <w:sz w:val="20"/>
          <w:szCs w:val="20"/>
        </w:rPr>
        <w:t>S. aureus</w:t>
      </w:r>
      <w:r w:rsidRPr="00186746">
        <w:rPr>
          <w:rFonts w:ascii="Arial" w:hAnsi="Arial" w:cs="Arial"/>
          <w:sz w:val="20"/>
          <w:szCs w:val="20"/>
        </w:rPr>
        <w:t xml:space="preserve">, demonstrating that LAB-derived proteinaceous inhibitory compounds can possess a relatively broad spectrum of activity. A pronounced inhibitory effect was also observed against </w:t>
      </w:r>
      <w:r w:rsidRPr="00186746">
        <w:rPr>
          <w:rStyle w:val="Emphasis"/>
          <w:rFonts w:ascii="Arial" w:hAnsi="Arial" w:cs="Arial"/>
          <w:sz w:val="20"/>
          <w:szCs w:val="20"/>
        </w:rPr>
        <w:t>Staphylococcus aureus</w:t>
      </w:r>
      <w:r w:rsidRPr="00186746">
        <w:rPr>
          <w:rFonts w:ascii="Arial" w:hAnsi="Arial" w:cs="Arial"/>
          <w:sz w:val="20"/>
          <w:szCs w:val="20"/>
        </w:rPr>
        <w:t xml:space="preserve">, with inhibition zones ranging from </w:t>
      </w:r>
      <w:r w:rsidRPr="00186746">
        <w:rPr>
          <w:rStyle w:val="Strong"/>
          <w:rFonts w:ascii="Arial" w:hAnsi="Arial" w:cs="Arial"/>
          <w:b w:val="0"/>
          <w:sz w:val="20"/>
          <w:szCs w:val="20"/>
        </w:rPr>
        <w:t>12 to 23 mm</w:t>
      </w:r>
      <w:r w:rsidRPr="00186746">
        <w:rPr>
          <w:rFonts w:ascii="Arial" w:hAnsi="Arial" w:cs="Arial"/>
          <w:sz w:val="20"/>
          <w:szCs w:val="20"/>
        </w:rPr>
        <w:t>, and isolate 1</w:t>
      </w:r>
      <w:r w:rsidR="00207024" w:rsidRPr="00186746">
        <w:rPr>
          <w:rFonts w:ascii="Arial" w:hAnsi="Arial" w:cs="Arial"/>
          <w:sz w:val="20"/>
          <w:szCs w:val="20"/>
        </w:rPr>
        <w:t>4</w:t>
      </w:r>
      <w:r w:rsidRPr="00186746">
        <w:rPr>
          <w:rFonts w:ascii="Arial" w:hAnsi="Arial" w:cs="Arial"/>
          <w:sz w:val="20"/>
          <w:szCs w:val="20"/>
        </w:rPr>
        <w:t xml:space="preserve"> producing the maximum zone of </w:t>
      </w:r>
      <w:r w:rsidRPr="00186746">
        <w:rPr>
          <w:rStyle w:val="Strong"/>
          <w:rFonts w:ascii="Arial" w:hAnsi="Arial" w:cs="Arial"/>
          <w:b w:val="0"/>
          <w:sz w:val="20"/>
          <w:szCs w:val="20"/>
        </w:rPr>
        <w:t>23 mm</w:t>
      </w:r>
      <w:r w:rsidRPr="00186746">
        <w:rPr>
          <w:rFonts w:ascii="Arial" w:hAnsi="Arial" w:cs="Arial"/>
          <w:sz w:val="20"/>
          <w:szCs w:val="20"/>
        </w:rPr>
        <w:t xml:space="preserve">. This result agrees with recent findings by </w:t>
      </w:r>
      <w:r w:rsidRPr="00186746">
        <w:rPr>
          <w:rStyle w:val="Strong"/>
          <w:rFonts w:ascii="Arial" w:hAnsi="Arial" w:cs="Arial"/>
          <w:b w:val="0"/>
          <w:sz w:val="20"/>
          <w:szCs w:val="20"/>
        </w:rPr>
        <w:t>Amenu and Bacha (2025)</w:t>
      </w:r>
      <w:r w:rsidRPr="00186746">
        <w:rPr>
          <w:rFonts w:ascii="Arial" w:hAnsi="Arial" w:cs="Arial"/>
          <w:sz w:val="20"/>
          <w:szCs w:val="20"/>
        </w:rPr>
        <w:t xml:space="preserve">, who demonstrated considerable inhibition of </w:t>
      </w:r>
      <w:r w:rsidRPr="00186746">
        <w:rPr>
          <w:rStyle w:val="Emphasis"/>
          <w:rFonts w:ascii="Arial" w:hAnsi="Arial" w:cs="Arial"/>
          <w:sz w:val="20"/>
          <w:szCs w:val="20"/>
        </w:rPr>
        <w:t>S. aureus</w:t>
      </w:r>
      <w:r w:rsidRPr="00186746">
        <w:rPr>
          <w:rFonts w:ascii="Arial" w:hAnsi="Arial" w:cs="Arial"/>
          <w:sz w:val="20"/>
          <w:szCs w:val="20"/>
        </w:rPr>
        <w:t xml:space="preserve"> by bacteriocin-producing LAB isolated from fermented dairy products. In addition, </w:t>
      </w:r>
      <w:r w:rsidRPr="00186746">
        <w:rPr>
          <w:rStyle w:val="Strong"/>
          <w:rFonts w:ascii="Arial" w:hAnsi="Arial" w:cs="Arial"/>
          <w:b w:val="0"/>
          <w:sz w:val="20"/>
          <w:szCs w:val="20"/>
        </w:rPr>
        <w:t xml:space="preserve">Vyas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(2025)</w:t>
      </w:r>
      <w:r w:rsidRPr="00186746">
        <w:rPr>
          <w:rFonts w:ascii="Arial" w:hAnsi="Arial" w:cs="Arial"/>
          <w:b/>
          <w:sz w:val="20"/>
          <w:szCs w:val="20"/>
        </w:rPr>
        <w:t xml:space="preserve"> </w:t>
      </w:r>
      <w:r w:rsidRPr="00186746">
        <w:rPr>
          <w:rFonts w:ascii="Arial" w:hAnsi="Arial" w:cs="Arial"/>
          <w:sz w:val="20"/>
          <w:szCs w:val="20"/>
        </w:rPr>
        <w:t xml:space="preserve">reported that dairy-associated LAB producing bacteriocins inhibited </w:t>
      </w:r>
      <w:r w:rsidRPr="00186746">
        <w:rPr>
          <w:rStyle w:val="Emphasis"/>
          <w:rFonts w:ascii="Arial" w:hAnsi="Arial" w:cs="Arial"/>
          <w:sz w:val="20"/>
          <w:szCs w:val="20"/>
        </w:rPr>
        <w:t>Staphylococcus</w:t>
      </w:r>
      <w:r w:rsidRPr="00186746">
        <w:rPr>
          <w:rFonts w:ascii="Arial" w:hAnsi="Arial" w:cs="Arial"/>
          <w:sz w:val="20"/>
          <w:szCs w:val="20"/>
        </w:rPr>
        <w:t xml:space="preserve"> spp., further supporting the susceptibility of Gram-positive foodborne pathogens to bacteriocins produced by dairy LAB. The comparatively high inhibition produced by isolate 12 suggests that this isolate may be a promising candidate for subsequent bacteriocin purification and characterization.</w:t>
      </w:r>
    </w:p>
    <w:p w14:paraId="3D5993BB"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Among all the isolates examined, </w:t>
      </w:r>
      <w:r w:rsidRPr="00186746">
        <w:rPr>
          <w:rStyle w:val="Strong"/>
          <w:rFonts w:ascii="Arial" w:hAnsi="Arial" w:cs="Arial"/>
          <w:b w:val="0"/>
          <w:sz w:val="20"/>
          <w:szCs w:val="20"/>
        </w:rPr>
        <w:t xml:space="preserve">isolate 6 demonstrated comparatively broad bacteriocin-mediated inhibitory </w:t>
      </w:r>
      <w:r w:rsidR="003A53C8" w:rsidRPr="00186746">
        <w:rPr>
          <w:rStyle w:val="Strong"/>
          <w:rFonts w:ascii="Arial" w:hAnsi="Arial" w:cs="Arial"/>
          <w:b w:val="0"/>
          <w:sz w:val="20"/>
          <w:szCs w:val="20"/>
        </w:rPr>
        <w:t>activities</w:t>
      </w:r>
      <w:r w:rsidRPr="00186746">
        <w:rPr>
          <w:rStyle w:val="Strong"/>
          <w:rFonts w:ascii="Arial" w:hAnsi="Arial" w:cs="Arial"/>
          <w:b w:val="0"/>
          <w:sz w:val="20"/>
          <w:szCs w:val="20"/>
        </w:rPr>
        <w:t xml:space="preserve"> against several of the tested biofilm-producing pathogens</w:t>
      </w:r>
      <w:r w:rsidRPr="00186746">
        <w:rPr>
          <w:rFonts w:ascii="Arial" w:hAnsi="Arial" w:cs="Arial"/>
          <w:sz w:val="20"/>
          <w:szCs w:val="20"/>
        </w:rPr>
        <w:t>. The broad activity of this isolate is consistent with recent observations that selected LAB-derived bacteriocin-like inhibitory substances can act against multiple foodbor</w:t>
      </w:r>
      <w:r w:rsidR="00181B0D" w:rsidRPr="00186746">
        <w:rPr>
          <w:rFonts w:ascii="Arial" w:hAnsi="Arial" w:cs="Arial"/>
          <w:sz w:val="20"/>
          <w:szCs w:val="20"/>
        </w:rPr>
        <w:t>ne and drug-resistant pathogens</w:t>
      </w:r>
      <w:r w:rsidRPr="00186746">
        <w:rPr>
          <w:rFonts w:ascii="Arial" w:hAnsi="Arial" w:cs="Arial"/>
          <w:sz w:val="20"/>
          <w:szCs w:val="20"/>
        </w:rPr>
        <w:t xml:space="preserve">. </w:t>
      </w:r>
      <w:r w:rsidR="00DE5FC2" w:rsidRPr="00186746">
        <w:rPr>
          <w:rFonts w:ascii="Arial" w:hAnsi="Arial" w:cs="Arial"/>
          <w:sz w:val="20"/>
          <w:szCs w:val="20"/>
        </w:rPr>
        <w:t>T</w:t>
      </w:r>
      <w:r w:rsidRPr="00186746">
        <w:rPr>
          <w:rFonts w:ascii="Arial" w:hAnsi="Arial" w:cs="Arial"/>
          <w:sz w:val="20"/>
          <w:szCs w:val="20"/>
        </w:rPr>
        <w:t>he broad inhibitory profile of isolate 6 suggests that it may be a particularly promising candidate for further bacteriocin production, purification, molecular characterization and evaluation against established biofilms.</w:t>
      </w:r>
    </w:p>
    <w:p w14:paraId="30852F06" w14:textId="77777777" w:rsidR="00331A33" w:rsidRDefault="00BD20C7" w:rsidP="00331A33">
      <w:pPr>
        <w:pStyle w:val="NormalWeb"/>
        <w:spacing w:line="276" w:lineRule="auto"/>
        <w:ind w:firstLine="720"/>
        <w:jc w:val="both"/>
        <w:rPr>
          <w:rFonts w:ascii="Arial" w:hAnsi="Arial" w:cs="Arial"/>
          <w:sz w:val="20"/>
          <w:szCs w:val="20"/>
        </w:rPr>
        <w:sectPr w:rsidR="00331A33" w:rsidSect="00186746">
          <w:pgSz w:w="11906" w:h="16838"/>
          <w:pgMar w:top="1440" w:right="1335" w:bottom="1440" w:left="1334" w:header="708" w:footer="708" w:gutter="0"/>
          <w:cols w:space="708"/>
          <w:docGrid w:linePitch="360"/>
        </w:sectPr>
      </w:pPr>
      <w:r w:rsidRPr="00186746">
        <w:rPr>
          <w:rFonts w:ascii="Arial" w:hAnsi="Arial" w:cs="Arial"/>
          <w:sz w:val="20"/>
          <w:szCs w:val="20"/>
        </w:rPr>
        <w:t xml:space="preserve">Collectively, the present findings demonstrate that </w:t>
      </w:r>
      <w:r w:rsidRPr="00186746">
        <w:rPr>
          <w:rStyle w:val="Strong"/>
          <w:rFonts w:ascii="Arial" w:hAnsi="Arial" w:cs="Arial"/>
          <w:b w:val="0"/>
          <w:sz w:val="20"/>
          <w:szCs w:val="20"/>
        </w:rPr>
        <w:t>LAB isolated from milk and milk products can produce bacteriocin-like inhibitory compounds capable of suppressing bacterial isolates recovered from meat</w:t>
      </w:r>
      <w:r w:rsidRPr="00186746">
        <w:rPr>
          <w:rFonts w:ascii="Arial" w:hAnsi="Arial" w:cs="Arial"/>
          <w:sz w:val="20"/>
          <w:szCs w:val="20"/>
        </w:rPr>
        <w:t xml:space="preserve">, demonstrating that the activity of dairy-derived LAB is not restricted to microorganisms originating </w:t>
      </w:r>
    </w:p>
    <w:p w14:paraId="0069B49A" w14:textId="77777777" w:rsidR="00A47643" w:rsidRDefault="00BD20C7" w:rsidP="00331A33">
      <w:pPr>
        <w:pStyle w:val="NormalWeb"/>
        <w:spacing w:line="276" w:lineRule="auto"/>
        <w:ind w:firstLine="720"/>
        <w:jc w:val="both"/>
        <w:rPr>
          <w:rFonts w:ascii="Arial" w:hAnsi="Arial" w:cs="Arial"/>
          <w:sz w:val="20"/>
          <w:szCs w:val="20"/>
        </w:rPr>
      </w:pPr>
      <w:r w:rsidRPr="00186746">
        <w:rPr>
          <w:rFonts w:ascii="Arial" w:hAnsi="Arial" w:cs="Arial"/>
          <w:sz w:val="20"/>
          <w:szCs w:val="20"/>
        </w:rPr>
        <w:lastRenderedPageBreak/>
        <w:t xml:space="preserve">from the same food matrix. The strongest inhibition was observed for isolate 19 against </w:t>
      </w:r>
      <w:r w:rsidRPr="00186746">
        <w:rPr>
          <w:rStyle w:val="Emphasis"/>
          <w:rFonts w:ascii="Arial" w:hAnsi="Arial" w:cs="Arial"/>
          <w:sz w:val="20"/>
          <w:szCs w:val="20"/>
        </w:rPr>
        <w:t>P. aeruginosa</w:t>
      </w:r>
      <w:r w:rsidRPr="00186746">
        <w:rPr>
          <w:rFonts w:ascii="Arial" w:hAnsi="Arial" w:cs="Arial"/>
          <w:sz w:val="20"/>
          <w:szCs w:val="20"/>
        </w:rPr>
        <w:t xml:space="preserve">, isolate 11 against </w:t>
      </w:r>
      <w:r w:rsidRPr="00186746">
        <w:rPr>
          <w:rStyle w:val="Emphasis"/>
          <w:rFonts w:ascii="Arial" w:hAnsi="Arial" w:cs="Arial"/>
          <w:sz w:val="20"/>
          <w:szCs w:val="20"/>
        </w:rPr>
        <w:t>Proteus</w:t>
      </w:r>
      <w:r w:rsidRPr="00186746">
        <w:rPr>
          <w:rFonts w:ascii="Arial" w:hAnsi="Arial" w:cs="Arial"/>
          <w:sz w:val="20"/>
          <w:szCs w:val="20"/>
        </w:rPr>
        <w:t xml:space="preserve"> sp., and isolate 12 against </w:t>
      </w:r>
      <w:r w:rsidRPr="00186746">
        <w:rPr>
          <w:rStyle w:val="Emphasis"/>
          <w:rFonts w:ascii="Arial" w:hAnsi="Arial" w:cs="Arial"/>
          <w:sz w:val="20"/>
          <w:szCs w:val="20"/>
        </w:rPr>
        <w:t>S. aureus</w:t>
      </w:r>
      <w:r w:rsidRPr="00186746">
        <w:rPr>
          <w:rFonts w:ascii="Arial" w:hAnsi="Arial" w:cs="Arial"/>
          <w:sz w:val="20"/>
          <w:szCs w:val="20"/>
        </w:rPr>
        <w:t xml:space="preserve">, whereas isolate 6 displayed comparatively broad inhibitory activity. These results are supported by recent studies demonstrating the potential of dairy-derived bacteriocin-producing LAB as natural </w:t>
      </w:r>
      <w:proofErr w:type="spellStart"/>
      <w:r w:rsidRPr="00186746">
        <w:rPr>
          <w:rFonts w:ascii="Arial" w:hAnsi="Arial" w:cs="Arial"/>
          <w:sz w:val="20"/>
          <w:szCs w:val="20"/>
        </w:rPr>
        <w:t>biopreservatives</w:t>
      </w:r>
      <w:proofErr w:type="spellEnd"/>
      <w:r w:rsidRPr="00186746">
        <w:rPr>
          <w:rFonts w:ascii="Arial" w:hAnsi="Arial" w:cs="Arial"/>
          <w:sz w:val="20"/>
          <w:szCs w:val="20"/>
        </w:rPr>
        <w:t xml:space="preserve"> against diverse foodborne pathogens</w:t>
      </w:r>
      <w:r w:rsidR="00FE2FEE" w:rsidRPr="00186746">
        <w:rPr>
          <w:rFonts w:ascii="Arial" w:hAnsi="Arial" w:cs="Arial"/>
          <w:sz w:val="20"/>
          <w:szCs w:val="20"/>
        </w:rPr>
        <w:t xml:space="preserve"> (Liang </w:t>
      </w:r>
      <w:r w:rsidR="00186746" w:rsidRPr="00186746">
        <w:rPr>
          <w:rFonts w:ascii="Arial" w:hAnsi="Arial" w:cs="Arial"/>
          <w:i/>
          <w:sz w:val="20"/>
          <w:szCs w:val="20"/>
        </w:rPr>
        <w:t>et al</w:t>
      </w:r>
      <w:r w:rsidR="00FE2FEE" w:rsidRPr="00186746">
        <w:rPr>
          <w:rFonts w:ascii="Arial" w:hAnsi="Arial" w:cs="Arial"/>
          <w:sz w:val="20"/>
          <w:szCs w:val="20"/>
        </w:rPr>
        <w:t>., 2025)</w:t>
      </w:r>
      <w:r w:rsidR="00331A33">
        <w:rPr>
          <w:rFonts w:ascii="Arial" w:hAnsi="Arial" w:cs="Arial"/>
          <w:sz w:val="20"/>
          <w:szCs w:val="20"/>
        </w:rPr>
        <w:t>.</w:t>
      </w:r>
    </w:p>
    <w:p w14:paraId="72422CFE" w14:textId="5EDDCAE0" w:rsidR="00331A33" w:rsidRPr="00186746" w:rsidRDefault="00331A33" w:rsidP="00331A33">
      <w:pPr>
        <w:pStyle w:val="PlainText"/>
        <w:spacing w:line="276" w:lineRule="auto"/>
        <w:jc w:val="center"/>
        <w:rPr>
          <w:rFonts w:ascii="Arial" w:hAnsi="Arial" w:cs="Arial"/>
          <w:b/>
          <w:sz w:val="20"/>
          <w:szCs w:val="20"/>
          <w:lang w:val="en-US"/>
        </w:rPr>
      </w:pPr>
      <w:r w:rsidRPr="00186746">
        <w:rPr>
          <w:rFonts w:ascii="Arial" w:hAnsi="Arial" w:cs="Arial"/>
          <w:b/>
          <w:sz w:val="20"/>
          <w:szCs w:val="20"/>
          <w:lang w:val="en-US"/>
        </w:rPr>
        <w:t>Table.</w:t>
      </w:r>
      <w:r w:rsidR="001F01C4">
        <w:rPr>
          <w:rFonts w:ascii="Arial" w:hAnsi="Arial" w:cs="Arial"/>
          <w:b/>
          <w:sz w:val="20"/>
          <w:szCs w:val="20"/>
          <w:lang w:val="en-US"/>
        </w:rPr>
        <w:t>2</w:t>
      </w:r>
      <w:r w:rsidRPr="00186746">
        <w:rPr>
          <w:rFonts w:ascii="Arial" w:hAnsi="Arial" w:cs="Arial"/>
          <w:b/>
          <w:sz w:val="20"/>
          <w:szCs w:val="20"/>
          <w:lang w:val="en-US"/>
        </w:rPr>
        <w:t xml:space="preserve"> Isolation of bacteriocin producing lactic acid bacteria</w:t>
      </w:r>
    </w:p>
    <w:p w14:paraId="6FC4FD30" w14:textId="77777777" w:rsidR="00331A33" w:rsidRPr="00186746" w:rsidRDefault="00331A33" w:rsidP="00331A33">
      <w:pPr>
        <w:pStyle w:val="PlainText"/>
        <w:spacing w:line="276" w:lineRule="auto"/>
        <w:ind w:firstLine="720"/>
        <w:jc w:val="both"/>
        <w:rPr>
          <w:rFonts w:ascii="Arial" w:hAnsi="Arial" w:cs="Arial"/>
          <w:sz w:val="20"/>
          <w:szCs w:val="20"/>
          <w:lang w:val="en-US"/>
        </w:rPr>
      </w:pPr>
    </w:p>
    <w:tbl>
      <w:tblPr>
        <w:tblW w:w="13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
        <w:gridCol w:w="1525"/>
        <w:gridCol w:w="485"/>
        <w:gridCol w:w="555"/>
        <w:gridCol w:w="616"/>
        <w:gridCol w:w="606"/>
        <w:gridCol w:w="387"/>
        <w:gridCol w:w="605"/>
        <w:gridCol w:w="605"/>
        <w:gridCol w:w="605"/>
        <w:gridCol w:w="605"/>
        <w:gridCol w:w="605"/>
        <w:gridCol w:w="605"/>
        <w:gridCol w:w="605"/>
        <w:gridCol w:w="587"/>
        <w:gridCol w:w="553"/>
        <w:gridCol w:w="605"/>
        <w:gridCol w:w="615"/>
        <w:gridCol w:w="601"/>
        <w:gridCol w:w="617"/>
        <w:gridCol w:w="598"/>
        <w:gridCol w:w="544"/>
      </w:tblGrid>
      <w:tr w:rsidR="00331A33" w:rsidRPr="00186746" w14:paraId="4035E17F" w14:textId="77777777" w:rsidTr="00141B69">
        <w:trPr>
          <w:trHeight w:val="199"/>
          <w:jc w:val="center"/>
        </w:trPr>
        <w:tc>
          <w:tcPr>
            <w:tcW w:w="782" w:type="dxa"/>
            <w:vMerge w:val="restart"/>
            <w:vAlign w:val="center"/>
          </w:tcPr>
          <w:p w14:paraId="73321ED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S.no</w:t>
            </w:r>
          </w:p>
        </w:tc>
        <w:tc>
          <w:tcPr>
            <w:tcW w:w="1525" w:type="dxa"/>
            <w:vMerge w:val="restart"/>
            <w:vAlign w:val="center"/>
          </w:tcPr>
          <w:p w14:paraId="64D5D01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Isolates</w:t>
            </w:r>
          </w:p>
        </w:tc>
        <w:tc>
          <w:tcPr>
            <w:tcW w:w="11604" w:type="dxa"/>
            <w:gridSpan w:val="20"/>
            <w:vAlign w:val="center"/>
          </w:tcPr>
          <w:p w14:paraId="799C9576"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Lactic acid bacteria</w:t>
            </w:r>
          </w:p>
          <w:p w14:paraId="071EB5EC"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Zone of inhibition measured in mm</w:t>
            </w:r>
          </w:p>
        </w:tc>
      </w:tr>
      <w:tr w:rsidR="00331A33" w:rsidRPr="00186746" w14:paraId="31D1391D" w14:textId="77777777" w:rsidTr="00141B69">
        <w:trPr>
          <w:trHeight w:val="449"/>
          <w:jc w:val="center"/>
        </w:trPr>
        <w:tc>
          <w:tcPr>
            <w:tcW w:w="782" w:type="dxa"/>
            <w:vMerge/>
            <w:vAlign w:val="center"/>
          </w:tcPr>
          <w:p w14:paraId="6E1898E7" w14:textId="77777777" w:rsidR="00331A33" w:rsidRPr="00186746" w:rsidRDefault="00331A33" w:rsidP="00141B69">
            <w:pPr>
              <w:spacing w:after="0" w:line="240" w:lineRule="auto"/>
              <w:jc w:val="center"/>
              <w:rPr>
                <w:rFonts w:ascii="Arial" w:hAnsi="Arial" w:cs="Arial"/>
                <w:b/>
                <w:sz w:val="20"/>
                <w:szCs w:val="20"/>
              </w:rPr>
            </w:pPr>
          </w:p>
        </w:tc>
        <w:tc>
          <w:tcPr>
            <w:tcW w:w="1525" w:type="dxa"/>
            <w:vMerge/>
            <w:vAlign w:val="center"/>
          </w:tcPr>
          <w:p w14:paraId="40AED8F8" w14:textId="77777777" w:rsidR="00331A33" w:rsidRPr="00186746" w:rsidRDefault="00331A33" w:rsidP="00141B69">
            <w:pPr>
              <w:spacing w:after="0" w:line="240" w:lineRule="auto"/>
              <w:jc w:val="center"/>
              <w:rPr>
                <w:rFonts w:ascii="Arial" w:hAnsi="Arial" w:cs="Arial"/>
                <w:b/>
                <w:sz w:val="20"/>
                <w:szCs w:val="20"/>
              </w:rPr>
            </w:pPr>
          </w:p>
        </w:tc>
        <w:tc>
          <w:tcPr>
            <w:tcW w:w="485" w:type="dxa"/>
            <w:vAlign w:val="center"/>
          </w:tcPr>
          <w:p w14:paraId="0EC6701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w:t>
            </w:r>
          </w:p>
        </w:tc>
        <w:tc>
          <w:tcPr>
            <w:tcW w:w="555" w:type="dxa"/>
            <w:vAlign w:val="center"/>
          </w:tcPr>
          <w:p w14:paraId="6DC725E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2</w:t>
            </w:r>
          </w:p>
        </w:tc>
        <w:tc>
          <w:tcPr>
            <w:tcW w:w="616" w:type="dxa"/>
            <w:vAlign w:val="center"/>
          </w:tcPr>
          <w:p w14:paraId="0C06F3CE"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3</w:t>
            </w:r>
          </w:p>
        </w:tc>
        <w:tc>
          <w:tcPr>
            <w:tcW w:w="606" w:type="dxa"/>
            <w:vAlign w:val="center"/>
          </w:tcPr>
          <w:p w14:paraId="01C3DF4F"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4</w:t>
            </w:r>
          </w:p>
        </w:tc>
        <w:tc>
          <w:tcPr>
            <w:tcW w:w="387" w:type="dxa"/>
            <w:vAlign w:val="center"/>
          </w:tcPr>
          <w:p w14:paraId="525A996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5</w:t>
            </w:r>
          </w:p>
        </w:tc>
        <w:tc>
          <w:tcPr>
            <w:tcW w:w="605" w:type="dxa"/>
            <w:shd w:val="clear" w:color="auto" w:fill="00B0F0"/>
            <w:vAlign w:val="center"/>
          </w:tcPr>
          <w:p w14:paraId="78BB53F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6</w:t>
            </w:r>
          </w:p>
        </w:tc>
        <w:tc>
          <w:tcPr>
            <w:tcW w:w="605" w:type="dxa"/>
            <w:vAlign w:val="center"/>
          </w:tcPr>
          <w:p w14:paraId="4590216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7</w:t>
            </w:r>
          </w:p>
        </w:tc>
        <w:tc>
          <w:tcPr>
            <w:tcW w:w="605" w:type="dxa"/>
            <w:vAlign w:val="center"/>
          </w:tcPr>
          <w:p w14:paraId="455DAEE7"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8</w:t>
            </w:r>
          </w:p>
        </w:tc>
        <w:tc>
          <w:tcPr>
            <w:tcW w:w="605" w:type="dxa"/>
            <w:vAlign w:val="center"/>
          </w:tcPr>
          <w:p w14:paraId="360BA8E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9</w:t>
            </w:r>
          </w:p>
        </w:tc>
        <w:tc>
          <w:tcPr>
            <w:tcW w:w="605" w:type="dxa"/>
            <w:vAlign w:val="center"/>
          </w:tcPr>
          <w:p w14:paraId="785AE58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10</w:t>
            </w:r>
          </w:p>
        </w:tc>
        <w:tc>
          <w:tcPr>
            <w:tcW w:w="605" w:type="dxa"/>
            <w:vAlign w:val="center"/>
          </w:tcPr>
          <w:p w14:paraId="5225514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11</w:t>
            </w:r>
          </w:p>
        </w:tc>
        <w:tc>
          <w:tcPr>
            <w:tcW w:w="605" w:type="dxa"/>
            <w:vAlign w:val="center"/>
          </w:tcPr>
          <w:p w14:paraId="7CACD33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12</w:t>
            </w:r>
          </w:p>
        </w:tc>
        <w:tc>
          <w:tcPr>
            <w:tcW w:w="587" w:type="dxa"/>
            <w:vAlign w:val="center"/>
          </w:tcPr>
          <w:p w14:paraId="0D2F891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13</w:t>
            </w:r>
          </w:p>
        </w:tc>
        <w:tc>
          <w:tcPr>
            <w:tcW w:w="553" w:type="dxa"/>
            <w:vAlign w:val="center"/>
          </w:tcPr>
          <w:p w14:paraId="73AB4CD6"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14</w:t>
            </w:r>
          </w:p>
        </w:tc>
        <w:tc>
          <w:tcPr>
            <w:tcW w:w="605" w:type="dxa"/>
            <w:vAlign w:val="center"/>
          </w:tcPr>
          <w:p w14:paraId="0DAF95E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15</w:t>
            </w:r>
          </w:p>
        </w:tc>
        <w:tc>
          <w:tcPr>
            <w:tcW w:w="615" w:type="dxa"/>
            <w:vAlign w:val="center"/>
          </w:tcPr>
          <w:p w14:paraId="2416384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16</w:t>
            </w:r>
          </w:p>
        </w:tc>
        <w:tc>
          <w:tcPr>
            <w:tcW w:w="601" w:type="dxa"/>
            <w:vAlign w:val="center"/>
          </w:tcPr>
          <w:p w14:paraId="0378C2B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17</w:t>
            </w:r>
          </w:p>
        </w:tc>
        <w:tc>
          <w:tcPr>
            <w:tcW w:w="617" w:type="dxa"/>
            <w:vAlign w:val="center"/>
          </w:tcPr>
          <w:p w14:paraId="4AD2F40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18</w:t>
            </w:r>
          </w:p>
        </w:tc>
        <w:tc>
          <w:tcPr>
            <w:tcW w:w="598" w:type="dxa"/>
            <w:vAlign w:val="center"/>
          </w:tcPr>
          <w:p w14:paraId="19E8423B"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19</w:t>
            </w:r>
          </w:p>
        </w:tc>
        <w:tc>
          <w:tcPr>
            <w:tcW w:w="541" w:type="dxa"/>
            <w:vAlign w:val="center"/>
          </w:tcPr>
          <w:p w14:paraId="7E417FD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20</w:t>
            </w:r>
          </w:p>
        </w:tc>
      </w:tr>
      <w:tr w:rsidR="00331A33" w:rsidRPr="00186746" w14:paraId="1F44521E" w14:textId="77777777" w:rsidTr="00141B69">
        <w:trPr>
          <w:trHeight w:val="535"/>
          <w:jc w:val="center"/>
        </w:trPr>
        <w:tc>
          <w:tcPr>
            <w:tcW w:w="782" w:type="dxa"/>
            <w:vAlign w:val="center"/>
          </w:tcPr>
          <w:p w14:paraId="4288CC6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w:t>
            </w:r>
          </w:p>
        </w:tc>
        <w:tc>
          <w:tcPr>
            <w:tcW w:w="1525" w:type="dxa"/>
            <w:vAlign w:val="center"/>
          </w:tcPr>
          <w:p w14:paraId="15164E1B" w14:textId="77777777" w:rsidR="00331A33" w:rsidRPr="00186746" w:rsidRDefault="00331A33" w:rsidP="00141B69">
            <w:pPr>
              <w:spacing w:after="0" w:line="240" w:lineRule="auto"/>
              <w:jc w:val="center"/>
              <w:rPr>
                <w:rFonts w:ascii="Arial" w:hAnsi="Arial" w:cs="Arial"/>
                <w:i/>
                <w:sz w:val="20"/>
                <w:szCs w:val="20"/>
              </w:rPr>
            </w:pPr>
            <w:r w:rsidRPr="00186746">
              <w:rPr>
                <w:rFonts w:ascii="Arial" w:hAnsi="Arial" w:cs="Arial"/>
                <w:i/>
                <w:sz w:val="20"/>
                <w:szCs w:val="20"/>
              </w:rPr>
              <w:t>E.coli</w:t>
            </w:r>
          </w:p>
        </w:tc>
        <w:tc>
          <w:tcPr>
            <w:tcW w:w="485" w:type="dxa"/>
            <w:vAlign w:val="center"/>
          </w:tcPr>
          <w:p w14:paraId="13BF2E9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286BF77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5101F73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5376928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387" w:type="dxa"/>
            <w:vAlign w:val="center"/>
          </w:tcPr>
          <w:p w14:paraId="06E169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10869BF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171A209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060C36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B3526F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41260A0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B5AD4D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16A49F2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87" w:type="dxa"/>
            <w:vAlign w:val="center"/>
          </w:tcPr>
          <w:p w14:paraId="4479E9F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14108F6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A5B305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vAlign w:val="center"/>
          </w:tcPr>
          <w:p w14:paraId="775B9C4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1088367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17" w:type="dxa"/>
            <w:vAlign w:val="center"/>
          </w:tcPr>
          <w:p w14:paraId="549EAD9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6675D6A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51B81D2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12736D66" w14:textId="77777777" w:rsidTr="00141B69">
        <w:trPr>
          <w:trHeight w:val="511"/>
          <w:jc w:val="center"/>
        </w:trPr>
        <w:tc>
          <w:tcPr>
            <w:tcW w:w="782" w:type="dxa"/>
            <w:vAlign w:val="center"/>
          </w:tcPr>
          <w:p w14:paraId="1B0F0BA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w:t>
            </w:r>
          </w:p>
        </w:tc>
        <w:tc>
          <w:tcPr>
            <w:tcW w:w="1525" w:type="dxa"/>
            <w:vAlign w:val="center"/>
          </w:tcPr>
          <w:p w14:paraId="2B3F262A"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E.faecalis</w:t>
            </w:r>
            <w:proofErr w:type="spellEnd"/>
          </w:p>
        </w:tc>
        <w:tc>
          <w:tcPr>
            <w:tcW w:w="485" w:type="dxa"/>
            <w:vAlign w:val="center"/>
          </w:tcPr>
          <w:p w14:paraId="30A7F5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369312D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434698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064F6AC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2FC0CD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128A4D9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5ECF9B8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5D8F808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542DB7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50EA39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44BDF15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45DFD3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36AF46C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7D3BF41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01043D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615" w:type="dxa"/>
            <w:vAlign w:val="center"/>
          </w:tcPr>
          <w:p w14:paraId="0B066F9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10F38BF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6A4E166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50BE95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3A8B70C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850D2E6" w14:textId="77777777" w:rsidTr="00141B69">
        <w:trPr>
          <w:trHeight w:val="475"/>
          <w:jc w:val="center"/>
        </w:trPr>
        <w:tc>
          <w:tcPr>
            <w:tcW w:w="782" w:type="dxa"/>
            <w:vAlign w:val="center"/>
          </w:tcPr>
          <w:p w14:paraId="71389E5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3.</w:t>
            </w:r>
          </w:p>
        </w:tc>
        <w:tc>
          <w:tcPr>
            <w:tcW w:w="1525" w:type="dxa"/>
            <w:vAlign w:val="center"/>
          </w:tcPr>
          <w:p w14:paraId="242084D2"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K.pneumoniae</w:t>
            </w:r>
            <w:proofErr w:type="spellEnd"/>
          </w:p>
        </w:tc>
        <w:tc>
          <w:tcPr>
            <w:tcW w:w="485" w:type="dxa"/>
            <w:vAlign w:val="center"/>
          </w:tcPr>
          <w:p w14:paraId="0E942BC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655F5F2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16" w:type="dxa"/>
            <w:vAlign w:val="center"/>
          </w:tcPr>
          <w:p w14:paraId="16D360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46211AD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387" w:type="dxa"/>
            <w:vAlign w:val="center"/>
          </w:tcPr>
          <w:p w14:paraId="7F10B4C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3EF31E7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FE57B4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71B617E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1C0921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3B2A3E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7478DE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F1B59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587" w:type="dxa"/>
            <w:vAlign w:val="center"/>
          </w:tcPr>
          <w:p w14:paraId="2732CB9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62B9313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75A261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15" w:type="dxa"/>
            <w:vAlign w:val="center"/>
          </w:tcPr>
          <w:p w14:paraId="719485F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1" w:type="dxa"/>
            <w:vAlign w:val="center"/>
          </w:tcPr>
          <w:p w14:paraId="69E5052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1203F66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98" w:type="dxa"/>
            <w:vAlign w:val="center"/>
          </w:tcPr>
          <w:p w14:paraId="3D106E3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541" w:type="dxa"/>
            <w:vAlign w:val="center"/>
          </w:tcPr>
          <w:p w14:paraId="3A61E31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4A0604BD" w14:textId="77777777" w:rsidTr="00141B69">
        <w:trPr>
          <w:trHeight w:val="475"/>
          <w:jc w:val="center"/>
        </w:trPr>
        <w:tc>
          <w:tcPr>
            <w:tcW w:w="782" w:type="dxa"/>
            <w:vAlign w:val="center"/>
          </w:tcPr>
          <w:p w14:paraId="2FB7A59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4.</w:t>
            </w:r>
          </w:p>
        </w:tc>
        <w:tc>
          <w:tcPr>
            <w:tcW w:w="1525" w:type="dxa"/>
            <w:vAlign w:val="center"/>
          </w:tcPr>
          <w:p w14:paraId="335831C7"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P.aeruginosa</w:t>
            </w:r>
            <w:proofErr w:type="spellEnd"/>
          </w:p>
        </w:tc>
        <w:tc>
          <w:tcPr>
            <w:tcW w:w="485" w:type="dxa"/>
            <w:vAlign w:val="center"/>
          </w:tcPr>
          <w:p w14:paraId="597A614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46F3C82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16" w:type="dxa"/>
            <w:vAlign w:val="center"/>
          </w:tcPr>
          <w:p w14:paraId="1152395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6" w:type="dxa"/>
            <w:vAlign w:val="center"/>
          </w:tcPr>
          <w:p w14:paraId="1A6E88C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387" w:type="dxa"/>
            <w:vAlign w:val="center"/>
          </w:tcPr>
          <w:p w14:paraId="1D825A1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2CC7F53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22</w:t>
            </w:r>
          </w:p>
        </w:tc>
        <w:tc>
          <w:tcPr>
            <w:tcW w:w="605" w:type="dxa"/>
            <w:vAlign w:val="center"/>
          </w:tcPr>
          <w:p w14:paraId="0E17CB7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41E4CDA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605" w:type="dxa"/>
            <w:vAlign w:val="center"/>
          </w:tcPr>
          <w:p w14:paraId="01B22F1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BC5AB1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5941AFD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48034F6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4208FD4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6DE959B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C24BCC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vAlign w:val="center"/>
          </w:tcPr>
          <w:p w14:paraId="186A970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1" w:type="dxa"/>
            <w:vAlign w:val="center"/>
          </w:tcPr>
          <w:p w14:paraId="4C30A9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01E867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598" w:type="dxa"/>
            <w:vAlign w:val="center"/>
          </w:tcPr>
          <w:p w14:paraId="4BCE9D7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24</w:t>
            </w:r>
          </w:p>
        </w:tc>
        <w:tc>
          <w:tcPr>
            <w:tcW w:w="541" w:type="dxa"/>
            <w:vAlign w:val="center"/>
          </w:tcPr>
          <w:p w14:paraId="507C423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9845BEC" w14:textId="77777777" w:rsidTr="00141B69">
        <w:trPr>
          <w:trHeight w:val="486"/>
          <w:jc w:val="center"/>
        </w:trPr>
        <w:tc>
          <w:tcPr>
            <w:tcW w:w="782" w:type="dxa"/>
            <w:vAlign w:val="center"/>
          </w:tcPr>
          <w:p w14:paraId="63F093A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5.</w:t>
            </w:r>
          </w:p>
        </w:tc>
        <w:tc>
          <w:tcPr>
            <w:tcW w:w="1525" w:type="dxa"/>
            <w:vAlign w:val="center"/>
          </w:tcPr>
          <w:p w14:paraId="1F5E964A"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S.aureus</w:t>
            </w:r>
            <w:proofErr w:type="spellEnd"/>
          </w:p>
        </w:tc>
        <w:tc>
          <w:tcPr>
            <w:tcW w:w="485" w:type="dxa"/>
            <w:vAlign w:val="center"/>
          </w:tcPr>
          <w:p w14:paraId="0AB8561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5CCACB6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616" w:type="dxa"/>
            <w:vAlign w:val="center"/>
          </w:tcPr>
          <w:p w14:paraId="6AEAFB1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53AFDA8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387" w:type="dxa"/>
            <w:vAlign w:val="center"/>
          </w:tcPr>
          <w:p w14:paraId="1C5E5A6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6ABF35E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44849F6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2EE36E1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60302A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5" w:type="dxa"/>
            <w:vAlign w:val="center"/>
          </w:tcPr>
          <w:p w14:paraId="1C89B78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6A51ACD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A60EA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87" w:type="dxa"/>
            <w:vAlign w:val="center"/>
          </w:tcPr>
          <w:p w14:paraId="53160E9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103B54A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23</w:t>
            </w:r>
          </w:p>
        </w:tc>
        <w:tc>
          <w:tcPr>
            <w:tcW w:w="605" w:type="dxa"/>
            <w:vAlign w:val="center"/>
          </w:tcPr>
          <w:p w14:paraId="4F2A9C2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15" w:type="dxa"/>
            <w:vAlign w:val="center"/>
          </w:tcPr>
          <w:p w14:paraId="30B53AB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339A61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449403F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598" w:type="dxa"/>
            <w:vAlign w:val="center"/>
          </w:tcPr>
          <w:p w14:paraId="7D6812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541" w:type="dxa"/>
            <w:vAlign w:val="center"/>
          </w:tcPr>
          <w:p w14:paraId="1C8C9D8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2925A999" w14:textId="77777777" w:rsidTr="00141B69">
        <w:trPr>
          <w:trHeight w:val="546"/>
          <w:jc w:val="center"/>
        </w:trPr>
        <w:tc>
          <w:tcPr>
            <w:tcW w:w="782" w:type="dxa"/>
            <w:vAlign w:val="center"/>
          </w:tcPr>
          <w:p w14:paraId="45C74DB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6.</w:t>
            </w:r>
          </w:p>
        </w:tc>
        <w:tc>
          <w:tcPr>
            <w:tcW w:w="1525" w:type="dxa"/>
            <w:vAlign w:val="center"/>
          </w:tcPr>
          <w:p w14:paraId="09FC5AC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 xml:space="preserve">Salmonella </w:t>
            </w:r>
            <w:proofErr w:type="spellStart"/>
            <w:r w:rsidRPr="00186746">
              <w:rPr>
                <w:rFonts w:ascii="Arial" w:hAnsi="Arial" w:cs="Arial"/>
                <w:sz w:val="20"/>
                <w:szCs w:val="20"/>
              </w:rPr>
              <w:t>sp</w:t>
            </w:r>
            <w:proofErr w:type="spellEnd"/>
          </w:p>
        </w:tc>
        <w:tc>
          <w:tcPr>
            <w:tcW w:w="485" w:type="dxa"/>
            <w:vAlign w:val="center"/>
          </w:tcPr>
          <w:p w14:paraId="3133C8E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2AAF37B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1EF9FD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6" w:type="dxa"/>
            <w:vAlign w:val="center"/>
          </w:tcPr>
          <w:p w14:paraId="7789133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60B2AB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4161802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547E75A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1274F39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BB2CDB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58AACB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34119E8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22FBB96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2E0355E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5103DB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1BFA7B2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15" w:type="dxa"/>
            <w:vAlign w:val="center"/>
          </w:tcPr>
          <w:p w14:paraId="735230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332CA83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533DA9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7F8E59C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13185F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357D6A9" w14:textId="77777777" w:rsidTr="00141B69">
        <w:trPr>
          <w:trHeight w:val="619"/>
          <w:jc w:val="center"/>
        </w:trPr>
        <w:tc>
          <w:tcPr>
            <w:tcW w:w="782" w:type="dxa"/>
            <w:vAlign w:val="center"/>
          </w:tcPr>
          <w:p w14:paraId="24E80E8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7.</w:t>
            </w:r>
          </w:p>
        </w:tc>
        <w:tc>
          <w:tcPr>
            <w:tcW w:w="1525" w:type="dxa"/>
            <w:vAlign w:val="center"/>
          </w:tcPr>
          <w:p w14:paraId="7582108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 xml:space="preserve">Proteus </w:t>
            </w:r>
            <w:proofErr w:type="spellStart"/>
            <w:r w:rsidRPr="00186746">
              <w:rPr>
                <w:rFonts w:ascii="Arial" w:hAnsi="Arial" w:cs="Arial"/>
                <w:sz w:val="20"/>
                <w:szCs w:val="20"/>
              </w:rPr>
              <w:t>sp</w:t>
            </w:r>
            <w:proofErr w:type="spellEnd"/>
          </w:p>
        </w:tc>
        <w:tc>
          <w:tcPr>
            <w:tcW w:w="485" w:type="dxa"/>
            <w:vAlign w:val="center"/>
          </w:tcPr>
          <w:p w14:paraId="19C01F4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7A7D78F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16" w:type="dxa"/>
            <w:vAlign w:val="center"/>
          </w:tcPr>
          <w:p w14:paraId="3A961A6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6" w:type="dxa"/>
            <w:vAlign w:val="center"/>
          </w:tcPr>
          <w:p w14:paraId="2B7EF14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3FFA01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7511247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2DB0D13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7357A2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40C2D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234516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605" w:type="dxa"/>
            <w:vAlign w:val="center"/>
          </w:tcPr>
          <w:p w14:paraId="0C248EE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25</w:t>
            </w:r>
          </w:p>
        </w:tc>
        <w:tc>
          <w:tcPr>
            <w:tcW w:w="605" w:type="dxa"/>
            <w:vAlign w:val="center"/>
          </w:tcPr>
          <w:p w14:paraId="7189FD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55D9329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0877151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B70D0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15" w:type="dxa"/>
            <w:vAlign w:val="center"/>
          </w:tcPr>
          <w:p w14:paraId="11F5BA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1" w:type="dxa"/>
            <w:vAlign w:val="center"/>
          </w:tcPr>
          <w:p w14:paraId="1B05733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3B224F8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2E512D7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541" w:type="dxa"/>
            <w:vAlign w:val="center"/>
          </w:tcPr>
          <w:p w14:paraId="7B49A5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bl>
    <w:p w14:paraId="6BD3011C" w14:textId="77777777" w:rsidR="00331A33" w:rsidRPr="00186746" w:rsidRDefault="00331A33" w:rsidP="00331A33">
      <w:pPr>
        <w:pStyle w:val="PlainText"/>
        <w:spacing w:line="276" w:lineRule="auto"/>
        <w:ind w:firstLine="720"/>
        <w:jc w:val="both"/>
        <w:rPr>
          <w:rFonts w:ascii="Arial" w:hAnsi="Arial" w:cs="Arial"/>
          <w:sz w:val="20"/>
          <w:szCs w:val="20"/>
          <w:lang w:val="en-US"/>
        </w:rPr>
      </w:pPr>
    </w:p>
    <w:p w14:paraId="18DE88B5" w14:textId="77777777" w:rsidR="00331A33" w:rsidRDefault="00331A33" w:rsidP="00331A33">
      <w:pPr>
        <w:pStyle w:val="PlainText"/>
        <w:spacing w:line="276" w:lineRule="auto"/>
        <w:jc w:val="both"/>
        <w:rPr>
          <w:rFonts w:ascii="Arial" w:hAnsi="Arial" w:cs="Arial"/>
          <w:b/>
          <w:sz w:val="20"/>
          <w:szCs w:val="20"/>
          <w:lang w:val="en-US"/>
        </w:rPr>
      </w:pPr>
    </w:p>
    <w:p w14:paraId="2C2F5335" w14:textId="4DB72C83" w:rsidR="00A209DC" w:rsidRDefault="00A209DC" w:rsidP="00A209DC">
      <w:pPr>
        <w:pStyle w:val="PlainText"/>
        <w:spacing w:line="276" w:lineRule="auto"/>
        <w:ind w:firstLine="720"/>
        <w:jc w:val="both"/>
        <w:rPr>
          <w:rFonts w:ascii="Arial" w:hAnsi="Arial" w:cs="Arial"/>
          <w:sz w:val="20"/>
          <w:szCs w:val="20"/>
        </w:rPr>
      </w:pPr>
      <w:r w:rsidRPr="00186746">
        <w:rPr>
          <w:rFonts w:ascii="Arial" w:hAnsi="Arial" w:cs="Arial"/>
          <w:sz w:val="20"/>
          <w:szCs w:val="20"/>
        </w:rPr>
        <w:t>Presently potential isolate of isolate 6 was subjected to biochemical and 16sr RNA sequence for identification of species level of isolate. While biochemical characterization, Biochemical characterization of the isolate revealed it to be Gram-positive, catalase-negative, and oxidase-negative, consistent with typical lactic acid bacteria. The isolate tested negative for Voges-Proskauer (VP), indole, urease and citrate utilization, while showing a positive methyl red (MR) test. On the TSI test, the isolate produced an acid/acid (A/A) reaction with no gas and no H</w:t>
      </w:r>
      <w:r w:rsidRPr="00186746">
        <w:rPr>
          <w:rFonts w:ascii="Cambria Math" w:hAnsi="Cambria Math" w:cs="Cambria Math"/>
          <w:sz w:val="20"/>
          <w:szCs w:val="20"/>
        </w:rPr>
        <w:t>₂</w:t>
      </w:r>
      <w:r w:rsidRPr="00186746">
        <w:rPr>
          <w:rFonts w:ascii="Arial" w:hAnsi="Arial" w:cs="Arial"/>
          <w:sz w:val="20"/>
          <w:szCs w:val="20"/>
        </w:rPr>
        <w:t>S production, confirming fermentative glucose utilization without gas evolution. Carbohydrate fermentation profiling showed positive utilization of fructose, glucose, ribose, sorbitol, xylose, mannitol, sucrose, and lactose, while galactose, maltose, and mannose were not fermented. Collectively, these biochemical and fermentation characteristics are consistent with a homo</w:t>
      </w:r>
      <w:r>
        <w:rPr>
          <w:rFonts w:ascii="Arial" w:hAnsi="Arial" w:cs="Arial"/>
          <w:sz w:val="20"/>
          <w:szCs w:val="20"/>
        </w:rPr>
        <w:t xml:space="preserve"> </w:t>
      </w:r>
      <w:r w:rsidRPr="00186746">
        <w:rPr>
          <w:rFonts w:ascii="Arial" w:hAnsi="Arial" w:cs="Arial"/>
          <w:sz w:val="20"/>
          <w:szCs w:val="20"/>
        </w:rPr>
        <w:t xml:space="preserve">fermentative lactic acid bacterium of the genus </w:t>
      </w:r>
      <w:r w:rsidRPr="00186746">
        <w:rPr>
          <w:rStyle w:val="Emphasis"/>
          <w:rFonts w:ascii="Arial" w:hAnsi="Arial" w:cs="Arial"/>
          <w:sz w:val="20"/>
          <w:szCs w:val="20"/>
        </w:rPr>
        <w:t>Lactobacillus</w:t>
      </w:r>
      <w:r>
        <w:rPr>
          <w:rStyle w:val="Emphasis"/>
          <w:rFonts w:ascii="Arial" w:hAnsi="Arial" w:cs="Arial"/>
          <w:sz w:val="20"/>
          <w:szCs w:val="20"/>
        </w:rPr>
        <w:t xml:space="preserve"> </w:t>
      </w:r>
      <w:r w:rsidRPr="00331A33">
        <w:rPr>
          <w:rStyle w:val="Emphasis"/>
          <w:rFonts w:ascii="Arial" w:hAnsi="Arial" w:cs="Arial"/>
          <w:i w:val="0"/>
          <w:sz w:val="20"/>
          <w:szCs w:val="20"/>
        </w:rPr>
        <w:t>(Table</w:t>
      </w:r>
      <w:r w:rsidR="001F01C4">
        <w:rPr>
          <w:rStyle w:val="Emphasis"/>
          <w:rFonts w:ascii="Arial" w:hAnsi="Arial" w:cs="Arial"/>
          <w:i w:val="0"/>
          <w:sz w:val="20"/>
          <w:szCs w:val="20"/>
        </w:rPr>
        <w:t xml:space="preserve"> 3</w:t>
      </w:r>
      <w:r w:rsidRPr="00331A33">
        <w:rPr>
          <w:rStyle w:val="Emphasis"/>
          <w:rFonts w:ascii="Arial" w:hAnsi="Arial" w:cs="Arial"/>
          <w:i w:val="0"/>
          <w:sz w:val="20"/>
          <w:szCs w:val="20"/>
        </w:rPr>
        <w:t>)</w:t>
      </w:r>
      <w:r w:rsidRPr="00186746">
        <w:rPr>
          <w:rFonts w:ascii="Arial" w:hAnsi="Arial" w:cs="Arial"/>
          <w:sz w:val="20"/>
          <w:szCs w:val="20"/>
        </w:rPr>
        <w:t xml:space="preserve">. </w:t>
      </w:r>
    </w:p>
    <w:p w14:paraId="2E97EEB9" w14:textId="77777777" w:rsidR="00331A33" w:rsidRPr="00331A33" w:rsidRDefault="00331A33" w:rsidP="00331A33">
      <w:pPr>
        <w:pStyle w:val="NormalWeb"/>
        <w:spacing w:line="276" w:lineRule="auto"/>
        <w:ind w:firstLine="720"/>
        <w:jc w:val="both"/>
        <w:rPr>
          <w:rFonts w:ascii="Arial" w:hAnsi="Arial" w:cs="Arial"/>
          <w:sz w:val="20"/>
          <w:szCs w:val="20"/>
        </w:rPr>
        <w:sectPr w:rsidR="00331A33" w:rsidRPr="00331A33" w:rsidSect="00331A33">
          <w:pgSz w:w="16838" w:h="11906" w:orient="landscape"/>
          <w:pgMar w:top="1332" w:right="1440" w:bottom="1332" w:left="1440" w:header="709" w:footer="709" w:gutter="0"/>
          <w:cols w:space="708"/>
          <w:docGrid w:linePitch="360"/>
        </w:sectPr>
      </w:pPr>
    </w:p>
    <w:p w14:paraId="15ADFA37" w14:textId="77777777" w:rsidR="00331A33" w:rsidRDefault="00331A33" w:rsidP="00331A33">
      <w:pPr>
        <w:pStyle w:val="PlainText"/>
        <w:spacing w:line="276" w:lineRule="auto"/>
        <w:ind w:firstLine="720"/>
        <w:jc w:val="both"/>
        <w:rPr>
          <w:rFonts w:ascii="Arial" w:hAnsi="Arial" w:cs="Arial"/>
          <w:sz w:val="20"/>
          <w:szCs w:val="20"/>
        </w:rPr>
      </w:pPr>
    </w:p>
    <w:p w14:paraId="4E64BCA3" w14:textId="0C7A276B" w:rsidR="00331A33" w:rsidRPr="00331A33" w:rsidRDefault="00331A33" w:rsidP="00331A33">
      <w:pPr>
        <w:jc w:val="center"/>
        <w:rPr>
          <w:rFonts w:ascii="Arial" w:hAnsi="Arial" w:cs="Arial"/>
          <w:b/>
          <w:sz w:val="20"/>
          <w:szCs w:val="20"/>
        </w:rPr>
      </w:pPr>
      <w:r w:rsidRPr="00331A33">
        <w:rPr>
          <w:rFonts w:ascii="Arial" w:hAnsi="Arial" w:cs="Arial"/>
          <w:b/>
          <w:sz w:val="20"/>
          <w:szCs w:val="20"/>
        </w:rPr>
        <w:t xml:space="preserve">Table </w:t>
      </w:r>
      <w:r w:rsidR="001F01C4">
        <w:rPr>
          <w:rFonts w:ascii="Arial" w:hAnsi="Arial" w:cs="Arial"/>
          <w:b/>
          <w:sz w:val="20"/>
          <w:szCs w:val="20"/>
        </w:rPr>
        <w:t>3</w:t>
      </w:r>
      <w:r w:rsidRPr="00331A33">
        <w:rPr>
          <w:rFonts w:ascii="Arial" w:hAnsi="Arial" w:cs="Arial"/>
          <w:b/>
          <w:sz w:val="20"/>
          <w:szCs w:val="20"/>
        </w:rPr>
        <w:t xml:space="preserve">: Biochemical characteristics of </w:t>
      </w:r>
      <w:r w:rsidRPr="00331A33">
        <w:rPr>
          <w:rStyle w:val="Emphasis"/>
          <w:rFonts w:ascii="Arial" w:hAnsi="Arial" w:cs="Arial"/>
          <w:b/>
          <w:sz w:val="20"/>
          <w:szCs w:val="20"/>
        </w:rPr>
        <w:t xml:space="preserve">Lactobacillus </w:t>
      </w:r>
      <w:proofErr w:type="spellStart"/>
      <w:r w:rsidRPr="00331A33">
        <w:rPr>
          <w:rStyle w:val="Emphasis"/>
          <w:rFonts w:ascii="Arial" w:hAnsi="Arial" w:cs="Arial"/>
          <w:b/>
          <w:sz w:val="20"/>
          <w:szCs w:val="20"/>
        </w:rPr>
        <w:t>sp</w:t>
      </w:r>
      <w:proofErr w:type="spellEnd"/>
    </w:p>
    <w:tbl>
      <w:tblPr>
        <w:tblStyle w:val="TableGrid"/>
        <w:tblW w:w="0" w:type="auto"/>
        <w:jc w:val="center"/>
        <w:tblLook w:val="04A0" w:firstRow="1" w:lastRow="0" w:firstColumn="1" w:lastColumn="0" w:noHBand="0" w:noVBand="1"/>
      </w:tblPr>
      <w:tblGrid>
        <w:gridCol w:w="2093"/>
        <w:gridCol w:w="1843"/>
      </w:tblGrid>
      <w:tr w:rsidR="00331A33" w:rsidRPr="00331A33" w14:paraId="0026F270" w14:textId="77777777" w:rsidTr="00B9342A">
        <w:trPr>
          <w:trHeight w:val="543"/>
          <w:jc w:val="center"/>
        </w:trPr>
        <w:tc>
          <w:tcPr>
            <w:tcW w:w="2093" w:type="dxa"/>
            <w:shd w:val="clear" w:color="auto" w:fill="FFFFFF" w:themeFill="background1"/>
            <w:vAlign w:val="center"/>
          </w:tcPr>
          <w:p w14:paraId="09A59CF3" w14:textId="77777777" w:rsidR="00331A33" w:rsidRPr="00331A33" w:rsidRDefault="00331A33" w:rsidP="00B9342A">
            <w:pPr>
              <w:jc w:val="center"/>
              <w:rPr>
                <w:rFonts w:ascii="Arial" w:hAnsi="Arial" w:cs="Arial"/>
                <w:b/>
                <w:sz w:val="20"/>
                <w:szCs w:val="20"/>
              </w:rPr>
            </w:pPr>
            <w:r w:rsidRPr="00331A33">
              <w:rPr>
                <w:rFonts w:ascii="Arial" w:hAnsi="Arial" w:cs="Arial"/>
                <w:b/>
                <w:sz w:val="20"/>
                <w:szCs w:val="20"/>
              </w:rPr>
              <w:t>Name of the test</w:t>
            </w:r>
          </w:p>
        </w:tc>
        <w:tc>
          <w:tcPr>
            <w:tcW w:w="1843" w:type="dxa"/>
            <w:shd w:val="clear" w:color="auto" w:fill="FFFFFF" w:themeFill="background1"/>
            <w:vAlign w:val="center"/>
          </w:tcPr>
          <w:p w14:paraId="3182C0B0" w14:textId="77777777" w:rsidR="00331A33" w:rsidRPr="00331A33" w:rsidRDefault="00331A33" w:rsidP="00B9342A">
            <w:pPr>
              <w:jc w:val="center"/>
              <w:rPr>
                <w:rFonts w:ascii="Arial" w:hAnsi="Arial" w:cs="Arial"/>
                <w:b/>
                <w:sz w:val="20"/>
                <w:szCs w:val="20"/>
              </w:rPr>
            </w:pPr>
            <w:r w:rsidRPr="00331A33">
              <w:rPr>
                <w:rFonts w:ascii="Arial" w:hAnsi="Arial" w:cs="Arial"/>
                <w:b/>
                <w:sz w:val="20"/>
                <w:szCs w:val="20"/>
              </w:rPr>
              <w:t>Characteristics</w:t>
            </w:r>
          </w:p>
        </w:tc>
      </w:tr>
      <w:tr w:rsidR="00331A33" w:rsidRPr="00331A33" w14:paraId="39E1EF14" w14:textId="77777777" w:rsidTr="00B9342A">
        <w:trPr>
          <w:jc w:val="center"/>
        </w:trPr>
        <w:tc>
          <w:tcPr>
            <w:tcW w:w="2093" w:type="dxa"/>
            <w:vAlign w:val="center"/>
          </w:tcPr>
          <w:p w14:paraId="712F65A3" w14:textId="77777777" w:rsidR="00331A33" w:rsidRPr="00331A33" w:rsidRDefault="00331A33" w:rsidP="00B9342A">
            <w:pPr>
              <w:rPr>
                <w:rFonts w:ascii="Arial" w:hAnsi="Arial" w:cs="Arial"/>
                <w:sz w:val="20"/>
                <w:szCs w:val="20"/>
              </w:rPr>
            </w:pPr>
            <w:r w:rsidRPr="00331A33">
              <w:rPr>
                <w:rFonts w:ascii="Arial" w:hAnsi="Arial" w:cs="Arial"/>
                <w:sz w:val="20"/>
                <w:szCs w:val="20"/>
              </w:rPr>
              <w:t>Gram</w:t>
            </w:r>
          </w:p>
        </w:tc>
        <w:tc>
          <w:tcPr>
            <w:tcW w:w="1843" w:type="dxa"/>
            <w:vAlign w:val="center"/>
          </w:tcPr>
          <w:p w14:paraId="425B0BD6"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118D04AE" w14:textId="77777777" w:rsidTr="00B9342A">
        <w:trPr>
          <w:jc w:val="center"/>
        </w:trPr>
        <w:tc>
          <w:tcPr>
            <w:tcW w:w="2093" w:type="dxa"/>
            <w:vAlign w:val="center"/>
          </w:tcPr>
          <w:p w14:paraId="2B9DA00B" w14:textId="77777777" w:rsidR="00331A33" w:rsidRPr="00331A33" w:rsidRDefault="00331A33" w:rsidP="00B9342A">
            <w:pPr>
              <w:rPr>
                <w:rFonts w:ascii="Arial" w:hAnsi="Arial" w:cs="Arial"/>
                <w:sz w:val="20"/>
                <w:szCs w:val="20"/>
              </w:rPr>
            </w:pPr>
            <w:r w:rsidRPr="00331A33">
              <w:rPr>
                <w:rFonts w:ascii="Arial" w:hAnsi="Arial" w:cs="Arial"/>
                <w:sz w:val="20"/>
                <w:szCs w:val="20"/>
              </w:rPr>
              <w:t>Catalase</w:t>
            </w:r>
          </w:p>
        </w:tc>
        <w:tc>
          <w:tcPr>
            <w:tcW w:w="1843" w:type="dxa"/>
            <w:vAlign w:val="center"/>
          </w:tcPr>
          <w:p w14:paraId="59118E4D"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55C20A10" w14:textId="77777777" w:rsidTr="00B9342A">
        <w:trPr>
          <w:jc w:val="center"/>
        </w:trPr>
        <w:tc>
          <w:tcPr>
            <w:tcW w:w="2093" w:type="dxa"/>
            <w:vAlign w:val="center"/>
          </w:tcPr>
          <w:p w14:paraId="69F93F7B" w14:textId="77777777" w:rsidR="00331A33" w:rsidRPr="00331A33" w:rsidRDefault="00331A33" w:rsidP="00B9342A">
            <w:pPr>
              <w:rPr>
                <w:rFonts w:ascii="Arial" w:hAnsi="Arial" w:cs="Arial"/>
                <w:sz w:val="20"/>
                <w:szCs w:val="20"/>
              </w:rPr>
            </w:pPr>
            <w:r w:rsidRPr="00331A33">
              <w:rPr>
                <w:rFonts w:ascii="Arial" w:hAnsi="Arial" w:cs="Arial"/>
                <w:sz w:val="20"/>
                <w:szCs w:val="20"/>
              </w:rPr>
              <w:t>Oxidase</w:t>
            </w:r>
          </w:p>
        </w:tc>
        <w:tc>
          <w:tcPr>
            <w:tcW w:w="1843" w:type="dxa"/>
            <w:vAlign w:val="center"/>
          </w:tcPr>
          <w:p w14:paraId="1A053B56"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2D6143F5" w14:textId="77777777" w:rsidTr="00B9342A">
        <w:trPr>
          <w:jc w:val="center"/>
        </w:trPr>
        <w:tc>
          <w:tcPr>
            <w:tcW w:w="2093" w:type="dxa"/>
            <w:vAlign w:val="center"/>
          </w:tcPr>
          <w:p w14:paraId="1008EE05" w14:textId="77777777" w:rsidR="00331A33" w:rsidRPr="00331A33" w:rsidRDefault="00331A33" w:rsidP="00B9342A">
            <w:pPr>
              <w:rPr>
                <w:rFonts w:ascii="Arial" w:hAnsi="Arial" w:cs="Arial"/>
                <w:sz w:val="20"/>
                <w:szCs w:val="20"/>
              </w:rPr>
            </w:pPr>
            <w:r w:rsidRPr="00331A33">
              <w:rPr>
                <w:rFonts w:ascii="Arial" w:hAnsi="Arial" w:cs="Arial"/>
                <w:sz w:val="20"/>
                <w:szCs w:val="20"/>
              </w:rPr>
              <w:t>RM</w:t>
            </w:r>
          </w:p>
        </w:tc>
        <w:tc>
          <w:tcPr>
            <w:tcW w:w="1843" w:type="dxa"/>
            <w:vAlign w:val="center"/>
          </w:tcPr>
          <w:p w14:paraId="419FE000"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2BB6A02D" w14:textId="77777777" w:rsidTr="00B9342A">
        <w:trPr>
          <w:jc w:val="center"/>
        </w:trPr>
        <w:tc>
          <w:tcPr>
            <w:tcW w:w="2093" w:type="dxa"/>
            <w:vAlign w:val="center"/>
          </w:tcPr>
          <w:p w14:paraId="0778CD52" w14:textId="77777777" w:rsidR="00331A33" w:rsidRPr="00331A33" w:rsidRDefault="00331A33" w:rsidP="00B9342A">
            <w:pPr>
              <w:rPr>
                <w:rFonts w:ascii="Arial" w:hAnsi="Arial" w:cs="Arial"/>
                <w:sz w:val="20"/>
                <w:szCs w:val="20"/>
              </w:rPr>
            </w:pPr>
            <w:r w:rsidRPr="00331A33">
              <w:rPr>
                <w:rFonts w:ascii="Arial" w:hAnsi="Arial" w:cs="Arial"/>
                <w:sz w:val="20"/>
                <w:szCs w:val="20"/>
              </w:rPr>
              <w:t>VP</w:t>
            </w:r>
          </w:p>
        </w:tc>
        <w:tc>
          <w:tcPr>
            <w:tcW w:w="1843" w:type="dxa"/>
            <w:vAlign w:val="center"/>
          </w:tcPr>
          <w:p w14:paraId="406988EC"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61F4B317" w14:textId="77777777" w:rsidTr="00B9342A">
        <w:trPr>
          <w:jc w:val="center"/>
        </w:trPr>
        <w:tc>
          <w:tcPr>
            <w:tcW w:w="2093" w:type="dxa"/>
            <w:vAlign w:val="center"/>
          </w:tcPr>
          <w:p w14:paraId="182B9B0B" w14:textId="77777777" w:rsidR="00331A33" w:rsidRPr="00331A33" w:rsidRDefault="00331A33" w:rsidP="00B9342A">
            <w:pPr>
              <w:rPr>
                <w:rFonts w:ascii="Arial" w:hAnsi="Arial" w:cs="Arial"/>
                <w:sz w:val="20"/>
                <w:szCs w:val="20"/>
              </w:rPr>
            </w:pPr>
            <w:r w:rsidRPr="00331A33">
              <w:rPr>
                <w:rFonts w:ascii="Arial" w:hAnsi="Arial" w:cs="Arial"/>
                <w:sz w:val="20"/>
                <w:szCs w:val="20"/>
              </w:rPr>
              <w:t>Indole</w:t>
            </w:r>
          </w:p>
        </w:tc>
        <w:tc>
          <w:tcPr>
            <w:tcW w:w="1843" w:type="dxa"/>
            <w:vAlign w:val="center"/>
          </w:tcPr>
          <w:p w14:paraId="5BE7AD6A"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36550ED6" w14:textId="77777777" w:rsidTr="00B9342A">
        <w:trPr>
          <w:jc w:val="center"/>
        </w:trPr>
        <w:tc>
          <w:tcPr>
            <w:tcW w:w="2093" w:type="dxa"/>
            <w:vAlign w:val="center"/>
          </w:tcPr>
          <w:p w14:paraId="038775AA" w14:textId="77777777" w:rsidR="00331A33" w:rsidRPr="00331A33" w:rsidRDefault="00331A33" w:rsidP="00B9342A">
            <w:pPr>
              <w:rPr>
                <w:rFonts w:ascii="Arial" w:hAnsi="Arial" w:cs="Arial"/>
                <w:sz w:val="20"/>
                <w:szCs w:val="20"/>
              </w:rPr>
            </w:pPr>
            <w:r w:rsidRPr="00331A33">
              <w:rPr>
                <w:rFonts w:ascii="Arial" w:hAnsi="Arial" w:cs="Arial"/>
                <w:sz w:val="20"/>
                <w:szCs w:val="20"/>
              </w:rPr>
              <w:t>Urease</w:t>
            </w:r>
          </w:p>
        </w:tc>
        <w:tc>
          <w:tcPr>
            <w:tcW w:w="1843" w:type="dxa"/>
            <w:vAlign w:val="center"/>
          </w:tcPr>
          <w:p w14:paraId="7EB9BB58"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46BF5526" w14:textId="77777777" w:rsidTr="00B9342A">
        <w:trPr>
          <w:jc w:val="center"/>
        </w:trPr>
        <w:tc>
          <w:tcPr>
            <w:tcW w:w="2093" w:type="dxa"/>
            <w:vAlign w:val="center"/>
          </w:tcPr>
          <w:p w14:paraId="782708EC" w14:textId="77777777" w:rsidR="00331A33" w:rsidRPr="00331A33" w:rsidRDefault="00331A33" w:rsidP="00B9342A">
            <w:pPr>
              <w:rPr>
                <w:rFonts w:ascii="Arial" w:hAnsi="Arial" w:cs="Arial"/>
                <w:sz w:val="20"/>
                <w:szCs w:val="20"/>
              </w:rPr>
            </w:pPr>
            <w:r w:rsidRPr="00331A33">
              <w:rPr>
                <w:rFonts w:ascii="Arial" w:hAnsi="Arial" w:cs="Arial"/>
                <w:sz w:val="20"/>
                <w:szCs w:val="20"/>
              </w:rPr>
              <w:t>Galactose</w:t>
            </w:r>
          </w:p>
        </w:tc>
        <w:tc>
          <w:tcPr>
            <w:tcW w:w="1843" w:type="dxa"/>
            <w:vAlign w:val="center"/>
          </w:tcPr>
          <w:p w14:paraId="0C8E3621"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5E0D74C7" w14:textId="77777777" w:rsidTr="00B9342A">
        <w:trPr>
          <w:jc w:val="center"/>
        </w:trPr>
        <w:tc>
          <w:tcPr>
            <w:tcW w:w="2093" w:type="dxa"/>
            <w:vAlign w:val="center"/>
          </w:tcPr>
          <w:p w14:paraId="35325F62" w14:textId="77777777" w:rsidR="00331A33" w:rsidRPr="00331A33" w:rsidRDefault="00331A33" w:rsidP="00B9342A">
            <w:pPr>
              <w:rPr>
                <w:rFonts w:ascii="Arial" w:hAnsi="Arial" w:cs="Arial"/>
                <w:sz w:val="20"/>
                <w:szCs w:val="20"/>
              </w:rPr>
            </w:pPr>
            <w:r w:rsidRPr="00331A33">
              <w:rPr>
                <w:rFonts w:ascii="Arial" w:hAnsi="Arial" w:cs="Arial"/>
                <w:sz w:val="20"/>
                <w:szCs w:val="20"/>
              </w:rPr>
              <w:t>Fructose</w:t>
            </w:r>
          </w:p>
        </w:tc>
        <w:tc>
          <w:tcPr>
            <w:tcW w:w="1843" w:type="dxa"/>
            <w:vAlign w:val="center"/>
          </w:tcPr>
          <w:p w14:paraId="6881FE80"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53457351" w14:textId="77777777" w:rsidTr="00B9342A">
        <w:trPr>
          <w:jc w:val="center"/>
        </w:trPr>
        <w:tc>
          <w:tcPr>
            <w:tcW w:w="2093" w:type="dxa"/>
            <w:vAlign w:val="center"/>
          </w:tcPr>
          <w:p w14:paraId="4545CEEF" w14:textId="77777777" w:rsidR="00331A33" w:rsidRPr="00331A33" w:rsidRDefault="00331A33" w:rsidP="00B9342A">
            <w:pPr>
              <w:rPr>
                <w:rFonts w:ascii="Arial" w:hAnsi="Arial" w:cs="Arial"/>
                <w:sz w:val="20"/>
                <w:szCs w:val="20"/>
              </w:rPr>
            </w:pPr>
            <w:r w:rsidRPr="00331A33">
              <w:rPr>
                <w:rFonts w:ascii="Arial" w:hAnsi="Arial" w:cs="Arial"/>
                <w:sz w:val="20"/>
                <w:szCs w:val="20"/>
              </w:rPr>
              <w:t>Glucose</w:t>
            </w:r>
          </w:p>
        </w:tc>
        <w:tc>
          <w:tcPr>
            <w:tcW w:w="1843" w:type="dxa"/>
            <w:vAlign w:val="center"/>
          </w:tcPr>
          <w:p w14:paraId="22207C18"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568E6DFA" w14:textId="77777777" w:rsidTr="00B9342A">
        <w:trPr>
          <w:jc w:val="center"/>
        </w:trPr>
        <w:tc>
          <w:tcPr>
            <w:tcW w:w="2093" w:type="dxa"/>
            <w:vAlign w:val="center"/>
          </w:tcPr>
          <w:p w14:paraId="2A65D906" w14:textId="77777777" w:rsidR="00331A33" w:rsidRPr="00331A33" w:rsidRDefault="00331A33" w:rsidP="00B9342A">
            <w:pPr>
              <w:rPr>
                <w:rFonts w:ascii="Arial" w:hAnsi="Arial" w:cs="Arial"/>
                <w:sz w:val="20"/>
                <w:szCs w:val="20"/>
              </w:rPr>
            </w:pPr>
            <w:r w:rsidRPr="00331A33">
              <w:rPr>
                <w:rFonts w:ascii="Arial" w:hAnsi="Arial" w:cs="Arial"/>
                <w:sz w:val="20"/>
                <w:szCs w:val="20"/>
              </w:rPr>
              <w:t>Ribose</w:t>
            </w:r>
          </w:p>
        </w:tc>
        <w:tc>
          <w:tcPr>
            <w:tcW w:w="1843" w:type="dxa"/>
            <w:vAlign w:val="center"/>
          </w:tcPr>
          <w:p w14:paraId="2043728E"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5A92FD0A" w14:textId="77777777" w:rsidTr="00B9342A">
        <w:trPr>
          <w:jc w:val="center"/>
        </w:trPr>
        <w:tc>
          <w:tcPr>
            <w:tcW w:w="2093" w:type="dxa"/>
            <w:vAlign w:val="center"/>
          </w:tcPr>
          <w:p w14:paraId="311DF919" w14:textId="77777777" w:rsidR="00331A33" w:rsidRPr="00331A33" w:rsidRDefault="00331A33" w:rsidP="00B9342A">
            <w:pPr>
              <w:rPr>
                <w:rFonts w:ascii="Arial" w:hAnsi="Arial" w:cs="Arial"/>
                <w:sz w:val="20"/>
                <w:szCs w:val="20"/>
              </w:rPr>
            </w:pPr>
            <w:r w:rsidRPr="00331A33">
              <w:rPr>
                <w:rFonts w:ascii="Arial" w:hAnsi="Arial" w:cs="Arial"/>
                <w:sz w:val="20"/>
                <w:szCs w:val="20"/>
              </w:rPr>
              <w:t>Sorbitol</w:t>
            </w:r>
          </w:p>
        </w:tc>
        <w:tc>
          <w:tcPr>
            <w:tcW w:w="1843" w:type="dxa"/>
            <w:vAlign w:val="center"/>
          </w:tcPr>
          <w:p w14:paraId="65E9EF6C"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49CD3930" w14:textId="77777777" w:rsidTr="00B9342A">
        <w:trPr>
          <w:jc w:val="center"/>
        </w:trPr>
        <w:tc>
          <w:tcPr>
            <w:tcW w:w="2093" w:type="dxa"/>
            <w:vAlign w:val="center"/>
          </w:tcPr>
          <w:p w14:paraId="54025DAB" w14:textId="77777777" w:rsidR="00331A33" w:rsidRPr="00331A33" w:rsidRDefault="00331A33" w:rsidP="00B9342A">
            <w:pPr>
              <w:rPr>
                <w:rFonts w:ascii="Arial" w:hAnsi="Arial" w:cs="Arial"/>
                <w:sz w:val="20"/>
                <w:szCs w:val="20"/>
              </w:rPr>
            </w:pPr>
            <w:r w:rsidRPr="00331A33">
              <w:rPr>
                <w:rFonts w:ascii="Arial" w:hAnsi="Arial" w:cs="Arial"/>
                <w:sz w:val="20"/>
                <w:szCs w:val="20"/>
              </w:rPr>
              <w:t>Maltose</w:t>
            </w:r>
          </w:p>
        </w:tc>
        <w:tc>
          <w:tcPr>
            <w:tcW w:w="1843" w:type="dxa"/>
            <w:vAlign w:val="center"/>
          </w:tcPr>
          <w:p w14:paraId="79D05EAE"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5C833A10" w14:textId="77777777" w:rsidTr="00B9342A">
        <w:trPr>
          <w:jc w:val="center"/>
        </w:trPr>
        <w:tc>
          <w:tcPr>
            <w:tcW w:w="2093" w:type="dxa"/>
            <w:vAlign w:val="center"/>
          </w:tcPr>
          <w:p w14:paraId="6117C991" w14:textId="77777777" w:rsidR="00331A33" w:rsidRPr="00331A33" w:rsidRDefault="00331A33" w:rsidP="00B9342A">
            <w:pPr>
              <w:rPr>
                <w:rFonts w:ascii="Arial" w:hAnsi="Arial" w:cs="Arial"/>
                <w:sz w:val="20"/>
                <w:szCs w:val="20"/>
              </w:rPr>
            </w:pPr>
            <w:r w:rsidRPr="00331A33">
              <w:rPr>
                <w:rFonts w:ascii="Arial" w:hAnsi="Arial" w:cs="Arial"/>
                <w:sz w:val="20"/>
                <w:szCs w:val="20"/>
              </w:rPr>
              <w:t>Xylose</w:t>
            </w:r>
          </w:p>
        </w:tc>
        <w:tc>
          <w:tcPr>
            <w:tcW w:w="1843" w:type="dxa"/>
            <w:vAlign w:val="center"/>
          </w:tcPr>
          <w:p w14:paraId="689CA56D"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7A578321" w14:textId="77777777" w:rsidTr="00B9342A">
        <w:trPr>
          <w:jc w:val="center"/>
        </w:trPr>
        <w:tc>
          <w:tcPr>
            <w:tcW w:w="2093" w:type="dxa"/>
            <w:vAlign w:val="center"/>
          </w:tcPr>
          <w:p w14:paraId="31574E22" w14:textId="77777777" w:rsidR="00331A33" w:rsidRPr="00331A33" w:rsidRDefault="00331A33" w:rsidP="00B9342A">
            <w:pPr>
              <w:rPr>
                <w:rFonts w:ascii="Arial" w:hAnsi="Arial" w:cs="Arial"/>
                <w:sz w:val="20"/>
                <w:szCs w:val="20"/>
              </w:rPr>
            </w:pPr>
            <w:r w:rsidRPr="00331A33">
              <w:rPr>
                <w:rFonts w:ascii="Arial" w:hAnsi="Arial" w:cs="Arial"/>
                <w:sz w:val="20"/>
                <w:szCs w:val="20"/>
              </w:rPr>
              <w:t>Mannitol</w:t>
            </w:r>
          </w:p>
        </w:tc>
        <w:tc>
          <w:tcPr>
            <w:tcW w:w="1843" w:type="dxa"/>
            <w:vAlign w:val="center"/>
          </w:tcPr>
          <w:p w14:paraId="7D5D2B6A"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23749BA9" w14:textId="77777777" w:rsidTr="00B9342A">
        <w:trPr>
          <w:jc w:val="center"/>
        </w:trPr>
        <w:tc>
          <w:tcPr>
            <w:tcW w:w="2093" w:type="dxa"/>
            <w:vAlign w:val="center"/>
          </w:tcPr>
          <w:p w14:paraId="0A4E927C" w14:textId="77777777" w:rsidR="00331A33" w:rsidRPr="00331A33" w:rsidRDefault="00331A33" w:rsidP="00B9342A">
            <w:pPr>
              <w:rPr>
                <w:rFonts w:ascii="Arial" w:hAnsi="Arial" w:cs="Arial"/>
                <w:sz w:val="20"/>
                <w:szCs w:val="20"/>
              </w:rPr>
            </w:pPr>
            <w:r w:rsidRPr="00331A33">
              <w:rPr>
                <w:rFonts w:ascii="Arial" w:hAnsi="Arial" w:cs="Arial"/>
                <w:sz w:val="20"/>
                <w:szCs w:val="20"/>
              </w:rPr>
              <w:t>Sucrose</w:t>
            </w:r>
          </w:p>
        </w:tc>
        <w:tc>
          <w:tcPr>
            <w:tcW w:w="1843" w:type="dxa"/>
            <w:vAlign w:val="center"/>
          </w:tcPr>
          <w:p w14:paraId="03565E84"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5D483322" w14:textId="77777777" w:rsidTr="00B9342A">
        <w:trPr>
          <w:jc w:val="center"/>
        </w:trPr>
        <w:tc>
          <w:tcPr>
            <w:tcW w:w="2093" w:type="dxa"/>
            <w:vAlign w:val="center"/>
          </w:tcPr>
          <w:p w14:paraId="4B847497" w14:textId="77777777" w:rsidR="00331A33" w:rsidRPr="00331A33" w:rsidRDefault="00331A33" w:rsidP="00B9342A">
            <w:pPr>
              <w:rPr>
                <w:rFonts w:ascii="Arial" w:hAnsi="Arial" w:cs="Arial"/>
                <w:sz w:val="20"/>
                <w:szCs w:val="20"/>
              </w:rPr>
            </w:pPr>
            <w:r w:rsidRPr="00331A33">
              <w:rPr>
                <w:rFonts w:ascii="Arial" w:hAnsi="Arial" w:cs="Arial"/>
                <w:sz w:val="20"/>
                <w:szCs w:val="20"/>
              </w:rPr>
              <w:t>Mannose</w:t>
            </w:r>
          </w:p>
        </w:tc>
        <w:tc>
          <w:tcPr>
            <w:tcW w:w="1843" w:type="dxa"/>
            <w:vAlign w:val="center"/>
          </w:tcPr>
          <w:p w14:paraId="3379A8A9" w14:textId="77777777" w:rsidR="00331A33" w:rsidRPr="00331A33" w:rsidRDefault="00331A33" w:rsidP="00B9342A">
            <w:pPr>
              <w:jc w:val="center"/>
              <w:rPr>
                <w:rFonts w:ascii="Arial" w:hAnsi="Arial" w:cs="Arial"/>
                <w:sz w:val="20"/>
                <w:szCs w:val="20"/>
              </w:rPr>
            </w:pPr>
            <w:r w:rsidRPr="00331A33">
              <w:rPr>
                <w:rFonts w:ascii="Arial" w:hAnsi="Arial" w:cs="Arial"/>
                <w:sz w:val="20"/>
                <w:szCs w:val="20"/>
              </w:rPr>
              <w:t>−</w:t>
            </w:r>
          </w:p>
        </w:tc>
      </w:tr>
      <w:tr w:rsidR="00331A33" w:rsidRPr="00331A33" w14:paraId="66486018" w14:textId="77777777" w:rsidTr="00B9342A">
        <w:trPr>
          <w:jc w:val="center"/>
        </w:trPr>
        <w:tc>
          <w:tcPr>
            <w:tcW w:w="2093" w:type="dxa"/>
            <w:vAlign w:val="center"/>
          </w:tcPr>
          <w:p w14:paraId="35DE9417" w14:textId="77777777" w:rsidR="00331A33" w:rsidRPr="00331A33" w:rsidRDefault="00331A33" w:rsidP="00B9342A">
            <w:pPr>
              <w:rPr>
                <w:rFonts w:ascii="Arial" w:hAnsi="Arial" w:cs="Arial"/>
                <w:sz w:val="20"/>
                <w:szCs w:val="20"/>
              </w:rPr>
            </w:pPr>
            <w:r w:rsidRPr="00331A33">
              <w:rPr>
                <w:rFonts w:ascii="Arial" w:hAnsi="Arial" w:cs="Arial"/>
                <w:sz w:val="20"/>
                <w:szCs w:val="20"/>
              </w:rPr>
              <w:t>Lactose</w:t>
            </w:r>
          </w:p>
        </w:tc>
        <w:tc>
          <w:tcPr>
            <w:tcW w:w="1843" w:type="dxa"/>
            <w:vAlign w:val="center"/>
          </w:tcPr>
          <w:p w14:paraId="36E4100C" w14:textId="77777777" w:rsidR="00331A33" w:rsidRPr="00331A33" w:rsidRDefault="00331A33" w:rsidP="00B9342A">
            <w:pPr>
              <w:jc w:val="center"/>
              <w:rPr>
                <w:rFonts w:ascii="Arial" w:hAnsi="Arial" w:cs="Arial"/>
                <w:sz w:val="20"/>
                <w:szCs w:val="20"/>
                <w:lang w:val="en-IN"/>
              </w:rPr>
            </w:pPr>
            <w:r w:rsidRPr="00331A33">
              <w:rPr>
                <w:rFonts w:ascii="Arial" w:hAnsi="Arial" w:cs="Arial"/>
                <w:sz w:val="20"/>
                <w:szCs w:val="20"/>
              </w:rPr>
              <w:t>+</w:t>
            </w:r>
          </w:p>
        </w:tc>
      </w:tr>
    </w:tbl>
    <w:p w14:paraId="019B5A5B" w14:textId="77777777" w:rsidR="00331A33" w:rsidRDefault="00331A33" w:rsidP="00331A33">
      <w:pPr>
        <w:pStyle w:val="PlainText"/>
        <w:spacing w:line="276" w:lineRule="auto"/>
        <w:ind w:firstLine="720"/>
        <w:jc w:val="both"/>
        <w:rPr>
          <w:rFonts w:ascii="Arial" w:hAnsi="Arial" w:cs="Arial"/>
          <w:sz w:val="20"/>
          <w:szCs w:val="20"/>
        </w:rPr>
      </w:pPr>
    </w:p>
    <w:p w14:paraId="3FE5FC2C" w14:textId="77777777" w:rsidR="00331A33" w:rsidRDefault="00331A33" w:rsidP="00331A33">
      <w:pPr>
        <w:pStyle w:val="PlainText"/>
        <w:spacing w:line="276" w:lineRule="auto"/>
        <w:ind w:firstLine="720"/>
        <w:jc w:val="both"/>
        <w:rPr>
          <w:rFonts w:ascii="Arial" w:hAnsi="Arial" w:cs="Arial"/>
          <w:sz w:val="20"/>
          <w:szCs w:val="20"/>
        </w:rPr>
      </w:pPr>
    </w:p>
    <w:p w14:paraId="7507F6C7" w14:textId="02C1D516" w:rsidR="00331A33" w:rsidRDefault="00331A33" w:rsidP="00331A33">
      <w:pPr>
        <w:pStyle w:val="PlainText"/>
        <w:spacing w:line="276" w:lineRule="auto"/>
        <w:ind w:firstLine="720"/>
        <w:jc w:val="both"/>
        <w:rPr>
          <w:rFonts w:ascii="Arial" w:hAnsi="Arial" w:cs="Arial"/>
          <w:sz w:val="20"/>
          <w:szCs w:val="20"/>
        </w:rPr>
      </w:pPr>
      <w:r w:rsidRPr="0000667B">
        <w:rPr>
          <w:rFonts w:ascii="Arial" w:hAnsi="Arial" w:cs="Arial"/>
          <w:sz w:val="20"/>
          <w:szCs w:val="20"/>
        </w:rPr>
        <w:t xml:space="preserve">Molecular identification of the isolate through 16S rRNA gene sequencing and BLAST analysis revealed the highest sequence similarity with </w:t>
      </w:r>
      <w:r w:rsidRPr="0000667B">
        <w:rPr>
          <w:rStyle w:val="Emphasis"/>
          <w:rFonts w:ascii="Arial" w:hAnsi="Arial" w:cs="Arial"/>
          <w:sz w:val="20"/>
          <w:szCs w:val="20"/>
        </w:rPr>
        <w:t>Lactobacillus plantarum</w:t>
      </w:r>
      <w:r w:rsidRPr="0000667B">
        <w:rPr>
          <w:rFonts w:ascii="Arial" w:hAnsi="Arial" w:cs="Arial"/>
          <w:sz w:val="20"/>
          <w:szCs w:val="20"/>
        </w:rPr>
        <w:t xml:space="preserve"> strain Ni1323 (99.28% identity, 100% query coverage, accession AB598972.1), followed closely by </w:t>
      </w:r>
      <w:proofErr w:type="spellStart"/>
      <w:r w:rsidRPr="0000667B">
        <w:rPr>
          <w:rStyle w:val="Emphasis"/>
          <w:rFonts w:ascii="Arial" w:hAnsi="Arial" w:cs="Arial"/>
          <w:sz w:val="20"/>
          <w:szCs w:val="20"/>
        </w:rPr>
        <w:t>Lactiplantibacillus</w:t>
      </w:r>
      <w:proofErr w:type="spellEnd"/>
      <w:r w:rsidRPr="0000667B">
        <w:rPr>
          <w:rStyle w:val="Emphasis"/>
          <w:rFonts w:ascii="Arial" w:hAnsi="Arial" w:cs="Arial"/>
          <w:sz w:val="20"/>
          <w:szCs w:val="20"/>
        </w:rPr>
        <w:t xml:space="preserve"> plantarum</w:t>
      </w:r>
      <w:r w:rsidRPr="0000667B">
        <w:rPr>
          <w:rFonts w:ascii="Arial" w:hAnsi="Arial" w:cs="Arial"/>
          <w:sz w:val="20"/>
          <w:szCs w:val="20"/>
        </w:rPr>
        <w:t xml:space="preserve"> strain HBUAS52224 (99.28% identity, accession MH472949.1). The isolate also showed high similarity to </w:t>
      </w:r>
      <w:proofErr w:type="spellStart"/>
      <w:r w:rsidRPr="0000667B">
        <w:rPr>
          <w:rStyle w:val="Emphasis"/>
          <w:rFonts w:ascii="Arial" w:hAnsi="Arial" w:cs="Arial"/>
          <w:sz w:val="20"/>
          <w:szCs w:val="20"/>
        </w:rPr>
        <w:t>Lactiplantibacillus</w:t>
      </w:r>
      <w:proofErr w:type="spellEnd"/>
      <w:r w:rsidRPr="0000667B">
        <w:rPr>
          <w:rStyle w:val="Emphasis"/>
          <w:rFonts w:ascii="Arial" w:hAnsi="Arial" w:cs="Arial"/>
          <w:sz w:val="20"/>
          <w:szCs w:val="20"/>
        </w:rPr>
        <w:t xml:space="preserve"> </w:t>
      </w:r>
      <w:proofErr w:type="spellStart"/>
      <w:r w:rsidRPr="0000667B">
        <w:rPr>
          <w:rStyle w:val="Emphasis"/>
          <w:rFonts w:ascii="Arial" w:hAnsi="Arial" w:cs="Arial"/>
          <w:sz w:val="20"/>
          <w:szCs w:val="20"/>
        </w:rPr>
        <w:t>pentosus</w:t>
      </w:r>
      <w:proofErr w:type="spellEnd"/>
      <w:r w:rsidRPr="0000667B">
        <w:rPr>
          <w:rFonts w:ascii="Arial" w:hAnsi="Arial" w:cs="Arial"/>
          <w:sz w:val="20"/>
          <w:szCs w:val="20"/>
        </w:rPr>
        <w:t xml:space="preserve"> strain P7 (99.22% identity, accession PV164899.1) and </w:t>
      </w:r>
      <w:proofErr w:type="spellStart"/>
      <w:r w:rsidRPr="0000667B">
        <w:rPr>
          <w:rStyle w:val="Emphasis"/>
          <w:rFonts w:ascii="Arial" w:hAnsi="Arial" w:cs="Arial"/>
          <w:sz w:val="20"/>
          <w:szCs w:val="20"/>
        </w:rPr>
        <w:t>Lactiplantibacillus</w:t>
      </w:r>
      <w:proofErr w:type="spellEnd"/>
      <w:r w:rsidRPr="0000667B">
        <w:rPr>
          <w:rStyle w:val="Emphasis"/>
          <w:rFonts w:ascii="Arial" w:hAnsi="Arial" w:cs="Arial"/>
          <w:sz w:val="20"/>
          <w:szCs w:val="20"/>
        </w:rPr>
        <w:t xml:space="preserve"> plantarum</w:t>
      </w:r>
      <w:r w:rsidRPr="0000667B">
        <w:rPr>
          <w:rFonts w:ascii="Arial" w:hAnsi="Arial" w:cs="Arial"/>
          <w:sz w:val="20"/>
          <w:szCs w:val="20"/>
        </w:rPr>
        <w:t xml:space="preserve"> strain LRLP1 (99.22% identity, accession OM985610.1). All top hits showed 100% query coverage and an E-value of 0.00, indicating a highly significant and reliable match.</w:t>
      </w:r>
      <w:r>
        <w:rPr>
          <w:rFonts w:ascii="Arial" w:hAnsi="Arial" w:cs="Arial"/>
          <w:sz w:val="20"/>
          <w:szCs w:val="20"/>
        </w:rPr>
        <w:t xml:space="preserve"> </w:t>
      </w:r>
      <w:r w:rsidRPr="0000667B">
        <w:rPr>
          <w:rFonts w:ascii="Arial" w:hAnsi="Arial" w:cs="Arial"/>
          <w:sz w:val="20"/>
          <w:szCs w:val="20"/>
        </w:rPr>
        <w:t>Based on the closest match, highest percentage identity, and clustering pattern in the phylogenetic tree</w:t>
      </w:r>
      <w:r>
        <w:rPr>
          <w:rFonts w:ascii="Arial" w:hAnsi="Arial" w:cs="Arial"/>
          <w:sz w:val="20"/>
          <w:szCs w:val="20"/>
        </w:rPr>
        <w:t xml:space="preserve"> (Figure 2)</w:t>
      </w:r>
      <w:r w:rsidRPr="0000667B">
        <w:rPr>
          <w:rFonts w:ascii="Arial" w:hAnsi="Arial" w:cs="Arial"/>
          <w:sz w:val="20"/>
          <w:szCs w:val="20"/>
        </w:rPr>
        <w:t xml:space="preserve">, the isolate was identified as </w:t>
      </w:r>
      <w:proofErr w:type="spellStart"/>
      <w:r w:rsidRPr="0000667B">
        <w:rPr>
          <w:rStyle w:val="Emphasis"/>
          <w:rFonts w:ascii="Arial" w:hAnsi="Arial" w:cs="Arial"/>
          <w:sz w:val="20"/>
          <w:szCs w:val="20"/>
        </w:rPr>
        <w:t>Lactiplantibacillus</w:t>
      </w:r>
      <w:proofErr w:type="spellEnd"/>
      <w:r w:rsidRPr="0000667B">
        <w:rPr>
          <w:rStyle w:val="Emphasis"/>
          <w:rFonts w:ascii="Arial" w:hAnsi="Arial" w:cs="Arial"/>
          <w:sz w:val="20"/>
          <w:szCs w:val="20"/>
        </w:rPr>
        <w:t xml:space="preserve"> plantarum</w:t>
      </w:r>
      <w:r w:rsidRPr="0000667B">
        <w:rPr>
          <w:rFonts w:ascii="Arial" w:hAnsi="Arial" w:cs="Arial"/>
          <w:sz w:val="20"/>
          <w:szCs w:val="20"/>
        </w:rPr>
        <w:t xml:space="preserve"> (formerly </w:t>
      </w:r>
      <w:r w:rsidRPr="0000667B">
        <w:rPr>
          <w:rStyle w:val="Emphasis"/>
          <w:rFonts w:ascii="Arial" w:hAnsi="Arial" w:cs="Arial"/>
          <w:sz w:val="20"/>
          <w:szCs w:val="20"/>
        </w:rPr>
        <w:t>Lactobacillus plantarum</w:t>
      </w:r>
      <w:r w:rsidRPr="0000667B">
        <w:rPr>
          <w:rFonts w:ascii="Arial" w:hAnsi="Arial" w:cs="Arial"/>
          <w:sz w:val="20"/>
          <w:szCs w:val="20"/>
        </w:rPr>
        <w:t xml:space="preserve">), consistent with its Gram-positive, catalase-negative, rod-shaped morphology and carbohydrate fermentation profile observed in the biochemical </w:t>
      </w:r>
      <w:commentRangeStart w:id="5"/>
      <w:r w:rsidRPr="0000667B">
        <w:rPr>
          <w:rFonts w:ascii="Arial" w:hAnsi="Arial" w:cs="Arial"/>
          <w:sz w:val="20"/>
          <w:szCs w:val="20"/>
        </w:rPr>
        <w:t>characterization</w:t>
      </w:r>
      <w:commentRangeEnd w:id="5"/>
      <w:r w:rsidR="0027602E">
        <w:rPr>
          <w:rStyle w:val="CommentReference"/>
          <w:rFonts w:asciiTheme="minorHAnsi" w:hAnsiTheme="minorHAnsi"/>
        </w:rPr>
        <w:commentReference w:id="5"/>
      </w:r>
      <w:r w:rsidRPr="0000667B">
        <w:rPr>
          <w:rFonts w:ascii="Arial" w:hAnsi="Arial" w:cs="Arial"/>
          <w:sz w:val="20"/>
          <w:szCs w:val="20"/>
        </w:rPr>
        <w:t>.</w:t>
      </w:r>
      <w:r w:rsidR="0027602E">
        <w:rPr>
          <w:rFonts w:ascii="Arial" w:hAnsi="Arial" w:cs="Arial"/>
          <w:sz w:val="20"/>
          <w:szCs w:val="20"/>
        </w:rPr>
        <w:t xml:space="preserve"> </w:t>
      </w:r>
    </w:p>
    <w:p w14:paraId="4D9330F2" w14:textId="77777777" w:rsidR="00331A33" w:rsidRDefault="00331A33" w:rsidP="00331A33">
      <w:pPr>
        <w:pStyle w:val="PlainText"/>
        <w:spacing w:line="276" w:lineRule="auto"/>
        <w:ind w:firstLine="720"/>
        <w:jc w:val="both"/>
        <w:rPr>
          <w:rFonts w:ascii="Arial" w:hAnsi="Arial" w:cs="Arial"/>
          <w:sz w:val="20"/>
          <w:szCs w:val="20"/>
        </w:rPr>
      </w:pPr>
    </w:p>
    <w:p w14:paraId="22C9891C" w14:textId="77777777" w:rsidR="00331A33" w:rsidRPr="0000667B" w:rsidRDefault="00331A33" w:rsidP="00331A33">
      <w:pPr>
        <w:pStyle w:val="PlainText"/>
        <w:spacing w:line="276" w:lineRule="auto"/>
        <w:ind w:firstLine="720"/>
        <w:jc w:val="both"/>
        <w:rPr>
          <w:rFonts w:ascii="Arial" w:hAnsi="Arial" w:cs="Arial"/>
          <w:sz w:val="20"/>
          <w:szCs w:val="20"/>
        </w:rPr>
      </w:pPr>
    </w:p>
    <w:p w14:paraId="289DBECE" w14:textId="77777777" w:rsidR="00331A33" w:rsidRPr="00331A33" w:rsidRDefault="00331A33" w:rsidP="00331A33">
      <w:pPr>
        <w:pStyle w:val="PlainText"/>
        <w:spacing w:line="276" w:lineRule="auto"/>
        <w:jc w:val="center"/>
        <w:rPr>
          <w:rFonts w:ascii="Arial" w:hAnsi="Arial" w:cs="Arial"/>
          <w:b/>
          <w:sz w:val="20"/>
          <w:szCs w:val="20"/>
        </w:rPr>
      </w:pPr>
      <w:r w:rsidRPr="00331A33">
        <w:rPr>
          <w:rFonts w:ascii="Arial" w:hAnsi="Arial" w:cs="Arial"/>
          <w:b/>
          <w:sz w:val="20"/>
          <w:szCs w:val="20"/>
        </w:rPr>
        <w:t xml:space="preserve">Figure .2 Phylogenetic tree analysis of </w:t>
      </w:r>
      <w:proofErr w:type="spellStart"/>
      <w:r w:rsidRPr="00331A33">
        <w:rPr>
          <w:rStyle w:val="Emphasis"/>
          <w:rFonts w:ascii="Arial" w:hAnsi="Arial" w:cs="Arial"/>
          <w:b/>
          <w:sz w:val="20"/>
          <w:szCs w:val="20"/>
        </w:rPr>
        <w:t>Lactiplantibacillus</w:t>
      </w:r>
      <w:proofErr w:type="spellEnd"/>
      <w:r w:rsidRPr="00331A33">
        <w:rPr>
          <w:rStyle w:val="Emphasis"/>
          <w:rFonts w:ascii="Arial" w:hAnsi="Arial" w:cs="Arial"/>
          <w:b/>
          <w:sz w:val="20"/>
          <w:szCs w:val="20"/>
        </w:rPr>
        <w:t xml:space="preserve"> plantarum</w:t>
      </w:r>
    </w:p>
    <w:p w14:paraId="46ADB130" w14:textId="77777777" w:rsidR="00331A33" w:rsidRPr="00186746" w:rsidRDefault="00331A33" w:rsidP="00331A33">
      <w:pPr>
        <w:pStyle w:val="PlainText"/>
        <w:spacing w:line="276" w:lineRule="auto"/>
        <w:ind w:firstLine="720"/>
        <w:jc w:val="center"/>
        <w:rPr>
          <w:rFonts w:ascii="Arial" w:hAnsi="Arial" w:cs="Arial"/>
          <w:sz w:val="20"/>
          <w:szCs w:val="20"/>
        </w:rPr>
      </w:pPr>
    </w:p>
    <w:p w14:paraId="10735BCD" w14:textId="77777777" w:rsidR="00331A33" w:rsidRDefault="00331A33" w:rsidP="00331A33">
      <w:pPr>
        <w:pStyle w:val="PlainText"/>
        <w:spacing w:line="276" w:lineRule="auto"/>
        <w:jc w:val="center"/>
        <w:rPr>
          <w:rFonts w:ascii="Arial" w:hAnsi="Arial" w:cs="Arial"/>
          <w:b/>
          <w:sz w:val="20"/>
          <w:szCs w:val="20"/>
          <w:lang w:val="en-US"/>
        </w:rPr>
      </w:pPr>
      <w:commentRangeStart w:id="7"/>
      <w:r w:rsidRPr="00186746">
        <w:rPr>
          <w:rFonts w:ascii="Arial" w:hAnsi="Arial" w:cs="Arial"/>
          <w:noProof/>
          <w:sz w:val="20"/>
          <w:szCs w:val="20"/>
          <w:lang w:eastAsia="en-IN"/>
        </w:rPr>
        <w:drawing>
          <wp:inline distT="0" distB="0" distL="0" distR="0" wp14:anchorId="6B07093F" wp14:editId="07FA9786">
            <wp:extent cx="4169928" cy="2220686"/>
            <wp:effectExtent l="19050" t="19050" r="21590" b="27305"/>
            <wp:docPr id="3" name="Picture 3" descr="E:\PhD\phd 2\rajeshwari- RVS\Shema\phylogene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phd 2\rajeshwari- RVS\Shema\phylogenetic.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37086" t="43421" r="22479" b="41353"/>
                    <a:stretch/>
                  </pic:blipFill>
                  <pic:spPr bwMode="auto">
                    <a:xfrm>
                      <a:off x="0" y="0"/>
                      <a:ext cx="4185105" cy="2228769"/>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commentRangeEnd w:id="7"/>
      <w:r w:rsidR="00B9342A">
        <w:rPr>
          <w:rStyle w:val="CommentReference"/>
          <w:rFonts w:asciiTheme="minorHAnsi" w:hAnsiTheme="minorHAnsi"/>
        </w:rPr>
        <w:commentReference w:id="7"/>
      </w:r>
    </w:p>
    <w:p w14:paraId="34958763" w14:textId="77777777" w:rsidR="00331A33" w:rsidRDefault="00331A33" w:rsidP="00331A33">
      <w:pPr>
        <w:pStyle w:val="PlainText"/>
        <w:spacing w:line="276" w:lineRule="auto"/>
        <w:rPr>
          <w:rFonts w:ascii="Arial" w:hAnsi="Arial" w:cs="Arial"/>
          <w:b/>
          <w:sz w:val="20"/>
          <w:szCs w:val="20"/>
          <w:lang w:val="en-US"/>
        </w:rPr>
      </w:pPr>
    </w:p>
    <w:p w14:paraId="588A2934" w14:textId="77777777" w:rsidR="00B9342A" w:rsidRDefault="00B9342A" w:rsidP="00331A33">
      <w:pPr>
        <w:pStyle w:val="PlainText"/>
        <w:spacing w:line="276" w:lineRule="auto"/>
        <w:rPr>
          <w:rFonts w:ascii="Arial" w:hAnsi="Arial" w:cs="Arial"/>
          <w:b/>
          <w:sz w:val="20"/>
          <w:szCs w:val="20"/>
          <w:lang w:val="en-US"/>
        </w:rPr>
      </w:pPr>
    </w:p>
    <w:p w14:paraId="6777B87B" w14:textId="5CD0FD16" w:rsidR="00A47643" w:rsidRPr="00186746" w:rsidRDefault="00331A33" w:rsidP="00331A33">
      <w:pPr>
        <w:pStyle w:val="PlainText"/>
        <w:spacing w:line="276" w:lineRule="auto"/>
        <w:rPr>
          <w:rFonts w:ascii="Arial" w:hAnsi="Arial" w:cs="Arial"/>
          <w:b/>
          <w:sz w:val="20"/>
          <w:szCs w:val="20"/>
          <w:lang w:val="en-US"/>
        </w:rPr>
      </w:pPr>
      <w:r>
        <w:rPr>
          <w:rFonts w:ascii="Arial" w:hAnsi="Arial" w:cs="Arial"/>
          <w:b/>
          <w:sz w:val="20"/>
          <w:szCs w:val="20"/>
          <w:lang w:val="en-US"/>
        </w:rPr>
        <w:t xml:space="preserve">4.0 </w:t>
      </w:r>
      <w:r w:rsidRPr="00186746">
        <w:rPr>
          <w:rFonts w:ascii="Arial" w:hAnsi="Arial" w:cs="Arial"/>
          <w:b/>
          <w:sz w:val="20"/>
          <w:szCs w:val="20"/>
          <w:lang w:val="en-US"/>
        </w:rPr>
        <w:t>Conclusion</w:t>
      </w:r>
    </w:p>
    <w:p w14:paraId="76ED2684" w14:textId="77777777" w:rsidR="00A47643" w:rsidRPr="00186746" w:rsidRDefault="00A47643" w:rsidP="00B55DC3">
      <w:pPr>
        <w:pStyle w:val="PlainText"/>
        <w:spacing w:line="276" w:lineRule="auto"/>
        <w:ind w:firstLine="720"/>
        <w:jc w:val="both"/>
        <w:rPr>
          <w:rFonts w:ascii="Arial" w:hAnsi="Arial" w:cs="Arial"/>
          <w:sz w:val="20"/>
          <w:szCs w:val="20"/>
          <w:lang w:val="en-US"/>
        </w:rPr>
      </w:pPr>
    </w:p>
    <w:p w14:paraId="02EB7C02" w14:textId="77777777" w:rsidR="00A47643" w:rsidRPr="00186746" w:rsidRDefault="00B55DC3" w:rsidP="00331A3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The present study demonstrates that lactic acid bacteria isolated from milk and curd samples, predominantly </w:t>
      </w:r>
      <w:r w:rsidRPr="00186746">
        <w:rPr>
          <w:rStyle w:val="Emphasis"/>
          <w:rFonts w:ascii="Arial" w:hAnsi="Arial" w:cs="Arial"/>
          <w:sz w:val="20"/>
          <w:szCs w:val="20"/>
        </w:rPr>
        <w:t>Lactobacillus</w:t>
      </w:r>
      <w:r w:rsidRPr="00186746">
        <w:rPr>
          <w:rFonts w:ascii="Arial" w:hAnsi="Arial" w:cs="Arial"/>
          <w:sz w:val="20"/>
          <w:szCs w:val="20"/>
        </w:rPr>
        <w:t xml:space="preserve">, </w:t>
      </w:r>
      <w:r w:rsidRPr="00186746">
        <w:rPr>
          <w:rStyle w:val="Emphasis"/>
          <w:rFonts w:ascii="Arial" w:hAnsi="Arial" w:cs="Arial"/>
          <w:sz w:val="20"/>
          <w:szCs w:val="20"/>
        </w:rPr>
        <w:t>Lactococcus</w:t>
      </w:r>
      <w:r w:rsidRPr="00186746">
        <w:rPr>
          <w:rFonts w:ascii="Arial" w:hAnsi="Arial" w:cs="Arial"/>
          <w:sz w:val="20"/>
          <w:szCs w:val="20"/>
        </w:rPr>
        <w:t xml:space="preserve">, </w:t>
      </w:r>
      <w:r w:rsidRPr="00186746">
        <w:rPr>
          <w:rStyle w:val="Emphasis"/>
          <w:rFonts w:ascii="Arial" w:hAnsi="Arial" w:cs="Arial"/>
          <w:sz w:val="20"/>
          <w:szCs w:val="20"/>
        </w:rPr>
        <w:t>Enterococcus</w:t>
      </w:r>
      <w:r w:rsidRPr="00186746">
        <w:rPr>
          <w:rFonts w:ascii="Arial" w:hAnsi="Arial" w:cs="Arial"/>
          <w:sz w:val="20"/>
          <w:szCs w:val="20"/>
        </w:rPr>
        <w:t xml:space="preserve">, and </w:t>
      </w:r>
      <w:proofErr w:type="spellStart"/>
      <w:r w:rsidRPr="00186746">
        <w:rPr>
          <w:rStyle w:val="Emphasis"/>
          <w:rFonts w:ascii="Arial" w:hAnsi="Arial" w:cs="Arial"/>
          <w:sz w:val="20"/>
          <w:szCs w:val="20"/>
        </w:rPr>
        <w:t>Leuconostoc</w:t>
      </w:r>
      <w:proofErr w:type="spellEnd"/>
      <w:r w:rsidRPr="00186746">
        <w:rPr>
          <w:rFonts w:ascii="Arial" w:hAnsi="Arial" w:cs="Arial"/>
          <w:sz w:val="20"/>
          <w:szCs w:val="20"/>
        </w:rPr>
        <w:t xml:space="preserve">, are capable of producing bacteriocin-like inhibitory compounds effective against biofilm-forming bacterial pathogens recovered from meat, including </w:t>
      </w:r>
      <w:r w:rsidRPr="00186746">
        <w:rPr>
          <w:rStyle w:val="Emphasis"/>
          <w:rFonts w:ascii="Arial" w:hAnsi="Arial" w:cs="Arial"/>
          <w:sz w:val="20"/>
          <w:szCs w:val="20"/>
        </w:rPr>
        <w:t>E. coli</w:t>
      </w:r>
      <w:r w:rsidRPr="00186746">
        <w:rPr>
          <w:rFonts w:ascii="Arial" w:hAnsi="Arial" w:cs="Arial"/>
          <w:sz w:val="20"/>
          <w:szCs w:val="20"/>
        </w:rPr>
        <w:t xml:space="preserve">, </w:t>
      </w:r>
      <w:r w:rsidRPr="00186746">
        <w:rPr>
          <w:rStyle w:val="Emphasis"/>
          <w:rFonts w:ascii="Arial" w:hAnsi="Arial" w:cs="Arial"/>
          <w:sz w:val="20"/>
          <w:szCs w:val="20"/>
        </w:rPr>
        <w:t>S. aureus</w:t>
      </w:r>
      <w:r w:rsidRPr="00186746">
        <w:rPr>
          <w:rFonts w:ascii="Arial" w:hAnsi="Arial" w:cs="Arial"/>
          <w:sz w:val="20"/>
          <w:szCs w:val="20"/>
        </w:rPr>
        <w:t xml:space="preserve">, </w:t>
      </w:r>
      <w:r w:rsidRPr="00186746">
        <w:rPr>
          <w:rStyle w:val="Emphasis"/>
          <w:rFonts w:ascii="Arial" w:hAnsi="Arial" w:cs="Arial"/>
          <w:sz w:val="20"/>
          <w:szCs w:val="20"/>
        </w:rPr>
        <w:t>P. aeruginosa</w:t>
      </w:r>
      <w:r w:rsidRPr="00186746">
        <w:rPr>
          <w:rFonts w:ascii="Arial" w:hAnsi="Arial" w:cs="Arial"/>
          <w:sz w:val="20"/>
          <w:szCs w:val="20"/>
        </w:rPr>
        <w:t xml:space="preserve">, </w:t>
      </w:r>
      <w:r w:rsidRPr="00186746">
        <w:rPr>
          <w:rStyle w:val="Emphasis"/>
          <w:rFonts w:ascii="Arial" w:hAnsi="Arial" w:cs="Arial"/>
          <w:sz w:val="20"/>
          <w:szCs w:val="20"/>
        </w:rPr>
        <w:t>K. pneumoniae</w:t>
      </w:r>
      <w:r w:rsidRPr="00186746">
        <w:rPr>
          <w:rFonts w:ascii="Arial" w:hAnsi="Arial" w:cs="Arial"/>
          <w:sz w:val="20"/>
          <w:szCs w:val="20"/>
        </w:rPr>
        <w:t xml:space="preserve">, </w:t>
      </w:r>
      <w:r w:rsidRPr="00186746">
        <w:rPr>
          <w:rStyle w:val="Emphasis"/>
          <w:rFonts w:ascii="Arial" w:hAnsi="Arial" w:cs="Arial"/>
          <w:sz w:val="20"/>
          <w:szCs w:val="20"/>
        </w:rPr>
        <w:t>Proteus</w:t>
      </w:r>
      <w:r w:rsidRPr="00186746">
        <w:rPr>
          <w:rFonts w:ascii="Arial" w:hAnsi="Arial" w:cs="Arial"/>
          <w:sz w:val="20"/>
          <w:szCs w:val="20"/>
        </w:rPr>
        <w:t xml:space="preserve"> sp., and </w:t>
      </w:r>
      <w:r w:rsidRPr="00186746">
        <w:rPr>
          <w:rStyle w:val="Emphasis"/>
          <w:rFonts w:ascii="Arial" w:hAnsi="Arial" w:cs="Arial"/>
          <w:sz w:val="20"/>
          <w:szCs w:val="20"/>
        </w:rPr>
        <w:t>Salmonella</w:t>
      </w:r>
      <w:r w:rsidRPr="00186746">
        <w:rPr>
          <w:rFonts w:ascii="Arial" w:hAnsi="Arial" w:cs="Arial"/>
          <w:sz w:val="20"/>
          <w:szCs w:val="20"/>
        </w:rPr>
        <w:t xml:space="preserve"> sp. Among the isolates screened, isolate 6 exhibited the broadest and most consistent inhibitory activity across multiple pathogens and was identified through biochemical characterization and 16S rRNA gene sequencing as </w:t>
      </w:r>
      <w:proofErr w:type="spellStart"/>
      <w:r w:rsidRPr="00186746">
        <w:rPr>
          <w:rStyle w:val="Emphasis"/>
          <w:rFonts w:ascii="Arial" w:hAnsi="Arial" w:cs="Arial"/>
          <w:sz w:val="20"/>
          <w:szCs w:val="20"/>
        </w:rPr>
        <w:t>Lactiplantibacillus</w:t>
      </w:r>
      <w:proofErr w:type="spellEnd"/>
      <w:r w:rsidRPr="00186746">
        <w:rPr>
          <w:rStyle w:val="Emphasis"/>
          <w:rFonts w:ascii="Arial" w:hAnsi="Arial" w:cs="Arial"/>
          <w:sz w:val="20"/>
          <w:szCs w:val="20"/>
        </w:rPr>
        <w:t xml:space="preserve"> plantarum</w:t>
      </w:r>
      <w:r w:rsidRPr="00186746">
        <w:rPr>
          <w:rFonts w:ascii="Arial" w:hAnsi="Arial" w:cs="Arial"/>
          <w:sz w:val="20"/>
          <w:szCs w:val="20"/>
        </w:rPr>
        <w:t xml:space="preserve">, with 99.28% sequence identity to reference strains. These findings confirm that dairy-derived LAB can exert antibacterial and antibiofilm activity against pathogens originating from a different food matrix, highlighting their potential as natural, cost-effective, and side-effect-free alternatives to conventional antibiotics and chemical sanitizers for controlling biofilm-associated contamination in meat and meat-processing environments. Further studies involving purification, molecular characterization, and evaluation of the bacteriocin produced by </w:t>
      </w:r>
      <w:r w:rsidRPr="00186746">
        <w:rPr>
          <w:rStyle w:val="Emphasis"/>
          <w:rFonts w:ascii="Arial" w:hAnsi="Arial" w:cs="Arial"/>
          <w:sz w:val="20"/>
          <w:szCs w:val="20"/>
        </w:rPr>
        <w:t>L. plantarum</w:t>
      </w:r>
      <w:r w:rsidRPr="00186746">
        <w:rPr>
          <w:rFonts w:ascii="Arial" w:hAnsi="Arial" w:cs="Arial"/>
          <w:sz w:val="20"/>
          <w:szCs w:val="20"/>
        </w:rPr>
        <w:t xml:space="preserve"> isolate 6 against mature, established biofilms are warranted to fully realize its potential as a natural </w:t>
      </w:r>
      <w:proofErr w:type="spellStart"/>
      <w:r w:rsidRPr="00186746">
        <w:rPr>
          <w:rFonts w:ascii="Arial" w:hAnsi="Arial" w:cs="Arial"/>
          <w:sz w:val="20"/>
          <w:szCs w:val="20"/>
        </w:rPr>
        <w:t>biopreservative</w:t>
      </w:r>
      <w:proofErr w:type="spellEnd"/>
      <w:r w:rsidRPr="00186746">
        <w:rPr>
          <w:rFonts w:ascii="Arial" w:hAnsi="Arial" w:cs="Arial"/>
          <w:sz w:val="20"/>
          <w:szCs w:val="20"/>
        </w:rPr>
        <w:t xml:space="preserve"> in the food industry.</w:t>
      </w:r>
    </w:p>
    <w:p w14:paraId="7BA6D02D" w14:textId="77777777" w:rsidR="00062F07" w:rsidRDefault="00062F07" w:rsidP="00062F07">
      <w:pPr>
        <w:pStyle w:val="PlainText"/>
        <w:spacing w:line="276" w:lineRule="auto"/>
        <w:jc w:val="both"/>
        <w:rPr>
          <w:rFonts w:ascii="Arial" w:hAnsi="Arial" w:cs="Arial"/>
          <w:b/>
          <w:sz w:val="20"/>
          <w:szCs w:val="20"/>
        </w:rPr>
      </w:pPr>
    </w:p>
    <w:p w14:paraId="6A69B352" w14:textId="77777777" w:rsidR="00414850" w:rsidRDefault="00414850" w:rsidP="00062F07">
      <w:pPr>
        <w:pStyle w:val="PlainText"/>
        <w:spacing w:line="276" w:lineRule="auto"/>
        <w:jc w:val="both"/>
        <w:rPr>
          <w:rFonts w:ascii="Arial" w:hAnsi="Arial" w:cs="Arial"/>
          <w:b/>
          <w:sz w:val="20"/>
          <w:szCs w:val="20"/>
        </w:rPr>
      </w:pPr>
    </w:p>
    <w:p w14:paraId="7B0D2084" w14:textId="77777777" w:rsidR="00414850" w:rsidRPr="00414850" w:rsidRDefault="00414850" w:rsidP="00414850">
      <w:pPr>
        <w:spacing w:after="0" w:line="240" w:lineRule="auto"/>
        <w:rPr>
          <w:rFonts w:ascii="Arial" w:eastAsia="Calibri" w:hAnsi="Arial" w:cs="Arial"/>
          <w:b/>
          <w:sz w:val="20"/>
          <w:szCs w:val="20"/>
          <w:lang w:val="en-US"/>
        </w:rPr>
      </w:pPr>
      <w:r w:rsidRPr="00414850">
        <w:rPr>
          <w:rFonts w:ascii="Arial" w:eastAsia="Calibri" w:hAnsi="Arial" w:cs="Arial"/>
          <w:b/>
          <w:sz w:val="20"/>
          <w:szCs w:val="20"/>
          <w:lang w:val="en-US"/>
        </w:rPr>
        <w:t>Declaration of AI Use</w:t>
      </w:r>
    </w:p>
    <w:p w14:paraId="41A570D9" w14:textId="77777777" w:rsidR="00414850" w:rsidRPr="00414850" w:rsidRDefault="00414850" w:rsidP="00414850">
      <w:pPr>
        <w:spacing w:after="0" w:line="240" w:lineRule="auto"/>
        <w:rPr>
          <w:rFonts w:ascii="Arial" w:eastAsia="Calibri" w:hAnsi="Arial" w:cs="Arial"/>
          <w:sz w:val="20"/>
          <w:szCs w:val="20"/>
          <w:lang w:val="en-US"/>
        </w:rPr>
      </w:pPr>
    </w:p>
    <w:p w14:paraId="02E70948" w14:textId="77777777" w:rsidR="00414850" w:rsidRPr="00414850" w:rsidRDefault="00414850" w:rsidP="00414850">
      <w:pPr>
        <w:spacing w:after="0" w:line="240" w:lineRule="auto"/>
        <w:rPr>
          <w:rFonts w:ascii="Arial" w:eastAsia="Calibri" w:hAnsi="Arial" w:cs="Arial"/>
          <w:sz w:val="20"/>
          <w:szCs w:val="20"/>
          <w:lang w:val="en-US"/>
        </w:rPr>
      </w:pPr>
      <w:r w:rsidRPr="00414850">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45BB777" w14:textId="77777777" w:rsidR="00414850" w:rsidRPr="00414850" w:rsidRDefault="00414850" w:rsidP="00414850">
      <w:pPr>
        <w:spacing w:after="0" w:line="240" w:lineRule="auto"/>
        <w:jc w:val="both"/>
        <w:rPr>
          <w:rFonts w:ascii="Times New Roman" w:eastAsia="Calibri" w:hAnsi="Times New Roman" w:cs="Times New Roman"/>
          <w:lang w:val="en-US"/>
        </w:rPr>
      </w:pPr>
    </w:p>
    <w:p w14:paraId="7D9A45CB" w14:textId="77777777" w:rsidR="00414850" w:rsidRPr="00414850" w:rsidRDefault="00414850" w:rsidP="00414850">
      <w:pPr>
        <w:spacing w:after="0" w:line="240" w:lineRule="auto"/>
        <w:jc w:val="both"/>
        <w:rPr>
          <w:rFonts w:ascii="Times New Roman" w:eastAsia="Calibri" w:hAnsi="Times New Roman" w:cs="Times New Roman"/>
          <w:lang w:val="en-US"/>
        </w:rPr>
      </w:pPr>
    </w:p>
    <w:p w14:paraId="22746D5E" w14:textId="77777777" w:rsidR="00414850" w:rsidRPr="00414850" w:rsidRDefault="00414850" w:rsidP="00414850">
      <w:pPr>
        <w:rPr>
          <w:rFonts w:ascii="Cambria" w:eastAsia="Times New Roman" w:hAnsi="Cambria" w:cs="Arial"/>
          <w:b/>
          <w:bCs/>
          <w:lang w:val="en-GB" w:eastAsia="en-GB"/>
        </w:rPr>
      </w:pPr>
      <w:r w:rsidRPr="00414850">
        <w:rPr>
          <w:rFonts w:ascii="Cambria" w:eastAsia="Times New Roman" w:hAnsi="Cambria" w:cs="Arial"/>
          <w:b/>
          <w:bCs/>
          <w:lang w:val="en-GB" w:eastAsia="en-GB"/>
        </w:rPr>
        <w:t>COMPETING INTERESTS DISCLAIMER:</w:t>
      </w:r>
    </w:p>
    <w:p w14:paraId="679462EC" w14:textId="77777777" w:rsidR="00414850" w:rsidRPr="00414850" w:rsidRDefault="00414850" w:rsidP="00414850">
      <w:pPr>
        <w:rPr>
          <w:rFonts w:ascii="Cambria" w:eastAsia="Times New Roman" w:hAnsi="Cambria" w:cs="Times New Roman"/>
          <w:lang w:val="en-GB" w:eastAsia="en-GB"/>
        </w:rPr>
      </w:pPr>
      <w:r w:rsidRPr="00414850">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55B664F5" w14:textId="77777777" w:rsidR="00414850" w:rsidRDefault="00414850" w:rsidP="00062F07">
      <w:pPr>
        <w:pStyle w:val="PlainText"/>
        <w:spacing w:line="276" w:lineRule="auto"/>
        <w:jc w:val="both"/>
        <w:rPr>
          <w:rFonts w:ascii="Arial" w:hAnsi="Arial" w:cs="Arial"/>
          <w:b/>
          <w:sz w:val="20"/>
          <w:szCs w:val="20"/>
        </w:rPr>
      </w:pPr>
    </w:p>
    <w:p w14:paraId="665512A0" w14:textId="77777777" w:rsidR="00414850" w:rsidRDefault="00414850" w:rsidP="00062F07">
      <w:pPr>
        <w:pStyle w:val="PlainText"/>
        <w:spacing w:line="276" w:lineRule="auto"/>
        <w:jc w:val="both"/>
        <w:rPr>
          <w:rFonts w:ascii="Arial" w:hAnsi="Arial" w:cs="Arial"/>
          <w:b/>
          <w:sz w:val="20"/>
          <w:szCs w:val="20"/>
        </w:rPr>
      </w:pPr>
    </w:p>
    <w:p w14:paraId="04165D1D" w14:textId="77777777" w:rsidR="00414850" w:rsidRDefault="00414850" w:rsidP="00062F07">
      <w:pPr>
        <w:pStyle w:val="PlainText"/>
        <w:spacing w:line="276" w:lineRule="auto"/>
        <w:jc w:val="both"/>
        <w:rPr>
          <w:rFonts w:ascii="Arial" w:hAnsi="Arial" w:cs="Arial"/>
          <w:b/>
          <w:sz w:val="20"/>
          <w:szCs w:val="20"/>
        </w:rPr>
      </w:pPr>
    </w:p>
    <w:p w14:paraId="498D4901" w14:textId="77777777" w:rsidR="00CA2DA9" w:rsidRPr="00186746" w:rsidRDefault="00331A33" w:rsidP="00062F07">
      <w:pPr>
        <w:pStyle w:val="PlainText"/>
        <w:spacing w:line="276" w:lineRule="auto"/>
        <w:jc w:val="both"/>
        <w:rPr>
          <w:rFonts w:ascii="Arial" w:hAnsi="Arial" w:cs="Arial"/>
          <w:b/>
          <w:sz w:val="20"/>
          <w:szCs w:val="20"/>
        </w:rPr>
      </w:pPr>
      <w:r>
        <w:rPr>
          <w:rFonts w:ascii="Arial" w:hAnsi="Arial" w:cs="Arial"/>
          <w:b/>
          <w:sz w:val="20"/>
          <w:szCs w:val="20"/>
        </w:rPr>
        <w:t xml:space="preserve">5.0 </w:t>
      </w:r>
      <w:r w:rsidR="00CA2DA9" w:rsidRPr="00186746">
        <w:rPr>
          <w:rFonts w:ascii="Arial" w:hAnsi="Arial" w:cs="Arial"/>
          <w:b/>
          <w:sz w:val="20"/>
          <w:szCs w:val="20"/>
        </w:rPr>
        <w:t>References</w:t>
      </w:r>
    </w:p>
    <w:p w14:paraId="4C36928A"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Akter, S., Rahman, M. A., </w:t>
      </w:r>
      <w:proofErr w:type="spellStart"/>
      <w:r w:rsidRPr="00141B69">
        <w:rPr>
          <w:rFonts w:ascii="Arial" w:hAnsi="Arial" w:cs="Arial"/>
          <w:sz w:val="22"/>
          <w:szCs w:val="22"/>
        </w:rPr>
        <w:t>Ashrafudoulla</w:t>
      </w:r>
      <w:proofErr w:type="spellEnd"/>
      <w:r w:rsidRPr="00141B69">
        <w:rPr>
          <w:rFonts w:ascii="Arial" w:hAnsi="Arial" w:cs="Arial"/>
          <w:sz w:val="22"/>
          <w:szCs w:val="22"/>
        </w:rPr>
        <w:t xml:space="preserve">, M., &amp; Ha, S. D. (2025). Biofilm formation and analysis of EPS architecture comprising polysaccharides and lipids by </w:t>
      </w:r>
      <w:r w:rsidRPr="00141B69">
        <w:rPr>
          <w:rStyle w:val="Emphasis"/>
          <w:rFonts w:ascii="Arial" w:hAnsi="Arial" w:cs="Arial"/>
          <w:sz w:val="22"/>
          <w:szCs w:val="22"/>
        </w:rPr>
        <w:t>Pseudomonas aeruginosa</w:t>
      </w:r>
      <w:r w:rsidRPr="00141B69">
        <w:rPr>
          <w:rFonts w:ascii="Arial" w:hAnsi="Arial" w:cs="Arial"/>
          <w:sz w:val="22"/>
          <w:szCs w:val="22"/>
        </w:rPr>
        <w:t xml:space="preserve"> and </w:t>
      </w:r>
      <w:r w:rsidRPr="00141B69">
        <w:rPr>
          <w:rStyle w:val="Emphasis"/>
          <w:rFonts w:ascii="Arial" w:hAnsi="Arial" w:cs="Arial"/>
          <w:sz w:val="22"/>
          <w:szCs w:val="22"/>
        </w:rPr>
        <w:t>Escherichia coli</w:t>
      </w:r>
      <w:r w:rsidRPr="00141B69">
        <w:rPr>
          <w:rFonts w:ascii="Arial" w:hAnsi="Arial" w:cs="Arial"/>
          <w:sz w:val="22"/>
          <w:szCs w:val="22"/>
        </w:rPr>
        <w:t xml:space="preserve"> on food processing surfaces. </w:t>
      </w:r>
      <w:r w:rsidRPr="00141B69">
        <w:rPr>
          <w:rStyle w:val="Emphasis"/>
          <w:rFonts w:ascii="Arial" w:hAnsi="Arial" w:cs="Arial"/>
          <w:sz w:val="22"/>
          <w:szCs w:val="22"/>
        </w:rPr>
        <w:t>Food Research International, 209</w:t>
      </w:r>
      <w:r w:rsidRPr="00141B69">
        <w:rPr>
          <w:rFonts w:ascii="Arial" w:hAnsi="Arial" w:cs="Arial"/>
          <w:sz w:val="22"/>
          <w:szCs w:val="22"/>
        </w:rPr>
        <w:t>, 116274.</w:t>
      </w:r>
    </w:p>
    <w:p w14:paraId="64A0968A"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Amenu, D., &amp; Bacha, K. (2025). Bio-preservation potential and antimicrobial activity of bacteriocin-producing lactic acid bacteria isolated from Ethiopian traditional fermented dairy products. </w:t>
      </w:r>
      <w:r w:rsidRPr="00141B69">
        <w:rPr>
          <w:rStyle w:val="Emphasis"/>
          <w:rFonts w:ascii="Arial" w:hAnsi="Arial" w:cs="Arial"/>
          <w:sz w:val="22"/>
          <w:szCs w:val="22"/>
        </w:rPr>
        <w:t>Probiotics and Antimicrobial Proteins, 17</w:t>
      </w:r>
      <w:r w:rsidRPr="00141B69">
        <w:rPr>
          <w:rFonts w:ascii="Arial" w:hAnsi="Arial" w:cs="Arial"/>
          <w:sz w:val="22"/>
          <w:szCs w:val="22"/>
        </w:rPr>
        <w:t>(5), 3402–3415. https://doi.org/10.1007/s12602-024-10272-w</w:t>
      </w:r>
    </w:p>
    <w:p w14:paraId="7FBC273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Araújo, D., Silva, A. R., Fernandes, R., Serra, P., Barros, M. M., Campos, A. M., Oliveira, R., Silva, S., Almeida, C., &amp; Castro, J. (2024). Emerging approaches for mitigating biofilm-formation-associated infections in farm, wild, and companion animals. </w:t>
      </w:r>
      <w:r w:rsidRPr="00141B69">
        <w:rPr>
          <w:rStyle w:val="Emphasis"/>
          <w:rFonts w:ascii="Arial" w:hAnsi="Arial" w:cs="Arial"/>
          <w:sz w:val="22"/>
          <w:szCs w:val="22"/>
        </w:rPr>
        <w:t>Pathogens, 13</w:t>
      </w:r>
      <w:r w:rsidRPr="00141B69">
        <w:rPr>
          <w:rFonts w:ascii="Arial" w:hAnsi="Arial" w:cs="Arial"/>
          <w:sz w:val="22"/>
          <w:szCs w:val="22"/>
        </w:rPr>
        <w:t>, 320.</w:t>
      </w:r>
    </w:p>
    <w:p w14:paraId="703A39B5"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Ayoub, H., Kumar, M. S., Dubal, Z. B., </w:t>
      </w:r>
      <w:proofErr w:type="spellStart"/>
      <w:r w:rsidRPr="00141B69">
        <w:rPr>
          <w:rFonts w:ascii="Arial" w:hAnsi="Arial" w:cs="Arial"/>
          <w:sz w:val="22"/>
          <w:szCs w:val="22"/>
        </w:rPr>
        <w:t>Bhilegaonkar</w:t>
      </w:r>
      <w:proofErr w:type="spellEnd"/>
      <w:r w:rsidRPr="00141B69">
        <w:rPr>
          <w:rFonts w:ascii="Arial" w:hAnsi="Arial" w:cs="Arial"/>
          <w:sz w:val="22"/>
          <w:szCs w:val="22"/>
        </w:rPr>
        <w:t xml:space="preserve">, K. N., Nguyen-Viet, H., Grace, D., Thapliyal, S., </w:t>
      </w:r>
      <w:proofErr w:type="spellStart"/>
      <w:r w:rsidRPr="00141B69">
        <w:rPr>
          <w:rFonts w:ascii="Arial" w:hAnsi="Arial" w:cs="Arial"/>
          <w:sz w:val="22"/>
          <w:szCs w:val="22"/>
        </w:rPr>
        <w:t>Sanjumon</w:t>
      </w:r>
      <w:proofErr w:type="spellEnd"/>
      <w:r w:rsidRPr="00141B69">
        <w:rPr>
          <w:rFonts w:ascii="Arial" w:hAnsi="Arial" w:cs="Arial"/>
          <w:sz w:val="22"/>
          <w:szCs w:val="22"/>
        </w:rPr>
        <w:t xml:space="preserve">, E. S., Sneha, E. N. P., Premkumar, D., </w:t>
      </w:r>
      <w:r w:rsidRPr="00141B69">
        <w:rPr>
          <w:rFonts w:ascii="Arial" w:hAnsi="Arial" w:cs="Arial"/>
          <w:i/>
          <w:sz w:val="22"/>
          <w:szCs w:val="22"/>
        </w:rPr>
        <w:t>et al</w:t>
      </w:r>
      <w:r w:rsidRPr="00141B69">
        <w:rPr>
          <w:rFonts w:ascii="Arial" w:hAnsi="Arial" w:cs="Arial"/>
          <w:sz w:val="22"/>
          <w:szCs w:val="22"/>
        </w:rPr>
        <w:t xml:space="preserve">. (2025). Systematic review and meta-analysis on prevalence and antimicrobial resistance patterns of </w:t>
      </w:r>
      <w:r w:rsidRPr="00141B69">
        <w:rPr>
          <w:rFonts w:ascii="Arial" w:hAnsi="Arial" w:cs="Arial"/>
          <w:sz w:val="22"/>
          <w:szCs w:val="22"/>
        </w:rPr>
        <w:lastRenderedPageBreak/>
        <w:t xml:space="preserve">important foodborne pathogens isolated from retail chicken meat and associated environments in India. </w:t>
      </w:r>
      <w:r w:rsidRPr="00141B69">
        <w:rPr>
          <w:rStyle w:val="Emphasis"/>
          <w:rFonts w:ascii="Arial" w:hAnsi="Arial" w:cs="Arial"/>
          <w:sz w:val="22"/>
          <w:szCs w:val="22"/>
        </w:rPr>
        <w:t>Foods, 14</w:t>
      </w:r>
      <w:r w:rsidRPr="00141B69">
        <w:rPr>
          <w:rFonts w:ascii="Arial" w:hAnsi="Arial" w:cs="Arial"/>
          <w:sz w:val="22"/>
          <w:szCs w:val="22"/>
        </w:rPr>
        <w:t>, 555. https://doi.org/10.3390/foods14040555</w:t>
      </w:r>
    </w:p>
    <w:p w14:paraId="04C4B9FC"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Balamurugan, R., </w:t>
      </w:r>
      <w:proofErr w:type="spellStart"/>
      <w:r w:rsidRPr="00141B69">
        <w:rPr>
          <w:rFonts w:ascii="Arial" w:hAnsi="Arial" w:cs="Arial"/>
          <w:sz w:val="22"/>
          <w:szCs w:val="22"/>
        </w:rPr>
        <w:t>Chandragunasekaran</w:t>
      </w:r>
      <w:proofErr w:type="spellEnd"/>
      <w:r w:rsidRPr="00141B69">
        <w:rPr>
          <w:rFonts w:ascii="Arial" w:hAnsi="Arial" w:cs="Arial"/>
          <w:sz w:val="22"/>
          <w:szCs w:val="22"/>
        </w:rPr>
        <w:t xml:space="preserve">, A. S., Chellappan, G., Rajaram, K., Ramamoorthi, G., &amp; Ramakrishna, B. S. (2014). Probiotic potential of lactic acid bacteria present in homemade curd in southern India. </w:t>
      </w:r>
      <w:r w:rsidRPr="00141B69">
        <w:rPr>
          <w:rStyle w:val="Emphasis"/>
          <w:rFonts w:ascii="Arial" w:hAnsi="Arial" w:cs="Arial"/>
          <w:sz w:val="22"/>
          <w:szCs w:val="22"/>
        </w:rPr>
        <w:t>Indian Journal of Medical Research, 140</w:t>
      </w:r>
      <w:r w:rsidRPr="00141B69">
        <w:rPr>
          <w:rFonts w:ascii="Arial" w:hAnsi="Arial" w:cs="Arial"/>
          <w:sz w:val="22"/>
          <w:szCs w:val="22"/>
        </w:rPr>
        <w:t>, 54–65.</w:t>
      </w:r>
    </w:p>
    <w:p w14:paraId="0A1FBB50" w14:textId="77777777" w:rsidR="008A75FC" w:rsidRPr="00AF52E2" w:rsidRDefault="008A75FC" w:rsidP="007F3C89">
      <w:pPr>
        <w:pStyle w:val="ListParagraph"/>
        <w:numPr>
          <w:ilvl w:val="0"/>
          <w:numId w:val="2"/>
        </w:numPr>
        <w:spacing w:before="100" w:beforeAutospacing="1" w:after="100" w:afterAutospacing="1" w:line="240" w:lineRule="auto"/>
        <w:jc w:val="both"/>
        <w:rPr>
          <w:rFonts w:ascii="Arial" w:hAnsi="Arial" w:cs="Arial"/>
        </w:rPr>
      </w:pPr>
      <w:r w:rsidRPr="00AF52E2">
        <w:rPr>
          <w:rFonts w:ascii="Arial" w:eastAsia="Times New Roman" w:hAnsi="Arial" w:cs="Arial"/>
          <w:bCs/>
          <w:lang w:eastAsia="en-IN"/>
        </w:rPr>
        <w:t>Ban-</w:t>
      </w:r>
      <w:proofErr w:type="spellStart"/>
      <w:r w:rsidRPr="00AF52E2">
        <w:rPr>
          <w:rFonts w:ascii="Arial" w:eastAsia="Times New Roman" w:hAnsi="Arial" w:cs="Arial"/>
          <w:bCs/>
          <w:lang w:eastAsia="en-IN"/>
        </w:rPr>
        <w:t>Cucerzan</w:t>
      </w:r>
      <w:proofErr w:type="spellEnd"/>
      <w:r w:rsidRPr="00AF52E2">
        <w:rPr>
          <w:rFonts w:ascii="Arial" w:eastAsia="Times New Roman" w:hAnsi="Arial" w:cs="Arial"/>
          <w:bCs/>
          <w:lang w:eastAsia="en-IN"/>
        </w:rPr>
        <w:t xml:space="preserve">, A., Imre, K., Morar, A., Marcu, A., Hotea, I., Popa, S.-A., </w:t>
      </w:r>
      <w:proofErr w:type="spellStart"/>
      <w:r w:rsidRPr="00AF52E2">
        <w:rPr>
          <w:rFonts w:ascii="Arial" w:eastAsia="Times New Roman" w:hAnsi="Arial" w:cs="Arial"/>
          <w:bCs/>
          <w:lang w:eastAsia="en-IN"/>
        </w:rPr>
        <w:t>Pătrînjan</w:t>
      </w:r>
      <w:proofErr w:type="spellEnd"/>
      <w:r w:rsidRPr="00AF52E2">
        <w:rPr>
          <w:rFonts w:ascii="Arial" w:eastAsia="Times New Roman" w:hAnsi="Arial" w:cs="Arial"/>
          <w:bCs/>
          <w:lang w:eastAsia="en-IN"/>
        </w:rPr>
        <w:t xml:space="preserve">, R.-T., Bucur, I.-M., </w:t>
      </w:r>
      <w:proofErr w:type="spellStart"/>
      <w:r w:rsidRPr="00AF52E2">
        <w:rPr>
          <w:rFonts w:ascii="Arial" w:eastAsia="Times New Roman" w:hAnsi="Arial" w:cs="Arial"/>
          <w:bCs/>
          <w:lang w:eastAsia="en-IN"/>
        </w:rPr>
        <w:t>Gaşpar</w:t>
      </w:r>
      <w:proofErr w:type="spellEnd"/>
      <w:r w:rsidRPr="00AF52E2">
        <w:rPr>
          <w:rFonts w:ascii="Arial" w:eastAsia="Times New Roman" w:hAnsi="Arial" w:cs="Arial"/>
          <w:bCs/>
          <w:lang w:eastAsia="en-IN"/>
        </w:rPr>
        <w:t xml:space="preserve">, C., </w:t>
      </w:r>
      <w:proofErr w:type="spellStart"/>
      <w:r w:rsidRPr="00AF52E2">
        <w:rPr>
          <w:rFonts w:ascii="Arial" w:eastAsia="Times New Roman" w:hAnsi="Arial" w:cs="Arial"/>
          <w:bCs/>
          <w:lang w:eastAsia="en-IN"/>
        </w:rPr>
        <w:t>Plotuna</w:t>
      </w:r>
      <w:proofErr w:type="spellEnd"/>
      <w:r w:rsidRPr="00AF52E2">
        <w:rPr>
          <w:rFonts w:ascii="Arial" w:eastAsia="Times New Roman" w:hAnsi="Arial" w:cs="Arial"/>
          <w:bCs/>
          <w:lang w:eastAsia="en-IN"/>
        </w:rPr>
        <w:t xml:space="preserve">, A.-M., </w:t>
      </w:r>
      <w:r w:rsidRPr="008A75FC">
        <w:rPr>
          <w:rFonts w:ascii="Arial" w:eastAsia="Times New Roman" w:hAnsi="Arial" w:cs="Arial"/>
          <w:bCs/>
          <w:i/>
          <w:lang w:eastAsia="en-IN"/>
        </w:rPr>
        <w:t>et al</w:t>
      </w:r>
      <w:r w:rsidRPr="00AF52E2">
        <w:rPr>
          <w:rFonts w:ascii="Arial" w:eastAsia="Times New Roman" w:hAnsi="Arial" w:cs="Arial"/>
          <w:bCs/>
          <w:lang w:eastAsia="en-IN"/>
        </w:rPr>
        <w:t xml:space="preserve">. (2025). Persistent threats: A comprehensive review of biofilm formation, control, and economic implications in food processing environments. </w:t>
      </w:r>
      <w:r w:rsidRPr="00AF52E2">
        <w:rPr>
          <w:rFonts w:ascii="Arial" w:eastAsia="Times New Roman" w:hAnsi="Arial" w:cs="Arial"/>
          <w:bCs/>
          <w:i/>
          <w:iCs/>
          <w:lang w:eastAsia="en-IN"/>
        </w:rPr>
        <w:t>Microorganisms</w:t>
      </w:r>
      <w:r w:rsidRPr="00AF52E2">
        <w:rPr>
          <w:rFonts w:ascii="Arial" w:eastAsia="Times New Roman" w:hAnsi="Arial" w:cs="Arial"/>
          <w:bCs/>
          <w:lang w:eastAsia="en-IN"/>
        </w:rPr>
        <w:t>, 13(8), 1805.</w:t>
      </w:r>
    </w:p>
    <w:p w14:paraId="7E61997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Bantawa</w:t>
      </w:r>
      <w:proofErr w:type="spellEnd"/>
      <w:r w:rsidRPr="00141B69">
        <w:rPr>
          <w:rFonts w:ascii="Arial" w:hAnsi="Arial" w:cs="Arial"/>
          <w:sz w:val="22"/>
          <w:szCs w:val="22"/>
        </w:rPr>
        <w:t xml:space="preserve">, K., Rai, K., Subba Limbu, D., </w:t>
      </w:r>
      <w:r w:rsidRPr="00141B69">
        <w:rPr>
          <w:rFonts w:ascii="Arial" w:hAnsi="Arial" w:cs="Arial"/>
          <w:i/>
          <w:sz w:val="22"/>
          <w:szCs w:val="22"/>
        </w:rPr>
        <w:t>et al</w:t>
      </w:r>
      <w:r w:rsidRPr="00141B69">
        <w:rPr>
          <w:rFonts w:ascii="Arial" w:hAnsi="Arial" w:cs="Arial"/>
          <w:sz w:val="22"/>
          <w:szCs w:val="22"/>
        </w:rPr>
        <w:t xml:space="preserve">. (2018). Food-borne bacterial pathogens in marketed raw meat of Dharan, eastern Nepal. </w:t>
      </w:r>
      <w:r w:rsidRPr="00141B69">
        <w:rPr>
          <w:rStyle w:val="Emphasis"/>
          <w:rFonts w:ascii="Arial" w:hAnsi="Arial" w:cs="Arial"/>
          <w:sz w:val="22"/>
          <w:szCs w:val="22"/>
        </w:rPr>
        <w:t>BMC Research Notes, 11</w:t>
      </w:r>
      <w:r w:rsidRPr="00141B69">
        <w:rPr>
          <w:rFonts w:ascii="Arial" w:hAnsi="Arial" w:cs="Arial"/>
          <w:sz w:val="22"/>
          <w:szCs w:val="22"/>
        </w:rPr>
        <w:t>, 618. https://doi.org/10.1186/s13104-018-3722-x</w:t>
      </w:r>
    </w:p>
    <w:p w14:paraId="01496D49"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Bintsis</w:t>
      </w:r>
      <w:proofErr w:type="spellEnd"/>
      <w:r w:rsidRPr="00141B69">
        <w:rPr>
          <w:rFonts w:ascii="Arial" w:hAnsi="Arial" w:cs="Arial"/>
          <w:sz w:val="22"/>
          <w:szCs w:val="22"/>
        </w:rPr>
        <w:t xml:space="preserve">, T. (2018). Lactic acid bacteria as starter cultures: An update in their metabolism and genetics. </w:t>
      </w:r>
      <w:r w:rsidRPr="00141B69">
        <w:rPr>
          <w:rStyle w:val="Emphasis"/>
          <w:rFonts w:ascii="Arial" w:hAnsi="Arial" w:cs="Arial"/>
          <w:sz w:val="22"/>
          <w:szCs w:val="22"/>
        </w:rPr>
        <w:t>AIMS Microbiology, 4</w:t>
      </w:r>
      <w:r w:rsidRPr="00141B69">
        <w:rPr>
          <w:rFonts w:ascii="Arial" w:hAnsi="Arial" w:cs="Arial"/>
          <w:sz w:val="22"/>
          <w:szCs w:val="22"/>
        </w:rPr>
        <w:t>(4), 665–684. https://doi.org/10.3934/microbiol.2018.4.665</w:t>
      </w:r>
    </w:p>
    <w:p w14:paraId="78F2312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Bouchefra</w:t>
      </w:r>
      <w:proofErr w:type="spellEnd"/>
      <w:r w:rsidRPr="00141B69">
        <w:rPr>
          <w:rFonts w:ascii="Arial" w:hAnsi="Arial" w:cs="Arial"/>
          <w:sz w:val="22"/>
          <w:szCs w:val="22"/>
        </w:rPr>
        <w:t xml:space="preserve">, A., Montanari, C., Barbieri, F., Khennouf, T., Gardini, F., &amp; Idoui, T. (2022). Application of bacteriocin-producing lactic acid bacteria isolated from salted dried camel meat (El Kadid) in the preservation of goat cheese against </w:t>
      </w:r>
      <w:r w:rsidRPr="00141B69">
        <w:rPr>
          <w:rStyle w:val="Emphasis"/>
          <w:rFonts w:ascii="Arial" w:hAnsi="Arial" w:cs="Arial"/>
          <w:sz w:val="22"/>
          <w:szCs w:val="22"/>
        </w:rPr>
        <w:t>Staphylococcus aureus</w:t>
      </w:r>
      <w:r w:rsidRPr="00141B69">
        <w:rPr>
          <w:rFonts w:ascii="Arial" w:hAnsi="Arial" w:cs="Arial"/>
          <w:sz w:val="22"/>
          <w:szCs w:val="22"/>
        </w:rPr>
        <w:t xml:space="preserve">. </w:t>
      </w:r>
      <w:r w:rsidRPr="00141B69">
        <w:rPr>
          <w:rStyle w:val="Emphasis"/>
          <w:rFonts w:ascii="Arial" w:hAnsi="Arial" w:cs="Arial"/>
          <w:sz w:val="22"/>
          <w:szCs w:val="22"/>
        </w:rPr>
        <w:t>Journal of Microbiology, Biotechnology and Food Sciences, 11</w:t>
      </w:r>
      <w:r w:rsidRPr="00141B69">
        <w:rPr>
          <w:rFonts w:ascii="Arial" w:hAnsi="Arial" w:cs="Arial"/>
          <w:sz w:val="22"/>
          <w:szCs w:val="22"/>
        </w:rPr>
        <w:t>(5), e3262.</w:t>
      </w:r>
    </w:p>
    <w:p w14:paraId="7E54A8B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Chen, L., Cai, Y., Zhou, G., Shi, X., Su, J., Chen, G., &amp; Lin, K. (2014). Rapid Sanger sequencing of the 16S rRNA gene for identification of some common pathogens. </w:t>
      </w:r>
      <w:proofErr w:type="spellStart"/>
      <w:r w:rsidRPr="00141B69">
        <w:rPr>
          <w:rStyle w:val="Emphasis"/>
          <w:rFonts w:ascii="Arial" w:hAnsi="Arial" w:cs="Arial"/>
          <w:sz w:val="22"/>
          <w:szCs w:val="22"/>
        </w:rPr>
        <w:t>PLoS</w:t>
      </w:r>
      <w:proofErr w:type="spellEnd"/>
      <w:r w:rsidRPr="00141B69">
        <w:rPr>
          <w:rStyle w:val="Emphasis"/>
          <w:rFonts w:ascii="Arial" w:hAnsi="Arial" w:cs="Arial"/>
          <w:sz w:val="22"/>
          <w:szCs w:val="22"/>
        </w:rPr>
        <w:t xml:space="preserve"> ONE, 9</w:t>
      </w:r>
      <w:r w:rsidRPr="00141B69">
        <w:rPr>
          <w:rFonts w:ascii="Arial" w:hAnsi="Arial" w:cs="Arial"/>
          <w:sz w:val="22"/>
          <w:szCs w:val="22"/>
        </w:rPr>
        <w:t>(2), e88886. https://doi.org/10.1371/journal.pone.0088886</w:t>
      </w:r>
    </w:p>
    <w:p w14:paraId="10DA64E8"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Dadgostar</w:t>
      </w:r>
      <w:proofErr w:type="spellEnd"/>
      <w:r w:rsidRPr="00141B69">
        <w:rPr>
          <w:rFonts w:ascii="Arial" w:hAnsi="Arial" w:cs="Arial"/>
          <w:sz w:val="22"/>
          <w:szCs w:val="22"/>
        </w:rPr>
        <w:t xml:space="preserve">, P. (2019). Antimicrobial resistance: Implications and costs. </w:t>
      </w:r>
      <w:r w:rsidRPr="00141B69">
        <w:rPr>
          <w:rStyle w:val="Emphasis"/>
          <w:rFonts w:ascii="Arial" w:hAnsi="Arial" w:cs="Arial"/>
          <w:sz w:val="22"/>
          <w:szCs w:val="22"/>
        </w:rPr>
        <w:t>Infection and Drug Resistance, 12</w:t>
      </w:r>
      <w:r w:rsidRPr="00141B69">
        <w:rPr>
          <w:rFonts w:ascii="Arial" w:hAnsi="Arial" w:cs="Arial"/>
          <w:sz w:val="22"/>
          <w:szCs w:val="22"/>
        </w:rPr>
        <w:t>, 3903–3910.</w:t>
      </w:r>
    </w:p>
    <w:p w14:paraId="255DD0B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Grabovac, E., </w:t>
      </w:r>
      <w:r w:rsidRPr="00141B69">
        <w:rPr>
          <w:rFonts w:ascii="Arial" w:hAnsi="Arial" w:cs="Arial"/>
          <w:i/>
          <w:sz w:val="22"/>
          <w:szCs w:val="22"/>
        </w:rPr>
        <w:t>et al</w:t>
      </w:r>
      <w:r w:rsidRPr="00141B69">
        <w:rPr>
          <w:rFonts w:ascii="Arial" w:hAnsi="Arial" w:cs="Arial"/>
          <w:sz w:val="22"/>
          <w:szCs w:val="22"/>
        </w:rPr>
        <w:t xml:space="preserve">. (2022). Bacteriocin-based synergetic consortia: A promising strategy to enhance antimicrobial activity and broaden the spectrum of inhibition. </w:t>
      </w:r>
      <w:r w:rsidRPr="00141B69">
        <w:rPr>
          <w:rStyle w:val="Emphasis"/>
          <w:rFonts w:ascii="Arial" w:hAnsi="Arial" w:cs="Arial"/>
          <w:sz w:val="22"/>
          <w:szCs w:val="22"/>
        </w:rPr>
        <w:t>Frontiers in Microbiology, 13</w:t>
      </w:r>
      <w:r w:rsidRPr="00141B69">
        <w:rPr>
          <w:rFonts w:ascii="Arial" w:hAnsi="Arial" w:cs="Arial"/>
          <w:sz w:val="22"/>
          <w:szCs w:val="22"/>
        </w:rPr>
        <w:t>.</w:t>
      </w:r>
    </w:p>
    <w:p w14:paraId="1B1C5A9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Guo, X., Ma, L., Qiao, Z., Luo, L., Zhang, Y., Wang, X., &amp; </w:t>
      </w:r>
      <w:proofErr w:type="spellStart"/>
      <w:r w:rsidRPr="00141B69">
        <w:rPr>
          <w:rFonts w:ascii="Arial" w:hAnsi="Arial" w:cs="Arial"/>
          <w:sz w:val="22"/>
          <w:szCs w:val="22"/>
        </w:rPr>
        <w:t>Lü</w:t>
      </w:r>
      <w:proofErr w:type="spellEnd"/>
      <w:r w:rsidRPr="00141B69">
        <w:rPr>
          <w:rFonts w:ascii="Arial" w:hAnsi="Arial" w:cs="Arial"/>
          <w:sz w:val="22"/>
          <w:szCs w:val="22"/>
        </w:rPr>
        <w:t xml:space="preserve">, X. (2024). The antibacterial mechanism of the novel bacteriocin LpH25 and the synergistic preservation effect of this bacteriocin and nisin in fresh milk. </w:t>
      </w:r>
      <w:r w:rsidRPr="00141B69">
        <w:rPr>
          <w:rStyle w:val="Emphasis"/>
          <w:rFonts w:ascii="Arial" w:hAnsi="Arial" w:cs="Arial"/>
          <w:sz w:val="22"/>
          <w:szCs w:val="22"/>
        </w:rPr>
        <w:t>LWT, 194</w:t>
      </w:r>
      <w:r w:rsidRPr="00141B69">
        <w:rPr>
          <w:rFonts w:ascii="Arial" w:hAnsi="Arial" w:cs="Arial"/>
          <w:sz w:val="22"/>
          <w:szCs w:val="22"/>
        </w:rPr>
        <w:t>, 115766. https://doi.org/10.1016/j.lwt.2024.115766</w:t>
      </w:r>
    </w:p>
    <w:p w14:paraId="29CD0EFB"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Hernández-González, J. C., Martínez-Tapia, A., Lazcano-Hernández, G., García-Pérez, B. E., &amp; </w:t>
      </w:r>
      <w:proofErr w:type="spellStart"/>
      <w:r w:rsidRPr="00141B69">
        <w:rPr>
          <w:rFonts w:ascii="Arial" w:hAnsi="Arial" w:cs="Arial"/>
          <w:sz w:val="22"/>
          <w:szCs w:val="22"/>
        </w:rPr>
        <w:t>Castrejón</w:t>
      </w:r>
      <w:proofErr w:type="spellEnd"/>
      <w:r w:rsidRPr="00141B69">
        <w:rPr>
          <w:rFonts w:ascii="Arial" w:hAnsi="Arial" w:cs="Arial"/>
          <w:sz w:val="22"/>
          <w:szCs w:val="22"/>
        </w:rPr>
        <w:t xml:space="preserve">-Jiménez, N. S. (2021). Bacteriocins from lactic acid bacteria: A powerful alternative as antimicrobials, probiotics, and immunomodulators in veterinary medicine. </w:t>
      </w:r>
      <w:r w:rsidRPr="00141B69">
        <w:rPr>
          <w:rStyle w:val="Emphasis"/>
          <w:rFonts w:ascii="Arial" w:hAnsi="Arial" w:cs="Arial"/>
          <w:sz w:val="22"/>
          <w:szCs w:val="22"/>
        </w:rPr>
        <w:t>Animals, 11</w:t>
      </w:r>
      <w:r w:rsidRPr="00141B69">
        <w:rPr>
          <w:rFonts w:ascii="Arial" w:hAnsi="Arial" w:cs="Arial"/>
          <w:sz w:val="22"/>
          <w:szCs w:val="22"/>
        </w:rPr>
        <w:t>(4), 979.</w:t>
      </w:r>
    </w:p>
    <w:p w14:paraId="3AC473C6"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Heydarian, A., </w:t>
      </w:r>
      <w:proofErr w:type="spellStart"/>
      <w:r w:rsidRPr="00141B69">
        <w:rPr>
          <w:rFonts w:ascii="Arial" w:hAnsi="Arial" w:cs="Arial"/>
          <w:sz w:val="22"/>
          <w:szCs w:val="22"/>
        </w:rPr>
        <w:t>Pahlevanlo</w:t>
      </w:r>
      <w:proofErr w:type="spellEnd"/>
      <w:r w:rsidRPr="00141B69">
        <w:rPr>
          <w:rFonts w:ascii="Arial" w:hAnsi="Arial" w:cs="Arial"/>
          <w:sz w:val="22"/>
          <w:szCs w:val="22"/>
        </w:rPr>
        <w:t xml:space="preserve">, A., Falah, F., &amp; </w:t>
      </w:r>
      <w:proofErr w:type="spellStart"/>
      <w:r w:rsidRPr="00141B69">
        <w:rPr>
          <w:rFonts w:ascii="Arial" w:hAnsi="Arial" w:cs="Arial"/>
          <w:sz w:val="22"/>
          <w:szCs w:val="22"/>
        </w:rPr>
        <w:t>Hosseininezhad</w:t>
      </w:r>
      <w:proofErr w:type="spellEnd"/>
      <w:r w:rsidRPr="00141B69">
        <w:rPr>
          <w:rFonts w:ascii="Arial" w:hAnsi="Arial" w:cs="Arial"/>
          <w:sz w:val="22"/>
          <w:szCs w:val="22"/>
        </w:rPr>
        <w:t xml:space="preserve">, M. (2026). Application of bacteriocin-like inhibitory substances produced by </w:t>
      </w:r>
      <w:proofErr w:type="spellStart"/>
      <w:r w:rsidRPr="00141B69">
        <w:rPr>
          <w:rStyle w:val="Emphasis"/>
          <w:rFonts w:ascii="Arial" w:hAnsi="Arial" w:cs="Arial"/>
          <w:sz w:val="22"/>
          <w:szCs w:val="22"/>
        </w:rPr>
        <w:t>Limosilactobacillus</w:t>
      </w:r>
      <w:proofErr w:type="spellEnd"/>
      <w:r w:rsidRPr="00141B69">
        <w:rPr>
          <w:rStyle w:val="Emphasis"/>
          <w:rFonts w:ascii="Arial" w:hAnsi="Arial" w:cs="Arial"/>
          <w:sz w:val="22"/>
          <w:szCs w:val="22"/>
        </w:rPr>
        <w:t xml:space="preserve"> fermentum</w:t>
      </w:r>
      <w:r w:rsidRPr="00141B69">
        <w:rPr>
          <w:rFonts w:ascii="Arial" w:hAnsi="Arial" w:cs="Arial"/>
          <w:sz w:val="22"/>
          <w:szCs w:val="22"/>
        </w:rPr>
        <w:t xml:space="preserve"> in yogurt drink: Assessment of safety, quality, and shelf life. </w:t>
      </w:r>
      <w:r w:rsidRPr="00141B69">
        <w:rPr>
          <w:rStyle w:val="Emphasis"/>
          <w:rFonts w:ascii="Arial" w:hAnsi="Arial" w:cs="Arial"/>
          <w:sz w:val="22"/>
          <w:szCs w:val="22"/>
        </w:rPr>
        <w:t>Journal of Dairy Science, 109</w:t>
      </w:r>
      <w:r w:rsidRPr="00141B69">
        <w:rPr>
          <w:rFonts w:ascii="Arial" w:hAnsi="Arial" w:cs="Arial"/>
          <w:sz w:val="22"/>
          <w:szCs w:val="22"/>
        </w:rPr>
        <w:t>(3), 2257–2275.</w:t>
      </w:r>
    </w:p>
    <w:p w14:paraId="1D9A3C70" w14:textId="77777777" w:rsidR="008A75FC" w:rsidRPr="00AF52E2" w:rsidRDefault="008A75FC" w:rsidP="007F3C89">
      <w:pPr>
        <w:pStyle w:val="ListParagraph"/>
        <w:numPr>
          <w:ilvl w:val="0"/>
          <w:numId w:val="2"/>
        </w:numPr>
        <w:spacing w:before="100" w:beforeAutospacing="1" w:after="100" w:afterAutospacing="1" w:line="240" w:lineRule="auto"/>
        <w:jc w:val="both"/>
        <w:rPr>
          <w:rFonts w:ascii="Arial" w:hAnsi="Arial" w:cs="Arial"/>
        </w:rPr>
      </w:pPr>
      <w:r w:rsidRPr="00AF52E2">
        <w:rPr>
          <w:rFonts w:ascii="Arial" w:hAnsi="Arial" w:cs="Arial"/>
          <w:color w:val="232323"/>
          <w:shd w:val="clear" w:color="auto" w:fill="FFFFFF"/>
        </w:rPr>
        <w:t>Holt, J.G. (1994) Bergey’s manual of determinative bacteriology. 9th Edition, Lippincott Williams and Wilkins, Baltimore.</w:t>
      </w:r>
    </w:p>
    <w:p w14:paraId="410D4F6E"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Joishy</w:t>
      </w:r>
      <w:proofErr w:type="spellEnd"/>
      <w:r w:rsidRPr="00141B69">
        <w:rPr>
          <w:rFonts w:ascii="Arial" w:hAnsi="Arial" w:cs="Arial"/>
          <w:sz w:val="22"/>
          <w:szCs w:val="22"/>
        </w:rPr>
        <w:t xml:space="preserve">, T., </w:t>
      </w:r>
      <w:proofErr w:type="spellStart"/>
      <w:r w:rsidRPr="00141B69">
        <w:rPr>
          <w:rFonts w:ascii="Arial" w:hAnsi="Arial" w:cs="Arial"/>
          <w:sz w:val="22"/>
          <w:szCs w:val="22"/>
        </w:rPr>
        <w:t>Dehingia</w:t>
      </w:r>
      <w:proofErr w:type="spellEnd"/>
      <w:r w:rsidRPr="00141B69">
        <w:rPr>
          <w:rFonts w:ascii="Arial" w:hAnsi="Arial" w:cs="Arial"/>
          <w:sz w:val="22"/>
          <w:szCs w:val="22"/>
        </w:rPr>
        <w:t xml:space="preserve">, M., &amp; Khan, M. (2019). Bacterial diversity and metabolite profiles of curd prepared by natural fermentation of raw milk and back slopping of boiled milk. </w:t>
      </w:r>
      <w:r w:rsidRPr="00141B69">
        <w:rPr>
          <w:rStyle w:val="Emphasis"/>
          <w:rFonts w:ascii="Arial" w:hAnsi="Arial" w:cs="Arial"/>
          <w:sz w:val="22"/>
          <w:szCs w:val="22"/>
        </w:rPr>
        <w:t>World Journal of Microbiology and Biotechnology, 35</w:t>
      </w:r>
      <w:r w:rsidRPr="00141B69">
        <w:rPr>
          <w:rFonts w:ascii="Arial" w:hAnsi="Arial" w:cs="Arial"/>
          <w:sz w:val="22"/>
          <w:szCs w:val="22"/>
        </w:rPr>
        <w:t>. https://doi.org/10.1007/s11274-019-2677-y</w:t>
      </w:r>
    </w:p>
    <w:p w14:paraId="36AD1863"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Karygianni</w:t>
      </w:r>
      <w:proofErr w:type="spellEnd"/>
      <w:r w:rsidRPr="00141B69">
        <w:rPr>
          <w:rFonts w:ascii="Arial" w:hAnsi="Arial" w:cs="Arial"/>
          <w:sz w:val="22"/>
          <w:szCs w:val="22"/>
        </w:rPr>
        <w:t xml:space="preserve">, L., Ren, Z., Koo, H., &amp; </w:t>
      </w:r>
      <w:proofErr w:type="spellStart"/>
      <w:r w:rsidRPr="00141B69">
        <w:rPr>
          <w:rFonts w:ascii="Arial" w:hAnsi="Arial" w:cs="Arial"/>
          <w:sz w:val="22"/>
          <w:szCs w:val="22"/>
        </w:rPr>
        <w:t>Thurnheer</w:t>
      </w:r>
      <w:proofErr w:type="spellEnd"/>
      <w:r w:rsidRPr="00141B69">
        <w:rPr>
          <w:rFonts w:ascii="Arial" w:hAnsi="Arial" w:cs="Arial"/>
          <w:sz w:val="22"/>
          <w:szCs w:val="22"/>
        </w:rPr>
        <w:t xml:space="preserve">, T. (2020). Biofilm </w:t>
      </w:r>
      <w:proofErr w:type="spellStart"/>
      <w:r w:rsidRPr="00141B69">
        <w:rPr>
          <w:rFonts w:ascii="Arial" w:hAnsi="Arial" w:cs="Arial"/>
          <w:sz w:val="22"/>
          <w:szCs w:val="22"/>
        </w:rPr>
        <w:t>matrixome</w:t>
      </w:r>
      <w:proofErr w:type="spellEnd"/>
      <w:r w:rsidRPr="00141B69">
        <w:rPr>
          <w:rFonts w:ascii="Arial" w:hAnsi="Arial" w:cs="Arial"/>
          <w:sz w:val="22"/>
          <w:szCs w:val="22"/>
        </w:rPr>
        <w:t xml:space="preserve">: Extracellular components in structured microbial communities. </w:t>
      </w:r>
      <w:r w:rsidRPr="00141B69">
        <w:rPr>
          <w:rStyle w:val="Emphasis"/>
          <w:rFonts w:ascii="Arial" w:hAnsi="Arial" w:cs="Arial"/>
          <w:sz w:val="22"/>
          <w:szCs w:val="22"/>
        </w:rPr>
        <w:t>Trends in Microbiology, 28</w:t>
      </w:r>
      <w:r w:rsidRPr="00141B69">
        <w:rPr>
          <w:rFonts w:ascii="Arial" w:hAnsi="Arial" w:cs="Arial"/>
          <w:sz w:val="22"/>
          <w:szCs w:val="22"/>
        </w:rPr>
        <w:t>(8), 668–681.</w:t>
      </w:r>
    </w:p>
    <w:p w14:paraId="298D573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Krishnaveni, B., Murugan, T. R., Pugazhenthi, I., </w:t>
      </w:r>
      <w:proofErr w:type="spellStart"/>
      <w:r w:rsidRPr="00141B69">
        <w:rPr>
          <w:rFonts w:ascii="Arial" w:hAnsi="Arial" w:cs="Arial"/>
          <w:sz w:val="22"/>
          <w:szCs w:val="22"/>
        </w:rPr>
        <w:t>Manikkavasagan</w:t>
      </w:r>
      <w:proofErr w:type="spellEnd"/>
      <w:r w:rsidRPr="00141B69">
        <w:rPr>
          <w:rFonts w:ascii="Arial" w:hAnsi="Arial" w:cs="Arial"/>
          <w:sz w:val="22"/>
          <w:szCs w:val="22"/>
        </w:rPr>
        <w:t xml:space="preserve">, R. P., &amp; Aravindh Babu, R. P. (2020). Isolation and identification of LAB through morphological and biochemical characteristics from curd sample. </w:t>
      </w:r>
      <w:r w:rsidRPr="00141B69">
        <w:rPr>
          <w:rStyle w:val="Emphasis"/>
          <w:rFonts w:ascii="Arial" w:hAnsi="Arial" w:cs="Arial"/>
          <w:sz w:val="22"/>
          <w:szCs w:val="22"/>
        </w:rPr>
        <w:t>International Journal of Current Microbiology and Applied Sciences, 9</w:t>
      </w:r>
      <w:r w:rsidRPr="00141B69">
        <w:rPr>
          <w:rFonts w:ascii="Arial" w:hAnsi="Arial" w:cs="Arial"/>
          <w:sz w:val="22"/>
          <w:szCs w:val="22"/>
        </w:rPr>
        <w:t>(9), 2499–2506.</w:t>
      </w:r>
    </w:p>
    <w:p w14:paraId="2E58D817"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lastRenderedPageBreak/>
        <w:t xml:space="preserve">Kumar, S., Stecher, G., Li, M., Knyaz, C., &amp; Tamura, K. (2018). MEGA X: Molecular evolutionary genetics analysis across computing platforms. </w:t>
      </w:r>
      <w:r w:rsidRPr="00141B69">
        <w:rPr>
          <w:rStyle w:val="Emphasis"/>
          <w:rFonts w:ascii="Arial" w:hAnsi="Arial" w:cs="Arial"/>
          <w:sz w:val="22"/>
          <w:szCs w:val="22"/>
        </w:rPr>
        <w:t>Molecular Biology and Evolution, 35</w:t>
      </w:r>
      <w:r w:rsidRPr="00141B69">
        <w:rPr>
          <w:rFonts w:ascii="Arial" w:hAnsi="Arial" w:cs="Arial"/>
          <w:sz w:val="22"/>
          <w:szCs w:val="22"/>
        </w:rPr>
        <w:t>(6), 1547–1549. https://doi.org/10.1093/molbev/msy096</w:t>
      </w:r>
    </w:p>
    <w:p w14:paraId="2166B9C8"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Liang, Q., Zhou, W., Peng, S., Liang, Z., Liu, Z., Zhu, C., &amp; Mou, H. (2025). Current status and potential of bacteriocin-producing lactic acid bacteria applied in the food industry. </w:t>
      </w:r>
      <w:r w:rsidRPr="00141B69">
        <w:rPr>
          <w:rStyle w:val="Emphasis"/>
          <w:rFonts w:ascii="Arial" w:hAnsi="Arial" w:cs="Arial"/>
          <w:sz w:val="22"/>
          <w:szCs w:val="22"/>
        </w:rPr>
        <w:t>Current Research in Food Science, 10</w:t>
      </w:r>
      <w:r w:rsidRPr="00141B69">
        <w:rPr>
          <w:rFonts w:ascii="Arial" w:hAnsi="Arial" w:cs="Arial"/>
          <w:sz w:val="22"/>
          <w:szCs w:val="22"/>
        </w:rPr>
        <w:t>, 100997. https://doi.org/10.1016/j.crfs.2025.100997</w:t>
      </w:r>
    </w:p>
    <w:p w14:paraId="7CF1F5C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Mancuso, G., Midiri, A., Gerace, E., &amp; Biondo, C. (2021). Bacterial antibiotic resistance: The most critical pathogens. </w:t>
      </w:r>
      <w:r w:rsidRPr="00141B69">
        <w:rPr>
          <w:rStyle w:val="Emphasis"/>
          <w:rFonts w:ascii="Arial" w:hAnsi="Arial" w:cs="Arial"/>
          <w:sz w:val="22"/>
          <w:szCs w:val="22"/>
        </w:rPr>
        <w:t>Pathogens, 10</w:t>
      </w:r>
      <w:r w:rsidRPr="00141B69">
        <w:rPr>
          <w:rFonts w:ascii="Arial" w:hAnsi="Arial" w:cs="Arial"/>
          <w:sz w:val="22"/>
          <w:szCs w:val="22"/>
        </w:rPr>
        <w:t>(10), 1310.</w:t>
      </w:r>
    </w:p>
    <w:p w14:paraId="6970035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Muthusamy, G., Karthikeyan, S., Giridhari, V. A., </w:t>
      </w:r>
      <w:proofErr w:type="spellStart"/>
      <w:r w:rsidRPr="00141B69">
        <w:rPr>
          <w:rFonts w:ascii="Arial" w:hAnsi="Arial" w:cs="Arial"/>
          <w:sz w:val="22"/>
          <w:szCs w:val="22"/>
        </w:rPr>
        <w:t>Alhimaidi</w:t>
      </w:r>
      <w:proofErr w:type="spellEnd"/>
      <w:r w:rsidRPr="00141B69">
        <w:rPr>
          <w:rFonts w:ascii="Arial" w:hAnsi="Arial" w:cs="Arial"/>
          <w:sz w:val="22"/>
          <w:szCs w:val="22"/>
        </w:rPr>
        <w:t xml:space="preserve">, A. R., Balachandar, D., Ammari, A. A., </w:t>
      </w:r>
      <w:proofErr w:type="spellStart"/>
      <w:r w:rsidRPr="00141B69">
        <w:rPr>
          <w:rFonts w:ascii="Arial" w:hAnsi="Arial" w:cs="Arial"/>
          <w:sz w:val="22"/>
          <w:szCs w:val="22"/>
        </w:rPr>
        <w:t>Paranidharan</w:t>
      </w:r>
      <w:proofErr w:type="spellEnd"/>
      <w:r w:rsidRPr="00141B69">
        <w:rPr>
          <w:rFonts w:ascii="Arial" w:hAnsi="Arial" w:cs="Arial"/>
          <w:sz w:val="22"/>
          <w:szCs w:val="22"/>
        </w:rPr>
        <w:t xml:space="preserve">, V., &amp; </w:t>
      </w:r>
      <w:proofErr w:type="spellStart"/>
      <w:r w:rsidRPr="00141B69">
        <w:rPr>
          <w:rFonts w:ascii="Arial" w:hAnsi="Arial" w:cs="Arial"/>
          <w:sz w:val="22"/>
          <w:szCs w:val="22"/>
        </w:rPr>
        <w:t>Maruthamuthu</w:t>
      </w:r>
      <w:proofErr w:type="spellEnd"/>
      <w:r w:rsidRPr="00141B69">
        <w:rPr>
          <w:rFonts w:ascii="Arial" w:hAnsi="Arial" w:cs="Arial"/>
          <w:sz w:val="22"/>
          <w:szCs w:val="22"/>
        </w:rPr>
        <w:t xml:space="preserve">, T. (2024). Foodborne pathogen prevalence and biomarker identification for microbial contamination in mutton meat. </w:t>
      </w:r>
      <w:r w:rsidRPr="00141B69">
        <w:rPr>
          <w:rStyle w:val="Emphasis"/>
          <w:rFonts w:ascii="Arial" w:hAnsi="Arial" w:cs="Arial"/>
          <w:sz w:val="22"/>
          <w:szCs w:val="22"/>
        </w:rPr>
        <w:t>Biology, 13</w:t>
      </w:r>
      <w:r w:rsidRPr="00141B69">
        <w:rPr>
          <w:rFonts w:ascii="Arial" w:hAnsi="Arial" w:cs="Arial"/>
          <w:sz w:val="22"/>
          <w:szCs w:val="22"/>
        </w:rPr>
        <w:t>(12), 1054. https://doi.org/10.3390/biology13121054</w:t>
      </w:r>
    </w:p>
    <w:p w14:paraId="093C948C"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Ogunbanwo</w:t>
      </w:r>
      <w:proofErr w:type="spellEnd"/>
      <w:r w:rsidRPr="00141B69">
        <w:rPr>
          <w:rFonts w:ascii="Arial" w:hAnsi="Arial" w:cs="Arial"/>
          <w:sz w:val="22"/>
          <w:szCs w:val="22"/>
        </w:rPr>
        <w:t xml:space="preserve">, S. T., Sanni, A. I., &amp; </w:t>
      </w:r>
      <w:proofErr w:type="spellStart"/>
      <w:r w:rsidRPr="00141B69">
        <w:rPr>
          <w:rFonts w:ascii="Arial" w:hAnsi="Arial" w:cs="Arial"/>
          <w:sz w:val="22"/>
          <w:szCs w:val="22"/>
        </w:rPr>
        <w:t>Onilude</w:t>
      </w:r>
      <w:proofErr w:type="spellEnd"/>
      <w:r w:rsidRPr="00141B69">
        <w:rPr>
          <w:rFonts w:ascii="Arial" w:hAnsi="Arial" w:cs="Arial"/>
          <w:sz w:val="22"/>
          <w:szCs w:val="22"/>
        </w:rPr>
        <w:t xml:space="preserve">, A. A. (2021). Effect of growth medium and cultural conditions on bacteriocin production by lactic acid bacteria. </w:t>
      </w:r>
      <w:r w:rsidRPr="00141B69">
        <w:rPr>
          <w:rStyle w:val="Emphasis"/>
          <w:rFonts w:ascii="Arial" w:hAnsi="Arial" w:cs="Arial"/>
          <w:sz w:val="22"/>
          <w:szCs w:val="22"/>
        </w:rPr>
        <w:t>African Journal of Biotechnology, 20</w:t>
      </w:r>
      <w:r w:rsidRPr="00141B69">
        <w:rPr>
          <w:rFonts w:ascii="Arial" w:hAnsi="Arial" w:cs="Arial"/>
          <w:sz w:val="22"/>
          <w:szCs w:val="22"/>
        </w:rPr>
        <w:t>(2), 66–75.</w:t>
      </w:r>
    </w:p>
    <w:p w14:paraId="741B68F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Oliulla</w:t>
      </w:r>
      <w:proofErr w:type="spellEnd"/>
      <w:r w:rsidRPr="00141B69">
        <w:rPr>
          <w:rFonts w:ascii="Arial" w:hAnsi="Arial" w:cs="Arial"/>
          <w:sz w:val="22"/>
          <w:szCs w:val="22"/>
        </w:rPr>
        <w:t xml:space="preserve">, H., Mizan, M. F. R., Kang, I., &amp; Ha, S. D. (2024). On-going issues regarding biofilm formation in meat and meat products: Challenges and future perspectives. </w:t>
      </w:r>
      <w:r w:rsidRPr="00141B69">
        <w:rPr>
          <w:rStyle w:val="Emphasis"/>
          <w:rFonts w:ascii="Arial" w:hAnsi="Arial" w:cs="Arial"/>
          <w:sz w:val="22"/>
          <w:szCs w:val="22"/>
        </w:rPr>
        <w:t>Poultry Science, 103</w:t>
      </w:r>
      <w:r w:rsidRPr="00141B69">
        <w:rPr>
          <w:rFonts w:ascii="Arial" w:hAnsi="Arial" w:cs="Arial"/>
          <w:sz w:val="22"/>
          <w:szCs w:val="22"/>
        </w:rPr>
        <w:t>(12), 104373. https://doi.org/10.1016/j.psj.2024.104373</w:t>
      </w:r>
    </w:p>
    <w:p w14:paraId="5A96CF14"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Pormohammad</w:t>
      </w:r>
      <w:proofErr w:type="spellEnd"/>
      <w:r w:rsidRPr="00141B69">
        <w:rPr>
          <w:rFonts w:ascii="Arial" w:hAnsi="Arial" w:cs="Arial"/>
          <w:sz w:val="22"/>
          <w:szCs w:val="22"/>
        </w:rPr>
        <w:t xml:space="preserve">, A., Nasiri, M. J., &amp; Azimi, T. (2019). Prevalence of antibiotic resistance in </w:t>
      </w:r>
      <w:r w:rsidRPr="00141B69">
        <w:rPr>
          <w:rStyle w:val="Emphasis"/>
          <w:rFonts w:ascii="Arial" w:hAnsi="Arial" w:cs="Arial"/>
          <w:sz w:val="22"/>
          <w:szCs w:val="22"/>
        </w:rPr>
        <w:t>Escherichia coli</w:t>
      </w:r>
      <w:r w:rsidRPr="00141B69">
        <w:rPr>
          <w:rFonts w:ascii="Arial" w:hAnsi="Arial" w:cs="Arial"/>
          <w:sz w:val="22"/>
          <w:szCs w:val="22"/>
        </w:rPr>
        <w:t xml:space="preserve"> strains simultaneously isolated from humans, animals, food, and the environment: A systematic review and meta-analysis. </w:t>
      </w:r>
      <w:r w:rsidRPr="00141B69">
        <w:rPr>
          <w:rStyle w:val="Emphasis"/>
          <w:rFonts w:ascii="Arial" w:hAnsi="Arial" w:cs="Arial"/>
          <w:sz w:val="22"/>
          <w:szCs w:val="22"/>
        </w:rPr>
        <w:t>Infection and Drug Resistance, 12</w:t>
      </w:r>
      <w:r w:rsidRPr="00141B69">
        <w:rPr>
          <w:rFonts w:ascii="Arial" w:hAnsi="Arial" w:cs="Arial"/>
          <w:sz w:val="22"/>
          <w:szCs w:val="22"/>
        </w:rPr>
        <w:t>, 1181–1197.</w:t>
      </w:r>
    </w:p>
    <w:p w14:paraId="66931C23"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Reygaert, W. C. (2018). An overview of the antimicrobial resistance mechanisms of bacteria. </w:t>
      </w:r>
      <w:r w:rsidRPr="00141B69">
        <w:rPr>
          <w:rStyle w:val="Emphasis"/>
          <w:rFonts w:ascii="Arial" w:hAnsi="Arial" w:cs="Arial"/>
          <w:sz w:val="22"/>
          <w:szCs w:val="22"/>
        </w:rPr>
        <w:t>AIMS Microbiology, 4</w:t>
      </w:r>
      <w:r w:rsidRPr="00141B69">
        <w:rPr>
          <w:rFonts w:ascii="Arial" w:hAnsi="Arial" w:cs="Arial"/>
          <w:sz w:val="22"/>
          <w:szCs w:val="22"/>
        </w:rPr>
        <w:t>(3), 482–501.</w:t>
      </w:r>
    </w:p>
    <w:p w14:paraId="34AB5DC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Salam, M. A., Al-Amin, M. Y., Salam, M. T., Pawar, J. S., Akhter, N., Rabaan, A. A., &amp; </w:t>
      </w:r>
      <w:proofErr w:type="spellStart"/>
      <w:r w:rsidRPr="00141B69">
        <w:rPr>
          <w:rFonts w:ascii="Arial" w:hAnsi="Arial" w:cs="Arial"/>
          <w:sz w:val="22"/>
          <w:szCs w:val="22"/>
        </w:rPr>
        <w:t>Alqumber</w:t>
      </w:r>
      <w:proofErr w:type="spellEnd"/>
      <w:r w:rsidRPr="00141B69">
        <w:rPr>
          <w:rFonts w:ascii="Arial" w:hAnsi="Arial" w:cs="Arial"/>
          <w:sz w:val="22"/>
          <w:szCs w:val="22"/>
        </w:rPr>
        <w:t xml:space="preserve">, M. A. A. (2023). Antimicrobial resistance: A growing serious threat for global public health. </w:t>
      </w:r>
      <w:r w:rsidRPr="00141B69">
        <w:rPr>
          <w:rStyle w:val="Emphasis"/>
          <w:rFonts w:ascii="Arial" w:hAnsi="Arial" w:cs="Arial"/>
          <w:sz w:val="22"/>
          <w:szCs w:val="22"/>
        </w:rPr>
        <w:t>Healthcare, 11</w:t>
      </w:r>
      <w:r w:rsidRPr="00141B69">
        <w:rPr>
          <w:rFonts w:ascii="Arial" w:hAnsi="Arial" w:cs="Arial"/>
          <w:sz w:val="22"/>
          <w:szCs w:val="22"/>
        </w:rPr>
        <w:t>(13), 1946.</w:t>
      </w:r>
    </w:p>
    <w:p w14:paraId="2D3A81A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Sanyal, S., </w:t>
      </w:r>
      <w:r w:rsidRPr="00141B69">
        <w:rPr>
          <w:rFonts w:ascii="Arial" w:hAnsi="Arial" w:cs="Arial"/>
          <w:i/>
          <w:sz w:val="22"/>
          <w:szCs w:val="22"/>
        </w:rPr>
        <w:t>et al</w:t>
      </w:r>
      <w:r w:rsidRPr="00141B69">
        <w:rPr>
          <w:rFonts w:ascii="Arial" w:hAnsi="Arial" w:cs="Arial"/>
          <w:sz w:val="22"/>
          <w:szCs w:val="22"/>
        </w:rPr>
        <w:t xml:space="preserve">. (2025). Biochemistry of bacterial biofilm: Insights into antibiotic resistance mechanisms and therapeutic intervention. </w:t>
      </w:r>
      <w:r w:rsidRPr="00141B69">
        <w:rPr>
          <w:rStyle w:val="Emphasis"/>
          <w:rFonts w:ascii="Arial" w:hAnsi="Arial" w:cs="Arial"/>
          <w:sz w:val="22"/>
          <w:szCs w:val="22"/>
        </w:rPr>
        <w:t>Frontiers in Microbiology, 16</w:t>
      </w:r>
      <w:r w:rsidRPr="00141B69">
        <w:rPr>
          <w:rFonts w:ascii="Arial" w:hAnsi="Arial" w:cs="Arial"/>
          <w:sz w:val="22"/>
          <w:szCs w:val="22"/>
        </w:rPr>
        <w:t>.</w:t>
      </w:r>
    </w:p>
    <w:p w14:paraId="388D9B85"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Shahrir</w:t>
      </w:r>
      <w:proofErr w:type="spellEnd"/>
      <w:r w:rsidRPr="00141B69">
        <w:rPr>
          <w:rFonts w:ascii="Arial" w:hAnsi="Arial" w:cs="Arial"/>
          <w:sz w:val="22"/>
          <w:szCs w:val="22"/>
        </w:rPr>
        <w:t xml:space="preserve">, S. Z., Kee, P. E., Ng, H. S., Tan, J. S., &amp; Lan, J. C. W. (2024). Evaluation of antimicrobial effect of bacteriocin produced by </w:t>
      </w:r>
      <w:r w:rsidRPr="00141B69">
        <w:rPr>
          <w:rStyle w:val="Emphasis"/>
          <w:rFonts w:ascii="Arial" w:hAnsi="Arial" w:cs="Arial"/>
          <w:sz w:val="22"/>
          <w:szCs w:val="22"/>
        </w:rPr>
        <w:t>Lactobacillus acidophilus</w:t>
      </w:r>
      <w:r w:rsidRPr="00141B69">
        <w:rPr>
          <w:rFonts w:ascii="Arial" w:hAnsi="Arial" w:cs="Arial"/>
          <w:sz w:val="22"/>
          <w:szCs w:val="22"/>
        </w:rPr>
        <w:t xml:space="preserve"> utilizing molasses and corn steep liquor. </w:t>
      </w:r>
      <w:r w:rsidRPr="00141B69">
        <w:rPr>
          <w:rStyle w:val="Emphasis"/>
          <w:rFonts w:ascii="Arial" w:hAnsi="Arial" w:cs="Arial"/>
          <w:sz w:val="22"/>
          <w:szCs w:val="22"/>
        </w:rPr>
        <w:t>Biochemical Engineering Journal, 205</w:t>
      </w:r>
      <w:r w:rsidRPr="00141B69">
        <w:rPr>
          <w:rFonts w:ascii="Arial" w:hAnsi="Arial" w:cs="Arial"/>
          <w:sz w:val="22"/>
          <w:szCs w:val="22"/>
        </w:rPr>
        <w:t>, 109266. https://doi.org/10.1016/j.bej.2024.109266</w:t>
      </w:r>
    </w:p>
    <w:p w14:paraId="2B9416B5"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Sharma, D., Misba, L., &amp; Khan, A. U. (2019). Antibiotics versus biofilm: An emerging battleground in microbial communities. </w:t>
      </w:r>
      <w:r w:rsidRPr="00141B69">
        <w:rPr>
          <w:rStyle w:val="Emphasis"/>
          <w:rFonts w:ascii="Arial" w:hAnsi="Arial" w:cs="Arial"/>
          <w:sz w:val="22"/>
          <w:szCs w:val="22"/>
        </w:rPr>
        <w:t>Antimicrobial Resistance and Infection Control, 8</w:t>
      </w:r>
      <w:r w:rsidRPr="00141B69">
        <w:rPr>
          <w:rFonts w:ascii="Arial" w:hAnsi="Arial" w:cs="Arial"/>
          <w:sz w:val="22"/>
          <w:szCs w:val="22"/>
        </w:rPr>
        <w:t>, 76.</w:t>
      </w:r>
    </w:p>
    <w:p w14:paraId="6B37EBFA"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Tafvizi</w:t>
      </w:r>
      <w:proofErr w:type="spellEnd"/>
      <w:r w:rsidRPr="00141B69">
        <w:rPr>
          <w:rFonts w:ascii="Arial" w:hAnsi="Arial" w:cs="Arial"/>
          <w:sz w:val="22"/>
          <w:szCs w:val="22"/>
        </w:rPr>
        <w:t xml:space="preserve">, F., </w:t>
      </w:r>
      <w:proofErr w:type="spellStart"/>
      <w:r w:rsidRPr="00141B69">
        <w:rPr>
          <w:rFonts w:ascii="Arial" w:hAnsi="Arial" w:cs="Arial"/>
          <w:sz w:val="22"/>
          <w:szCs w:val="22"/>
        </w:rPr>
        <w:t>Tajabadi</w:t>
      </w:r>
      <w:proofErr w:type="spellEnd"/>
      <w:r w:rsidRPr="00141B69">
        <w:rPr>
          <w:rFonts w:ascii="Arial" w:hAnsi="Arial" w:cs="Arial"/>
          <w:sz w:val="22"/>
          <w:szCs w:val="22"/>
        </w:rPr>
        <w:t xml:space="preserve"> Ebrahimi, M., &amp; </w:t>
      </w:r>
      <w:proofErr w:type="spellStart"/>
      <w:r w:rsidRPr="00141B69">
        <w:rPr>
          <w:rFonts w:ascii="Arial" w:hAnsi="Arial" w:cs="Arial"/>
          <w:sz w:val="22"/>
          <w:szCs w:val="22"/>
        </w:rPr>
        <w:t>Khajareh</w:t>
      </w:r>
      <w:proofErr w:type="spellEnd"/>
      <w:r w:rsidRPr="00141B69">
        <w:rPr>
          <w:rFonts w:ascii="Arial" w:hAnsi="Arial" w:cs="Arial"/>
          <w:sz w:val="22"/>
          <w:szCs w:val="22"/>
        </w:rPr>
        <w:t xml:space="preserve">, L. (2012). Study genotypic and phylogenetic bacteriocin-producing lactobacilli isolated from dairy product to local and traditional food. </w:t>
      </w:r>
      <w:r w:rsidRPr="00141B69">
        <w:rPr>
          <w:rStyle w:val="Emphasis"/>
          <w:rFonts w:ascii="Arial" w:hAnsi="Arial" w:cs="Arial"/>
          <w:sz w:val="22"/>
          <w:szCs w:val="22"/>
        </w:rPr>
        <w:t xml:space="preserve">Journal of </w:t>
      </w:r>
      <w:proofErr w:type="spellStart"/>
      <w:r w:rsidRPr="00141B69">
        <w:rPr>
          <w:rStyle w:val="Emphasis"/>
          <w:rFonts w:ascii="Arial" w:hAnsi="Arial" w:cs="Arial"/>
          <w:sz w:val="22"/>
          <w:szCs w:val="22"/>
        </w:rPr>
        <w:t>Fasa</w:t>
      </w:r>
      <w:proofErr w:type="spellEnd"/>
      <w:r w:rsidRPr="00141B69">
        <w:rPr>
          <w:rStyle w:val="Emphasis"/>
          <w:rFonts w:ascii="Arial" w:hAnsi="Arial" w:cs="Arial"/>
          <w:sz w:val="22"/>
          <w:szCs w:val="22"/>
        </w:rPr>
        <w:t xml:space="preserve"> University of Medical Sciences, 2</w:t>
      </w:r>
      <w:r w:rsidRPr="00141B69">
        <w:rPr>
          <w:rFonts w:ascii="Arial" w:hAnsi="Arial" w:cs="Arial"/>
          <w:sz w:val="22"/>
          <w:szCs w:val="22"/>
        </w:rPr>
        <w:t>, 84.</w:t>
      </w:r>
    </w:p>
    <w:p w14:paraId="5B64C7E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Thuy, T. T. D., Lu, H. F., </w:t>
      </w:r>
      <w:proofErr w:type="spellStart"/>
      <w:r w:rsidRPr="00141B69">
        <w:rPr>
          <w:rFonts w:ascii="Arial" w:hAnsi="Arial" w:cs="Arial"/>
          <w:sz w:val="22"/>
          <w:szCs w:val="22"/>
        </w:rPr>
        <w:t>Bregente</w:t>
      </w:r>
      <w:proofErr w:type="spellEnd"/>
      <w:r w:rsidRPr="00141B69">
        <w:rPr>
          <w:rFonts w:ascii="Arial" w:hAnsi="Arial" w:cs="Arial"/>
          <w:sz w:val="22"/>
          <w:szCs w:val="22"/>
        </w:rPr>
        <w:t xml:space="preserve">, C. J. B., Huang, F. C., Tu, P. C., &amp; Kao, C. Y. (2024). Characterization of the broad-spectrum antibacterial activity of bacteriocin-like inhibitory substance-producing probiotics isolated from fermented foods. </w:t>
      </w:r>
      <w:r w:rsidRPr="00141B69">
        <w:rPr>
          <w:rStyle w:val="Emphasis"/>
          <w:rFonts w:ascii="Arial" w:hAnsi="Arial" w:cs="Arial"/>
          <w:sz w:val="22"/>
          <w:szCs w:val="22"/>
        </w:rPr>
        <w:t>BMC Microbiology, 24</w:t>
      </w:r>
      <w:r w:rsidRPr="00141B69">
        <w:rPr>
          <w:rFonts w:ascii="Arial" w:hAnsi="Arial" w:cs="Arial"/>
          <w:sz w:val="22"/>
          <w:szCs w:val="22"/>
        </w:rPr>
        <w:t>, 85. https://doi.org/10.1186/s12866-024-03245-0</w:t>
      </w:r>
    </w:p>
    <w:p w14:paraId="44570E3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Turu, D., &amp; </w:t>
      </w:r>
      <w:proofErr w:type="spellStart"/>
      <w:r w:rsidRPr="00141B69">
        <w:rPr>
          <w:rFonts w:ascii="Arial" w:hAnsi="Arial" w:cs="Arial"/>
          <w:sz w:val="22"/>
          <w:szCs w:val="22"/>
        </w:rPr>
        <w:t>Canlı</w:t>
      </w:r>
      <w:proofErr w:type="spellEnd"/>
      <w:r w:rsidRPr="00141B69">
        <w:rPr>
          <w:rFonts w:ascii="Arial" w:hAnsi="Arial" w:cs="Arial"/>
          <w:sz w:val="22"/>
          <w:szCs w:val="22"/>
        </w:rPr>
        <w:t xml:space="preserve">, K. (2025). Detection of biofilm formation: Evaluation of Congo Red Agar and crystal violet staining method. </w:t>
      </w:r>
      <w:r w:rsidRPr="00141B69">
        <w:rPr>
          <w:rStyle w:val="Emphasis"/>
          <w:rFonts w:ascii="Arial" w:hAnsi="Arial" w:cs="Arial"/>
          <w:sz w:val="22"/>
          <w:szCs w:val="22"/>
        </w:rPr>
        <w:t>Gazi University Journal of Science, 38</w:t>
      </w:r>
      <w:r w:rsidRPr="00141B69">
        <w:rPr>
          <w:rFonts w:ascii="Arial" w:hAnsi="Arial" w:cs="Arial"/>
          <w:sz w:val="22"/>
          <w:szCs w:val="22"/>
        </w:rPr>
        <w:t>, 1663–1684. https://doi.org/10.35378/gujs.1670270</w:t>
      </w:r>
    </w:p>
    <w:p w14:paraId="5ACA2202"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Uddin, T. M., Chakraborty, A. J., Khusro, A., Zidan, B. R. M., Mitra, S., Emran, T. B., </w:t>
      </w:r>
      <w:r w:rsidRPr="00141B69">
        <w:rPr>
          <w:rFonts w:ascii="Arial" w:hAnsi="Arial" w:cs="Arial"/>
          <w:i/>
          <w:sz w:val="22"/>
          <w:szCs w:val="22"/>
        </w:rPr>
        <w:t>et al</w:t>
      </w:r>
      <w:r w:rsidRPr="00141B69">
        <w:rPr>
          <w:rFonts w:ascii="Arial" w:hAnsi="Arial" w:cs="Arial"/>
          <w:sz w:val="22"/>
          <w:szCs w:val="22"/>
        </w:rPr>
        <w:t xml:space="preserve">. (2021). Antibiotic resistance in microbes: History, mechanisms, therapeutic strategies and future prospects. </w:t>
      </w:r>
      <w:r w:rsidRPr="00141B69">
        <w:rPr>
          <w:rStyle w:val="Emphasis"/>
          <w:rFonts w:ascii="Arial" w:hAnsi="Arial" w:cs="Arial"/>
          <w:sz w:val="22"/>
          <w:szCs w:val="22"/>
        </w:rPr>
        <w:t>Journal of Infection and Public Health, 14</w:t>
      </w:r>
      <w:r w:rsidRPr="00141B69">
        <w:rPr>
          <w:rFonts w:ascii="Arial" w:hAnsi="Arial" w:cs="Arial"/>
          <w:sz w:val="22"/>
          <w:szCs w:val="22"/>
        </w:rPr>
        <w:t>(12), 1750–1766.</w:t>
      </w:r>
    </w:p>
    <w:p w14:paraId="17879D7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Vasanthi, B., Parthiban, M., </w:t>
      </w:r>
      <w:proofErr w:type="spellStart"/>
      <w:r w:rsidRPr="00141B69">
        <w:rPr>
          <w:rFonts w:ascii="Arial" w:hAnsi="Arial" w:cs="Arial"/>
          <w:sz w:val="22"/>
          <w:szCs w:val="22"/>
        </w:rPr>
        <w:t>Sarathchandra</w:t>
      </w:r>
      <w:proofErr w:type="spellEnd"/>
      <w:r w:rsidRPr="00141B69">
        <w:rPr>
          <w:rFonts w:ascii="Arial" w:hAnsi="Arial" w:cs="Arial"/>
          <w:sz w:val="22"/>
          <w:szCs w:val="22"/>
        </w:rPr>
        <w:t xml:space="preserve">, G., Narendra Babu, R., &amp; Brindha, K. (2023). Molecular characterization and antimicrobial resistance profiling of food borne pathogens from chicken meat in Tamil Nadu, India. </w:t>
      </w:r>
      <w:r w:rsidRPr="00141B69">
        <w:rPr>
          <w:rStyle w:val="Emphasis"/>
          <w:rFonts w:ascii="Arial" w:hAnsi="Arial" w:cs="Arial"/>
          <w:sz w:val="22"/>
          <w:szCs w:val="22"/>
        </w:rPr>
        <w:t>The Indian Veterinary Journal, 100</w:t>
      </w:r>
      <w:r w:rsidRPr="00141B69">
        <w:rPr>
          <w:rFonts w:ascii="Arial" w:hAnsi="Arial" w:cs="Arial"/>
          <w:sz w:val="22"/>
          <w:szCs w:val="22"/>
        </w:rPr>
        <w:t>(10), 35–38.</w:t>
      </w:r>
    </w:p>
    <w:p w14:paraId="48B19A6D"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Vieco-Saiz</w:t>
      </w:r>
      <w:proofErr w:type="spellEnd"/>
      <w:r w:rsidRPr="00141B69">
        <w:rPr>
          <w:rFonts w:ascii="Arial" w:hAnsi="Arial" w:cs="Arial"/>
          <w:sz w:val="22"/>
          <w:szCs w:val="22"/>
        </w:rPr>
        <w:t xml:space="preserve">, N., </w:t>
      </w:r>
      <w:proofErr w:type="spellStart"/>
      <w:r w:rsidRPr="00141B69">
        <w:rPr>
          <w:rFonts w:ascii="Arial" w:hAnsi="Arial" w:cs="Arial"/>
          <w:sz w:val="22"/>
          <w:szCs w:val="22"/>
        </w:rPr>
        <w:t>Belguesmia</w:t>
      </w:r>
      <w:proofErr w:type="spellEnd"/>
      <w:r w:rsidRPr="00141B69">
        <w:rPr>
          <w:rFonts w:ascii="Arial" w:hAnsi="Arial" w:cs="Arial"/>
          <w:sz w:val="22"/>
          <w:szCs w:val="22"/>
        </w:rPr>
        <w:t xml:space="preserve">, Y., </w:t>
      </w:r>
      <w:proofErr w:type="spellStart"/>
      <w:r w:rsidRPr="00141B69">
        <w:rPr>
          <w:rFonts w:ascii="Arial" w:hAnsi="Arial" w:cs="Arial"/>
          <w:sz w:val="22"/>
          <w:szCs w:val="22"/>
        </w:rPr>
        <w:t>Raspoet</w:t>
      </w:r>
      <w:proofErr w:type="spellEnd"/>
      <w:r w:rsidRPr="00141B69">
        <w:rPr>
          <w:rFonts w:ascii="Arial" w:hAnsi="Arial" w:cs="Arial"/>
          <w:sz w:val="22"/>
          <w:szCs w:val="22"/>
        </w:rPr>
        <w:t xml:space="preserve">, R., Auclair, E., </w:t>
      </w:r>
      <w:proofErr w:type="spellStart"/>
      <w:r w:rsidRPr="00141B69">
        <w:rPr>
          <w:rFonts w:ascii="Arial" w:hAnsi="Arial" w:cs="Arial"/>
          <w:sz w:val="22"/>
          <w:szCs w:val="22"/>
        </w:rPr>
        <w:t>Gancel</w:t>
      </w:r>
      <w:proofErr w:type="spellEnd"/>
      <w:r w:rsidRPr="00141B69">
        <w:rPr>
          <w:rFonts w:ascii="Arial" w:hAnsi="Arial" w:cs="Arial"/>
          <w:sz w:val="22"/>
          <w:szCs w:val="22"/>
        </w:rPr>
        <w:t xml:space="preserve">, F., Kempf, I., &amp; </w:t>
      </w:r>
      <w:proofErr w:type="spellStart"/>
      <w:r w:rsidRPr="00141B69">
        <w:rPr>
          <w:rFonts w:ascii="Arial" w:hAnsi="Arial" w:cs="Arial"/>
          <w:sz w:val="22"/>
          <w:szCs w:val="22"/>
        </w:rPr>
        <w:t>Drider</w:t>
      </w:r>
      <w:proofErr w:type="spellEnd"/>
      <w:r w:rsidRPr="00141B69">
        <w:rPr>
          <w:rFonts w:ascii="Arial" w:hAnsi="Arial" w:cs="Arial"/>
          <w:sz w:val="22"/>
          <w:szCs w:val="22"/>
        </w:rPr>
        <w:t xml:space="preserve">, D. (2019). Benefits and inputs from lactic acid bacteria and their bacteriocins as </w:t>
      </w:r>
      <w:r w:rsidRPr="00141B69">
        <w:rPr>
          <w:rFonts w:ascii="Arial" w:hAnsi="Arial" w:cs="Arial"/>
          <w:sz w:val="22"/>
          <w:szCs w:val="22"/>
        </w:rPr>
        <w:lastRenderedPageBreak/>
        <w:t xml:space="preserve">alternatives to antibiotic growth promoters during food-animal production. </w:t>
      </w:r>
      <w:r w:rsidRPr="00141B69">
        <w:rPr>
          <w:rStyle w:val="Emphasis"/>
          <w:rFonts w:ascii="Arial" w:hAnsi="Arial" w:cs="Arial"/>
          <w:sz w:val="22"/>
          <w:szCs w:val="22"/>
        </w:rPr>
        <w:t>Frontiers in Microbiology, 10</w:t>
      </w:r>
      <w:r w:rsidRPr="00141B69">
        <w:rPr>
          <w:rFonts w:ascii="Arial" w:hAnsi="Arial" w:cs="Arial"/>
          <w:sz w:val="22"/>
          <w:szCs w:val="22"/>
        </w:rPr>
        <w:t>, 57.</w:t>
      </w:r>
    </w:p>
    <w:p w14:paraId="607E358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Vyas, T. K., Patel, A. R., &amp; Patel, K. G. (2025). Bacteriocin production by lactic acid bacteria and their antioxidant property. </w:t>
      </w:r>
      <w:r w:rsidRPr="00141B69">
        <w:rPr>
          <w:rStyle w:val="Emphasis"/>
          <w:rFonts w:ascii="Arial" w:hAnsi="Arial" w:cs="Arial"/>
          <w:sz w:val="22"/>
          <w:szCs w:val="22"/>
        </w:rPr>
        <w:t>Indian Journal of Dairy Science, 78</w:t>
      </w:r>
      <w:r w:rsidRPr="00141B69">
        <w:rPr>
          <w:rFonts w:ascii="Arial" w:hAnsi="Arial" w:cs="Arial"/>
          <w:sz w:val="22"/>
          <w:szCs w:val="22"/>
        </w:rPr>
        <w:t>(3).</w:t>
      </w:r>
    </w:p>
    <w:p w14:paraId="64D7F4B3"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Zamfir, M., </w:t>
      </w:r>
      <w:proofErr w:type="spellStart"/>
      <w:r w:rsidRPr="00141B69">
        <w:rPr>
          <w:rFonts w:ascii="Arial" w:hAnsi="Arial" w:cs="Arial"/>
          <w:sz w:val="22"/>
          <w:szCs w:val="22"/>
        </w:rPr>
        <w:t>Vancanneyt</w:t>
      </w:r>
      <w:proofErr w:type="spellEnd"/>
      <w:r w:rsidRPr="00141B69">
        <w:rPr>
          <w:rFonts w:ascii="Arial" w:hAnsi="Arial" w:cs="Arial"/>
          <w:sz w:val="22"/>
          <w:szCs w:val="22"/>
        </w:rPr>
        <w:t xml:space="preserve">, M., </w:t>
      </w:r>
      <w:proofErr w:type="spellStart"/>
      <w:r w:rsidRPr="00141B69">
        <w:rPr>
          <w:rFonts w:ascii="Arial" w:hAnsi="Arial" w:cs="Arial"/>
          <w:sz w:val="22"/>
          <w:szCs w:val="22"/>
        </w:rPr>
        <w:t>Makras</w:t>
      </w:r>
      <w:proofErr w:type="spellEnd"/>
      <w:r w:rsidRPr="00141B69">
        <w:rPr>
          <w:rFonts w:ascii="Arial" w:hAnsi="Arial" w:cs="Arial"/>
          <w:sz w:val="22"/>
          <w:szCs w:val="22"/>
        </w:rPr>
        <w:t xml:space="preserve">, L., </w:t>
      </w:r>
      <w:proofErr w:type="spellStart"/>
      <w:r w:rsidRPr="00141B69">
        <w:rPr>
          <w:rFonts w:ascii="Arial" w:hAnsi="Arial" w:cs="Arial"/>
          <w:sz w:val="22"/>
          <w:szCs w:val="22"/>
        </w:rPr>
        <w:t>Vaningelgem</w:t>
      </w:r>
      <w:proofErr w:type="spellEnd"/>
      <w:r w:rsidRPr="00141B69">
        <w:rPr>
          <w:rFonts w:ascii="Arial" w:hAnsi="Arial" w:cs="Arial"/>
          <w:sz w:val="22"/>
          <w:szCs w:val="22"/>
        </w:rPr>
        <w:t xml:space="preserve">, F., Lefebvre, K., Pot, B., Swings, J., &amp; De Vuyst, L. (2006). Biodiversity of lactic acid bacteria in Romanian dairy products. </w:t>
      </w:r>
      <w:r w:rsidRPr="00141B69">
        <w:rPr>
          <w:rStyle w:val="Emphasis"/>
          <w:rFonts w:ascii="Arial" w:hAnsi="Arial" w:cs="Arial"/>
          <w:sz w:val="22"/>
          <w:szCs w:val="22"/>
        </w:rPr>
        <w:t>Systematic and Applied Microbiology, 29</w:t>
      </w:r>
      <w:r w:rsidRPr="00141B69">
        <w:rPr>
          <w:rFonts w:ascii="Arial" w:hAnsi="Arial" w:cs="Arial"/>
          <w:sz w:val="22"/>
          <w:szCs w:val="22"/>
        </w:rPr>
        <w:t>, 487–495. https://doi.org/10.1016/j.syapm.2005.10.002</w:t>
      </w:r>
    </w:p>
    <w:p w14:paraId="4BD35882" w14:textId="77777777" w:rsidR="008A75FC"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Zhen, X., Lundborg, C. S., Sun, X., Hu, X., &amp; Dong, H. (2019). The clinical and economic impact of antibiotic resistance in China: A systematic review and meta-analysis. </w:t>
      </w:r>
      <w:r w:rsidRPr="00141B69">
        <w:rPr>
          <w:rStyle w:val="Emphasis"/>
          <w:rFonts w:ascii="Arial" w:hAnsi="Arial" w:cs="Arial"/>
          <w:sz w:val="22"/>
          <w:szCs w:val="22"/>
        </w:rPr>
        <w:t>Antibiotics, 8</w:t>
      </w:r>
      <w:r w:rsidRPr="00141B69">
        <w:rPr>
          <w:rFonts w:ascii="Arial" w:hAnsi="Arial" w:cs="Arial"/>
          <w:sz w:val="22"/>
          <w:szCs w:val="22"/>
        </w:rPr>
        <w:t>(3), 115.</w:t>
      </w:r>
    </w:p>
    <w:sectPr w:rsidR="008A75FC" w:rsidSect="00186746">
      <w:pgSz w:w="11906" w:h="16838"/>
      <w:pgMar w:top="1440" w:right="1335" w:bottom="1440" w:left="13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rosoft Office User" w:date="2026-09-07T11:32:00Z" w:initials="MOU">
    <w:p w14:paraId="356428F7" w14:textId="25532854" w:rsidR="00B9342A" w:rsidRPr="00B9342A" w:rsidRDefault="00B9342A">
      <w:pPr>
        <w:pStyle w:val="CommentText"/>
        <w:rPr>
          <w:b/>
        </w:rPr>
      </w:pPr>
      <w:r>
        <w:rPr>
          <w:rStyle w:val="CommentReference"/>
        </w:rPr>
        <w:annotationRef/>
      </w:r>
      <w:r>
        <w:t xml:space="preserve">The title was not clear, you mean </w:t>
      </w:r>
      <w:r w:rsidRPr="00B9342A">
        <w:rPr>
          <w:b/>
        </w:rPr>
        <w:t>Inhibitory activity of Bacteriocin in Biofilm Formation</w:t>
      </w:r>
      <w:r>
        <w:rPr>
          <w:b/>
        </w:rPr>
        <w:t>?? Right, so the title must be corrected</w:t>
      </w:r>
    </w:p>
  </w:comment>
  <w:comment w:id="1" w:author="Microsoft Office User" w:date="2026-09-07T11:30:00Z" w:initials="MOU">
    <w:p w14:paraId="17016B17" w14:textId="437D1BBB" w:rsidR="00B9342A" w:rsidRDefault="00B9342A">
      <w:pPr>
        <w:pStyle w:val="CommentText"/>
      </w:pPr>
      <w:r>
        <w:rPr>
          <w:rStyle w:val="CommentReference"/>
        </w:rPr>
        <w:annotationRef/>
      </w:r>
      <w:r>
        <w:t>The issue must be focussing on probiotic not antibiotic since you use bacteria isolate</w:t>
      </w:r>
    </w:p>
  </w:comment>
  <w:comment w:id="2" w:author="Microsoft Office User" w:date="2026-09-07T11:35:00Z" w:initials="MOU">
    <w:p w14:paraId="319DC002" w14:textId="20D6B51A" w:rsidR="00B9342A" w:rsidRDefault="00B9342A">
      <w:pPr>
        <w:pStyle w:val="CommentText"/>
      </w:pPr>
      <w:r>
        <w:rPr>
          <w:rStyle w:val="CommentReference"/>
        </w:rPr>
        <w:annotationRef/>
      </w:r>
      <w:r>
        <w:t>The introduction must be addressed the gap research of antibiofilm formation of bacteriocin, and what is the novelty of this study</w:t>
      </w:r>
    </w:p>
  </w:comment>
  <w:comment w:id="3" w:author="Microsoft Office User" w:date="2026-09-07T11:39:00Z" w:initials="MOU">
    <w:p w14:paraId="7B17C0A1" w14:textId="04EDA8B5" w:rsidR="00B9342A" w:rsidRDefault="00B9342A">
      <w:pPr>
        <w:pStyle w:val="CommentText"/>
      </w:pPr>
      <w:r>
        <w:rPr>
          <w:rStyle w:val="CommentReference"/>
        </w:rPr>
        <w:annotationRef/>
      </w:r>
      <w:r>
        <w:t>All species name should be italic</w:t>
      </w:r>
    </w:p>
  </w:comment>
  <w:comment w:id="4" w:author="Microsoft Office User" w:date="2026-09-07T11:37:00Z" w:initials="MOU">
    <w:p w14:paraId="475BA587" w14:textId="4FFB69D4" w:rsidR="00B9342A" w:rsidRDefault="00B9342A">
      <w:pPr>
        <w:pStyle w:val="CommentText"/>
      </w:pPr>
      <w:r>
        <w:rPr>
          <w:rStyle w:val="CommentReference"/>
        </w:rPr>
        <w:annotationRef/>
      </w:r>
      <w:r>
        <w:t>The discussion and result must be separated, every table and figure should be describe and add narrative explanation.</w:t>
      </w:r>
    </w:p>
  </w:comment>
  <w:comment w:id="5" w:author="Microsoft Office User" w:date="2026-09-07T11:39:00Z" w:initials="MOU">
    <w:p w14:paraId="611855D4" w14:textId="40850B99" w:rsidR="0027602E" w:rsidRDefault="0027602E">
      <w:pPr>
        <w:pStyle w:val="CommentText"/>
      </w:pPr>
      <w:r>
        <w:rPr>
          <w:rStyle w:val="CommentReference"/>
        </w:rPr>
        <w:annotationRef/>
      </w:r>
      <w:r>
        <w:t xml:space="preserve">Cite the figure on the </w:t>
      </w:r>
      <w:r>
        <w:t>text</w:t>
      </w:r>
      <w:bookmarkStart w:id="6" w:name="_GoBack"/>
      <w:bookmarkEnd w:id="6"/>
    </w:p>
  </w:comment>
  <w:comment w:id="7" w:author="Microsoft Office User" w:date="2026-09-07T11:37:00Z" w:initials="MOU">
    <w:p w14:paraId="67EE6BC0" w14:textId="7D08FCA3" w:rsidR="00B9342A" w:rsidRDefault="00B9342A">
      <w:pPr>
        <w:pStyle w:val="CommentText"/>
      </w:pPr>
      <w:r>
        <w:rPr>
          <w:rStyle w:val="CommentReference"/>
        </w:rPr>
        <w:annotationRef/>
      </w:r>
      <w:r>
        <w:t xml:space="preserve">The figure </w:t>
      </w:r>
      <w:proofErr w:type="spellStart"/>
      <w:r>
        <w:t>ust</w:t>
      </w:r>
      <w:proofErr w:type="spellEnd"/>
      <w:r>
        <w:t xml:space="preserve"> be 300 dpi, and you should </w:t>
      </w:r>
      <w:proofErr w:type="spellStart"/>
      <w:r>
        <w:t>mentione</w:t>
      </w:r>
      <w:proofErr w:type="spellEnd"/>
      <w:r>
        <w:t xml:space="preserve"> the software use in this </w:t>
      </w:r>
      <w:proofErr w:type="spellStart"/>
      <w:r>
        <w:t>phylogeni</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6428F7" w15:done="0"/>
  <w15:commentEx w15:paraId="17016B17" w15:done="0"/>
  <w15:commentEx w15:paraId="319DC002" w15:done="0"/>
  <w15:commentEx w15:paraId="7B17C0A1" w15:done="0"/>
  <w15:commentEx w15:paraId="475BA587" w15:done="0"/>
  <w15:commentEx w15:paraId="611855D4" w15:done="0"/>
  <w15:commentEx w15:paraId="67EE6B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6428F7" w16cid:durableId="2E491F46"/>
  <w16cid:commentId w16cid:paraId="17016B17" w16cid:durableId="2E491EE0"/>
  <w16cid:commentId w16cid:paraId="319DC002" w16cid:durableId="2E491FE9"/>
  <w16cid:commentId w16cid:paraId="7B17C0A1" w16cid:durableId="2E4920D5"/>
  <w16cid:commentId w16cid:paraId="475BA587" w16cid:durableId="2E492095"/>
  <w16cid:commentId w16cid:paraId="611855D4" w16cid:durableId="2E492100"/>
  <w16cid:commentId w16cid:paraId="67EE6BC0" w16cid:durableId="2E4920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1AF60" w14:textId="77777777" w:rsidR="003117E9" w:rsidRDefault="003117E9" w:rsidP="00B11A87">
      <w:pPr>
        <w:spacing w:after="0" w:line="240" w:lineRule="auto"/>
      </w:pPr>
      <w:r>
        <w:separator/>
      </w:r>
    </w:p>
  </w:endnote>
  <w:endnote w:type="continuationSeparator" w:id="0">
    <w:p w14:paraId="397AB178" w14:textId="77777777" w:rsidR="003117E9" w:rsidRDefault="003117E9" w:rsidP="00B1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3EC12" w14:textId="77777777" w:rsidR="00B9342A" w:rsidRDefault="00B934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9872753"/>
      <w:docPartObj>
        <w:docPartGallery w:val="Page Numbers (Bottom of Page)"/>
        <w:docPartUnique/>
      </w:docPartObj>
    </w:sdtPr>
    <w:sdtEndPr>
      <w:rPr>
        <w:noProof/>
      </w:rPr>
    </w:sdtEndPr>
    <w:sdtContent>
      <w:p w14:paraId="59CD7707" w14:textId="77777777" w:rsidR="00B9342A" w:rsidRDefault="00B9342A">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3A5C3504" w14:textId="77777777" w:rsidR="00B9342A" w:rsidRDefault="00B934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20696" w14:textId="77777777" w:rsidR="00B9342A" w:rsidRDefault="00B93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8C944" w14:textId="77777777" w:rsidR="003117E9" w:rsidRDefault="003117E9" w:rsidP="00B11A87">
      <w:pPr>
        <w:spacing w:after="0" w:line="240" w:lineRule="auto"/>
      </w:pPr>
      <w:r>
        <w:separator/>
      </w:r>
    </w:p>
  </w:footnote>
  <w:footnote w:type="continuationSeparator" w:id="0">
    <w:p w14:paraId="2AF0573F" w14:textId="77777777" w:rsidR="003117E9" w:rsidRDefault="003117E9" w:rsidP="00B1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FB4AA" w14:textId="20F685C8" w:rsidR="00B9342A" w:rsidRDefault="003117E9">
    <w:pPr>
      <w:pStyle w:val="Header"/>
    </w:pPr>
    <w:r>
      <w:rPr>
        <w:noProof/>
      </w:rPr>
      <w:pict w14:anchorId="14526F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8" o:spid="_x0000_s2051" type="#_x0000_t136" alt="" style="position:absolute;margin-left:0;margin-top:0;width:548.25pt;height:102.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F4C08" w14:textId="35377D6B" w:rsidR="00B9342A" w:rsidRDefault="003117E9">
    <w:pPr>
      <w:pStyle w:val="Header"/>
    </w:pPr>
    <w:r>
      <w:rPr>
        <w:noProof/>
      </w:rPr>
      <w:pict w14:anchorId="5F4B42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9" o:spid="_x0000_s2050" type="#_x0000_t136" alt="" style="position:absolute;margin-left:0;margin-top:0;width:548.25pt;height:102.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4B187" w14:textId="327A95EA" w:rsidR="00B9342A" w:rsidRDefault="003117E9">
    <w:pPr>
      <w:pStyle w:val="Header"/>
    </w:pPr>
    <w:r>
      <w:rPr>
        <w:noProof/>
      </w:rPr>
      <w:pict w14:anchorId="0191E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7" o:spid="_x0000_s2049" type="#_x0000_t136" alt="" style="position:absolute;margin-left:0;margin-top:0;width:548.25pt;height:102.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75826"/>
    <w:multiLevelType w:val="hybridMultilevel"/>
    <w:tmpl w:val="DD1AD2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AFA752A"/>
    <w:multiLevelType w:val="hybridMultilevel"/>
    <w:tmpl w:val="274ACB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4BC68F7"/>
    <w:multiLevelType w:val="hybridMultilevel"/>
    <w:tmpl w:val="FF564D7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DFC"/>
    <w:rsid w:val="0000667B"/>
    <w:rsid w:val="00021B30"/>
    <w:rsid w:val="00062F07"/>
    <w:rsid w:val="000B5F3F"/>
    <w:rsid w:val="000B774A"/>
    <w:rsid w:val="000C0004"/>
    <w:rsid w:val="00103DA2"/>
    <w:rsid w:val="00125293"/>
    <w:rsid w:val="001275AD"/>
    <w:rsid w:val="001316D3"/>
    <w:rsid w:val="00141B69"/>
    <w:rsid w:val="001753D0"/>
    <w:rsid w:val="00181B0D"/>
    <w:rsid w:val="00186746"/>
    <w:rsid w:val="001C08AE"/>
    <w:rsid w:val="001F01C4"/>
    <w:rsid w:val="00206251"/>
    <w:rsid w:val="00207024"/>
    <w:rsid w:val="00222502"/>
    <w:rsid w:val="00222CE3"/>
    <w:rsid w:val="00224A37"/>
    <w:rsid w:val="00244DA8"/>
    <w:rsid w:val="0027602E"/>
    <w:rsid w:val="00280A43"/>
    <w:rsid w:val="00295B49"/>
    <w:rsid w:val="002A6B20"/>
    <w:rsid w:val="003117E9"/>
    <w:rsid w:val="00330C16"/>
    <w:rsid w:val="00331A33"/>
    <w:rsid w:val="00336F79"/>
    <w:rsid w:val="00397307"/>
    <w:rsid w:val="003A53C8"/>
    <w:rsid w:val="003C7F12"/>
    <w:rsid w:val="00406494"/>
    <w:rsid w:val="00414850"/>
    <w:rsid w:val="00414C77"/>
    <w:rsid w:val="004256AE"/>
    <w:rsid w:val="00461F9A"/>
    <w:rsid w:val="004815D6"/>
    <w:rsid w:val="00491829"/>
    <w:rsid w:val="004B4F37"/>
    <w:rsid w:val="004D02F0"/>
    <w:rsid w:val="004F49E4"/>
    <w:rsid w:val="00507E1E"/>
    <w:rsid w:val="005332C5"/>
    <w:rsid w:val="005C7911"/>
    <w:rsid w:val="005F0308"/>
    <w:rsid w:val="00623D96"/>
    <w:rsid w:val="00623E82"/>
    <w:rsid w:val="00635196"/>
    <w:rsid w:val="006660BD"/>
    <w:rsid w:val="00667CE2"/>
    <w:rsid w:val="00682193"/>
    <w:rsid w:val="00685B72"/>
    <w:rsid w:val="0068692E"/>
    <w:rsid w:val="006A6DEA"/>
    <w:rsid w:val="006E2824"/>
    <w:rsid w:val="00725234"/>
    <w:rsid w:val="00751548"/>
    <w:rsid w:val="00775E47"/>
    <w:rsid w:val="007772F7"/>
    <w:rsid w:val="007F033B"/>
    <w:rsid w:val="007F3C89"/>
    <w:rsid w:val="00810AAA"/>
    <w:rsid w:val="008A75FC"/>
    <w:rsid w:val="008E6DDB"/>
    <w:rsid w:val="008F5075"/>
    <w:rsid w:val="00926A93"/>
    <w:rsid w:val="00976B9E"/>
    <w:rsid w:val="00985ED1"/>
    <w:rsid w:val="009A00B4"/>
    <w:rsid w:val="009B7335"/>
    <w:rsid w:val="009E6C65"/>
    <w:rsid w:val="00A209DC"/>
    <w:rsid w:val="00A25849"/>
    <w:rsid w:val="00A47643"/>
    <w:rsid w:val="00AB5048"/>
    <w:rsid w:val="00AF52E2"/>
    <w:rsid w:val="00B013A3"/>
    <w:rsid w:val="00B11A87"/>
    <w:rsid w:val="00B37F0D"/>
    <w:rsid w:val="00B55DC3"/>
    <w:rsid w:val="00B82C9E"/>
    <w:rsid w:val="00B9342A"/>
    <w:rsid w:val="00B968DD"/>
    <w:rsid w:val="00BA5EA6"/>
    <w:rsid w:val="00BA63CD"/>
    <w:rsid w:val="00BB340E"/>
    <w:rsid w:val="00BD20C7"/>
    <w:rsid w:val="00BE7986"/>
    <w:rsid w:val="00BF4C61"/>
    <w:rsid w:val="00BF53CB"/>
    <w:rsid w:val="00C02538"/>
    <w:rsid w:val="00C112EA"/>
    <w:rsid w:val="00C22DFC"/>
    <w:rsid w:val="00C237E4"/>
    <w:rsid w:val="00C347D5"/>
    <w:rsid w:val="00C54D67"/>
    <w:rsid w:val="00C90829"/>
    <w:rsid w:val="00C93D52"/>
    <w:rsid w:val="00C96ECB"/>
    <w:rsid w:val="00CA2DA9"/>
    <w:rsid w:val="00CB085B"/>
    <w:rsid w:val="00CC5158"/>
    <w:rsid w:val="00CE31DF"/>
    <w:rsid w:val="00D114CE"/>
    <w:rsid w:val="00D361E0"/>
    <w:rsid w:val="00D37CD4"/>
    <w:rsid w:val="00D5129D"/>
    <w:rsid w:val="00D768C1"/>
    <w:rsid w:val="00DA4A24"/>
    <w:rsid w:val="00DA7C6D"/>
    <w:rsid w:val="00DC0FB8"/>
    <w:rsid w:val="00DD7751"/>
    <w:rsid w:val="00DE5FC2"/>
    <w:rsid w:val="00DE5FF8"/>
    <w:rsid w:val="00E011D1"/>
    <w:rsid w:val="00E1352D"/>
    <w:rsid w:val="00E3415B"/>
    <w:rsid w:val="00E60168"/>
    <w:rsid w:val="00E76520"/>
    <w:rsid w:val="00E952AE"/>
    <w:rsid w:val="00EC0DE2"/>
    <w:rsid w:val="00EC3CF9"/>
    <w:rsid w:val="00EC49AC"/>
    <w:rsid w:val="00EC4DB9"/>
    <w:rsid w:val="00ED6BDC"/>
    <w:rsid w:val="00EE1CA6"/>
    <w:rsid w:val="00F23CC7"/>
    <w:rsid w:val="00F3756D"/>
    <w:rsid w:val="00F428F3"/>
    <w:rsid w:val="00F76B4A"/>
    <w:rsid w:val="00FC3AEE"/>
    <w:rsid w:val="00FD3ED4"/>
    <w:rsid w:val="00FE0765"/>
    <w:rsid w:val="00FE228A"/>
    <w:rsid w:val="00FE2FEE"/>
    <w:rsid w:val="00FF7F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1605660"/>
  <w15:docId w15:val="{8212391D-1A84-4C9B-8B69-825ACE5A0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F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1C08A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B285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B285E"/>
    <w:rPr>
      <w:rFonts w:ascii="Consolas" w:hAnsi="Consolas"/>
      <w:sz w:val="21"/>
      <w:szCs w:val="21"/>
    </w:rPr>
  </w:style>
  <w:style w:type="paragraph" w:customStyle="1" w:styleId="pdq2pgselectionanchorcontainer">
    <w:name w:val="pdq2pg_selectionanchorcontainer"/>
    <w:basedOn w:val="Normal"/>
    <w:rsid w:val="0039730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6A6DEA"/>
    <w:rPr>
      <w:color w:val="0000FF"/>
      <w:u w:val="single"/>
    </w:rPr>
  </w:style>
  <w:style w:type="paragraph" w:customStyle="1" w:styleId="isselectedend">
    <w:name w:val="isselectedend"/>
    <w:basedOn w:val="Normal"/>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unhideWhenUsed/>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347D5"/>
    <w:rPr>
      <w:b/>
      <w:bCs/>
    </w:rPr>
  </w:style>
  <w:style w:type="character" w:styleId="Emphasis">
    <w:name w:val="Emphasis"/>
    <w:basedOn w:val="DefaultParagraphFont"/>
    <w:uiPriority w:val="20"/>
    <w:qFormat/>
    <w:rsid w:val="00C347D5"/>
    <w:rPr>
      <w:i/>
      <w:iCs/>
    </w:rPr>
  </w:style>
  <w:style w:type="character" w:customStyle="1" w:styleId="Heading3Char">
    <w:name w:val="Heading 3 Char"/>
    <w:basedOn w:val="DefaultParagraphFont"/>
    <w:link w:val="Heading3"/>
    <w:uiPriority w:val="9"/>
    <w:rsid w:val="001C08AE"/>
    <w:rPr>
      <w:rFonts w:ascii="Times New Roman" w:eastAsia="Times New Roman" w:hAnsi="Times New Roman" w:cs="Times New Roman"/>
      <w:b/>
      <w:bCs/>
      <w:sz w:val="27"/>
      <w:szCs w:val="27"/>
      <w:lang w:eastAsia="en-IN"/>
    </w:rPr>
  </w:style>
  <w:style w:type="paragraph" w:styleId="BalloonText">
    <w:name w:val="Balloon Text"/>
    <w:basedOn w:val="Normal"/>
    <w:link w:val="BalloonTextChar"/>
    <w:uiPriority w:val="99"/>
    <w:semiHidden/>
    <w:unhideWhenUsed/>
    <w:rsid w:val="00EC4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9AC"/>
    <w:rPr>
      <w:rFonts w:ascii="Tahoma" w:hAnsi="Tahoma" w:cs="Tahoma"/>
      <w:sz w:val="16"/>
      <w:szCs w:val="16"/>
    </w:rPr>
  </w:style>
  <w:style w:type="paragraph" w:customStyle="1" w:styleId="my-2">
    <w:name w:val="my-2"/>
    <w:basedOn w:val="Normal"/>
    <w:rsid w:val="00810AAA"/>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331A33"/>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3C89"/>
    <w:pPr>
      <w:ind w:left="720"/>
      <w:contextualSpacing/>
    </w:pPr>
  </w:style>
  <w:style w:type="paragraph" w:styleId="Header">
    <w:name w:val="header"/>
    <w:basedOn w:val="Normal"/>
    <w:link w:val="HeaderChar"/>
    <w:uiPriority w:val="99"/>
    <w:unhideWhenUsed/>
    <w:rsid w:val="00B11A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A87"/>
  </w:style>
  <w:style w:type="paragraph" w:styleId="Footer">
    <w:name w:val="footer"/>
    <w:basedOn w:val="Normal"/>
    <w:link w:val="FooterChar"/>
    <w:uiPriority w:val="99"/>
    <w:unhideWhenUsed/>
    <w:rsid w:val="00B11A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A87"/>
  </w:style>
  <w:style w:type="character" w:customStyle="1" w:styleId="Heading1Char">
    <w:name w:val="Heading 1 Char"/>
    <w:basedOn w:val="DefaultParagraphFont"/>
    <w:link w:val="Heading1"/>
    <w:uiPriority w:val="9"/>
    <w:rsid w:val="00062F07"/>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1316D3"/>
    <w:rPr>
      <w:color w:val="605E5C"/>
      <w:shd w:val="clear" w:color="auto" w:fill="E1DFDD"/>
    </w:rPr>
  </w:style>
  <w:style w:type="character" w:styleId="CommentReference">
    <w:name w:val="annotation reference"/>
    <w:basedOn w:val="DefaultParagraphFont"/>
    <w:uiPriority w:val="99"/>
    <w:semiHidden/>
    <w:unhideWhenUsed/>
    <w:rsid w:val="00B9342A"/>
    <w:rPr>
      <w:sz w:val="16"/>
      <w:szCs w:val="16"/>
    </w:rPr>
  </w:style>
  <w:style w:type="paragraph" w:styleId="CommentText">
    <w:name w:val="annotation text"/>
    <w:basedOn w:val="Normal"/>
    <w:link w:val="CommentTextChar"/>
    <w:uiPriority w:val="99"/>
    <w:semiHidden/>
    <w:unhideWhenUsed/>
    <w:rsid w:val="00B9342A"/>
    <w:pPr>
      <w:spacing w:line="240" w:lineRule="auto"/>
    </w:pPr>
    <w:rPr>
      <w:sz w:val="20"/>
      <w:szCs w:val="20"/>
    </w:rPr>
  </w:style>
  <w:style w:type="character" w:customStyle="1" w:styleId="CommentTextChar">
    <w:name w:val="Comment Text Char"/>
    <w:basedOn w:val="DefaultParagraphFont"/>
    <w:link w:val="CommentText"/>
    <w:uiPriority w:val="99"/>
    <w:semiHidden/>
    <w:rsid w:val="00B9342A"/>
    <w:rPr>
      <w:sz w:val="20"/>
      <w:szCs w:val="20"/>
    </w:rPr>
  </w:style>
  <w:style w:type="paragraph" w:styleId="CommentSubject">
    <w:name w:val="annotation subject"/>
    <w:basedOn w:val="CommentText"/>
    <w:next w:val="CommentText"/>
    <w:link w:val="CommentSubjectChar"/>
    <w:uiPriority w:val="99"/>
    <w:semiHidden/>
    <w:unhideWhenUsed/>
    <w:rsid w:val="00B9342A"/>
    <w:rPr>
      <w:b/>
      <w:bCs/>
    </w:rPr>
  </w:style>
  <w:style w:type="character" w:customStyle="1" w:styleId="CommentSubjectChar">
    <w:name w:val="Comment Subject Char"/>
    <w:basedOn w:val="CommentTextChar"/>
    <w:link w:val="CommentSubject"/>
    <w:uiPriority w:val="99"/>
    <w:semiHidden/>
    <w:rsid w:val="00B934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510182">
      <w:bodyDiv w:val="1"/>
      <w:marLeft w:val="0"/>
      <w:marRight w:val="0"/>
      <w:marTop w:val="0"/>
      <w:marBottom w:val="0"/>
      <w:divBdr>
        <w:top w:val="none" w:sz="0" w:space="0" w:color="auto"/>
        <w:left w:val="none" w:sz="0" w:space="0" w:color="auto"/>
        <w:bottom w:val="none" w:sz="0" w:space="0" w:color="auto"/>
        <w:right w:val="none" w:sz="0" w:space="0" w:color="auto"/>
      </w:divBdr>
    </w:div>
    <w:div w:id="236134545">
      <w:bodyDiv w:val="1"/>
      <w:marLeft w:val="0"/>
      <w:marRight w:val="0"/>
      <w:marTop w:val="0"/>
      <w:marBottom w:val="0"/>
      <w:divBdr>
        <w:top w:val="none" w:sz="0" w:space="0" w:color="auto"/>
        <w:left w:val="none" w:sz="0" w:space="0" w:color="auto"/>
        <w:bottom w:val="none" w:sz="0" w:space="0" w:color="auto"/>
        <w:right w:val="none" w:sz="0" w:space="0" w:color="auto"/>
      </w:divBdr>
    </w:div>
    <w:div w:id="382288163">
      <w:bodyDiv w:val="1"/>
      <w:marLeft w:val="0"/>
      <w:marRight w:val="0"/>
      <w:marTop w:val="0"/>
      <w:marBottom w:val="0"/>
      <w:divBdr>
        <w:top w:val="none" w:sz="0" w:space="0" w:color="auto"/>
        <w:left w:val="none" w:sz="0" w:space="0" w:color="auto"/>
        <w:bottom w:val="none" w:sz="0" w:space="0" w:color="auto"/>
        <w:right w:val="none" w:sz="0" w:space="0" w:color="auto"/>
      </w:divBdr>
    </w:div>
    <w:div w:id="385640638">
      <w:bodyDiv w:val="1"/>
      <w:marLeft w:val="0"/>
      <w:marRight w:val="0"/>
      <w:marTop w:val="0"/>
      <w:marBottom w:val="0"/>
      <w:divBdr>
        <w:top w:val="none" w:sz="0" w:space="0" w:color="auto"/>
        <w:left w:val="none" w:sz="0" w:space="0" w:color="auto"/>
        <w:bottom w:val="none" w:sz="0" w:space="0" w:color="auto"/>
        <w:right w:val="none" w:sz="0" w:space="0" w:color="auto"/>
      </w:divBdr>
    </w:div>
    <w:div w:id="669526197">
      <w:bodyDiv w:val="1"/>
      <w:marLeft w:val="0"/>
      <w:marRight w:val="0"/>
      <w:marTop w:val="0"/>
      <w:marBottom w:val="0"/>
      <w:divBdr>
        <w:top w:val="none" w:sz="0" w:space="0" w:color="auto"/>
        <w:left w:val="none" w:sz="0" w:space="0" w:color="auto"/>
        <w:bottom w:val="none" w:sz="0" w:space="0" w:color="auto"/>
        <w:right w:val="none" w:sz="0" w:space="0" w:color="auto"/>
      </w:divBdr>
      <w:divsChild>
        <w:div w:id="305938107">
          <w:marLeft w:val="0"/>
          <w:marRight w:val="0"/>
          <w:marTop w:val="0"/>
          <w:marBottom w:val="0"/>
          <w:divBdr>
            <w:top w:val="none" w:sz="0" w:space="0" w:color="auto"/>
            <w:left w:val="none" w:sz="0" w:space="0" w:color="auto"/>
            <w:bottom w:val="none" w:sz="0" w:space="0" w:color="auto"/>
            <w:right w:val="none" w:sz="0" w:space="0" w:color="auto"/>
          </w:divBdr>
          <w:divsChild>
            <w:div w:id="178664752">
              <w:marLeft w:val="0"/>
              <w:marRight w:val="0"/>
              <w:marTop w:val="0"/>
              <w:marBottom w:val="0"/>
              <w:divBdr>
                <w:top w:val="none" w:sz="0" w:space="0" w:color="auto"/>
                <w:left w:val="none" w:sz="0" w:space="0" w:color="auto"/>
                <w:bottom w:val="none" w:sz="0" w:space="0" w:color="auto"/>
                <w:right w:val="none" w:sz="0" w:space="0" w:color="auto"/>
              </w:divBdr>
              <w:divsChild>
                <w:div w:id="2068531489">
                  <w:marLeft w:val="0"/>
                  <w:marRight w:val="0"/>
                  <w:marTop w:val="0"/>
                  <w:marBottom w:val="0"/>
                  <w:divBdr>
                    <w:top w:val="none" w:sz="0" w:space="0" w:color="auto"/>
                    <w:left w:val="none" w:sz="0" w:space="0" w:color="auto"/>
                    <w:bottom w:val="none" w:sz="0" w:space="0" w:color="auto"/>
                    <w:right w:val="none" w:sz="0" w:space="0" w:color="auto"/>
                  </w:divBdr>
                  <w:divsChild>
                    <w:div w:id="133615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09819">
      <w:bodyDiv w:val="1"/>
      <w:marLeft w:val="0"/>
      <w:marRight w:val="0"/>
      <w:marTop w:val="0"/>
      <w:marBottom w:val="0"/>
      <w:divBdr>
        <w:top w:val="none" w:sz="0" w:space="0" w:color="auto"/>
        <w:left w:val="none" w:sz="0" w:space="0" w:color="auto"/>
        <w:bottom w:val="none" w:sz="0" w:space="0" w:color="auto"/>
        <w:right w:val="none" w:sz="0" w:space="0" w:color="auto"/>
      </w:divBdr>
    </w:div>
    <w:div w:id="986474994">
      <w:bodyDiv w:val="1"/>
      <w:marLeft w:val="0"/>
      <w:marRight w:val="0"/>
      <w:marTop w:val="0"/>
      <w:marBottom w:val="0"/>
      <w:divBdr>
        <w:top w:val="none" w:sz="0" w:space="0" w:color="auto"/>
        <w:left w:val="none" w:sz="0" w:space="0" w:color="auto"/>
        <w:bottom w:val="none" w:sz="0" w:space="0" w:color="auto"/>
        <w:right w:val="none" w:sz="0" w:space="0" w:color="auto"/>
      </w:divBdr>
    </w:div>
    <w:div w:id="1061364144">
      <w:bodyDiv w:val="1"/>
      <w:marLeft w:val="0"/>
      <w:marRight w:val="0"/>
      <w:marTop w:val="0"/>
      <w:marBottom w:val="0"/>
      <w:divBdr>
        <w:top w:val="none" w:sz="0" w:space="0" w:color="auto"/>
        <w:left w:val="none" w:sz="0" w:space="0" w:color="auto"/>
        <w:bottom w:val="none" w:sz="0" w:space="0" w:color="auto"/>
        <w:right w:val="none" w:sz="0" w:space="0" w:color="auto"/>
      </w:divBdr>
    </w:div>
    <w:div w:id="1293826580">
      <w:bodyDiv w:val="1"/>
      <w:marLeft w:val="0"/>
      <w:marRight w:val="0"/>
      <w:marTop w:val="0"/>
      <w:marBottom w:val="0"/>
      <w:divBdr>
        <w:top w:val="none" w:sz="0" w:space="0" w:color="auto"/>
        <w:left w:val="none" w:sz="0" w:space="0" w:color="auto"/>
        <w:bottom w:val="none" w:sz="0" w:space="0" w:color="auto"/>
        <w:right w:val="none" w:sz="0" w:space="0" w:color="auto"/>
      </w:divBdr>
    </w:div>
    <w:div w:id="1298103849">
      <w:bodyDiv w:val="1"/>
      <w:marLeft w:val="0"/>
      <w:marRight w:val="0"/>
      <w:marTop w:val="0"/>
      <w:marBottom w:val="0"/>
      <w:divBdr>
        <w:top w:val="none" w:sz="0" w:space="0" w:color="auto"/>
        <w:left w:val="none" w:sz="0" w:space="0" w:color="auto"/>
        <w:bottom w:val="none" w:sz="0" w:space="0" w:color="auto"/>
        <w:right w:val="none" w:sz="0" w:space="0" w:color="auto"/>
      </w:divBdr>
      <w:divsChild>
        <w:div w:id="1102870862">
          <w:marLeft w:val="0"/>
          <w:marRight w:val="0"/>
          <w:marTop w:val="0"/>
          <w:marBottom w:val="0"/>
          <w:divBdr>
            <w:top w:val="none" w:sz="0" w:space="0" w:color="auto"/>
            <w:left w:val="none" w:sz="0" w:space="0" w:color="auto"/>
            <w:bottom w:val="none" w:sz="0" w:space="0" w:color="auto"/>
            <w:right w:val="none" w:sz="0" w:space="0" w:color="auto"/>
          </w:divBdr>
          <w:divsChild>
            <w:div w:id="1951275782">
              <w:marLeft w:val="0"/>
              <w:marRight w:val="0"/>
              <w:marTop w:val="0"/>
              <w:marBottom w:val="0"/>
              <w:divBdr>
                <w:top w:val="none" w:sz="0" w:space="0" w:color="auto"/>
                <w:left w:val="none" w:sz="0" w:space="0" w:color="auto"/>
                <w:bottom w:val="none" w:sz="0" w:space="0" w:color="auto"/>
                <w:right w:val="none" w:sz="0" w:space="0" w:color="auto"/>
              </w:divBdr>
              <w:divsChild>
                <w:div w:id="625888084">
                  <w:marLeft w:val="0"/>
                  <w:marRight w:val="0"/>
                  <w:marTop w:val="0"/>
                  <w:marBottom w:val="0"/>
                  <w:divBdr>
                    <w:top w:val="none" w:sz="0" w:space="0" w:color="auto"/>
                    <w:left w:val="none" w:sz="0" w:space="0" w:color="auto"/>
                    <w:bottom w:val="none" w:sz="0" w:space="0" w:color="auto"/>
                    <w:right w:val="none" w:sz="0" w:space="0" w:color="auto"/>
                  </w:divBdr>
                  <w:divsChild>
                    <w:div w:id="97059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013667">
      <w:bodyDiv w:val="1"/>
      <w:marLeft w:val="0"/>
      <w:marRight w:val="0"/>
      <w:marTop w:val="0"/>
      <w:marBottom w:val="0"/>
      <w:divBdr>
        <w:top w:val="none" w:sz="0" w:space="0" w:color="auto"/>
        <w:left w:val="none" w:sz="0" w:space="0" w:color="auto"/>
        <w:bottom w:val="none" w:sz="0" w:space="0" w:color="auto"/>
        <w:right w:val="none" w:sz="0" w:space="0" w:color="auto"/>
      </w:divBdr>
    </w:div>
    <w:div w:id="1736590504">
      <w:bodyDiv w:val="1"/>
      <w:marLeft w:val="0"/>
      <w:marRight w:val="0"/>
      <w:marTop w:val="0"/>
      <w:marBottom w:val="0"/>
      <w:divBdr>
        <w:top w:val="none" w:sz="0" w:space="0" w:color="auto"/>
        <w:left w:val="none" w:sz="0" w:space="0" w:color="auto"/>
        <w:bottom w:val="none" w:sz="0" w:space="0" w:color="auto"/>
        <w:right w:val="none" w:sz="0" w:space="0" w:color="auto"/>
      </w:divBdr>
      <w:divsChild>
        <w:div w:id="1041637754">
          <w:marLeft w:val="0"/>
          <w:marRight w:val="0"/>
          <w:marTop w:val="0"/>
          <w:marBottom w:val="0"/>
          <w:divBdr>
            <w:top w:val="none" w:sz="0" w:space="0" w:color="auto"/>
            <w:left w:val="none" w:sz="0" w:space="0" w:color="auto"/>
            <w:bottom w:val="none" w:sz="0" w:space="0" w:color="auto"/>
            <w:right w:val="none" w:sz="0" w:space="0" w:color="auto"/>
          </w:divBdr>
          <w:divsChild>
            <w:div w:id="395904676">
              <w:marLeft w:val="0"/>
              <w:marRight w:val="0"/>
              <w:marTop w:val="0"/>
              <w:marBottom w:val="0"/>
              <w:divBdr>
                <w:top w:val="none" w:sz="0" w:space="0" w:color="auto"/>
                <w:left w:val="none" w:sz="0" w:space="0" w:color="auto"/>
                <w:bottom w:val="none" w:sz="0" w:space="0" w:color="auto"/>
                <w:right w:val="none" w:sz="0" w:space="0" w:color="auto"/>
              </w:divBdr>
              <w:divsChild>
                <w:div w:id="304819480">
                  <w:marLeft w:val="0"/>
                  <w:marRight w:val="0"/>
                  <w:marTop w:val="0"/>
                  <w:marBottom w:val="0"/>
                  <w:divBdr>
                    <w:top w:val="none" w:sz="0" w:space="0" w:color="auto"/>
                    <w:left w:val="none" w:sz="0" w:space="0" w:color="auto"/>
                    <w:bottom w:val="none" w:sz="0" w:space="0" w:color="auto"/>
                    <w:right w:val="none" w:sz="0" w:space="0" w:color="auto"/>
                  </w:divBdr>
                  <w:divsChild>
                    <w:div w:id="4263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FBD9E-D19A-8948-A3F3-C5B7E7312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6366</Words>
  <Characters>36287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Office User</cp:lastModifiedBy>
  <cp:revision>3</cp:revision>
  <dcterms:created xsi:type="dcterms:W3CDTF">2026-09-07T03:28:00Z</dcterms:created>
  <dcterms:modified xsi:type="dcterms:W3CDTF">2026-09-07T03:40:00Z</dcterms:modified>
</cp:coreProperties>
</file>