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05DDD" w:rsidRPr="00B61DEF" w14:paraId="4687395F" w14:textId="77777777">
        <w:trPr>
          <w:trHeight w:val="20"/>
          <w:jc w:val="center"/>
        </w:trPr>
        <w:tc>
          <w:tcPr>
            <w:tcW w:w="1186" w:type="pct"/>
          </w:tcPr>
          <w:p w14:paraId="46501AE7" w14:textId="77777777" w:rsidR="00B05DDD" w:rsidRPr="00B61DE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24F2E7" w14:textId="77777777" w:rsidR="00B05DDD" w:rsidRPr="00B61DEF" w:rsidRDefault="00B05DD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61DE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Advances in Research</w:t>
              </w:r>
            </w:hyperlink>
          </w:p>
        </w:tc>
      </w:tr>
      <w:tr w:rsidR="00B05DDD" w:rsidRPr="00B61DEF" w14:paraId="346AD719" w14:textId="77777777">
        <w:trPr>
          <w:trHeight w:val="20"/>
          <w:jc w:val="center"/>
        </w:trPr>
        <w:tc>
          <w:tcPr>
            <w:tcW w:w="1186" w:type="pct"/>
          </w:tcPr>
          <w:p w14:paraId="4CB0C6DB" w14:textId="77777777" w:rsidR="00B05DDD" w:rsidRPr="00B61DE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4C99521" w14:textId="2934E7FA" w:rsidR="00B05DDD" w:rsidRPr="00B61DEF" w:rsidRDefault="00EC42F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Ms_AJOAIR_6356</w:t>
            </w:r>
          </w:p>
        </w:tc>
      </w:tr>
      <w:tr w:rsidR="00B05DDD" w:rsidRPr="00B61DEF" w14:paraId="4B92A0F1" w14:textId="77777777">
        <w:trPr>
          <w:trHeight w:val="20"/>
          <w:jc w:val="center"/>
        </w:trPr>
        <w:tc>
          <w:tcPr>
            <w:tcW w:w="1186" w:type="pct"/>
          </w:tcPr>
          <w:p w14:paraId="01CAB832" w14:textId="77777777" w:rsidR="00B05DDD" w:rsidRPr="00B61DE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9090F09" w14:textId="79A0FD53" w:rsidR="00B05DDD" w:rsidRPr="00B61DEF" w:rsidRDefault="00EC42F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sz w:val="20"/>
                <w:szCs w:val="20"/>
                <w:lang w:val="en-GB"/>
              </w:rPr>
              <w:t>SGLT2 INHIBITORS BEYOND DIABETES: EMERGING CARDIOVASCULAR, RENAL AND NEUROPROTECTIVE APPLICATIONS</w:t>
            </w:r>
          </w:p>
        </w:tc>
      </w:tr>
      <w:tr w:rsidR="00B05DDD" w:rsidRPr="00B61DEF" w14:paraId="708D5158" w14:textId="77777777">
        <w:trPr>
          <w:trHeight w:val="20"/>
          <w:jc w:val="center"/>
        </w:trPr>
        <w:tc>
          <w:tcPr>
            <w:tcW w:w="1186" w:type="pct"/>
          </w:tcPr>
          <w:p w14:paraId="533511C5" w14:textId="77777777" w:rsidR="00B05DDD" w:rsidRPr="00B61DE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5F792B3" w14:textId="77777777" w:rsidR="00B05DDD" w:rsidRPr="00B61DEF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5C3B896" w14:textId="77777777" w:rsidR="00B05DDD" w:rsidRPr="00B61DEF" w:rsidRDefault="00B05D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8768ABC" w14:textId="77777777" w:rsidR="00B05DDD" w:rsidRPr="00B61DEF" w:rsidRDefault="00B05DDD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068CE28" w14:textId="77777777" w:rsidR="00B05DDD" w:rsidRPr="00B61DEF" w:rsidRDefault="00B05DDD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FB9BF9A" w14:textId="77777777" w:rsidR="00B05DDD" w:rsidRPr="00B61DE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61DE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3F86670" w14:textId="77777777" w:rsidR="00B05DDD" w:rsidRPr="00B61DEF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B7EBB52" w14:textId="77777777" w:rsidR="00B05DDD" w:rsidRPr="00B61DEF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B61DEF" w14:paraId="5E30FF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E4EA2A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F841FF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608AD53" w14:textId="77777777" w:rsidR="00B05DDD" w:rsidRPr="00B61DEF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61D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61DE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5EE3340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670FB4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D54E95" w14:textId="77777777" w:rsidR="00B05DDD" w:rsidRPr="00B61D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61DE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A345690" w14:textId="77777777" w:rsidR="00B05DDD" w:rsidRPr="00B61DEF" w:rsidRDefault="00B05DD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61E1ED" w14:textId="13F0F096" w:rsidR="00503B66" w:rsidRPr="00B61DEF" w:rsidRDefault="00503B66" w:rsidP="00503B66">
            <w:pPr>
              <w:pStyle w:val="ListBullet"/>
              <w:numPr>
                <w:ilvl w:val="0"/>
                <w:numId w:val="0"/>
              </w:numPr>
              <w:spacing w:after="4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1)The topic is clinically relevant because SGLT2 inhibitors are presented not merely as glucose-lowering drugs but as broader cardiorenal therapies.</w:t>
            </w:r>
          </w:p>
          <w:p w14:paraId="76252FB0" w14:textId="488DEA11" w:rsidR="00503B66" w:rsidRPr="00B61DEF" w:rsidRDefault="00503B66" w:rsidP="00503B66">
            <w:pPr>
              <w:pStyle w:val="ListBullet"/>
              <w:numPr>
                <w:ilvl w:val="0"/>
                <w:numId w:val="0"/>
              </w:numPr>
              <w:spacing w:after="4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2)The abstract clearly signals the different levels of evidence: established cardiovascular/renal benefit versus less mature neuroprotective evidence.</w:t>
            </w:r>
          </w:p>
          <w:p w14:paraId="0BA3770A" w14:textId="0E39F922" w:rsidR="00503B66" w:rsidRPr="00B61DEF" w:rsidRDefault="00503B66" w:rsidP="00503B66">
            <w:pPr>
              <w:pStyle w:val="ListBullet"/>
              <w:numPr>
                <w:ilvl w:val="0"/>
                <w:numId w:val="0"/>
              </w:numPr>
              <w:spacing w:after="4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3)The cardiovascular and renal sections use major landmark trials such as EMPA-REG OUTCOME, CANVAS, DECLARE-TIMI 58, DAPA-HF, EMPEROR-Reduced, EMPEROR-Preserved, DELIVER, CREDENCE, DAPA-CKD, and EMPA-KIDNEY.</w:t>
            </w:r>
          </w:p>
          <w:p w14:paraId="191A771A" w14:textId="56665C6F" w:rsidR="00503B66" w:rsidRPr="00B61DEF" w:rsidRDefault="00503B66" w:rsidP="00503B66">
            <w:pPr>
              <w:pStyle w:val="ListBullet"/>
              <w:numPr>
                <w:ilvl w:val="0"/>
                <w:numId w:val="0"/>
              </w:numPr>
              <w:spacing w:after="4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4)The neurological discussion is appropriately cautious. The manuscript contrasts observational signals suggesting lower dementia/Alzheimer disease risk with randomized evidence that has not demonstrated a statistically significant reduction in dementia or cognitive impairment.</w:t>
            </w:r>
          </w:p>
          <w:p w14:paraId="54E9A123" w14:textId="77777777" w:rsidR="00B05DDD" w:rsidRPr="00B61DEF" w:rsidRDefault="00B05DD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21D798DA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8F028E" w14:textId="77777777" w:rsidR="00B05DDD" w:rsidRPr="00B61DEF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6961E04B" w14:textId="77777777" w:rsidR="00B05DDD" w:rsidRPr="00B61DEF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7BA93A7B" w14:textId="77777777" w:rsidR="005E6D45" w:rsidRPr="00B61DEF" w:rsidRDefault="005E6D45" w:rsidP="005E6D4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61DE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DD315A" w14:textId="77777777" w:rsidR="00B05DDD" w:rsidRPr="00B61DEF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B61DEF" w14:paraId="1B28705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BB0A10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7DBC6A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9B1F59D" w14:textId="243D6B95" w:rsidR="00B05DDD" w:rsidRPr="00B61DEF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1D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61DE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120E99" w:rsidRPr="00B61DE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120E99" w:rsidRPr="00B61DE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05DDD" w:rsidRPr="00B61DEF" w14:paraId="505A8D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6A6715" w14:textId="77777777" w:rsidR="00B05DDD" w:rsidRPr="00B61DE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2019AA7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969C43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57489" w14:textId="1FEFA2E8" w:rsidR="00B05DDD" w:rsidRPr="00B61DEF" w:rsidRDefault="00503B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  </w:t>
            </w:r>
          </w:p>
        </w:tc>
        <w:tc>
          <w:tcPr>
            <w:tcW w:w="1667" w:type="pct"/>
          </w:tcPr>
          <w:p w14:paraId="01846D1C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3E251C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85E1D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F3F50CF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BD99C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A8094A" w14:textId="20ADB748" w:rsidR="00B05DDD" w:rsidRPr="00B61DEF" w:rsidRDefault="00503B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97950FE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2200F9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1C047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9CA23C7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CB8E24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18D6DD" w14:textId="435CFC4E" w:rsidR="00B05DDD" w:rsidRPr="00B61DEF" w:rsidRDefault="00503B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9F7C9AF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73714A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722177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77A8F26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D27222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714736" w14:textId="61480A2F" w:rsidR="00B05DDD" w:rsidRPr="00B61DEF" w:rsidRDefault="00503B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C5B9B0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6C8CBF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5597C8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AACBA62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771C91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8FADC9" w14:textId="23BBA2B7" w:rsidR="00B05DDD" w:rsidRPr="00B61DEF" w:rsidRDefault="00503B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0AB9F5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299BCCE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A8CB7C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93445D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B2886B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8222D" w14:textId="705E00B2" w:rsidR="00B05DDD" w:rsidRPr="00B61DEF" w:rsidRDefault="00503B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B3DFC1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215FB0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116375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B2164A9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1F631D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2A2076" w14:textId="614DB209" w:rsidR="00B05DDD" w:rsidRPr="00B61DEF" w:rsidRDefault="00503B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2C08F0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16EF61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F9C258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lastRenderedPageBreak/>
              <w:t xml:space="preserve">8. Is the literature search methodology explained properly? </w:t>
            </w:r>
          </w:p>
          <w:p w14:paraId="7EA19929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7DA904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C9C051" w14:textId="2FF4EF22" w:rsidR="00B05DDD" w:rsidRPr="00B61DEF" w:rsidRDefault="00503B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1E3B04E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0EEF7A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85CC2E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F6F1DA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91CD2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C3A252" w14:textId="6286B8E7" w:rsidR="00B05DDD" w:rsidRPr="00B61DEF" w:rsidRDefault="00503B6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36EB59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7F23614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439FF7" w14:textId="77777777" w:rsidR="00B05DDD" w:rsidRPr="00B61D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B61DEF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B61DEF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B61DEF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015C8646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97E01A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7D39E3" w14:textId="77777777" w:rsidR="00B05DDD" w:rsidRPr="00B61DEF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2282BE" w14:textId="7CB3E965" w:rsidR="00B05DDD" w:rsidRPr="00B61DEF" w:rsidRDefault="00503B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FEA596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5B9FAE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57CF51" w14:textId="77777777" w:rsidR="00B05DDD" w:rsidRPr="00B61D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2B906E8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4AB9C3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5529F" w14:textId="1D0DB7A3" w:rsidR="00B05DDD" w:rsidRPr="00B61DEF" w:rsidRDefault="00503B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FF5D01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271169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F75B1B" w14:textId="77777777" w:rsidR="00B05DDD" w:rsidRPr="00B61D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76EE5BE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704FB6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AEE0F8" w14:textId="324AAA14" w:rsidR="00B05DDD" w:rsidRPr="00B61DEF" w:rsidRDefault="00503B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F95A7F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6E950B1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14584D" w14:textId="77777777" w:rsidR="00B05DDD" w:rsidRPr="00B61D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B61DEF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18C6DB8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5A0D53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0BE0F0D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546720" w14:textId="756B8E24" w:rsidR="00B05DDD" w:rsidRPr="00B61DEF" w:rsidRDefault="00503B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0504C7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468E2B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D6CE5D" w14:textId="77777777" w:rsidR="00B05DDD" w:rsidRPr="00B61D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9B7A65E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64328" w14:textId="77777777" w:rsidR="00B05DDD" w:rsidRPr="00B61DE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FB3BA8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52C8C0D" w14:textId="3A38E2DB" w:rsidR="00B05DDD" w:rsidRPr="00B61DEF" w:rsidRDefault="00503B6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059767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2B7CF9" w14:textId="77777777" w:rsidR="00B05DDD" w:rsidRPr="00B61DEF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A6647FB" w14:textId="77777777" w:rsidR="00B05DDD" w:rsidRPr="00B61DEF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0E434C4" w14:textId="77777777" w:rsidR="00B05DDD" w:rsidRPr="00B61DEF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61DE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DC8E8BE" w14:textId="77777777" w:rsidR="00B05DDD" w:rsidRPr="00B61DEF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B61DEF" w14:paraId="665959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959AF1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65CD4B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81837F" w14:textId="77777777" w:rsidR="00B05DDD" w:rsidRPr="00B61DEF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9E8365" w14:textId="77777777" w:rsidR="00B05DDD" w:rsidRPr="00B61DEF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61DE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61DE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61DE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C236EAB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3D41E9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D34874" w14:textId="77777777" w:rsidR="00B05DDD" w:rsidRPr="00B61DE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08F397F" w14:textId="77777777" w:rsidR="00B05DDD" w:rsidRPr="00B61DEF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9D8F2F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6F7016D" w14:textId="157B2FF2" w:rsidR="00503B66" w:rsidRPr="00B61DEF" w:rsidRDefault="00503B66" w:rsidP="00503B66">
            <w:pPr>
              <w:spacing w:after="100"/>
              <w:ind w:left="288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The paper does cover cardiovascular, renal, and neurological themes, but the neurological applications are explicitly described as emerging/investigational.</w:t>
            </w:r>
          </w:p>
          <w:p w14:paraId="048AD3F2" w14:textId="77777777" w:rsidR="00B05DDD" w:rsidRPr="00B61DEF" w:rsidRDefault="00B05DD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5CF1A488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4AA86B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A3A86D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581242E" w14:textId="77777777" w:rsidR="00B05DDD" w:rsidRPr="00B61DEF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55D699" w14:textId="77777777" w:rsidR="00B05DDD" w:rsidRPr="00B61DE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01FF9D5" w14:textId="77777777" w:rsidR="00503B66" w:rsidRPr="00B61DEF" w:rsidRDefault="00503B66" w:rsidP="00503B66">
            <w:pPr>
              <w:spacing w:after="100"/>
              <w:ind w:left="288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it contains the major mechanisms, established cardiorenal outcomes, emerging neurological evidence, and the key caution that causality is not established.</w:t>
            </w:r>
          </w:p>
          <w:p w14:paraId="161675EA" w14:textId="77777777" w:rsidR="00B05DDD" w:rsidRPr="00B61DEF" w:rsidRDefault="00B05DD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76B64CAC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7A8A4E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295CE3" w14:textId="77777777" w:rsidR="00B05DDD" w:rsidRPr="00B61DEF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61DE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DD4A3A" w14:textId="77777777" w:rsidR="00B05DDD" w:rsidRPr="00B61DE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FD9D05A" w14:textId="77777777" w:rsidR="00503B66" w:rsidRPr="00B61DEF" w:rsidRDefault="00503B66" w:rsidP="00503B66">
            <w:pPr>
              <w:spacing w:after="100"/>
              <w:ind w:left="288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The manuscript is internally cautious about neurological claims, but the reviewer should independently verify important quantitative and recent claims.</w:t>
            </w:r>
          </w:p>
          <w:p w14:paraId="60387CF3" w14:textId="77777777" w:rsidR="0058304F" w:rsidRPr="00B61DEF" w:rsidRDefault="0058304F" w:rsidP="00503B66">
            <w:pPr>
              <w:spacing w:after="100"/>
              <w:ind w:left="288"/>
              <w:rPr>
                <w:rFonts w:ascii="Arial" w:hAnsi="Arial" w:cs="Arial"/>
                <w:sz w:val="20"/>
                <w:szCs w:val="20"/>
              </w:rPr>
            </w:pPr>
          </w:p>
          <w:p w14:paraId="79C49F34" w14:textId="77777777" w:rsidR="0058304F" w:rsidRPr="00B61DEF" w:rsidRDefault="0058304F" w:rsidP="0058304F">
            <w:pPr>
              <w:pStyle w:val="ListBullet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Presence or absence of a literature-search methodology section.</w:t>
            </w:r>
          </w:p>
          <w:p w14:paraId="071C9105" w14:textId="77777777" w:rsidR="0058304F" w:rsidRPr="00B61DEF" w:rsidRDefault="0058304F" w:rsidP="0058304F">
            <w:pPr>
              <w:pStyle w:val="ListBullet"/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Citation attached to the EMPA-KIDNEY statement about the chronic eGFR slope.</w:t>
            </w:r>
          </w:p>
          <w:p w14:paraId="6DF41B7F" w14:textId="77777777" w:rsidR="0058304F" w:rsidRPr="00B61DEF" w:rsidRDefault="0058304F" w:rsidP="0058304F">
            <w:pPr>
              <w:pStyle w:val="ListBullet"/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Citation attached to the approximate 16% AKI-risk reduction statement.</w:t>
            </w:r>
          </w:p>
          <w:p w14:paraId="48CFB732" w14:textId="77777777" w:rsidR="0058304F" w:rsidRPr="00B61DEF" w:rsidRDefault="0058304F" w:rsidP="0058304F">
            <w:pPr>
              <w:pStyle w:val="ListBullet"/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Consistency between Table 4 and the narrative regarding observational versus randomized dementia evidence.</w:t>
            </w:r>
          </w:p>
          <w:p w14:paraId="63B3CDE8" w14:textId="77777777" w:rsidR="0058304F" w:rsidRPr="00B61DEF" w:rsidRDefault="0058304F" w:rsidP="0058304F">
            <w:pPr>
              <w:pStyle w:val="ListBullet"/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Spelling of '</w:t>
            </w:r>
            <w:proofErr w:type="spellStart"/>
            <w:r w:rsidRPr="00B61DEF">
              <w:rPr>
                <w:rFonts w:ascii="Arial" w:hAnsi="Arial" w:cs="Arial"/>
                <w:sz w:val="20"/>
                <w:szCs w:val="20"/>
              </w:rPr>
              <w:t>Estabished</w:t>
            </w:r>
            <w:proofErr w:type="spellEnd"/>
            <w:r w:rsidRPr="00B61DEF">
              <w:rPr>
                <w:rFonts w:ascii="Arial" w:hAnsi="Arial" w:cs="Arial"/>
                <w:sz w:val="20"/>
                <w:szCs w:val="20"/>
              </w:rPr>
              <w:t>' in the Clinical Positioning heading.</w:t>
            </w:r>
          </w:p>
          <w:p w14:paraId="03EF27D5" w14:textId="77777777" w:rsidR="0058304F" w:rsidRPr="00B61DEF" w:rsidRDefault="0058304F" w:rsidP="0058304F">
            <w:pPr>
              <w:pStyle w:val="ListBullet"/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Consistency of 'Alzheimer's disease' / 'Alzheimer disease' terminology.</w:t>
            </w:r>
          </w:p>
          <w:p w14:paraId="08D7D519" w14:textId="77777777" w:rsidR="0058304F" w:rsidRPr="00B61DEF" w:rsidRDefault="0058304F" w:rsidP="0058304F">
            <w:pPr>
              <w:pStyle w:val="ListBullet"/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Whether all recent 2024-2025 references are accurately formatted and support the statements attributed to them.</w:t>
            </w:r>
          </w:p>
          <w:p w14:paraId="5B16D4D5" w14:textId="77777777" w:rsidR="0058304F" w:rsidRPr="00B61DEF" w:rsidRDefault="0058304F" w:rsidP="0058304F">
            <w:pPr>
              <w:pStyle w:val="ListBullet"/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 xml:space="preserve">Whether the cardiorenal sections need </w:t>
            </w:r>
            <w:r w:rsidRPr="00B61DEF">
              <w:rPr>
                <w:rFonts w:ascii="Arial" w:hAnsi="Arial" w:cs="Arial"/>
                <w:sz w:val="20"/>
                <w:szCs w:val="20"/>
              </w:rPr>
              <w:lastRenderedPageBreak/>
              <w:t>more critical comparison rather than mainly trial-by-trial description.</w:t>
            </w:r>
          </w:p>
          <w:p w14:paraId="15EFC46D" w14:textId="77777777" w:rsidR="0058304F" w:rsidRPr="00B61DEF" w:rsidRDefault="0058304F" w:rsidP="0058304F">
            <w:pPr>
              <w:pStyle w:val="ListBullet"/>
              <w:spacing w:after="40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Whether the Limitations section should acknowledge the review's own search/selection limitations.</w:t>
            </w:r>
          </w:p>
          <w:p w14:paraId="111F5320" w14:textId="77777777" w:rsidR="0058304F" w:rsidRPr="00B61DEF" w:rsidRDefault="0058304F" w:rsidP="00503B66">
            <w:pPr>
              <w:spacing w:after="100"/>
              <w:ind w:left="288"/>
              <w:rPr>
                <w:rFonts w:ascii="Arial" w:hAnsi="Arial" w:cs="Arial"/>
                <w:sz w:val="20"/>
                <w:szCs w:val="20"/>
              </w:rPr>
            </w:pPr>
          </w:p>
          <w:p w14:paraId="47758423" w14:textId="77777777" w:rsidR="00B05DDD" w:rsidRPr="00B61DEF" w:rsidRDefault="00B05DDD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025B103B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00CB3D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028303" w14:textId="77777777" w:rsidR="00B05DDD" w:rsidRPr="00B61DE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668DB64" w14:textId="77777777" w:rsidR="00B05DDD" w:rsidRPr="00B61DEF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B541E1" w14:textId="77777777" w:rsidR="00B05DDD" w:rsidRPr="00B61DE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25849EA" w14:textId="77777777" w:rsidR="00503B66" w:rsidRPr="00B61DEF" w:rsidRDefault="00503B66" w:rsidP="00503B66">
            <w:pPr>
              <w:spacing w:after="100"/>
              <w:ind w:left="288"/>
              <w:rPr>
                <w:rFonts w:ascii="Arial" w:hAnsi="Arial" w:cs="Arial"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The paper contains landmark trials plus recent 2024-2025 material. However, without a documented search strategy, completeness cannot be determined from the manuscript alone.</w:t>
            </w:r>
          </w:p>
          <w:p w14:paraId="07AD1136" w14:textId="77777777" w:rsidR="00B05DDD" w:rsidRPr="00B61DEF" w:rsidRDefault="00B05DDD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1579E823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B61DEF" w14:paraId="3922499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13F502" w14:textId="77777777" w:rsidR="00B05DDD" w:rsidRPr="00B61DE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AB18E1" w14:textId="77777777" w:rsidR="00B05DDD" w:rsidRPr="00B61D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6E65C33" w14:textId="77777777" w:rsidR="00B05DDD" w:rsidRPr="00B61DEF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6BD443" w14:textId="77777777" w:rsidR="00B05DDD" w:rsidRPr="00B61DE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1DE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BAEFF9" w14:textId="77777777" w:rsidR="00B05DDD" w:rsidRPr="00B61DEF" w:rsidRDefault="00B05DD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94F0EF" w14:textId="31CA1DD0" w:rsidR="00B05DDD" w:rsidRPr="00B61DEF" w:rsidRDefault="00AC33FA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B61DEF">
              <w:rPr>
                <w:rFonts w:ascii="Arial" w:hAnsi="Arial" w:cs="Arial"/>
                <w:sz w:val="20"/>
                <w:szCs w:val="20"/>
              </w:rPr>
              <w:t>The manuscript states that it is based exclusively on previously published literature and therefore lists ethical approval as not applicable</w:t>
            </w:r>
          </w:p>
        </w:tc>
        <w:tc>
          <w:tcPr>
            <w:tcW w:w="1667" w:type="pct"/>
          </w:tcPr>
          <w:p w14:paraId="73EBD39E" w14:textId="77777777" w:rsidR="00B05DDD" w:rsidRPr="00B61DEF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6DDCA0" w14:textId="77777777" w:rsidR="00B05DDD" w:rsidRPr="00B61DEF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506A6768" w14:textId="77777777" w:rsidR="00B61DEF" w:rsidRPr="00B61DEF" w:rsidRDefault="00B61DEF">
      <w:pPr>
        <w:rPr>
          <w:rFonts w:ascii="Arial" w:hAnsi="Arial" w:cs="Arial"/>
          <w:sz w:val="20"/>
          <w:szCs w:val="20"/>
          <w:lang w:val="en-GB"/>
        </w:rPr>
      </w:pPr>
    </w:p>
    <w:p w14:paraId="4DEEAD46" w14:textId="77777777" w:rsidR="00B61DEF" w:rsidRPr="00B61DEF" w:rsidRDefault="00B61DEF" w:rsidP="00B61DEF">
      <w:pPr>
        <w:rPr>
          <w:rFonts w:ascii="Arial" w:hAnsi="Arial" w:cs="Arial"/>
          <w:b/>
          <w:sz w:val="20"/>
          <w:szCs w:val="20"/>
          <w:u w:val="single"/>
        </w:rPr>
      </w:pPr>
      <w:r w:rsidRPr="00B61DE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7FBD243" w14:textId="77777777" w:rsidR="00B61DEF" w:rsidRPr="00B61DEF" w:rsidRDefault="00B61DEF">
      <w:pPr>
        <w:rPr>
          <w:rFonts w:ascii="Arial" w:hAnsi="Arial" w:cs="Arial"/>
          <w:sz w:val="20"/>
          <w:szCs w:val="20"/>
          <w:lang w:val="en-GB"/>
        </w:rPr>
      </w:pPr>
    </w:p>
    <w:p w14:paraId="277F7950" w14:textId="56E298A0" w:rsidR="00B61DEF" w:rsidRPr="00B61DEF" w:rsidRDefault="00B61DEF" w:rsidP="00B61DEF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B61DEF">
        <w:rPr>
          <w:rFonts w:ascii="Arial" w:hAnsi="Arial" w:cs="Arial"/>
          <w:sz w:val="20"/>
          <w:szCs w:val="20"/>
          <w:lang w:val="en-GB"/>
        </w:rPr>
        <w:t>Sagam</w:t>
      </w:r>
      <w:proofErr w:type="spellEnd"/>
      <w:r w:rsidRPr="00B61DEF">
        <w:rPr>
          <w:rFonts w:ascii="Arial" w:hAnsi="Arial" w:cs="Arial"/>
          <w:sz w:val="20"/>
          <w:szCs w:val="20"/>
          <w:lang w:val="en-GB"/>
        </w:rPr>
        <w:t xml:space="preserve"> Dinesh Reddy</w:t>
      </w:r>
      <w:r w:rsidRPr="00B61DEF">
        <w:rPr>
          <w:rFonts w:ascii="Arial" w:hAnsi="Arial" w:cs="Arial"/>
          <w:sz w:val="20"/>
          <w:szCs w:val="20"/>
          <w:lang w:val="en-GB"/>
        </w:rPr>
        <w:t xml:space="preserve">, </w:t>
      </w:r>
      <w:r w:rsidRPr="00B61DEF">
        <w:rPr>
          <w:rFonts w:ascii="Arial" w:hAnsi="Arial" w:cs="Arial"/>
          <w:sz w:val="20"/>
          <w:szCs w:val="20"/>
          <w:lang w:val="en-GB"/>
        </w:rPr>
        <w:t>India</w:t>
      </w:r>
    </w:p>
    <w:sectPr w:rsidR="00B61DEF" w:rsidRPr="00B61DE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48561" w14:textId="77777777" w:rsidR="00197F06" w:rsidRDefault="00197F06">
      <w:r>
        <w:separator/>
      </w:r>
    </w:p>
  </w:endnote>
  <w:endnote w:type="continuationSeparator" w:id="0">
    <w:p w14:paraId="24DA435E" w14:textId="77777777" w:rsidR="00197F06" w:rsidRDefault="00197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71BF" w14:textId="77777777" w:rsidR="00B05DDD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0B7FDB" w14:textId="77777777" w:rsidR="00B05DDD" w:rsidRDefault="00B05DDD">
    <w:pPr>
      <w:pStyle w:val="Footer"/>
      <w:jc w:val="right"/>
    </w:pPr>
  </w:p>
  <w:p w14:paraId="7034DBBB" w14:textId="77777777" w:rsidR="00B05DDD" w:rsidRDefault="00B05DD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B43D3" w14:textId="77777777" w:rsidR="00197F06" w:rsidRDefault="00197F06">
      <w:r>
        <w:separator/>
      </w:r>
    </w:p>
  </w:footnote>
  <w:footnote w:type="continuationSeparator" w:id="0">
    <w:p w14:paraId="7FCEB5D1" w14:textId="77777777" w:rsidR="00197F06" w:rsidRDefault="00197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EAB7" w14:textId="77777777" w:rsidR="00B05DDD" w:rsidRDefault="00B05DDD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A326FBB" w14:textId="77777777" w:rsidR="00B05DDD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F78F222"/>
    <w:lvl w:ilvl="0">
      <w:start w:val="1"/>
      <w:numFmt w:val="decimal"/>
      <w:pStyle w:val="ListBullet"/>
      <w:lvlText w:val="%1)"/>
      <w:lvlJc w:val="left"/>
      <w:pPr>
        <w:tabs>
          <w:tab w:val="num" w:pos="360"/>
        </w:tabs>
        <w:ind w:left="360" w:hanging="360"/>
      </w:pPr>
      <w:rPr>
        <w:rFonts w:ascii="Aptos" w:eastAsia="MS Mincho" w:hAnsi="Aptos" w:cs="Gautami"/>
      </w:rPr>
    </w:lvl>
  </w:abstractNum>
  <w:abstractNum w:abstractNumId="1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7573786">
    <w:abstractNumId w:val="5"/>
  </w:num>
  <w:num w:numId="2" w16cid:durableId="1901789682">
    <w:abstractNumId w:val="9"/>
  </w:num>
  <w:num w:numId="3" w16cid:durableId="47848771">
    <w:abstractNumId w:val="8"/>
  </w:num>
  <w:num w:numId="4" w16cid:durableId="1390224232">
    <w:abstractNumId w:val="10"/>
  </w:num>
  <w:num w:numId="5" w16cid:durableId="1017343211">
    <w:abstractNumId w:val="7"/>
  </w:num>
  <w:num w:numId="6" w16cid:durableId="1448310864">
    <w:abstractNumId w:val="1"/>
  </w:num>
  <w:num w:numId="7" w16cid:durableId="1213421714">
    <w:abstractNumId w:val="4"/>
  </w:num>
  <w:num w:numId="8" w16cid:durableId="1446384853">
    <w:abstractNumId w:val="12"/>
  </w:num>
  <w:num w:numId="9" w16cid:durableId="1577284076">
    <w:abstractNumId w:val="11"/>
  </w:num>
  <w:num w:numId="10" w16cid:durableId="1663466867">
    <w:abstractNumId w:val="3"/>
  </w:num>
  <w:num w:numId="11" w16cid:durableId="130636186">
    <w:abstractNumId w:val="2"/>
  </w:num>
  <w:num w:numId="12" w16cid:durableId="93287088">
    <w:abstractNumId w:val="6"/>
  </w:num>
  <w:num w:numId="13" w16cid:durableId="850074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5DDD"/>
    <w:rsid w:val="00057E95"/>
    <w:rsid w:val="00092302"/>
    <w:rsid w:val="00120E99"/>
    <w:rsid w:val="00197F06"/>
    <w:rsid w:val="004F777D"/>
    <w:rsid w:val="00503B66"/>
    <w:rsid w:val="0058304F"/>
    <w:rsid w:val="005E6D45"/>
    <w:rsid w:val="00653615"/>
    <w:rsid w:val="006B7579"/>
    <w:rsid w:val="006D6921"/>
    <w:rsid w:val="007D10C0"/>
    <w:rsid w:val="009A2DEE"/>
    <w:rsid w:val="009B188F"/>
    <w:rsid w:val="00A97E0B"/>
    <w:rsid w:val="00AA006C"/>
    <w:rsid w:val="00AC33FA"/>
    <w:rsid w:val="00B01890"/>
    <w:rsid w:val="00B05DDD"/>
    <w:rsid w:val="00B3690D"/>
    <w:rsid w:val="00B61DEF"/>
    <w:rsid w:val="00CB4E46"/>
    <w:rsid w:val="00CE3426"/>
    <w:rsid w:val="00EC42F2"/>
    <w:rsid w:val="00F53AF3"/>
    <w:rsid w:val="00FA1076"/>
    <w:rsid w:val="00FE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199A8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503B66"/>
    <w:pPr>
      <w:numPr>
        <w:numId w:val="13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="MS Mincho" w:hAnsi="Aptos" w:cs="Gautam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925</Words>
  <Characters>5276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43</cp:revision>
  <dcterms:created xsi:type="dcterms:W3CDTF">2026-03-24T06:32:00Z</dcterms:created>
  <dcterms:modified xsi:type="dcterms:W3CDTF">2026-09-01T12:57:00Z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