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50BEE2" w14:textId="77777777" w:rsidR="002C4040" w:rsidRPr="00855721" w:rsidRDefault="00000000">
      <w:pPr>
        <w:pStyle w:val="Title"/>
        <w:jc w:val="center"/>
        <w:rPr>
          <w:color w:val="auto"/>
        </w:rPr>
      </w:pPr>
      <w:r w:rsidRPr="00855721">
        <w:rPr>
          <w:rFonts w:ascii="Times New Roman" w:eastAsia="Times New Roman" w:hAnsi="Times New Roman"/>
          <w:color w:val="auto"/>
        </w:rPr>
        <w:t>Antimicrobial De-escalation in Clinical Practice: Current Evidence, Challenges, and Future Directions</w:t>
      </w:r>
    </w:p>
    <w:p w14:paraId="3CB7AEE1" w14:textId="77777777" w:rsidR="002C4040" w:rsidRPr="00855721" w:rsidRDefault="00000000">
      <w:pPr>
        <w:keepNext/>
        <w:spacing w:before="40" w:after="80"/>
      </w:pPr>
      <w:r w:rsidRPr="00855721">
        <w:rPr>
          <w:rFonts w:eastAsia="Times New Roman"/>
          <w:b/>
          <w:sz w:val="24"/>
        </w:rPr>
        <w:t>Abstract</w:t>
      </w:r>
    </w:p>
    <w:p w14:paraId="6DBCD237" w14:textId="77777777" w:rsidR="002C4040" w:rsidRPr="00855721" w:rsidRDefault="00000000">
      <w:pPr>
        <w:jc w:val="both"/>
      </w:pPr>
      <w:r w:rsidRPr="00855721">
        <w:rPr>
          <w:rFonts w:eastAsia="Times New Roman"/>
        </w:rPr>
        <w:t xml:space="preserve">Antimicrobial de-escalation is a central but incompletely resolved component of hospital antimicrobial stewardship. It seeks to reduce unnecessary </w:t>
      </w:r>
      <w:r w:rsidRPr="00C43CF0">
        <w:rPr>
          <w:rFonts w:eastAsia="Times New Roman"/>
        </w:rPr>
        <w:t>breadth of antibacterial treatment after initial empirical therapy by discontinuing redundant agents, replacing broad-spectrum drugs with narrower alternatives, or stopping therapy when bacterial infection becomes unlikely. The clinical logic is compelling: early adequate therapy remains essential in severe infection, yet continued broad-spectrum exposure contributes to adverse drug events, ecological disruption and selection pressure. The evidence base, however, is methodologically uneven. Observational studies repeatedly associate de-escalation with equal or better clinical outcomes, but the decision to de-escalate is strongly influenced by improving physiology, microbiological documentation and lower perceived risk, creating substantial confounding by indication and clinical trajectory. Randomised evidence is limited and does not establish a mortality benefit</w:t>
      </w:r>
      <w:r w:rsidRPr="00855721">
        <w:rPr>
          <w:rFonts w:eastAsia="Times New Roman"/>
        </w:rPr>
        <w:t xml:space="preserve">. Recent multicentre cohorts, target-trial emulations and pragmatic stewardship trials strengthen the safety case for de-escalation in selected patients with sepsis, including many with negative cultures, while also demonstrating large inter-hospital variation and persistent behavioural barriers. Diagnostic innovations can accelerate actionable information, but rapid organism identification, susceptibility testing or methicillin-resistant </w:t>
      </w:r>
      <w:r w:rsidRPr="00855721">
        <w:rPr>
          <w:rFonts w:eastAsia="Times New Roman"/>
          <w:i/>
        </w:rPr>
        <w:t>Staphylococcus aureus</w:t>
      </w:r>
      <w:r w:rsidRPr="00855721">
        <w:rPr>
          <w:rFonts w:eastAsia="Times New Roman"/>
        </w:rPr>
        <w:t xml:space="preserve"> screening do not automatically reduce broad-spectrum exposure unless embedded within stewardship workflows. Evidence that de-escalation itself prevents antimicrobial resistance remains notably weaker than evidence that it reduces exposure to selected broad-spectrum agents. This critical narrative review synthesises clinical effectiveness, measurement approaches, diagnostic enablers, implementation barriers and ecological uncertainties across acute hospital practice. It argues that de-escalation should be understood as a structured reassessment process rather than a single drug-switch event, with decisions anchored to adequacy of initial therapy, source control, evolving infection probability, microbiological data, host risk and clinical trajectory. Priority research should standardise exposure definitions, use causal designs that address time-varying confounding, measure ecological as well as patient-centred outcomes, and test diagnostic-stewardship interventions in diverse healthcare settings.</w:t>
      </w:r>
    </w:p>
    <w:p w14:paraId="7FD97812" w14:textId="77777777" w:rsidR="002C4040" w:rsidRPr="00855721" w:rsidRDefault="00000000">
      <w:pPr>
        <w:spacing w:before="80" w:after="200"/>
      </w:pPr>
      <w:r w:rsidRPr="00855721">
        <w:rPr>
          <w:rFonts w:eastAsia="Times New Roman"/>
          <w:b/>
          <w:sz w:val="22"/>
        </w:rPr>
        <w:t>Keywords:</w:t>
      </w:r>
      <w:r w:rsidRPr="00855721">
        <w:rPr>
          <w:rFonts w:eastAsia="Times New Roman"/>
          <w:sz w:val="22"/>
        </w:rPr>
        <w:t xml:space="preserve"> antimicrobial stewardship; antibiotic de-escalation; sepsis; critical care; rapid diagnostics; antibiotic spectrum; antimicrobial resistance; clinical decision-making</w:t>
      </w:r>
    </w:p>
    <w:p w14:paraId="54E0408D" w14:textId="77777777" w:rsidR="002C4040" w:rsidRPr="00855721" w:rsidRDefault="00000000">
      <w:pPr>
        <w:pStyle w:val="Heading1"/>
        <w:rPr>
          <w:color w:val="auto"/>
        </w:rPr>
      </w:pPr>
      <w:r w:rsidRPr="00855721">
        <w:rPr>
          <w:rFonts w:ascii="Times New Roman" w:eastAsia="Times New Roman" w:hAnsi="Times New Roman"/>
          <w:color w:val="auto"/>
        </w:rPr>
        <w:t>1. Introduction</w:t>
      </w:r>
    </w:p>
    <w:p w14:paraId="3A193E5C" w14:textId="77777777" w:rsidR="002C4040" w:rsidRPr="00855721" w:rsidRDefault="00000000">
      <w:pPr>
        <w:jc w:val="both"/>
      </w:pPr>
      <w:r w:rsidRPr="00855721">
        <w:rPr>
          <w:rFonts w:eastAsia="Times New Roman"/>
        </w:rPr>
        <w:t>Antimicrobial treatment in acute care is governed by a recurring tension. When severe bacterial infection is plausible, delay or inadequate empirical coverage can be harmful, particularly in sepsis and septic shock. At the same time, broad empirical regimens expose many patients to drugs they ultimately do not need, because the responsible pathogen is susceptible to a narrower agent, because combination therapy is no longer necessary, or because subsequent evidence makes bacterial infection less likely. Contemporary stewardship therefore depends not only on the quality of the initial prescription but also on what happens when diagnostic and clinical information accumulates. De-escalation is the point at which early uncertainty is converted into a more discriminating treatment strategy (Dellit et al., 2007; Dyar et al., 2017; Evans et al., 2021).</w:t>
      </w:r>
    </w:p>
    <w:p w14:paraId="757A20CB" w14:textId="77777777" w:rsidR="002C4040" w:rsidRPr="00855721" w:rsidRDefault="00000000">
      <w:pPr>
        <w:jc w:val="both"/>
      </w:pPr>
      <w:r w:rsidRPr="00855721">
        <w:rPr>
          <w:rFonts w:eastAsia="Times New Roman"/>
        </w:rPr>
        <w:t>The term antimicrobial de-escalation (ADE) is used inconsistently. In its narrowest sense, it denotes discontinuation of one or more drugs from empirical combination therapy or replacement of a broad-</w:t>
      </w:r>
      <w:r w:rsidRPr="00855721">
        <w:rPr>
          <w:rFonts w:eastAsia="Times New Roman"/>
        </w:rPr>
        <w:lastRenderedPageBreak/>
        <w:t>spectrum agent with one of narrower antibacterial activity. Broader definitions also include complete discontinuation when infection is not supported. Some operational definitions count reductions in the number of drugs, while others rank agents or calculate spectrum scores. Intravenous-to-oral conversion, dose optimisation and shortening total duration may accompany de-escalation but are conceptually distinct because they do not necessarily reduce antibacterial spectrum. This heterogeneity is not semantic trivia: it changes who is classified as de-escalated, which studies can be compared, and what outcome an intervention is actually expected to influence (Madaras-Kelly et al., 2014; Moehring et al., 2021; Tabah et al., 2016, 2020).</w:t>
      </w:r>
    </w:p>
    <w:p w14:paraId="6948EFA0" w14:textId="77777777" w:rsidR="002C4040" w:rsidRPr="00855721" w:rsidRDefault="00000000">
      <w:pPr>
        <w:jc w:val="both"/>
      </w:pPr>
      <w:r w:rsidRPr="00855721">
        <w:rPr>
          <w:rFonts w:eastAsia="Times New Roman"/>
        </w:rPr>
        <w:t xml:space="preserve">The stewardship rationale for de-escalation rests on several propositions of unequal evidential strength. There is strong general evidence that unnecessary antibiotic exposure produces patient-level adverse events and that prolonged exposure to broad antipseudomonal therapy is associated with subsequent resistance. There is also evidence that unnecessarily broad empirical therapy is common in sepsis and may be associated with adverse outcomes. It is therefore reasonable to minimise exposure once broader coverage ceases to offer plausible benefit (Rhee et al., 2020; Tamma et al., 2017; Teshome et al., 2019). More difficult is the narrower causal claim that an act of de-escalation, considered as a discrete intervention, improves survival or reduces resistance. Patients selected for de-escalation are often those who are already improving, have susceptible pathogens, have achieved source control or are judged less likely to deteriorate. </w:t>
      </w:r>
      <w:r w:rsidRPr="00C43CF0">
        <w:rPr>
          <w:rFonts w:eastAsia="Times New Roman"/>
        </w:rPr>
        <w:t>The resulting confounding</w:t>
      </w:r>
      <w:r w:rsidRPr="00855721">
        <w:rPr>
          <w:rFonts w:eastAsia="Times New Roman"/>
        </w:rPr>
        <w:t xml:space="preserve"> can create an apparent protective effect even when treatment modification itself is neutral (De Waele et al., 2020; Tabah et al., 2016).</w:t>
      </w:r>
    </w:p>
    <w:p w14:paraId="2E1DABE9" w14:textId="77777777" w:rsidR="002C4040" w:rsidRPr="00855721" w:rsidRDefault="00000000">
      <w:pPr>
        <w:jc w:val="both"/>
      </w:pPr>
      <w:r w:rsidRPr="00855721">
        <w:rPr>
          <w:rFonts w:eastAsia="Times New Roman"/>
        </w:rPr>
        <w:t xml:space="preserve">This distinction explains the persistent contrast between observational and randomised evidence. Large observational cohorts and meta-analyses have generally found no signal of excess mortality and often report lower mortality among de-escalated patients. </w:t>
      </w:r>
      <w:commentRangeStart w:id="0"/>
      <w:r w:rsidRPr="00581DCF">
        <w:rPr>
          <w:rFonts w:eastAsia="Times New Roman"/>
          <w:highlight w:val="yellow"/>
        </w:rPr>
        <w:t>Yet the principal randomised trial in severe sepsis did not demonstrate a mortality advantage, was small and used intensive-care-unit length of stay rather than mortality as its primary endpoint; unexpectedly, de-escalation was accompanied by more superinfections and more antibiotic days in that study (Leone et al., 20</w:t>
      </w:r>
      <w:r w:rsidRPr="00855721">
        <w:rPr>
          <w:rFonts w:eastAsia="Times New Roman"/>
        </w:rPr>
        <w:t>14)</w:t>
      </w:r>
      <w:commentRangeEnd w:id="0"/>
      <w:r w:rsidR="00B435D8">
        <w:rPr>
          <w:rStyle w:val="CommentReference"/>
        </w:rPr>
        <w:commentReference w:id="0"/>
      </w:r>
      <w:r w:rsidRPr="00855721">
        <w:rPr>
          <w:rFonts w:eastAsia="Times New Roman"/>
        </w:rPr>
        <w:t xml:space="preserve">. </w:t>
      </w:r>
      <w:r w:rsidRPr="00C43CF0">
        <w:rPr>
          <w:rFonts w:eastAsia="Times New Roman"/>
        </w:rPr>
        <w:t xml:space="preserve">The international </w:t>
      </w:r>
      <w:commentRangeStart w:id="1"/>
      <w:r w:rsidRPr="00581DCF">
        <w:rPr>
          <w:rFonts w:eastAsia="Times New Roman"/>
          <w:highlight w:val="yellow"/>
        </w:rPr>
        <w:t>DIANA</w:t>
      </w:r>
      <w:commentRangeEnd w:id="1"/>
      <w:r w:rsidR="00B435D8">
        <w:rPr>
          <w:rStyle w:val="CommentReference"/>
        </w:rPr>
        <w:commentReference w:id="1"/>
      </w:r>
      <w:r w:rsidRPr="00855721">
        <w:rPr>
          <w:rFonts w:eastAsia="Times New Roman"/>
        </w:rPr>
        <w:t xml:space="preserve"> cohort subsequently used inverse-probability weighting to address time-varying confounding and found no suggestion of worse clinical cure with early de-escalation, while explicitly acknowledging likely residual </w:t>
      </w:r>
      <w:commentRangeStart w:id="2"/>
      <w:r w:rsidRPr="00581DCF">
        <w:rPr>
          <w:rFonts w:eastAsia="Times New Roman"/>
          <w:highlight w:val="yellow"/>
        </w:rPr>
        <w:t>confoundi</w:t>
      </w:r>
      <w:r w:rsidRPr="00855721">
        <w:rPr>
          <w:rFonts w:eastAsia="Times New Roman"/>
        </w:rPr>
        <w:t>ng</w:t>
      </w:r>
      <w:commentRangeEnd w:id="2"/>
      <w:r w:rsidR="00B435D8">
        <w:rPr>
          <w:rStyle w:val="CommentReference"/>
        </w:rPr>
        <w:commentReference w:id="2"/>
      </w:r>
      <w:r w:rsidRPr="00855721">
        <w:rPr>
          <w:rFonts w:eastAsia="Times New Roman"/>
        </w:rPr>
        <w:t xml:space="preserve"> (De Bus et al., 2020). More recent large datasets have extended the safety evidence, including target-trial emulations in community-onset sepsis and analyses of culture-negative sepsis, but they remain non-randomised (Gupta et al., 2026; Kam et al., 2025; Ohnuma et al., 2026).</w:t>
      </w:r>
    </w:p>
    <w:p w14:paraId="4358DADE" w14:textId="77777777" w:rsidR="002C4040" w:rsidRPr="00855721" w:rsidRDefault="00000000">
      <w:pPr>
        <w:jc w:val="both"/>
      </w:pPr>
      <w:r w:rsidRPr="00855721">
        <w:rPr>
          <w:rFonts w:eastAsia="Times New Roman"/>
        </w:rPr>
        <w:t xml:space="preserve">Clinical practice has also changed around the de-escalation decision. Multiplex molecular diagnostics, rapid phenotypic susceptibility testing, methicillin-resistant </w:t>
      </w:r>
      <w:r w:rsidRPr="00855721">
        <w:rPr>
          <w:rFonts w:eastAsia="Times New Roman"/>
          <w:i/>
        </w:rPr>
        <w:t>Staphylococcus aureus</w:t>
      </w:r>
      <w:r w:rsidRPr="00855721">
        <w:rPr>
          <w:rFonts w:eastAsia="Times New Roman"/>
        </w:rPr>
        <w:t xml:space="preserve"> (MRSA) nasal polymerase chain reaction (PCR) testing and increasingly sophisticated electronic stewardship systems can shorten the interval between empirical treatment and actionable evidence. The critical question has shifted from whether faster data are technically obtainable to whether those data alter prescribing reliably. </w:t>
      </w:r>
      <w:commentRangeStart w:id="3"/>
      <w:r w:rsidRPr="00581DCF">
        <w:rPr>
          <w:rFonts w:eastAsia="Times New Roman"/>
          <w:highlight w:val="yellow"/>
        </w:rPr>
        <w:t>Randomised and quasi-experimental studies show that rapid blood-culture diagnostics can accelerate antibiotic modification, particularly when coupled to antimicrobial stewardship review, whereas recent randomised evidence shows that a high-negative-predictive-value MRSA nasal PCR test may have little effect on vancomycin exposure when delivered without sufficiently effective behavioural or stewardship translation (Banerjee</w:t>
      </w:r>
      <w:r w:rsidRPr="00855721">
        <w:rPr>
          <w:rFonts w:eastAsia="Times New Roman"/>
        </w:rPr>
        <w:t xml:space="preserve"> </w:t>
      </w:r>
      <w:commentRangeEnd w:id="3"/>
      <w:r w:rsidR="00B435D8">
        <w:rPr>
          <w:rStyle w:val="CommentReference"/>
        </w:rPr>
        <w:commentReference w:id="3"/>
      </w:r>
      <w:r w:rsidRPr="00855721">
        <w:rPr>
          <w:rFonts w:eastAsia="Times New Roman"/>
        </w:rPr>
        <w:t>et al., 2015, 2021; Bookstaver et al., 2017; Freiberg et al., 2026).</w:t>
      </w:r>
    </w:p>
    <w:p w14:paraId="42D14C97" w14:textId="77777777" w:rsidR="002C4040" w:rsidRPr="00855721" w:rsidRDefault="00000000">
      <w:pPr>
        <w:jc w:val="both"/>
      </w:pPr>
      <w:r w:rsidRPr="00855721">
        <w:rPr>
          <w:rFonts w:eastAsia="Times New Roman"/>
        </w:rPr>
        <w:t xml:space="preserve">Existing reviews have established that ADE is generally feasible and has not been associated consistently with worse outcomes, especially in intensive care, but they also expose recurring weaknesses: variable definitions, strong selection effects, limited randomised evidence, insufficient separation of discontinuation </w:t>
      </w:r>
      <w:r w:rsidRPr="00855721">
        <w:rPr>
          <w:rFonts w:eastAsia="Times New Roman"/>
        </w:rPr>
        <w:lastRenderedPageBreak/>
        <w:t xml:space="preserve">from spectrum narrowing, and little direct measurement of resistance or microbiome outcomes (Paul et al., 2016; Tabah et al., 2016; Tanzarella et al., 2024). </w:t>
      </w:r>
      <w:commentRangeStart w:id="4"/>
      <w:r w:rsidRPr="00855721">
        <w:rPr>
          <w:rFonts w:eastAsia="Times New Roman"/>
        </w:rPr>
        <w:t xml:space="preserve">Since those foundational syntheses, multicentre pragmatic interventions, large hospital-network cohorts, target-trial </w:t>
      </w:r>
      <w:proofErr w:type="gramStart"/>
      <w:r w:rsidRPr="00855721">
        <w:rPr>
          <w:rFonts w:eastAsia="Times New Roman"/>
        </w:rPr>
        <w:t>emulations</w:t>
      </w:r>
      <w:proofErr w:type="gramEnd"/>
      <w:r w:rsidRPr="00855721">
        <w:rPr>
          <w:rFonts w:eastAsia="Times New Roman"/>
        </w:rPr>
        <w:t xml:space="preserve"> and new diagnostic trials have materially changed the evidential landscape</w:t>
      </w:r>
      <w:commentRangeEnd w:id="4"/>
      <w:r w:rsidR="00B435D8">
        <w:rPr>
          <w:rStyle w:val="CommentReference"/>
        </w:rPr>
        <w:commentReference w:id="4"/>
      </w:r>
      <w:r w:rsidRPr="00855721">
        <w:rPr>
          <w:rFonts w:eastAsia="Times New Roman"/>
        </w:rPr>
        <w:t>. The field therefore requires a synthesis that does not treat all forms of de-escalation as equivalent and that connects causal evidence, measurement, diagnostics and implementation.</w:t>
      </w:r>
    </w:p>
    <w:p w14:paraId="727423CE" w14:textId="77777777" w:rsidR="002C4040" w:rsidRPr="00855721" w:rsidRDefault="00000000">
      <w:pPr>
        <w:pStyle w:val="Heading2"/>
        <w:rPr>
          <w:color w:val="auto"/>
        </w:rPr>
      </w:pPr>
      <w:r w:rsidRPr="00855721">
        <w:rPr>
          <w:rFonts w:ascii="Times New Roman" w:eastAsia="Times New Roman" w:hAnsi="Times New Roman"/>
          <w:color w:val="auto"/>
        </w:rPr>
        <w:t>1.1 Scope, Research Gap and Objectives</w:t>
      </w:r>
    </w:p>
    <w:p w14:paraId="6C8E85B4" w14:textId="77777777" w:rsidR="002C4040" w:rsidRPr="00855721" w:rsidRDefault="00000000">
      <w:pPr>
        <w:jc w:val="both"/>
      </w:pPr>
      <w:r w:rsidRPr="00855721">
        <w:rPr>
          <w:rFonts w:eastAsia="Times New Roman"/>
        </w:rPr>
        <w:t xml:space="preserve">This review examines antibacterial de-escalation in acute hospital practice, with emphasis on adults with sepsis, critical illness, pneumonia and bloodstream infection. It considers de-escalation after empirical therapy, including narrowing spectrum, discontinuing redundant combination agents and stopping antibiotics when the probability of bacterial infection becomes sufficiently low. Evidence from immunocompromised populations is included where it illuminates limits to generalisability. Long-term treatment programmes for infections requiring highly </w:t>
      </w:r>
      <w:r w:rsidRPr="00AA141A">
        <w:rPr>
          <w:rFonts w:eastAsia="Times New Roman"/>
        </w:rPr>
        <w:t>protocolised</w:t>
      </w:r>
      <w:r w:rsidRPr="00855721">
        <w:rPr>
          <w:rFonts w:eastAsia="Times New Roman"/>
        </w:rPr>
        <w:t xml:space="preserve"> multidrug therapy, routine outpatient prescribing, primary antifungal or antiviral de-escalation, and intravenous-to-oral conversion or duration reduction in isolation are outside the central scope.</w:t>
      </w:r>
    </w:p>
    <w:p w14:paraId="32AC2B93" w14:textId="77777777" w:rsidR="002C4040" w:rsidRPr="00855721" w:rsidRDefault="00000000">
      <w:pPr>
        <w:jc w:val="both"/>
      </w:pPr>
      <w:r w:rsidRPr="00855721">
        <w:rPr>
          <w:rFonts w:eastAsia="Times New Roman"/>
        </w:rPr>
        <w:t xml:space="preserve">The principal knowledge gap is not whether reducing unnecessary antimicrobial exposure is desirable, but how confidently clinicians can identify when and how to de-escalate without sacrificing adequacy of treatment, and which outcomes can validly be attributed to the de-escalation decision itself. The objectives are to clarify definitions and measurement, </w:t>
      </w:r>
      <w:r w:rsidRPr="00C43CF0">
        <w:rPr>
          <w:rFonts w:eastAsia="Times New Roman"/>
        </w:rPr>
        <w:t>critically appraise safety and effectiveness across major acute-care syndromes, examine diagnostic and organisational enablers, distinguish patient-level evidence from ecological assumptions, identify barriers to implementation, and propose</w:t>
      </w:r>
      <w:r w:rsidRPr="00855721">
        <w:rPr>
          <w:rFonts w:eastAsia="Times New Roman"/>
        </w:rPr>
        <w:t xml:space="preserve"> a clinically usable framework and prioritised research agenda.</w:t>
      </w:r>
    </w:p>
    <w:p w14:paraId="12107082" w14:textId="77777777" w:rsidR="002C4040" w:rsidRPr="00855721" w:rsidRDefault="00000000">
      <w:pPr>
        <w:pStyle w:val="Heading1"/>
        <w:rPr>
          <w:color w:val="auto"/>
        </w:rPr>
      </w:pPr>
      <w:r w:rsidRPr="00855721">
        <w:rPr>
          <w:rFonts w:ascii="Times New Roman" w:eastAsia="Times New Roman" w:hAnsi="Times New Roman"/>
          <w:color w:val="auto"/>
        </w:rPr>
        <w:t>2. Methods for Literature Selection</w:t>
      </w:r>
    </w:p>
    <w:p w14:paraId="1BB8F75B" w14:textId="77777777" w:rsidR="002C4040" w:rsidRPr="00855721" w:rsidRDefault="00000000">
      <w:pPr>
        <w:pStyle w:val="Heading2"/>
        <w:rPr>
          <w:color w:val="auto"/>
        </w:rPr>
      </w:pPr>
      <w:r w:rsidRPr="00855721">
        <w:rPr>
          <w:rFonts w:ascii="Times New Roman" w:eastAsia="Times New Roman" w:hAnsi="Times New Roman"/>
          <w:color w:val="auto"/>
        </w:rPr>
        <w:t>2.1 Review Design and Rationale</w:t>
      </w:r>
    </w:p>
    <w:p w14:paraId="21F62684" w14:textId="77777777" w:rsidR="002C4040" w:rsidRPr="00855721" w:rsidRDefault="00000000">
      <w:pPr>
        <w:jc w:val="both"/>
      </w:pPr>
      <w:r w:rsidRPr="00855721">
        <w:rPr>
          <w:rFonts w:eastAsia="Times New Roman"/>
        </w:rPr>
        <w:t>A critical narrative review design was used because the topic spans several related but non-identical questions: the definition and measurement of ADE; its causal effect on patient outcomes; diagnostic and stewardship interventions that enable earlier modification; ecological consequences; and implementation across heterogeneous syndromes and healthcare settings. A conventional meta-analysis would require a substantially narrower intervention and outcome definition than the field currently supports. The review nevertheless applied explicit searching, eligibility criteria and critical appraisal, consistent with the expectation that narrative synthesis should disclose its information sources, reasoning and evidence hierarchy rather than rely on unsystematic citation selection (Baethge et al., 2019).</w:t>
      </w:r>
    </w:p>
    <w:p w14:paraId="7B30623A" w14:textId="77777777" w:rsidR="002C4040" w:rsidRPr="00855721" w:rsidRDefault="00000000">
      <w:pPr>
        <w:pStyle w:val="Heading2"/>
        <w:rPr>
          <w:color w:val="auto"/>
        </w:rPr>
      </w:pPr>
      <w:r w:rsidRPr="00855721">
        <w:rPr>
          <w:rFonts w:ascii="Times New Roman" w:eastAsia="Times New Roman" w:hAnsi="Times New Roman"/>
          <w:color w:val="auto"/>
        </w:rPr>
        <w:t>2.2 Information Sources</w:t>
      </w:r>
    </w:p>
    <w:p w14:paraId="0A3547D4" w14:textId="77777777" w:rsidR="002C4040" w:rsidRPr="00855721" w:rsidRDefault="00000000">
      <w:pPr>
        <w:jc w:val="both"/>
      </w:pPr>
      <w:r w:rsidRPr="00855721">
        <w:rPr>
          <w:rFonts w:eastAsia="Times New Roman"/>
        </w:rPr>
        <w:t>Literature was searched in PubMed, Europe PMC, OpenAlex, Crossref, Semantic Scholar and the Directory of Open Access Journals (DOAJ). Database searching was supplemented by backward citation checking from influential reviews, guidelines and primary studies; forward and related-article searching for pivotal studies; and targeted verification of bibliographic metadata, corrections and Digital Object Identifiers (DOIs). Authoritative professional clinical guidelines were used when they directly informed current practice in sepsis, pneumonia or antimicrobial stewardship.</w:t>
      </w:r>
    </w:p>
    <w:p w14:paraId="39115420" w14:textId="77777777" w:rsidR="002C4040" w:rsidRPr="00855721" w:rsidRDefault="00000000">
      <w:pPr>
        <w:pStyle w:val="Heading2"/>
        <w:rPr>
          <w:color w:val="auto"/>
        </w:rPr>
      </w:pPr>
      <w:r w:rsidRPr="00855721">
        <w:rPr>
          <w:rFonts w:ascii="Times New Roman" w:eastAsia="Times New Roman" w:hAnsi="Times New Roman"/>
          <w:color w:val="auto"/>
        </w:rPr>
        <w:lastRenderedPageBreak/>
        <w:t>2.3 Search Strategy and Search Period</w:t>
      </w:r>
    </w:p>
    <w:p w14:paraId="68D52DBC" w14:textId="77777777" w:rsidR="002C4040" w:rsidRPr="00855721" w:rsidRDefault="00000000">
      <w:pPr>
        <w:jc w:val="both"/>
      </w:pPr>
      <w:r w:rsidRPr="00855721">
        <w:rPr>
          <w:rFonts w:eastAsia="Times New Roman"/>
        </w:rPr>
        <w:t>The principal search period was 1 January 2000 to 30 June 2026. The starting year was selected to capture the modern stewardship era in which broad empirical therapy followed by structured reassessment and de-escalation became an explicit clinical strategy. Representative search concepts combined de-escalation terminology with major acute-care syndromes and outcomes. A core search structure was: ("antimicrobial de-escalation" OR "antibiotic de-escalation" OR streamlining OR narrowing) AND (sepsis OR "septic shock" OR "critical care" OR pneumonia OR "bloodstream infection") AND (mortality OR "clinical cure" OR safety OR resistance OR stewardship OR implementation OR diagnostic*). Additional searches used terms for culture-negative infection, spectrum score, rapid diagnostics, antimicrobial susceptibility testing, MRSA nasal screening, procalcitonin, opt-out stewardship, combination therapy and antibiotic discontinuation. Search syntax was adapted to the indexing characteristics of each source while preserving these concepts.</w:t>
      </w:r>
    </w:p>
    <w:p w14:paraId="55486488" w14:textId="77777777" w:rsidR="002C4040" w:rsidRPr="00855721" w:rsidRDefault="00000000">
      <w:pPr>
        <w:pStyle w:val="Heading2"/>
        <w:rPr>
          <w:color w:val="auto"/>
        </w:rPr>
      </w:pPr>
      <w:r w:rsidRPr="00855721">
        <w:rPr>
          <w:rFonts w:ascii="Times New Roman" w:eastAsia="Times New Roman" w:hAnsi="Times New Roman"/>
          <w:color w:val="auto"/>
        </w:rPr>
        <w:t>2.4 Eligibility Criteria</w:t>
      </w:r>
    </w:p>
    <w:p w14:paraId="55458A13" w14:textId="77777777" w:rsidR="002C4040" w:rsidRPr="00855721" w:rsidRDefault="00000000">
      <w:pPr>
        <w:jc w:val="both"/>
      </w:pPr>
      <w:r w:rsidRPr="00855721">
        <w:rPr>
          <w:rFonts w:eastAsia="Times New Roman"/>
        </w:rPr>
        <w:t>Priority was given to peer-reviewed randomised trials, prospective and multicentre observational studies, carefully adjusted retrospective cohorts, systematic reviews and meta-analyses, methodological studies of ADE measurement, and major evidence-based clinical guidelines. Studies were eligible when they directly addressed spectrum narrowing, discontinuation of redundant empirical therapy, cessation after declining suspicion of bacterial infection, or interventions designed to produce these changes. Acute-care adult evidence was prioritised. Selected immunocompromised evidence was included only where it clarified population-specific uncertainty. Studies whose intervention concerned only route conversion, dose adjustment or treatment duration without a de-escalation component were not treated as direct ADE evidence, although biomarker-guided discontinuation evidence was considered in the diagnostic section because it informs cessation decisions.</w:t>
      </w:r>
    </w:p>
    <w:p w14:paraId="67CEDE7B" w14:textId="77777777" w:rsidR="002C4040" w:rsidRPr="00855721" w:rsidRDefault="00000000">
      <w:pPr>
        <w:jc w:val="both"/>
      </w:pPr>
      <w:r w:rsidRPr="00855721">
        <w:rPr>
          <w:rFonts w:eastAsia="Times New Roman"/>
        </w:rPr>
        <w:t>Low-quality non-peer-reviewed material, unverifiable citations, promotional sources, isolated abstracts without adequate study detail, and sources whose bibliographic identity or DOI could not be confirmed were excluded. Preprints were not required because peer-reviewed evidence was available for the principal questions. English-language sources were used because reliable full-text verification and claim-level interpretation were required.</w:t>
      </w:r>
    </w:p>
    <w:p w14:paraId="0639FDE3" w14:textId="77777777" w:rsidR="002C4040" w:rsidRPr="00855721" w:rsidRDefault="00000000">
      <w:pPr>
        <w:pStyle w:val="Heading2"/>
        <w:rPr>
          <w:color w:val="auto"/>
        </w:rPr>
      </w:pPr>
      <w:r w:rsidRPr="00855721">
        <w:rPr>
          <w:rFonts w:ascii="Times New Roman" w:eastAsia="Times New Roman" w:hAnsi="Times New Roman"/>
          <w:color w:val="auto"/>
        </w:rPr>
        <w:t>2.5 Screening, Duplicate Handling and Study Selection</w:t>
      </w:r>
    </w:p>
    <w:p w14:paraId="79CDA1D6" w14:textId="77777777" w:rsidR="002C4040" w:rsidRPr="00855721" w:rsidRDefault="00000000">
      <w:pPr>
        <w:jc w:val="both"/>
      </w:pPr>
      <w:r w:rsidRPr="00855721">
        <w:rPr>
          <w:rFonts w:eastAsia="Times New Roman"/>
        </w:rPr>
        <w:t>Titles and abstracts were assessed for direct relevance to antimicrobial de-escalation, and potentially relevant full texts or sufficiently detailed indexed records were then evaluated for design, population, intervention definition, outcomes and methodological limitations. Duplicate records across sources were reconciled using DOI, PubMed identifier, title, author and publication-year metadata. When multiple reports described overlapping cohorts, the report most relevant to the question and with the clearest methodological detail was prioritised. Sources that could not be verified sufficiently to support a specific claim were not retained. No record counts are reported because the purpose was a critical narrative synthesis rather than a formally exhaustive systematic-review selection process.</w:t>
      </w:r>
    </w:p>
    <w:p w14:paraId="60C68DAB" w14:textId="77777777" w:rsidR="002C4040" w:rsidRPr="00855721" w:rsidRDefault="00000000">
      <w:pPr>
        <w:pStyle w:val="Heading2"/>
        <w:rPr>
          <w:color w:val="auto"/>
        </w:rPr>
      </w:pPr>
      <w:r w:rsidRPr="00855721">
        <w:rPr>
          <w:rFonts w:ascii="Times New Roman" w:eastAsia="Times New Roman" w:hAnsi="Times New Roman"/>
          <w:color w:val="auto"/>
        </w:rPr>
        <w:t>2.6 Critical Appraisal and Evidence Synthesis</w:t>
      </w:r>
    </w:p>
    <w:p w14:paraId="3C35CDEF" w14:textId="77777777" w:rsidR="002C4040" w:rsidRPr="00855721" w:rsidRDefault="00000000">
      <w:pPr>
        <w:jc w:val="both"/>
      </w:pPr>
      <w:r w:rsidRPr="00855721">
        <w:rPr>
          <w:rFonts w:eastAsia="Times New Roman"/>
        </w:rPr>
        <w:t xml:space="preserve">Evidence was appraised according to design appropriateness, sample size, representativeness, definition of ADE, timing of treatment classification, adequacy of empirical therapy, control of baseline and time-varying confounding, handling of immortal-time and survivor biases, outcome ascertainment, statistical </w:t>
      </w:r>
      <w:r w:rsidRPr="00855721">
        <w:rPr>
          <w:rFonts w:eastAsia="Times New Roman"/>
        </w:rPr>
        <w:lastRenderedPageBreak/>
        <w:t>adjustment, external validity and directness of the outcome to the proposed mechanism. Randomised evidence received particular weight for causal inference, while large target-trial emulations and studies using time-updated severity measures were interpreted as stronger observational evidence than simple exposed-versus-unexposed comparisons. No formal risk-of-bias score was assigned. Findings were organised thematically and apparent contradictions were interpreted in relation to study design, syndrome, timing, microbiological documentation, definition of de-escalation and implementation context.</w:t>
      </w:r>
    </w:p>
    <w:p w14:paraId="772A2A7B" w14:textId="77777777" w:rsidR="002C4040" w:rsidRPr="00855721" w:rsidRDefault="00000000">
      <w:pPr>
        <w:pStyle w:val="Heading1"/>
        <w:rPr>
          <w:color w:val="auto"/>
        </w:rPr>
      </w:pPr>
      <w:r w:rsidRPr="00855721">
        <w:rPr>
          <w:rFonts w:ascii="Times New Roman" w:eastAsia="Times New Roman" w:hAnsi="Times New Roman"/>
          <w:color w:val="auto"/>
        </w:rPr>
        <w:t>3. Conceptual Foundations and Measurement</w:t>
      </w:r>
    </w:p>
    <w:p w14:paraId="27AC96AA" w14:textId="77777777" w:rsidR="002C4040" w:rsidRPr="00855721" w:rsidRDefault="00000000">
      <w:pPr>
        <w:pStyle w:val="Heading2"/>
        <w:rPr>
          <w:color w:val="auto"/>
        </w:rPr>
      </w:pPr>
      <w:r w:rsidRPr="00855721">
        <w:rPr>
          <w:rFonts w:ascii="Times New Roman" w:eastAsia="Times New Roman" w:hAnsi="Times New Roman"/>
          <w:color w:val="auto"/>
        </w:rPr>
        <w:t>3.1 De-escalation as a Clinical Process Rather Than a Single Switch</w:t>
      </w:r>
    </w:p>
    <w:p w14:paraId="231CB37A" w14:textId="77777777" w:rsidR="002C4040" w:rsidRPr="00855721" w:rsidRDefault="00000000">
      <w:pPr>
        <w:jc w:val="both"/>
      </w:pPr>
      <w:r w:rsidRPr="00855721">
        <w:rPr>
          <w:rFonts w:eastAsia="Times New Roman"/>
        </w:rPr>
        <w:t>The most useful conceptualisation of ADE is a reduction in unnecessary antibacterial breadth after the uncertainty that justified empirical therapy has been partially resolved. This definition contains two linked ideas. First, the starting regimen must be considered relative to the patient's initial risk: de-escalation cannot compensate for inadequate empirical therapy, and an early escalation may be lifesaving when the initial regimen misses the pathogen. Secondly, narrowing is justified only when the information available at reassessment lowers the expected benefit of continuing broad coverage. Thus, ADE is conditional on adequate initial treatment, source control, clinical trajectory and the reliability of microbiological or diagnostic evidence (Evans et al., 2021; Tabah et al., 2020).</w:t>
      </w:r>
    </w:p>
    <w:p w14:paraId="1F1E203F" w14:textId="77777777" w:rsidR="002C4040" w:rsidRPr="00855721" w:rsidRDefault="00000000">
      <w:pPr>
        <w:jc w:val="both"/>
      </w:pPr>
      <w:r w:rsidRPr="00855721">
        <w:rPr>
          <w:rFonts w:eastAsia="Times New Roman"/>
        </w:rPr>
        <w:t>Three common actions fall within this process. One is discontinuing a redundant component of combination therapy, such as stopping empirical MRSA coverage when the syndrome and microbiology no longer support it. A second is replacing a broad-spectrum agent with a narrower drug that remains active against the identified pathogen. A third is stopping antibacterial therapy altogether when bacterial infection has become unlikely. These actions are not interchangeable. Combination-to-monotherapy de-escalation reduces drug number but may leave the dominant spectrum unchanged; changing from an antipseudomonal beta-lactam to a narrower beta-lactam reduces spectrum but not necessarily duration; cessation reduces both exposure and spectrum to zero. Clinical studies that combine these actions into a single binary endpoint can obscure different mechanisms and risks (De Waele et al., 2020; Moehring et al., 2021; Tabah et al., 2016).</w:t>
      </w:r>
    </w:p>
    <w:p w14:paraId="61C7CAF4" w14:textId="77777777" w:rsidR="002C4040" w:rsidRPr="00855721" w:rsidRDefault="00000000">
      <w:pPr>
        <w:jc w:val="both"/>
      </w:pPr>
      <w:r w:rsidRPr="00855721">
        <w:rPr>
          <w:rFonts w:eastAsia="Times New Roman"/>
        </w:rPr>
        <w:t>The timing of classification is equally important. If a study labels patients as de-escalated only after susceptibility results become available, patients must survive and remain sufficiently stable to reach that decision point. Comparing them with all patients who did not de-escalate can therefore bias results in favour of ADE. Even when both groups survive to a landmark, improvement in organ function can simultaneously cause the clinician to de-escalate and predict survival. DIANA addressed this more explicitly than many earlier cohorts by using inverse-probability weighting and time-varying information, while recent target-trial emulations have attempted to align eligibility, treatment assignment and follow-up at a specified day (De Bus et al., 2020; Gupta et al., 2026). These methods improve causal credibility but cannot remove unmeasured clinician judgement.</w:t>
      </w:r>
    </w:p>
    <w:p w14:paraId="48C1EA13" w14:textId="77777777" w:rsidR="002C4040" w:rsidRPr="00855721" w:rsidRDefault="00000000">
      <w:pPr>
        <w:pStyle w:val="Heading2"/>
        <w:rPr>
          <w:color w:val="auto"/>
        </w:rPr>
      </w:pPr>
      <w:r w:rsidRPr="00855721">
        <w:rPr>
          <w:rFonts w:ascii="Times New Roman" w:eastAsia="Times New Roman" w:hAnsi="Times New Roman"/>
          <w:color w:val="auto"/>
        </w:rPr>
        <w:t>3.2 Spectrum Is Not a Single Biological Quantity</w:t>
      </w:r>
    </w:p>
    <w:p w14:paraId="523DC945" w14:textId="77777777" w:rsidR="002C4040" w:rsidRPr="00855721" w:rsidRDefault="00000000">
      <w:pPr>
        <w:jc w:val="both"/>
      </w:pPr>
      <w:r w:rsidRPr="00855721">
        <w:rPr>
          <w:rFonts w:eastAsia="Times New Roman"/>
        </w:rPr>
        <w:t xml:space="preserve">The phrase "narrower spectrum" implies an ordering that is clinically intuitive in many situations but difficult to standardise across all agents. Antibiotics differ not only in the number of organisms covered but in activity against particular resistant phenotypes, anaerobes, enterococci and non-fermenting Gram-negative organisms. Two regimens may have similar nominal breadth but very different ecological effects, toxicity profiles and value as reserve agents. A one-dimensional ranking is therefore a measurement </w:t>
      </w:r>
      <w:r w:rsidRPr="00855721">
        <w:rPr>
          <w:rFonts w:eastAsia="Times New Roman"/>
        </w:rPr>
        <w:lastRenderedPageBreak/>
        <w:t>convenience rather than a complete representation of antimicrobial selection pressure (Madaras-Kelly et al., 2014; Tabah et al., 2020).</w:t>
      </w:r>
    </w:p>
    <w:p w14:paraId="275F4B43" w14:textId="77777777" w:rsidR="002C4040" w:rsidRPr="00855721" w:rsidRDefault="00000000">
      <w:pPr>
        <w:jc w:val="both"/>
      </w:pPr>
      <w:r w:rsidRPr="00855721">
        <w:rPr>
          <w:rFonts w:eastAsia="Times New Roman"/>
        </w:rPr>
        <w:t>Several groups have developed spectrum-based measures to improve reproducibility. Madaras-Kelly et al. (2014) used Veterans Affairs susceptibility data and expert consensus to construct antibiotic spectrum scores for quantifying de-escalation. Gerber et al. (2017) developed an antibiotic spectrum index for benchmarking prescribing across hospitals. Moehring et al. (2021) subsequently derived an electronic definition based on both reduction in antibiotic number and movement across four spectrum categories, allowing large-scale hospital measurement from routine data. Spectrum-score approaches have also shown high agreement with more conventional definitions based on discontinuing anti-MRSA or antipseudomonal therapy in selected cohorts (Ilges et al., 2023).</w:t>
      </w:r>
    </w:p>
    <w:p w14:paraId="0DD71219" w14:textId="77777777" w:rsidR="002C4040" w:rsidRPr="00855721" w:rsidRDefault="00000000">
      <w:pPr>
        <w:jc w:val="both"/>
      </w:pPr>
      <w:r w:rsidRPr="00855721">
        <w:rPr>
          <w:rFonts w:eastAsia="Times New Roman"/>
        </w:rPr>
        <w:t>These instruments solve some but not all comparability problems. Scores can classify a regimen consistently, enable automated surveillance and detect incremental change that a simple binary rule misses. Yet the weights remain dependent on the organisms and resistance priorities embedded in the scoring system. A switch can generate a lower score while increasing exposure to an agent with important local ecological consequences. Conversely, retaining a broad-spectrum agent for a shorter total duration may produce less cumulative selection pressure than a nominally narrower agent continued for many additional days. For quality measurement, spectrum change should therefore be interpreted alongside total days of therapy, indication, microbiological appropriateness and clinical context rather than used as a standalone target (De Waele et al., 2020; Ilges et al., 2021, 2023).</w:t>
      </w:r>
    </w:p>
    <w:p w14:paraId="0EDE0ADF" w14:textId="77777777" w:rsidR="002C4040" w:rsidRPr="00855721" w:rsidRDefault="00000000">
      <w:pPr>
        <w:jc w:val="both"/>
      </w:pPr>
      <w:r w:rsidRPr="00855721">
        <w:rPr>
          <w:rFonts w:eastAsia="Times New Roman"/>
        </w:rPr>
        <w:t>The distinctions summarised in Table 1 are important because different ADE definitions answer different questions. Drug-count definitions are easy to automate but can misclassify meaningful spectrum changes; expert judgement is clinically rich but poorly scalable; spectrum scores improve reproducibility but should not be mistaken for direct measures of ecological harm. A rigorous study should state both what change occurred and how it was measured.</w:t>
      </w:r>
    </w:p>
    <w:p w14:paraId="7753D2EB" w14:textId="77777777" w:rsidR="002C4040" w:rsidRPr="00855721" w:rsidRDefault="00000000">
      <w:pPr>
        <w:pStyle w:val="TableCaption"/>
      </w:pPr>
      <w:r w:rsidRPr="00855721">
        <w:rPr>
          <w:rFonts w:eastAsia="Times New Roman"/>
        </w:rPr>
        <w:t>Table 1. Operational definitions and measurement approaches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440"/>
        <w:gridCol w:w="2232"/>
        <w:gridCol w:w="1656"/>
        <w:gridCol w:w="2088"/>
        <w:gridCol w:w="1512"/>
        <w:gridCol w:w="1008"/>
      </w:tblGrid>
      <w:tr w:rsidR="00855721" w:rsidRPr="00855721" w14:paraId="60C5B5D1" w14:textId="77777777" w:rsidTr="00855721">
        <w:trPr>
          <w:cantSplit/>
          <w:tblHeader/>
          <w:jc w:val="center"/>
        </w:trPr>
        <w:tc>
          <w:tcPr>
            <w:tcW w:w="1440" w:type="dxa"/>
            <w:tcMar>
              <w:top w:w="85" w:type="dxa"/>
              <w:left w:w="85" w:type="dxa"/>
              <w:bottom w:w="85" w:type="dxa"/>
              <w:right w:w="85" w:type="dxa"/>
            </w:tcMar>
            <w:vAlign w:val="center"/>
          </w:tcPr>
          <w:p w14:paraId="65CF6D44" w14:textId="77777777" w:rsidR="002C4040" w:rsidRPr="00855721" w:rsidRDefault="00000000">
            <w:pPr>
              <w:spacing w:after="0" w:line="240" w:lineRule="auto"/>
              <w:jc w:val="center"/>
            </w:pPr>
            <w:r w:rsidRPr="00855721">
              <w:rPr>
                <w:rFonts w:eastAsia="Times New Roman"/>
                <w:b/>
                <w:sz w:val="16"/>
              </w:rPr>
              <w:t>Approach</w:t>
            </w:r>
          </w:p>
        </w:tc>
        <w:tc>
          <w:tcPr>
            <w:tcW w:w="2232" w:type="dxa"/>
            <w:tcMar>
              <w:top w:w="85" w:type="dxa"/>
              <w:left w:w="85" w:type="dxa"/>
              <w:bottom w:w="85" w:type="dxa"/>
              <w:right w:w="85" w:type="dxa"/>
            </w:tcMar>
            <w:vAlign w:val="center"/>
          </w:tcPr>
          <w:p w14:paraId="619FB91F" w14:textId="77777777" w:rsidR="002C4040" w:rsidRPr="00855721" w:rsidRDefault="00000000">
            <w:pPr>
              <w:spacing w:after="0" w:line="240" w:lineRule="auto"/>
              <w:jc w:val="center"/>
            </w:pPr>
            <w:r w:rsidRPr="00855721">
              <w:rPr>
                <w:rFonts w:eastAsia="Times New Roman"/>
                <w:b/>
                <w:sz w:val="16"/>
              </w:rPr>
              <w:t>What counts as de-escalation</w:t>
            </w:r>
          </w:p>
        </w:tc>
        <w:tc>
          <w:tcPr>
            <w:tcW w:w="1656" w:type="dxa"/>
            <w:tcMar>
              <w:top w:w="85" w:type="dxa"/>
              <w:left w:w="85" w:type="dxa"/>
              <w:bottom w:w="85" w:type="dxa"/>
              <w:right w:w="85" w:type="dxa"/>
            </w:tcMar>
            <w:vAlign w:val="center"/>
          </w:tcPr>
          <w:p w14:paraId="478DB7EC" w14:textId="77777777" w:rsidR="002C4040" w:rsidRPr="00855721" w:rsidRDefault="00000000">
            <w:pPr>
              <w:spacing w:after="0" w:line="240" w:lineRule="auto"/>
              <w:jc w:val="center"/>
            </w:pPr>
            <w:r w:rsidRPr="00855721">
              <w:rPr>
                <w:rFonts w:eastAsia="Times New Roman"/>
                <w:b/>
                <w:sz w:val="16"/>
              </w:rPr>
              <w:t>Main strength</w:t>
            </w:r>
          </w:p>
        </w:tc>
        <w:tc>
          <w:tcPr>
            <w:tcW w:w="2088" w:type="dxa"/>
            <w:tcMar>
              <w:top w:w="85" w:type="dxa"/>
              <w:left w:w="85" w:type="dxa"/>
              <w:bottom w:w="85" w:type="dxa"/>
              <w:right w:w="85" w:type="dxa"/>
            </w:tcMar>
            <w:vAlign w:val="center"/>
          </w:tcPr>
          <w:p w14:paraId="22D5B486" w14:textId="77777777" w:rsidR="002C4040" w:rsidRPr="00855721" w:rsidRDefault="00000000">
            <w:pPr>
              <w:spacing w:after="0" w:line="240" w:lineRule="auto"/>
              <w:jc w:val="center"/>
            </w:pPr>
            <w:r w:rsidRPr="00855721">
              <w:rPr>
                <w:rFonts w:eastAsia="Times New Roman"/>
                <w:b/>
                <w:sz w:val="16"/>
              </w:rPr>
              <w:t>Main limitation</w:t>
            </w:r>
          </w:p>
        </w:tc>
        <w:tc>
          <w:tcPr>
            <w:tcW w:w="1512" w:type="dxa"/>
            <w:tcMar>
              <w:top w:w="85" w:type="dxa"/>
              <w:left w:w="85" w:type="dxa"/>
              <w:bottom w:w="85" w:type="dxa"/>
              <w:right w:w="85" w:type="dxa"/>
            </w:tcMar>
            <w:vAlign w:val="center"/>
          </w:tcPr>
          <w:p w14:paraId="7B7B3FB5" w14:textId="77777777" w:rsidR="002C4040" w:rsidRPr="00855721" w:rsidRDefault="00000000">
            <w:pPr>
              <w:spacing w:after="0" w:line="240" w:lineRule="auto"/>
              <w:jc w:val="center"/>
            </w:pPr>
            <w:r w:rsidRPr="00855721">
              <w:rPr>
                <w:rFonts w:eastAsia="Times New Roman"/>
                <w:b/>
                <w:sz w:val="16"/>
              </w:rPr>
              <w:t>Best use</w:t>
            </w:r>
          </w:p>
        </w:tc>
        <w:tc>
          <w:tcPr>
            <w:tcW w:w="1008" w:type="dxa"/>
            <w:tcMar>
              <w:top w:w="85" w:type="dxa"/>
              <w:left w:w="85" w:type="dxa"/>
              <w:bottom w:w="85" w:type="dxa"/>
              <w:right w:w="85" w:type="dxa"/>
            </w:tcMar>
            <w:vAlign w:val="center"/>
          </w:tcPr>
          <w:p w14:paraId="42480A73"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6159C936" w14:textId="77777777" w:rsidTr="00855721">
        <w:trPr>
          <w:cantSplit/>
          <w:jc w:val="center"/>
        </w:trPr>
        <w:tc>
          <w:tcPr>
            <w:tcW w:w="1440" w:type="dxa"/>
            <w:tcMar>
              <w:top w:w="85" w:type="dxa"/>
              <w:left w:w="85" w:type="dxa"/>
              <w:bottom w:w="85" w:type="dxa"/>
              <w:right w:w="85" w:type="dxa"/>
            </w:tcMar>
            <w:vAlign w:val="center"/>
          </w:tcPr>
          <w:p w14:paraId="1BDCFD2D" w14:textId="77777777" w:rsidR="002C4040" w:rsidRPr="00855721" w:rsidRDefault="00000000">
            <w:pPr>
              <w:spacing w:after="0" w:line="240" w:lineRule="auto"/>
            </w:pPr>
            <w:r w:rsidRPr="00855721">
              <w:rPr>
                <w:rFonts w:eastAsia="Times New Roman"/>
                <w:sz w:val="16"/>
              </w:rPr>
              <w:t>Drug-number reduction</w:t>
            </w:r>
          </w:p>
        </w:tc>
        <w:tc>
          <w:tcPr>
            <w:tcW w:w="2232" w:type="dxa"/>
            <w:tcMar>
              <w:top w:w="85" w:type="dxa"/>
              <w:left w:w="85" w:type="dxa"/>
              <w:bottom w:w="85" w:type="dxa"/>
              <w:right w:w="85" w:type="dxa"/>
            </w:tcMar>
            <w:vAlign w:val="center"/>
          </w:tcPr>
          <w:p w14:paraId="07E9708E" w14:textId="77777777" w:rsidR="002C4040" w:rsidRPr="00855721" w:rsidRDefault="00000000">
            <w:pPr>
              <w:spacing w:after="0" w:line="240" w:lineRule="auto"/>
            </w:pPr>
            <w:r w:rsidRPr="00855721">
              <w:rPr>
                <w:rFonts w:eastAsia="Times New Roman"/>
                <w:sz w:val="16"/>
              </w:rPr>
              <w:t>Discontinuation of one or more agents from an empirical combination.</w:t>
            </w:r>
          </w:p>
        </w:tc>
        <w:tc>
          <w:tcPr>
            <w:tcW w:w="1656" w:type="dxa"/>
            <w:tcMar>
              <w:top w:w="85" w:type="dxa"/>
              <w:left w:w="85" w:type="dxa"/>
              <w:bottom w:w="85" w:type="dxa"/>
              <w:right w:w="85" w:type="dxa"/>
            </w:tcMar>
            <w:vAlign w:val="center"/>
          </w:tcPr>
          <w:p w14:paraId="218FBCD2" w14:textId="77777777" w:rsidR="002C4040" w:rsidRPr="00855721" w:rsidRDefault="00000000">
            <w:pPr>
              <w:spacing w:after="0" w:line="240" w:lineRule="auto"/>
            </w:pPr>
            <w:r w:rsidRPr="00855721">
              <w:rPr>
                <w:rFonts w:eastAsia="Times New Roman"/>
                <w:sz w:val="16"/>
              </w:rPr>
              <w:t>Simple and easy to reproduce.</w:t>
            </w:r>
          </w:p>
        </w:tc>
        <w:tc>
          <w:tcPr>
            <w:tcW w:w="2088" w:type="dxa"/>
            <w:tcMar>
              <w:top w:w="85" w:type="dxa"/>
              <w:left w:w="85" w:type="dxa"/>
              <w:bottom w:w="85" w:type="dxa"/>
              <w:right w:w="85" w:type="dxa"/>
            </w:tcMar>
            <w:vAlign w:val="center"/>
          </w:tcPr>
          <w:p w14:paraId="224B97D6" w14:textId="77777777" w:rsidR="002C4040" w:rsidRPr="00855721" w:rsidRDefault="00000000">
            <w:pPr>
              <w:spacing w:after="0" w:line="240" w:lineRule="auto"/>
            </w:pPr>
            <w:r w:rsidRPr="00855721">
              <w:rPr>
                <w:rFonts w:eastAsia="Times New Roman"/>
                <w:sz w:val="16"/>
              </w:rPr>
              <w:t>Can miss clinically important spectrum change when the remaining agent is still very broad.</w:t>
            </w:r>
          </w:p>
        </w:tc>
        <w:tc>
          <w:tcPr>
            <w:tcW w:w="1512" w:type="dxa"/>
            <w:tcMar>
              <w:top w:w="85" w:type="dxa"/>
              <w:left w:w="85" w:type="dxa"/>
              <w:bottom w:w="85" w:type="dxa"/>
              <w:right w:w="85" w:type="dxa"/>
            </w:tcMar>
            <w:vAlign w:val="center"/>
          </w:tcPr>
          <w:p w14:paraId="490CB486" w14:textId="77777777" w:rsidR="002C4040" w:rsidRPr="00855721" w:rsidRDefault="00000000">
            <w:pPr>
              <w:spacing w:after="0" w:line="240" w:lineRule="auto"/>
            </w:pPr>
            <w:r w:rsidRPr="00855721">
              <w:rPr>
                <w:rFonts w:eastAsia="Times New Roman"/>
                <w:sz w:val="16"/>
              </w:rPr>
              <w:t>Basic audit and combination-to-monotherapy decisions.</w:t>
            </w:r>
          </w:p>
        </w:tc>
        <w:tc>
          <w:tcPr>
            <w:tcW w:w="1008" w:type="dxa"/>
            <w:tcMar>
              <w:top w:w="85" w:type="dxa"/>
              <w:left w:w="85" w:type="dxa"/>
              <w:bottom w:w="85" w:type="dxa"/>
              <w:right w:w="85" w:type="dxa"/>
            </w:tcMar>
            <w:vAlign w:val="center"/>
          </w:tcPr>
          <w:p w14:paraId="077652F9" w14:textId="77777777" w:rsidR="002C4040" w:rsidRPr="00855721" w:rsidRDefault="00000000">
            <w:pPr>
              <w:spacing w:after="0" w:line="240" w:lineRule="auto"/>
            </w:pPr>
            <w:r w:rsidRPr="00855721">
              <w:rPr>
                <w:rFonts w:eastAsia="Times New Roman"/>
                <w:sz w:val="16"/>
              </w:rPr>
              <w:t>Tabah et al. (2016, 2020)</w:t>
            </w:r>
          </w:p>
        </w:tc>
      </w:tr>
      <w:tr w:rsidR="00855721" w:rsidRPr="00855721" w14:paraId="527F44DB" w14:textId="77777777" w:rsidTr="00855721">
        <w:trPr>
          <w:cantSplit/>
          <w:jc w:val="center"/>
        </w:trPr>
        <w:tc>
          <w:tcPr>
            <w:tcW w:w="1440" w:type="dxa"/>
            <w:tcMar>
              <w:top w:w="85" w:type="dxa"/>
              <w:left w:w="85" w:type="dxa"/>
              <w:bottom w:w="85" w:type="dxa"/>
              <w:right w:w="85" w:type="dxa"/>
            </w:tcMar>
            <w:vAlign w:val="center"/>
          </w:tcPr>
          <w:p w14:paraId="4C8903A5" w14:textId="77777777" w:rsidR="002C4040" w:rsidRPr="00855721" w:rsidRDefault="00000000">
            <w:pPr>
              <w:spacing w:after="0" w:line="240" w:lineRule="auto"/>
            </w:pPr>
            <w:r w:rsidRPr="00855721">
              <w:rPr>
                <w:rFonts w:eastAsia="Times New Roman"/>
                <w:sz w:val="16"/>
              </w:rPr>
              <w:t>Named broad-agent discontinuation</w:t>
            </w:r>
          </w:p>
        </w:tc>
        <w:tc>
          <w:tcPr>
            <w:tcW w:w="2232" w:type="dxa"/>
            <w:tcMar>
              <w:top w:w="85" w:type="dxa"/>
              <w:left w:w="85" w:type="dxa"/>
              <w:bottom w:w="85" w:type="dxa"/>
              <w:right w:w="85" w:type="dxa"/>
            </w:tcMar>
            <w:vAlign w:val="center"/>
          </w:tcPr>
          <w:p w14:paraId="3F5DA16A" w14:textId="77777777" w:rsidR="002C4040" w:rsidRPr="00855721" w:rsidRDefault="00000000">
            <w:pPr>
              <w:spacing w:after="0" w:line="240" w:lineRule="auto"/>
            </w:pPr>
            <w:r w:rsidRPr="00855721">
              <w:rPr>
                <w:rFonts w:eastAsia="Times New Roman"/>
                <w:sz w:val="16"/>
              </w:rPr>
              <w:t>Stopping predefined anti-MRSA, antipseudomonal or other broad/reserve agents.</w:t>
            </w:r>
          </w:p>
        </w:tc>
        <w:tc>
          <w:tcPr>
            <w:tcW w:w="1656" w:type="dxa"/>
            <w:tcMar>
              <w:top w:w="85" w:type="dxa"/>
              <w:left w:w="85" w:type="dxa"/>
              <w:bottom w:w="85" w:type="dxa"/>
              <w:right w:w="85" w:type="dxa"/>
            </w:tcMar>
            <w:vAlign w:val="center"/>
          </w:tcPr>
          <w:p w14:paraId="06063C7F" w14:textId="77777777" w:rsidR="002C4040" w:rsidRPr="00855721" w:rsidRDefault="00000000">
            <w:pPr>
              <w:spacing w:after="0" w:line="240" w:lineRule="auto"/>
            </w:pPr>
            <w:r w:rsidRPr="00855721">
              <w:rPr>
                <w:rFonts w:eastAsia="Times New Roman"/>
                <w:sz w:val="16"/>
              </w:rPr>
              <w:t>Clinically intuitive and closely linked to common stewardship targets.</w:t>
            </w:r>
          </w:p>
        </w:tc>
        <w:tc>
          <w:tcPr>
            <w:tcW w:w="2088" w:type="dxa"/>
            <w:tcMar>
              <w:top w:w="85" w:type="dxa"/>
              <w:left w:w="85" w:type="dxa"/>
              <w:bottom w:w="85" w:type="dxa"/>
              <w:right w:w="85" w:type="dxa"/>
            </w:tcMar>
            <w:vAlign w:val="center"/>
          </w:tcPr>
          <w:p w14:paraId="384B9793" w14:textId="77777777" w:rsidR="002C4040" w:rsidRPr="00855721" w:rsidRDefault="00000000">
            <w:pPr>
              <w:spacing w:after="0" w:line="240" w:lineRule="auto"/>
            </w:pPr>
            <w:r w:rsidRPr="00855721">
              <w:rPr>
                <w:rFonts w:eastAsia="Times New Roman"/>
                <w:sz w:val="16"/>
              </w:rPr>
              <w:t>Context-specific; the same agent can be appropriate definitive therapy in one patient and unnecessary in another.</w:t>
            </w:r>
          </w:p>
        </w:tc>
        <w:tc>
          <w:tcPr>
            <w:tcW w:w="1512" w:type="dxa"/>
            <w:tcMar>
              <w:top w:w="85" w:type="dxa"/>
              <w:left w:w="85" w:type="dxa"/>
              <w:bottom w:w="85" w:type="dxa"/>
              <w:right w:w="85" w:type="dxa"/>
            </w:tcMar>
            <w:vAlign w:val="center"/>
          </w:tcPr>
          <w:p w14:paraId="4702A829" w14:textId="77777777" w:rsidR="002C4040" w:rsidRPr="00855721" w:rsidRDefault="00000000">
            <w:pPr>
              <w:spacing w:after="0" w:line="240" w:lineRule="auto"/>
            </w:pPr>
            <w:r w:rsidRPr="00855721">
              <w:rPr>
                <w:rFonts w:eastAsia="Times New Roman"/>
                <w:sz w:val="16"/>
              </w:rPr>
              <w:t>Focused stewardship pathways and syndrome-specific review.</w:t>
            </w:r>
          </w:p>
        </w:tc>
        <w:tc>
          <w:tcPr>
            <w:tcW w:w="1008" w:type="dxa"/>
            <w:tcMar>
              <w:top w:w="85" w:type="dxa"/>
              <w:left w:w="85" w:type="dxa"/>
              <w:bottom w:w="85" w:type="dxa"/>
              <w:right w:w="85" w:type="dxa"/>
            </w:tcMar>
            <w:vAlign w:val="center"/>
          </w:tcPr>
          <w:p w14:paraId="4BFA0ADB" w14:textId="77777777" w:rsidR="002C4040" w:rsidRPr="00855721" w:rsidRDefault="00000000">
            <w:pPr>
              <w:spacing w:after="0" w:line="240" w:lineRule="auto"/>
            </w:pPr>
            <w:r w:rsidRPr="00855721">
              <w:rPr>
                <w:rFonts w:eastAsia="Times New Roman"/>
                <w:sz w:val="16"/>
              </w:rPr>
              <w:t>Kam et al. (2025); Moehring et al. (2023)</w:t>
            </w:r>
          </w:p>
        </w:tc>
      </w:tr>
      <w:tr w:rsidR="00855721" w:rsidRPr="00855721" w14:paraId="0D5C4F49" w14:textId="77777777" w:rsidTr="00855721">
        <w:trPr>
          <w:cantSplit/>
          <w:jc w:val="center"/>
        </w:trPr>
        <w:tc>
          <w:tcPr>
            <w:tcW w:w="1440" w:type="dxa"/>
            <w:tcMar>
              <w:top w:w="85" w:type="dxa"/>
              <w:left w:w="85" w:type="dxa"/>
              <w:bottom w:w="85" w:type="dxa"/>
              <w:right w:w="85" w:type="dxa"/>
            </w:tcMar>
            <w:vAlign w:val="center"/>
          </w:tcPr>
          <w:p w14:paraId="77816277" w14:textId="77777777" w:rsidR="002C4040" w:rsidRPr="00855721" w:rsidRDefault="00000000">
            <w:pPr>
              <w:spacing w:after="0" w:line="240" w:lineRule="auto"/>
            </w:pPr>
            <w:r w:rsidRPr="00855721">
              <w:rPr>
                <w:rFonts w:eastAsia="Times New Roman"/>
                <w:sz w:val="16"/>
              </w:rPr>
              <w:t>Spectrum-score reduction</w:t>
            </w:r>
          </w:p>
        </w:tc>
        <w:tc>
          <w:tcPr>
            <w:tcW w:w="2232" w:type="dxa"/>
            <w:tcMar>
              <w:top w:w="85" w:type="dxa"/>
              <w:left w:w="85" w:type="dxa"/>
              <w:bottom w:w="85" w:type="dxa"/>
              <w:right w:w="85" w:type="dxa"/>
            </w:tcMar>
            <w:vAlign w:val="center"/>
          </w:tcPr>
          <w:p w14:paraId="39AB786D" w14:textId="77777777" w:rsidR="002C4040" w:rsidRPr="00855721" w:rsidRDefault="00000000">
            <w:pPr>
              <w:spacing w:after="0" w:line="240" w:lineRule="auto"/>
            </w:pPr>
            <w:r w:rsidRPr="00855721">
              <w:rPr>
                <w:rFonts w:eastAsia="Times New Roman"/>
                <w:sz w:val="16"/>
              </w:rPr>
              <w:t>A numerical fall in a validated spectrum score or index between defined time points.</w:t>
            </w:r>
          </w:p>
        </w:tc>
        <w:tc>
          <w:tcPr>
            <w:tcW w:w="1656" w:type="dxa"/>
            <w:tcMar>
              <w:top w:w="85" w:type="dxa"/>
              <w:left w:w="85" w:type="dxa"/>
              <w:bottom w:w="85" w:type="dxa"/>
              <w:right w:w="85" w:type="dxa"/>
            </w:tcMar>
            <w:vAlign w:val="center"/>
          </w:tcPr>
          <w:p w14:paraId="0237B78E" w14:textId="77777777" w:rsidR="002C4040" w:rsidRPr="00855721" w:rsidRDefault="00000000">
            <w:pPr>
              <w:spacing w:after="0" w:line="240" w:lineRule="auto"/>
            </w:pPr>
            <w:r w:rsidRPr="00855721">
              <w:rPr>
                <w:rFonts w:eastAsia="Times New Roman"/>
                <w:sz w:val="16"/>
              </w:rPr>
              <w:t>Continuous, reproducible and suitable for benchmarking.</w:t>
            </w:r>
          </w:p>
        </w:tc>
        <w:tc>
          <w:tcPr>
            <w:tcW w:w="2088" w:type="dxa"/>
            <w:tcMar>
              <w:top w:w="85" w:type="dxa"/>
              <w:left w:w="85" w:type="dxa"/>
              <w:bottom w:w="85" w:type="dxa"/>
              <w:right w:w="85" w:type="dxa"/>
            </w:tcMar>
            <w:vAlign w:val="center"/>
          </w:tcPr>
          <w:p w14:paraId="2E8980C7" w14:textId="77777777" w:rsidR="002C4040" w:rsidRPr="00855721" w:rsidRDefault="00000000">
            <w:pPr>
              <w:spacing w:after="0" w:line="240" w:lineRule="auto"/>
            </w:pPr>
            <w:r w:rsidRPr="00855721">
              <w:rPr>
                <w:rFonts w:eastAsia="Times New Roman"/>
                <w:sz w:val="16"/>
              </w:rPr>
              <w:t>Score weights are measurement constructs, not direct measures of ecological harm.</w:t>
            </w:r>
          </w:p>
        </w:tc>
        <w:tc>
          <w:tcPr>
            <w:tcW w:w="1512" w:type="dxa"/>
            <w:tcMar>
              <w:top w:w="85" w:type="dxa"/>
              <w:left w:w="85" w:type="dxa"/>
              <w:bottom w:w="85" w:type="dxa"/>
              <w:right w:w="85" w:type="dxa"/>
            </w:tcMar>
            <w:vAlign w:val="center"/>
          </w:tcPr>
          <w:p w14:paraId="6C1E22FE" w14:textId="77777777" w:rsidR="002C4040" w:rsidRPr="00855721" w:rsidRDefault="00000000">
            <w:pPr>
              <w:spacing w:after="0" w:line="240" w:lineRule="auto"/>
            </w:pPr>
            <w:r w:rsidRPr="00855721">
              <w:rPr>
                <w:rFonts w:eastAsia="Times New Roman"/>
                <w:sz w:val="16"/>
              </w:rPr>
              <w:t>Research, quality measurement and large datasets.</w:t>
            </w:r>
          </w:p>
        </w:tc>
        <w:tc>
          <w:tcPr>
            <w:tcW w:w="1008" w:type="dxa"/>
            <w:tcMar>
              <w:top w:w="85" w:type="dxa"/>
              <w:left w:w="85" w:type="dxa"/>
              <w:bottom w:w="85" w:type="dxa"/>
              <w:right w:w="85" w:type="dxa"/>
            </w:tcMar>
            <w:vAlign w:val="center"/>
          </w:tcPr>
          <w:p w14:paraId="5B314CCE" w14:textId="77777777" w:rsidR="002C4040" w:rsidRPr="00855721" w:rsidRDefault="00000000">
            <w:pPr>
              <w:spacing w:after="0" w:line="240" w:lineRule="auto"/>
            </w:pPr>
            <w:r w:rsidRPr="00855721">
              <w:rPr>
                <w:rFonts w:eastAsia="Times New Roman"/>
                <w:sz w:val="16"/>
              </w:rPr>
              <w:t>Gerber et al. (2017); Ilges et al. (2023); Madaras-Kelly et al. (2014)</w:t>
            </w:r>
          </w:p>
        </w:tc>
      </w:tr>
      <w:tr w:rsidR="00855721" w:rsidRPr="00855721" w14:paraId="5FC19FE0" w14:textId="77777777" w:rsidTr="00855721">
        <w:trPr>
          <w:cantSplit/>
          <w:jc w:val="center"/>
        </w:trPr>
        <w:tc>
          <w:tcPr>
            <w:tcW w:w="1440" w:type="dxa"/>
            <w:tcMar>
              <w:top w:w="85" w:type="dxa"/>
              <w:left w:w="85" w:type="dxa"/>
              <w:bottom w:w="85" w:type="dxa"/>
              <w:right w:w="85" w:type="dxa"/>
            </w:tcMar>
            <w:vAlign w:val="center"/>
          </w:tcPr>
          <w:p w14:paraId="295A4BD5" w14:textId="77777777" w:rsidR="002C4040" w:rsidRPr="00855721" w:rsidRDefault="00000000">
            <w:pPr>
              <w:spacing w:after="0" w:line="240" w:lineRule="auto"/>
            </w:pPr>
            <w:r w:rsidRPr="00855721">
              <w:rPr>
                <w:rFonts w:eastAsia="Times New Roman"/>
                <w:sz w:val="16"/>
              </w:rPr>
              <w:t>Electronic composite definition</w:t>
            </w:r>
          </w:p>
        </w:tc>
        <w:tc>
          <w:tcPr>
            <w:tcW w:w="2232" w:type="dxa"/>
            <w:tcMar>
              <w:top w:w="85" w:type="dxa"/>
              <w:left w:w="85" w:type="dxa"/>
              <w:bottom w:w="85" w:type="dxa"/>
              <w:right w:w="85" w:type="dxa"/>
            </w:tcMar>
            <w:vAlign w:val="center"/>
          </w:tcPr>
          <w:p w14:paraId="081BF995" w14:textId="77777777" w:rsidR="002C4040" w:rsidRPr="00855721" w:rsidRDefault="00000000">
            <w:pPr>
              <w:spacing w:after="0" w:line="240" w:lineRule="auto"/>
            </w:pPr>
            <w:r w:rsidRPr="00855721">
              <w:rPr>
                <w:rFonts w:eastAsia="Times New Roman"/>
                <w:sz w:val="16"/>
              </w:rPr>
              <w:t>Reduction in antibiotic number and/or movement to a lower spectrum category in routine electronic data.</w:t>
            </w:r>
          </w:p>
        </w:tc>
        <w:tc>
          <w:tcPr>
            <w:tcW w:w="1656" w:type="dxa"/>
            <w:tcMar>
              <w:top w:w="85" w:type="dxa"/>
              <w:left w:w="85" w:type="dxa"/>
              <w:bottom w:w="85" w:type="dxa"/>
              <w:right w:w="85" w:type="dxa"/>
            </w:tcMar>
            <w:vAlign w:val="center"/>
          </w:tcPr>
          <w:p w14:paraId="34427C62" w14:textId="77777777" w:rsidR="002C4040" w:rsidRPr="00855721" w:rsidRDefault="00000000">
            <w:pPr>
              <w:spacing w:after="0" w:line="240" w:lineRule="auto"/>
            </w:pPr>
            <w:r w:rsidRPr="00855721">
              <w:rPr>
                <w:rFonts w:eastAsia="Times New Roman"/>
                <w:sz w:val="16"/>
              </w:rPr>
              <w:t>Scalable and objective across large inpatient populations.</w:t>
            </w:r>
          </w:p>
        </w:tc>
        <w:tc>
          <w:tcPr>
            <w:tcW w:w="2088" w:type="dxa"/>
            <w:tcMar>
              <w:top w:w="85" w:type="dxa"/>
              <w:left w:w="85" w:type="dxa"/>
              <w:bottom w:w="85" w:type="dxa"/>
              <w:right w:w="85" w:type="dxa"/>
            </w:tcMar>
            <w:vAlign w:val="center"/>
          </w:tcPr>
          <w:p w14:paraId="75AA785E" w14:textId="77777777" w:rsidR="002C4040" w:rsidRPr="00855721" w:rsidRDefault="00000000">
            <w:pPr>
              <w:spacing w:after="0" w:line="240" w:lineRule="auto"/>
            </w:pPr>
            <w:r w:rsidRPr="00855721">
              <w:rPr>
                <w:rFonts w:eastAsia="Times New Roman"/>
                <w:sz w:val="16"/>
              </w:rPr>
              <w:t>Depends on data granularity and may not capture indication, source control or resistance context.</w:t>
            </w:r>
          </w:p>
        </w:tc>
        <w:tc>
          <w:tcPr>
            <w:tcW w:w="1512" w:type="dxa"/>
            <w:tcMar>
              <w:top w:w="85" w:type="dxa"/>
              <w:left w:w="85" w:type="dxa"/>
              <w:bottom w:w="85" w:type="dxa"/>
              <w:right w:w="85" w:type="dxa"/>
            </w:tcMar>
            <w:vAlign w:val="center"/>
          </w:tcPr>
          <w:p w14:paraId="27D893E7" w14:textId="77777777" w:rsidR="002C4040" w:rsidRPr="00855721" w:rsidRDefault="00000000">
            <w:pPr>
              <w:spacing w:after="0" w:line="240" w:lineRule="auto"/>
            </w:pPr>
            <w:r w:rsidRPr="00855721">
              <w:rPr>
                <w:rFonts w:eastAsia="Times New Roman"/>
                <w:sz w:val="16"/>
              </w:rPr>
              <w:t>Automated stewardship surveillance and inter-hospital comparison.</w:t>
            </w:r>
          </w:p>
        </w:tc>
        <w:tc>
          <w:tcPr>
            <w:tcW w:w="1008" w:type="dxa"/>
            <w:tcMar>
              <w:top w:w="85" w:type="dxa"/>
              <w:left w:w="85" w:type="dxa"/>
              <w:bottom w:w="85" w:type="dxa"/>
              <w:right w:w="85" w:type="dxa"/>
            </w:tcMar>
            <w:vAlign w:val="center"/>
          </w:tcPr>
          <w:p w14:paraId="3AAED22B" w14:textId="77777777" w:rsidR="002C4040" w:rsidRPr="00855721" w:rsidRDefault="00000000">
            <w:pPr>
              <w:spacing w:after="0" w:line="240" w:lineRule="auto"/>
            </w:pPr>
            <w:r w:rsidRPr="00855721">
              <w:rPr>
                <w:rFonts w:eastAsia="Times New Roman"/>
                <w:sz w:val="16"/>
              </w:rPr>
              <w:t>Moehring et al. (2021)</w:t>
            </w:r>
          </w:p>
        </w:tc>
      </w:tr>
      <w:tr w:rsidR="00855721" w:rsidRPr="00855721" w14:paraId="3100922E" w14:textId="77777777" w:rsidTr="00855721">
        <w:trPr>
          <w:cantSplit/>
          <w:jc w:val="center"/>
        </w:trPr>
        <w:tc>
          <w:tcPr>
            <w:tcW w:w="1440" w:type="dxa"/>
            <w:tcMar>
              <w:top w:w="85" w:type="dxa"/>
              <w:left w:w="85" w:type="dxa"/>
              <w:bottom w:w="85" w:type="dxa"/>
              <w:right w:w="85" w:type="dxa"/>
            </w:tcMar>
            <w:vAlign w:val="center"/>
          </w:tcPr>
          <w:p w14:paraId="221F2F91" w14:textId="77777777" w:rsidR="002C4040" w:rsidRPr="00855721" w:rsidRDefault="00000000">
            <w:pPr>
              <w:spacing w:after="0" w:line="240" w:lineRule="auto"/>
            </w:pPr>
            <w:r w:rsidRPr="00855721">
              <w:rPr>
                <w:rFonts w:eastAsia="Times New Roman"/>
                <w:sz w:val="16"/>
              </w:rPr>
              <w:lastRenderedPageBreak/>
              <w:t>Complete cessation</w:t>
            </w:r>
          </w:p>
        </w:tc>
        <w:tc>
          <w:tcPr>
            <w:tcW w:w="2232" w:type="dxa"/>
            <w:tcMar>
              <w:top w:w="85" w:type="dxa"/>
              <w:left w:w="85" w:type="dxa"/>
              <w:bottom w:w="85" w:type="dxa"/>
              <w:right w:w="85" w:type="dxa"/>
            </w:tcMar>
            <w:vAlign w:val="center"/>
          </w:tcPr>
          <w:p w14:paraId="21708354" w14:textId="77777777" w:rsidR="002C4040" w:rsidRPr="00855721" w:rsidRDefault="00000000">
            <w:pPr>
              <w:spacing w:after="0" w:line="240" w:lineRule="auto"/>
            </w:pPr>
            <w:r w:rsidRPr="00855721">
              <w:rPr>
                <w:rFonts w:eastAsia="Times New Roman"/>
                <w:sz w:val="16"/>
              </w:rPr>
              <w:t>Stopping all antibacterial therapy when bacterial infection is no longer sufficiently likely.</w:t>
            </w:r>
          </w:p>
        </w:tc>
        <w:tc>
          <w:tcPr>
            <w:tcW w:w="1656" w:type="dxa"/>
            <w:tcMar>
              <w:top w:w="85" w:type="dxa"/>
              <w:left w:w="85" w:type="dxa"/>
              <w:bottom w:w="85" w:type="dxa"/>
              <w:right w:w="85" w:type="dxa"/>
            </w:tcMar>
            <w:vAlign w:val="center"/>
          </w:tcPr>
          <w:p w14:paraId="746AE316" w14:textId="77777777" w:rsidR="002C4040" w:rsidRPr="00855721" w:rsidRDefault="00000000">
            <w:pPr>
              <w:spacing w:after="0" w:line="240" w:lineRule="auto"/>
            </w:pPr>
            <w:r w:rsidRPr="00855721">
              <w:rPr>
                <w:rFonts w:eastAsia="Times New Roman"/>
                <w:sz w:val="16"/>
              </w:rPr>
              <w:t>Maximally reduces further antibacterial exposure.</w:t>
            </w:r>
          </w:p>
        </w:tc>
        <w:tc>
          <w:tcPr>
            <w:tcW w:w="2088" w:type="dxa"/>
            <w:tcMar>
              <w:top w:w="85" w:type="dxa"/>
              <w:left w:w="85" w:type="dxa"/>
              <w:bottom w:w="85" w:type="dxa"/>
              <w:right w:w="85" w:type="dxa"/>
            </w:tcMar>
            <w:vAlign w:val="center"/>
          </w:tcPr>
          <w:p w14:paraId="4396BE53" w14:textId="77777777" w:rsidR="002C4040" w:rsidRPr="00855721" w:rsidRDefault="00000000">
            <w:pPr>
              <w:spacing w:after="0" w:line="240" w:lineRule="auto"/>
            </w:pPr>
            <w:r w:rsidRPr="00855721">
              <w:rPr>
                <w:rFonts w:eastAsia="Times New Roman"/>
                <w:sz w:val="16"/>
              </w:rPr>
              <w:t>Conceptually differs from narrowing therapy for confirmed infection and is highly sensitive to diagnostic uncertainty.</w:t>
            </w:r>
          </w:p>
        </w:tc>
        <w:tc>
          <w:tcPr>
            <w:tcW w:w="1512" w:type="dxa"/>
            <w:tcMar>
              <w:top w:w="85" w:type="dxa"/>
              <w:left w:w="85" w:type="dxa"/>
              <w:bottom w:w="85" w:type="dxa"/>
              <w:right w:w="85" w:type="dxa"/>
            </w:tcMar>
            <w:vAlign w:val="center"/>
          </w:tcPr>
          <w:p w14:paraId="09104F65" w14:textId="77777777" w:rsidR="002C4040" w:rsidRPr="00855721" w:rsidRDefault="00000000">
            <w:pPr>
              <w:spacing w:after="0" w:line="240" w:lineRule="auto"/>
            </w:pPr>
            <w:r w:rsidRPr="00855721">
              <w:rPr>
                <w:rFonts w:eastAsia="Times New Roman"/>
                <w:sz w:val="16"/>
              </w:rPr>
              <w:t>Suspected or culture-negative infection after structured reassessment.</w:t>
            </w:r>
          </w:p>
        </w:tc>
        <w:tc>
          <w:tcPr>
            <w:tcW w:w="1008" w:type="dxa"/>
            <w:tcMar>
              <w:top w:w="85" w:type="dxa"/>
              <w:left w:w="85" w:type="dxa"/>
              <w:bottom w:w="85" w:type="dxa"/>
              <w:right w:w="85" w:type="dxa"/>
            </w:tcMar>
            <w:vAlign w:val="center"/>
          </w:tcPr>
          <w:p w14:paraId="51C295FB" w14:textId="77777777" w:rsidR="002C4040" w:rsidRPr="00855721" w:rsidRDefault="00000000">
            <w:pPr>
              <w:spacing w:after="0" w:line="240" w:lineRule="auto"/>
            </w:pPr>
            <w:r w:rsidRPr="00855721">
              <w:rPr>
                <w:rFonts w:eastAsia="Times New Roman"/>
                <w:sz w:val="16"/>
              </w:rPr>
              <w:t>Kam et al. (2025); Moehring et al. (2023); Ohnuma et al. (2026)</w:t>
            </w:r>
          </w:p>
        </w:tc>
      </w:tr>
      <w:tr w:rsidR="00855721" w:rsidRPr="00855721" w14:paraId="2EC38723" w14:textId="77777777" w:rsidTr="00855721">
        <w:trPr>
          <w:cantSplit/>
          <w:jc w:val="center"/>
        </w:trPr>
        <w:tc>
          <w:tcPr>
            <w:tcW w:w="1440" w:type="dxa"/>
            <w:tcMar>
              <w:top w:w="85" w:type="dxa"/>
              <w:left w:w="85" w:type="dxa"/>
              <w:bottom w:w="85" w:type="dxa"/>
              <w:right w:w="85" w:type="dxa"/>
            </w:tcMar>
            <w:vAlign w:val="center"/>
          </w:tcPr>
          <w:p w14:paraId="7DF4B9EF" w14:textId="77777777" w:rsidR="002C4040" w:rsidRPr="00855721" w:rsidRDefault="00000000">
            <w:pPr>
              <w:spacing w:after="0" w:line="240" w:lineRule="auto"/>
            </w:pPr>
            <w:r w:rsidRPr="00855721">
              <w:rPr>
                <w:rFonts w:eastAsia="Times New Roman"/>
                <w:sz w:val="16"/>
              </w:rPr>
              <w:t>Expert clinical judgement</w:t>
            </w:r>
          </w:p>
        </w:tc>
        <w:tc>
          <w:tcPr>
            <w:tcW w:w="2232" w:type="dxa"/>
            <w:tcMar>
              <w:top w:w="85" w:type="dxa"/>
              <w:left w:w="85" w:type="dxa"/>
              <w:bottom w:w="85" w:type="dxa"/>
              <w:right w:w="85" w:type="dxa"/>
            </w:tcMar>
            <w:vAlign w:val="center"/>
          </w:tcPr>
          <w:p w14:paraId="308E141D" w14:textId="77777777" w:rsidR="002C4040" w:rsidRPr="00855721" w:rsidRDefault="00000000">
            <w:pPr>
              <w:spacing w:after="0" w:line="240" w:lineRule="auto"/>
            </w:pPr>
            <w:r w:rsidRPr="00855721">
              <w:rPr>
                <w:rFonts w:eastAsia="Times New Roman"/>
                <w:sz w:val="16"/>
              </w:rPr>
              <w:t>Case-level judgement that the revised regimen is less unnecessarily broad while remaining adequate.</w:t>
            </w:r>
          </w:p>
        </w:tc>
        <w:tc>
          <w:tcPr>
            <w:tcW w:w="1656" w:type="dxa"/>
            <w:tcMar>
              <w:top w:w="85" w:type="dxa"/>
              <w:left w:w="85" w:type="dxa"/>
              <w:bottom w:w="85" w:type="dxa"/>
              <w:right w:w="85" w:type="dxa"/>
            </w:tcMar>
            <w:vAlign w:val="center"/>
          </w:tcPr>
          <w:p w14:paraId="55A673FA" w14:textId="77777777" w:rsidR="002C4040" w:rsidRPr="00855721" w:rsidRDefault="00000000">
            <w:pPr>
              <w:spacing w:after="0" w:line="240" w:lineRule="auto"/>
            </w:pPr>
            <w:r w:rsidRPr="00855721">
              <w:rPr>
                <w:rFonts w:eastAsia="Times New Roman"/>
                <w:sz w:val="16"/>
              </w:rPr>
              <w:t>Preserves clinical nuance and site/pathogen context.</w:t>
            </w:r>
          </w:p>
        </w:tc>
        <w:tc>
          <w:tcPr>
            <w:tcW w:w="2088" w:type="dxa"/>
            <w:tcMar>
              <w:top w:w="85" w:type="dxa"/>
              <w:left w:w="85" w:type="dxa"/>
              <w:bottom w:w="85" w:type="dxa"/>
              <w:right w:w="85" w:type="dxa"/>
            </w:tcMar>
            <w:vAlign w:val="center"/>
          </w:tcPr>
          <w:p w14:paraId="6DBC16AF" w14:textId="77777777" w:rsidR="002C4040" w:rsidRPr="00855721" w:rsidRDefault="00000000">
            <w:pPr>
              <w:spacing w:after="0" w:line="240" w:lineRule="auto"/>
            </w:pPr>
            <w:r w:rsidRPr="00855721">
              <w:rPr>
                <w:rFonts w:eastAsia="Times New Roman"/>
                <w:sz w:val="16"/>
              </w:rPr>
              <w:t>Resource intensive and less reproducible across reviewers.</w:t>
            </w:r>
          </w:p>
        </w:tc>
        <w:tc>
          <w:tcPr>
            <w:tcW w:w="1512" w:type="dxa"/>
            <w:tcMar>
              <w:top w:w="85" w:type="dxa"/>
              <w:left w:w="85" w:type="dxa"/>
              <w:bottom w:w="85" w:type="dxa"/>
              <w:right w:w="85" w:type="dxa"/>
            </w:tcMar>
            <w:vAlign w:val="center"/>
          </w:tcPr>
          <w:p w14:paraId="63BF21BF" w14:textId="77777777" w:rsidR="002C4040" w:rsidRPr="00855721" w:rsidRDefault="00000000">
            <w:pPr>
              <w:spacing w:after="0" w:line="240" w:lineRule="auto"/>
            </w:pPr>
            <w:r w:rsidRPr="00855721">
              <w:rPr>
                <w:rFonts w:eastAsia="Times New Roman"/>
                <w:sz w:val="16"/>
              </w:rPr>
              <w:t>Complex bedside decisions and validation of automated measures.</w:t>
            </w:r>
          </w:p>
        </w:tc>
        <w:tc>
          <w:tcPr>
            <w:tcW w:w="1008" w:type="dxa"/>
            <w:tcMar>
              <w:top w:w="85" w:type="dxa"/>
              <w:left w:w="85" w:type="dxa"/>
              <w:bottom w:w="85" w:type="dxa"/>
              <w:right w:w="85" w:type="dxa"/>
            </w:tcMar>
            <w:vAlign w:val="center"/>
          </w:tcPr>
          <w:p w14:paraId="367E8510" w14:textId="77777777" w:rsidR="002C4040" w:rsidRPr="00855721" w:rsidRDefault="00000000">
            <w:pPr>
              <w:spacing w:after="0" w:line="240" w:lineRule="auto"/>
            </w:pPr>
            <w:r w:rsidRPr="00855721">
              <w:rPr>
                <w:rFonts w:eastAsia="Times New Roman"/>
                <w:sz w:val="16"/>
              </w:rPr>
              <w:t>De Waele et al. (2020); Tabah et al. (2020)</w:t>
            </w:r>
          </w:p>
        </w:tc>
      </w:tr>
    </w:tbl>
    <w:p w14:paraId="1E2418C4" w14:textId="77777777" w:rsidR="002C4040" w:rsidRPr="00855721" w:rsidRDefault="00000000">
      <w:pPr>
        <w:pStyle w:val="TableNote"/>
      </w:pPr>
      <w:r w:rsidRPr="00855721">
        <w:rPr>
          <w:rFonts w:eastAsia="Times New Roman"/>
        </w:rPr>
        <w:t>Note. ADE = antimicrobial de-escalation; MRSA = methicillin-resistant Staphylococcus aureus. These approaches are not interchangeable; a study should state the action and the measurement rule used.</w:t>
      </w:r>
    </w:p>
    <w:p w14:paraId="69D6E2E1" w14:textId="77777777" w:rsidR="002C4040" w:rsidRPr="00855721" w:rsidRDefault="00000000">
      <w:pPr>
        <w:pStyle w:val="Heading1"/>
        <w:rPr>
          <w:color w:val="auto"/>
        </w:rPr>
      </w:pPr>
      <w:r w:rsidRPr="00855721">
        <w:rPr>
          <w:rFonts w:ascii="Times New Roman" w:eastAsia="Times New Roman" w:hAnsi="Times New Roman"/>
          <w:color w:val="auto"/>
        </w:rPr>
        <w:t>4. Clinical Evidence Across Major Acute-Care Syndromes</w:t>
      </w:r>
    </w:p>
    <w:p w14:paraId="73CABD1C" w14:textId="77777777" w:rsidR="002C4040" w:rsidRPr="00855721" w:rsidRDefault="00000000">
      <w:pPr>
        <w:pStyle w:val="Heading2"/>
        <w:rPr>
          <w:color w:val="auto"/>
        </w:rPr>
      </w:pPr>
      <w:r w:rsidRPr="00855721">
        <w:rPr>
          <w:rFonts w:ascii="Times New Roman" w:eastAsia="Times New Roman" w:hAnsi="Times New Roman"/>
          <w:color w:val="auto"/>
        </w:rPr>
        <w:t>4.1 Sepsis and Critical Illness</w:t>
      </w:r>
    </w:p>
    <w:p w14:paraId="43C5C02D" w14:textId="77777777" w:rsidR="002C4040" w:rsidRPr="00855721" w:rsidRDefault="00000000">
      <w:pPr>
        <w:jc w:val="both"/>
      </w:pPr>
      <w:r w:rsidRPr="00855721">
        <w:rPr>
          <w:rFonts w:eastAsia="Times New Roman"/>
        </w:rPr>
        <w:t>Sepsis is the clinical setting in which the rationale for both broad empirical treatment and early reassessment is most apparent. Initial antibiotic choices are often made before the source or pathogen is known, and clinicians may deliberately cover MRSA and resistant Gram-negative organisms because the cost of missing a treatable pathogen can be high. Yet resistant organisms are substantially less common than the frequency with which broad empirical therapy is prescribed in many hospitals, creating a large population eligible for downstream narrowing if early treatment proves adequate and the patient stabilises (Rhee et al., 2020).</w:t>
      </w:r>
    </w:p>
    <w:p w14:paraId="146A527F" w14:textId="77777777" w:rsidR="002C4040" w:rsidRPr="00855721" w:rsidRDefault="00000000">
      <w:pPr>
        <w:jc w:val="both"/>
      </w:pPr>
      <w:r w:rsidRPr="00855721">
        <w:rPr>
          <w:rFonts w:eastAsia="Times New Roman"/>
        </w:rPr>
        <w:t>Early observational evidence suggested a substantial survival association. In a prospective cohort of 628 evaluable patients with severe sepsis or septic shock, Garnacho-Montero et al. (2014) reported de-escalation in 34.9% and found it independently associated with lower in-hospital and 90-day mortality after adjustment. The study carefully considered adequacy of empirical therapy and illness severity at the time culture results were available, but it remained vulnerable to residual selection: clinicians preferentially de-escalate when the infection is controlled and the patient appears likely to tolerate narrowing. The result is therefore better interpreted as reassurance that ADE was not obviously harmful in appropriately selected patients than as proof of a mortality-reducing intervention.</w:t>
      </w:r>
    </w:p>
    <w:p w14:paraId="4DEB84F0" w14:textId="77777777" w:rsidR="002C4040" w:rsidRPr="00855721" w:rsidRDefault="00000000">
      <w:pPr>
        <w:jc w:val="both"/>
      </w:pPr>
      <w:r w:rsidRPr="00855721">
        <w:rPr>
          <w:rFonts w:eastAsia="Times New Roman"/>
        </w:rPr>
        <w:t>The randomised non-inferiority trial by Leone et al. (2014) is a useful counterweight. One hundred and sixteen patients with severe sepsis and appropriate empirical therapy were randomised to de-escalation or continuation. Mortality did not differ, but the de-escalation group had more antibiotic days and more superinfections, and the confidence interval around the primary intensive-care-unit length-of-stay outcome did not provide a simple demonstration that de-escalation improved efficiency. The trial was small, open label and not powered for mortality. Its enduring importance is conceptual: narrowing spectrum does not automatically shorten treatment, and a process that looks stewardship-concordant by spectrum can create additional sequential exposure if clinicians extend the overall course.</w:t>
      </w:r>
    </w:p>
    <w:p w14:paraId="5F57CADF" w14:textId="77777777" w:rsidR="002C4040" w:rsidRPr="00855721" w:rsidRDefault="00000000">
      <w:pPr>
        <w:jc w:val="both"/>
      </w:pPr>
      <w:r w:rsidRPr="00855721">
        <w:rPr>
          <w:rFonts w:eastAsia="Times New Roman"/>
        </w:rPr>
        <w:t xml:space="preserve">The international DIANA study broadened the evidence base to 1,495 adults across 152 intensive care units in 28 countries. Only 16% underwent ADE within three days. After inverse-probability weighting, ADE was associated with a higher probability of clinical cure at day 7, while unadjusted 28-day mortality did not differ significantly. The investigators explicitly warned that residual confounding was likely (De Bus et al., 2020). DIANA also demonstrated the implementation gap: even among patients receiving empirical </w:t>
      </w:r>
      <w:r w:rsidRPr="00855721">
        <w:rPr>
          <w:rFonts w:eastAsia="Times New Roman"/>
        </w:rPr>
        <w:lastRenderedPageBreak/>
        <w:t>therapy in settings where de-escalation is widely recommended, the practice was infrequent and geographically variable.</w:t>
      </w:r>
    </w:p>
    <w:p w14:paraId="460EA521" w14:textId="77777777" w:rsidR="002C4040" w:rsidRPr="00855721" w:rsidRDefault="00000000">
      <w:pPr>
        <w:jc w:val="both"/>
      </w:pPr>
      <w:r w:rsidRPr="00855721">
        <w:rPr>
          <w:rFonts w:eastAsia="Times New Roman"/>
        </w:rPr>
        <w:t>Evidence from settings with high multidrug resistance shows why local epidemiology changes feasibility. Routsi et al. (2020) studied 262 patients with sepsis or septic shock in intensive care units where resistant pathogens were common. De-escalation was judged microbiologically infeasible in 37% of patients and was performed in only 22.9% overall. Propensity-matched analyses again associated ADE with lower mortality, but the key generalisable finding is not the magnitude of that association. Rather, it is that de-escalation opportunities shrink when the definitive pathogen truly requires broad or reserve agents. Stewardship quality cannot therefore be judged by a universal target de-escalation rate independent of case mix and local resistance.</w:t>
      </w:r>
    </w:p>
    <w:p w14:paraId="3AE1ADD8" w14:textId="77777777" w:rsidR="002C4040" w:rsidRPr="00855721" w:rsidRDefault="00000000">
      <w:pPr>
        <w:jc w:val="both"/>
      </w:pPr>
      <w:r w:rsidRPr="00855721">
        <w:rPr>
          <w:rFonts w:eastAsia="Times New Roman"/>
        </w:rPr>
        <w:t>More recent large-scale studies have strengthened the safety argument while clarifying heterogeneity. Kam et al. (2025) examined 124,577 adults with suspected sepsis in 236 United States hospitals who had received both anti-MRSA and antipseudomonal therapy without a resistant organism identified by hospital day 4. Only 29.5% were de-escalated, and hospital-level de-escalation rates varied widely. Propensity-matched analyses associated ADE with lower odds of acute kidney injury, later intensive-care-unit admission and mortality, but complete antibiotic cessation formed a clinically distinct subgroup and showed different associations than narrowing. The analysis is valuable because of its scale and detailed adjustment, but unmeasured differences in infection probability and trajectory remain plausible (Kam et al., 2025).</w:t>
      </w:r>
    </w:p>
    <w:p w14:paraId="7ED6FC8D" w14:textId="77777777" w:rsidR="002C4040" w:rsidRPr="00855721" w:rsidRDefault="00000000">
      <w:pPr>
        <w:jc w:val="both"/>
      </w:pPr>
      <w:r w:rsidRPr="00855721">
        <w:rPr>
          <w:rFonts w:eastAsia="Times New Roman"/>
        </w:rPr>
        <w:t>Gupta et al. (2026) used target-trial emulation in 36,924 adults hospitalised with community-onset sepsis across 67 hospitals. Among patients clinically stable on day 3 and eligible for de-escalation, stopping anti-MRSA or antipseudomonal coverage by day 4 was associated with similar 90-day mortality to continuation, approximately 9% fewer antibiotic days and shorter hospital stay. The approach aligns eligibility, exposure and follow-up more closely than many earlier cohorts and directly addresses a clinically common decision point. Nevertheless, treatment remained observational, and clinicians' unrecorded assessments of source, response and diagnostic confidence could still influence both de-escalation and outcome (Gupta et al., 2026).</w:t>
      </w:r>
    </w:p>
    <w:p w14:paraId="18A39932" w14:textId="77777777" w:rsidR="002C4040" w:rsidRPr="00855721" w:rsidRDefault="00000000">
      <w:pPr>
        <w:jc w:val="both"/>
      </w:pPr>
      <w:r w:rsidRPr="00855721">
        <w:rPr>
          <w:rFonts w:eastAsia="Times New Roman"/>
        </w:rPr>
        <w:t>Culture-negative sepsis deserves separate attention because absence of microbiological confirmation can either support cessation or intensify uncertainty. Ohnuma et al. (2026) analysed 7,741 adults with suspected bacterial culture-negative community-onset sepsis and accounted for early change in organ dysfunction. De-escalation within five days occurred in 62% and was not associated with higher 30-day mortality. The study is important because it addresses the common criticism that observational ADE appears safe only when a susceptible organism provides a clear target. Even so, culture negativity is heterogeneous: it includes true bacterial infection suppressed by prior antibiotics, poorly sampled infection, non-bacteraemic bacterial disease and non-bacterial mimics. A negative culture cannot be treated as a universal instruction to stop treatment.</w:t>
      </w:r>
    </w:p>
    <w:p w14:paraId="5738E343" w14:textId="77777777" w:rsidR="002C4040" w:rsidRPr="00855721" w:rsidRDefault="00000000">
      <w:pPr>
        <w:jc w:val="both"/>
      </w:pPr>
      <w:r w:rsidRPr="00855721">
        <w:rPr>
          <w:rFonts w:eastAsia="Times New Roman"/>
        </w:rPr>
        <w:t xml:space="preserve">Pragmatic stewardship interventions offer complementary evidence about changing behaviour rather than estimating the biological effect of narrowing. In a multicentre randomised trial of 767 hospitalised patients with suspected sepsis who met safety criteria and had negative blood cultures, Moehring et al. (2023) used an opt-out discussion that encouraged discontinuation unless the clinical team stated a reason to continue. The intervention reduced the odds of antibiotic continuation and reduced exposure to extended-spectrum agents without evidence of worse 30-day safety events. The modest absolute change also revealed how strongly clinicians remained influenced by localised infection diagnoses and concern that stopping therapy </w:t>
      </w:r>
      <w:r w:rsidRPr="00855721">
        <w:rPr>
          <w:rFonts w:eastAsia="Times New Roman"/>
        </w:rPr>
        <w:lastRenderedPageBreak/>
        <w:t>was unsafe. De-escalation is therefore not simply an information problem; it is a decision architecture problem.</w:t>
      </w:r>
    </w:p>
    <w:p w14:paraId="3C7361D9" w14:textId="77777777" w:rsidR="002C4040" w:rsidRPr="00855721" w:rsidRDefault="00000000">
      <w:pPr>
        <w:jc w:val="both"/>
      </w:pPr>
      <w:r w:rsidRPr="00855721">
        <w:rPr>
          <w:rFonts w:eastAsia="Times New Roman"/>
        </w:rPr>
        <w:t>Taken together, sepsis evidence supports three calibrated conclusions. First, ADE in carefully selected, clinically stable patients receiving initially adequate treatment has not produced a consistent signal of excess mortality. Secondly, observational mortality advantages should not be interpreted causally. Thirdly, newer causal-inference approaches and pragmatic trials increasingly support early narrowing or cessation when resistant pathogens are not demonstrated and the clinical trajectory is reassuring, but they do not justify indiscriminate de-escalation in unstable patients or when initial adequacy remains uncertain.</w:t>
      </w:r>
    </w:p>
    <w:p w14:paraId="317D99E0" w14:textId="77777777" w:rsidR="002C4040" w:rsidRPr="00855721" w:rsidRDefault="00000000">
      <w:pPr>
        <w:pStyle w:val="Heading2"/>
        <w:rPr>
          <w:color w:val="auto"/>
        </w:rPr>
      </w:pPr>
      <w:r w:rsidRPr="00855721">
        <w:rPr>
          <w:rFonts w:ascii="Times New Roman" w:eastAsia="Times New Roman" w:hAnsi="Times New Roman"/>
          <w:color w:val="auto"/>
        </w:rPr>
        <w:t>4.2 Pneumonia</w:t>
      </w:r>
    </w:p>
    <w:p w14:paraId="3A84EA43" w14:textId="77777777" w:rsidR="002C4040" w:rsidRPr="00855721" w:rsidRDefault="00000000">
      <w:pPr>
        <w:jc w:val="both"/>
      </w:pPr>
      <w:r w:rsidRPr="00855721">
        <w:rPr>
          <w:rFonts w:eastAsia="Times New Roman"/>
        </w:rPr>
        <w:t>Pneumonia illustrates both the opportunity and the diagnostic fragility of ADE. Respiratory cultures may be negative, contaminated or unavailable; colonisation can be mistaken for infection; and empirical MRSA or antipseudomonal coverage is common in hospital-acquired or severe community-acquired disease. Current pneumonia guidelines favour narrowing based on microbiology and clinical response while discouraging continuation of broad therapy solely because it was initially justified (Kalil et al., 2016; Metlay et al., 2019).</w:t>
      </w:r>
    </w:p>
    <w:p w14:paraId="181BD58C" w14:textId="77777777" w:rsidR="002C4040" w:rsidRPr="00855721" w:rsidRDefault="00000000">
      <w:pPr>
        <w:jc w:val="both"/>
      </w:pPr>
      <w:r w:rsidRPr="00855721">
        <w:rPr>
          <w:rFonts w:eastAsia="Times New Roman"/>
        </w:rPr>
        <w:t xml:space="preserve">A large retrospective study of 1,812 patients with hospital-acquired or ventilator-associated pneumonia used a spectrum-score definition and found no significant increase in treatment failure with de-escalation, while de-escalated patients had fewer antibiotic days, fewer </w:t>
      </w:r>
      <w:r w:rsidRPr="00855721">
        <w:rPr>
          <w:rFonts w:eastAsia="Times New Roman"/>
          <w:i/>
        </w:rPr>
        <w:t>Clostridioides difficile</w:t>
      </w:r>
      <w:r w:rsidRPr="00855721">
        <w:rPr>
          <w:rFonts w:eastAsia="Times New Roman"/>
        </w:rPr>
        <w:t xml:space="preserve"> infections and shorter hospital stays in unadjusted or adjusted comparisons depending on the outcome (Ilges et al., 2021). The study provides useful syndrome-specific reassurance and demonstrates how a graded spectrum measure can capture practice beyond discontinuation of a single named drug. Its single-centre observational design, however, limits causal interpretation.</w:t>
      </w:r>
    </w:p>
    <w:p w14:paraId="7EDC2117" w14:textId="77777777" w:rsidR="002C4040" w:rsidRPr="00855721" w:rsidRDefault="00000000">
      <w:pPr>
        <w:jc w:val="both"/>
      </w:pPr>
      <w:r w:rsidRPr="00855721">
        <w:rPr>
          <w:rFonts w:eastAsia="Times New Roman"/>
        </w:rPr>
        <w:t>Culture-negative pneumonia is especially relevant because clinicians cannot tailor therapy to a susceptibility result. Song and Lee (2023) pooled six studies including 11,933 patients and found that ADE was associated with lower in-hospital mortality and shorter antibiotic exposure, but statistical heterogeneity was substantial and the evidence was dominated by non-randomised studies. The mortality estimate is therefore likely to include selection effects: patients whose cultures remain negative and whose physiology improves are more likely to be judged safe for narrowing. The more defensible inference is that de-escalation has not shown clear harm in selected culture-negative pneumonia, not that it confers a survival advantage.</w:t>
      </w:r>
    </w:p>
    <w:p w14:paraId="5DEE6943" w14:textId="77777777" w:rsidR="002C4040" w:rsidRPr="00855721" w:rsidRDefault="00000000">
      <w:pPr>
        <w:jc w:val="both"/>
      </w:pPr>
      <w:r w:rsidRPr="00855721">
        <w:rPr>
          <w:rFonts w:eastAsia="Times New Roman"/>
        </w:rPr>
        <w:t>MRSA nasal screening creates a more specific diagnostic pathway. Parente et al. (2018) showed that MRSA nasal screening had a high negative predictive value for MRSA pneumonia, especially in community-acquired and healthcare-associated pneumonia, while performance was less robust in ventilator-associated pneumonia. Negative predictive value is prevalence-dependent, so local MRSA epidemiology and the interval between swab and pneumonia onset matter. More recent systematic evidence suggests that pharmacist-driven MRSA PCR pathways can shorten anti-MRSA therapy more reliably than testing without an implementation mechanism (Timbrook et al., 2026).</w:t>
      </w:r>
    </w:p>
    <w:p w14:paraId="1E491D90" w14:textId="77777777" w:rsidR="002C4040" w:rsidRPr="00855721" w:rsidRDefault="00000000">
      <w:pPr>
        <w:jc w:val="both"/>
      </w:pPr>
      <w:r w:rsidRPr="00855721">
        <w:rPr>
          <w:rFonts w:eastAsia="Times New Roman"/>
        </w:rPr>
        <w:t xml:space="preserve">The STOP-Vanc randomised trial is an important caution against equating diagnostic performance with clinical impact. Among 277 intensive-care-unit patients with suspected community-acquired pneumonia, MRSA nasal PCR had a negative predictive value of 98.9%, yet providing the test did not significantly improve the prespecified outcome of vancomycin-free hours alive or reduce 30-day mortality. Clinicians still controlled discontinuation, and the authors concluded that education or stewardship integration may be </w:t>
      </w:r>
      <w:r w:rsidRPr="00855721">
        <w:rPr>
          <w:rFonts w:eastAsia="Times New Roman"/>
        </w:rPr>
        <w:lastRenderedPageBreak/>
        <w:t>needed to convert a negative result into action (Freiberg et al., 2026). Small quasi-experimental studies in contrast often report reduced vancomycin exposure when pharmacists order the test and actively recommend discontinuation (Doan &amp; Smoke, 2024). The difference between these designs supports a broader implementation principle: diagnostic certainty is necessary but often insufficient.</w:t>
      </w:r>
    </w:p>
    <w:p w14:paraId="75FFD834" w14:textId="77777777" w:rsidR="002C4040" w:rsidRPr="00855721" w:rsidRDefault="00000000">
      <w:pPr>
        <w:pStyle w:val="Heading2"/>
        <w:rPr>
          <w:color w:val="auto"/>
        </w:rPr>
      </w:pPr>
      <w:r w:rsidRPr="00855721">
        <w:rPr>
          <w:rFonts w:ascii="Times New Roman" w:eastAsia="Times New Roman" w:hAnsi="Times New Roman"/>
          <w:color w:val="auto"/>
        </w:rPr>
        <w:t>4.3 Bloodstream Infection</w:t>
      </w:r>
    </w:p>
    <w:p w14:paraId="73163A40" w14:textId="77777777" w:rsidR="002C4040" w:rsidRPr="00855721" w:rsidRDefault="00000000">
      <w:pPr>
        <w:jc w:val="both"/>
      </w:pPr>
      <w:r w:rsidRPr="00855721">
        <w:rPr>
          <w:rFonts w:eastAsia="Times New Roman"/>
        </w:rPr>
        <w:t>Bloodstream infection often offers the cleanest microbiological opportunity for ADE because organism identification and susceptibility data can provide a direct basis for definitive therapy. The principal challenge is time. Conventional culture and susceptibility workflows may return decisive information only after several days of broad treatment. Rapid diagnostics can therefore shift de-escalation from a late to an early stewardship intervention.</w:t>
      </w:r>
    </w:p>
    <w:p w14:paraId="36C590BA" w14:textId="77777777" w:rsidR="002C4040" w:rsidRPr="00855721" w:rsidRDefault="00000000">
      <w:pPr>
        <w:jc w:val="both"/>
      </w:pPr>
      <w:r w:rsidRPr="00855721">
        <w:rPr>
          <w:rFonts w:eastAsia="Times New Roman"/>
        </w:rPr>
        <w:t>Banerjee et al. (2015) randomised 617 patients with positive blood cultures to conventional processing, rapid multiplex PCR with templated interpretation, or rapid PCR plus real-time antimicrobial stewardship feedback. Organism identification was accelerated markedly, and the combination of rapid results with stewardship increased appropriate antibiotic adjustments and earlier de-escalation more consistently than laboratory information alone. The trial established an enduring distinction between analytic turnaround time and therapeutic turnaround time.</w:t>
      </w:r>
    </w:p>
    <w:p w14:paraId="544E0390" w14:textId="77777777" w:rsidR="002C4040" w:rsidRPr="00855721" w:rsidRDefault="00000000">
      <w:pPr>
        <w:jc w:val="both"/>
      </w:pPr>
      <w:r w:rsidRPr="00855721">
        <w:rPr>
          <w:rFonts w:eastAsia="Times New Roman"/>
        </w:rPr>
        <w:t>For Gram-negative bacteraemia, the multicentre RAPIDS-GN randomised trial compared standard identification and susceptibility testing with rapid organism identification and phenotypic susceptibility testing, both in the setting of antimicrobial stewardship. Rapid testing shortened time to organism identification and susceptibility and significantly shortened time to first antibiotic modification, including Gram-negative antibiotic modification, but did not demonstrate a clear improvement in major patient outcomes (Banerjee et al., 2021). This pattern is expected: the proximal effect of diagnostics is a prescribing decision, while mortality depends on many downstream factors and may be an insensitive endpoint for a stewardship tool.</w:t>
      </w:r>
    </w:p>
    <w:p w14:paraId="4FEB9CE7" w14:textId="77777777" w:rsidR="002C4040" w:rsidRPr="00855721" w:rsidRDefault="00000000">
      <w:pPr>
        <w:jc w:val="both"/>
      </w:pPr>
      <w:r w:rsidRPr="00855721">
        <w:rPr>
          <w:rFonts w:eastAsia="Times New Roman"/>
        </w:rPr>
        <w:t>A large multihospital quasi-experimental study similarly found that a bundle of rapid diagnostics, treatment guidance and active stewardship shortened median time to de-escalation from combination therapy, antipseudomonal beta-lactams and carbapenems by roughly one to one-and-a-half days compared with the pre-intervention period (Bookstaver et al., 2017). Because multiple components changed together, the individual contribution of each diagnostic platform cannot be isolated. The study nevertheless supports a system-level inference: rapid testing has greatest de-escalation value when it is linked to a protocol capable of acting before conventional final susceptibility reports.</w:t>
      </w:r>
    </w:p>
    <w:p w14:paraId="1CEF31D9" w14:textId="77777777" w:rsidR="002C4040" w:rsidRPr="00855721" w:rsidRDefault="00000000">
      <w:pPr>
        <w:pStyle w:val="Heading2"/>
        <w:rPr>
          <w:color w:val="auto"/>
        </w:rPr>
      </w:pPr>
      <w:r w:rsidRPr="00855721">
        <w:rPr>
          <w:rFonts w:ascii="Times New Roman" w:eastAsia="Times New Roman" w:hAnsi="Times New Roman"/>
          <w:color w:val="auto"/>
        </w:rPr>
        <w:t>4.4 Immunocompromised and Other High-Risk Patients</w:t>
      </w:r>
    </w:p>
    <w:p w14:paraId="1F5802D6" w14:textId="77777777" w:rsidR="002C4040" w:rsidRPr="00855721" w:rsidRDefault="00000000">
      <w:pPr>
        <w:jc w:val="both"/>
      </w:pPr>
      <w:r w:rsidRPr="00855721">
        <w:rPr>
          <w:rFonts w:eastAsia="Times New Roman"/>
        </w:rPr>
        <w:t>Evidence is less secure in profound immunocompromise, prolonged neutropenia, uncontrolled infection foci and situations where clinical deterioration would be difficult to rescue. A small retrospective study of febrile neutropenia evaluated de-escalation after extended empirical broad-spectrum therapy in persistently neutropenic patients and did not identify an obvious safety signal, but its highly selected population and design cannot support broad equivalence claims (Kroll et al., 2016). Reviews of critically ill populations similarly emphasise that immunocompromised patients are under-represented in many ADE studies and that practice is more heterogeneous (Tanzarella et al., 2024).</w:t>
      </w:r>
    </w:p>
    <w:p w14:paraId="0E719DA4" w14:textId="77777777" w:rsidR="002C4040" w:rsidRPr="00855721" w:rsidRDefault="00000000">
      <w:pPr>
        <w:jc w:val="both"/>
      </w:pPr>
      <w:r w:rsidRPr="00855721">
        <w:rPr>
          <w:rFonts w:eastAsia="Times New Roman"/>
        </w:rPr>
        <w:t xml:space="preserve">The correct implication is not that high-risk patients should never be de-escalated. Rather, the evidentiary threshold for narrowing should reflect host risk, source control, organism, expected reliability of </w:t>
      </w:r>
      <w:r w:rsidRPr="00855721">
        <w:rPr>
          <w:rFonts w:eastAsia="Times New Roman"/>
        </w:rPr>
        <w:lastRenderedPageBreak/>
        <w:t>diagnostics and the consequence of treatment failure. For example, stopping redundant combination therapy after definitive susceptibility testing is a different proposition from complete cessation in a persistently febrile neutropenic patient with no source. Future studies should preserve these distinctions rather than group all "high-risk" de-escalation into a single exposure.</w:t>
      </w:r>
    </w:p>
    <w:p w14:paraId="37B96483" w14:textId="77777777" w:rsidR="002C4040" w:rsidRPr="00855721" w:rsidRDefault="00000000">
      <w:pPr>
        <w:jc w:val="both"/>
      </w:pPr>
      <w:r w:rsidRPr="00855721">
        <w:rPr>
          <w:rFonts w:eastAsia="Times New Roman"/>
        </w:rPr>
        <w:t>Table 2 summarises representative clinical evidence. The consistent pattern is safety reassurance rather than proof of outcome superiority: crude observational benefits shrink as confounding is better addressed, randomised trials mainly demonstrate feasibility or prescribing effects, and the strongest recent quasi-causal studies support non-inferior clinical outcomes with less broad-spectrum exposure in selected, stable patients.</w:t>
      </w:r>
    </w:p>
    <w:p w14:paraId="5E51B773" w14:textId="77777777" w:rsidR="002C4040" w:rsidRPr="00855721" w:rsidRDefault="00000000">
      <w:pPr>
        <w:pStyle w:val="TableCaption"/>
      </w:pPr>
      <w:r w:rsidRPr="00855721">
        <w:rPr>
          <w:rFonts w:eastAsia="Times New Roman"/>
        </w:rPr>
        <w:t>Table 2. Representative clinical evidence on antimicrobial de-escalation across acute-care syndromes</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2088"/>
        <w:gridCol w:w="2016"/>
        <w:gridCol w:w="2232"/>
        <w:gridCol w:w="2448"/>
        <w:gridCol w:w="1152"/>
      </w:tblGrid>
      <w:tr w:rsidR="00855721" w:rsidRPr="00855721" w14:paraId="6FDBC8C3" w14:textId="77777777" w:rsidTr="00855721">
        <w:trPr>
          <w:cantSplit/>
          <w:tblHeader/>
          <w:jc w:val="center"/>
        </w:trPr>
        <w:tc>
          <w:tcPr>
            <w:tcW w:w="2088" w:type="dxa"/>
            <w:tcMar>
              <w:top w:w="85" w:type="dxa"/>
              <w:left w:w="85" w:type="dxa"/>
              <w:bottom w:w="85" w:type="dxa"/>
              <w:right w:w="85" w:type="dxa"/>
            </w:tcMar>
            <w:vAlign w:val="center"/>
          </w:tcPr>
          <w:p w14:paraId="7FF7AA03" w14:textId="77777777" w:rsidR="002C4040" w:rsidRPr="00855721" w:rsidRDefault="00000000">
            <w:pPr>
              <w:spacing w:after="0" w:line="240" w:lineRule="auto"/>
              <w:jc w:val="center"/>
            </w:pPr>
            <w:r w:rsidRPr="00855721">
              <w:rPr>
                <w:rFonts w:eastAsia="Times New Roman"/>
                <w:b/>
                <w:sz w:val="16"/>
              </w:rPr>
              <w:t>Study context and design</w:t>
            </w:r>
          </w:p>
        </w:tc>
        <w:tc>
          <w:tcPr>
            <w:tcW w:w="2016" w:type="dxa"/>
            <w:tcMar>
              <w:top w:w="85" w:type="dxa"/>
              <w:left w:w="85" w:type="dxa"/>
              <w:bottom w:w="85" w:type="dxa"/>
              <w:right w:w="85" w:type="dxa"/>
            </w:tcMar>
            <w:vAlign w:val="center"/>
          </w:tcPr>
          <w:p w14:paraId="5B42433A" w14:textId="77777777" w:rsidR="002C4040" w:rsidRPr="00855721" w:rsidRDefault="00000000">
            <w:pPr>
              <w:spacing w:after="0" w:line="240" w:lineRule="auto"/>
              <w:jc w:val="center"/>
            </w:pPr>
            <w:r w:rsidRPr="00855721">
              <w:rPr>
                <w:rFonts w:eastAsia="Times New Roman"/>
                <w:b/>
                <w:sz w:val="16"/>
              </w:rPr>
              <w:t>De-escalation definition or timing</w:t>
            </w:r>
          </w:p>
        </w:tc>
        <w:tc>
          <w:tcPr>
            <w:tcW w:w="2232" w:type="dxa"/>
            <w:tcMar>
              <w:top w:w="85" w:type="dxa"/>
              <w:left w:w="85" w:type="dxa"/>
              <w:bottom w:w="85" w:type="dxa"/>
              <w:right w:w="85" w:type="dxa"/>
            </w:tcMar>
            <w:vAlign w:val="center"/>
          </w:tcPr>
          <w:p w14:paraId="1819F7F1" w14:textId="77777777" w:rsidR="002C4040" w:rsidRPr="00855721" w:rsidRDefault="00000000">
            <w:pPr>
              <w:spacing w:after="0" w:line="240" w:lineRule="auto"/>
              <w:jc w:val="center"/>
            </w:pPr>
            <w:r w:rsidRPr="00855721">
              <w:rPr>
                <w:rFonts w:eastAsia="Times New Roman"/>
                <w:b/>
                <w:sz w:val="16"/>
              </w:rPr>
              <w:t>Main finding</w:t>
            </w:r>
          </w:p>
        </w:tc>
        <w:tc>
          <w:tcPr>
            <w:tcW w:w="2448" w:type="dxa"/>
            <w:tcMar>
              <w:top w:w="85" w:type="dxa"/>
              <w:left w:w="85" w:type="dxa"/>
              <w:bottom w:w="85" w:type="dxa"/>
              <w:right w:w="85" w:type="dxa"/>
            </w:tcMar>
            <w:vAlign w:val="center"/>
          </w:tcPr>
          <w:p w14:paraId="3749934C" w14:textId="77777777" w:rsidR="002C4040" w:rsidRPr="00855721" w:rsidRDefault="00000000">
            <w:pPr>
              <w:spacing w:after="0" w:line="240" w:lineRule="auto"/>
              <w:jc w:val="center"/>
            </w:pPr>
            <w:r w:rsidRPr="00855721">
              <w:rPr>
                <w:rFonts w:eastAsia="Times New Roman"/>
                <w:b/>
                <w:sz w:val="16"/>
              </w:rPr>
              <w:t>Critical interpretation</w:t>
            </w:r>
          </w:p>
        </w:tc>
        <w:tc>
          <w:tcPr>
            <w:tcW w:w="1152" w:type="dxa"/>
            <w:tcMar>
              <w:top w:w="85" w:type="dxa"/>
              <w:left w:w="85" w:type="dxa"/>
              <w:bottom w:w="85" w:type="dxa"/>
              <w:right w:w="85" w:type="dxa"/>
            </w:tcMar>
            <w:vAlign w:val="center"/>
          </w:tcPr>
          <w:p w14:paraId="1CA48DAC"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AB78676" w14:textId="77777777" w:rsidTr="00855721">
        <w:trPr>
          <w:cantSplit/>
          <w:jc w:val="center"/>
        </w:trPr>
        <w:tc>
          <w:tcPr>
            <w:tcW w:w="2088" w:type="dxa"/>
            <w:tcMar>
              <w:top w:w="85" w:type="dxa"/>
              <w:left w:w="85" w:type="dxa"/>
              <w:bottom w:w="85" w:type="dxa"/>
              <w:right w:w="85" w:type="dxa"/>
            </w:tcMar>
            <w:vAlign w:val="center"/>
          </w:tcPr>
          <w:p w14:paraId="5DB1D367" w14:textId="77777777" w:rsidR="002C4040" w:rsidRPr="00855721" w:rsidRDefault="00000000">
            <w:pPr>
              <w:spacing w:after="0" w:line="240" w:lineRule="auto"/>
            </w:pPr>
            <w:r w:rsidRPr="00855721">
              <w:rPr>
                <w:rFonts w:eastAsia="Times New Roman"/>
                <w:sz w:val="16"/>
              </w:rPr>
              <w:t>Severe sepsis/septic shock; prospective cohort; 628 evaluable patients</w:t>
            </w:r>
          </w:p>
        </w:tc>
        <w:tc>
          <w:tcPr>
            <w:tcW w:w="2016" w:type="dxa"/>
            <w:tcMar>
              <w:top w:w="85" w:type="dxa"/>
              <w:left w:w="85" w:type="dxa"/>
              <w:bottom w:w="85" w:type="dxa"/>
              <w:right w:w="85" w:type="dxa"/>
            </w:tcMar>
            <w:vAlign w:val="center"/>
          </w:tcPr>
          <w:p w14:paraId="0A080C49" w14:textId="77777777" w:rsidR="002C4040" w:rsidRPr="00855721" w:rsidRDefault="00000000">
            <w:pPr>
              <w:spacing w:after="0" w:line="240" w:lineRule="auto"/>
            </w:pPr>
            <w:r w:rsidRPr="00855721">
              <w:rPr>
                <w:rFonts w:eastAsia="Times New Roman"/>
                <w:sz w:val="16"/>
              </w:rPr>
              <w:t>Discontinuation or narrower therapy after culture information became available.</w:t>
            </w:r>
          </w:p>
        </w:tc>
        <w:tc>
          <w:tcPr>
            <w:tcW w:w="2232" w:type="dxa"/>
            <w:tcMar>
              <w:top w:w="85" w:type="dxa"/>
              <w:left w:w="85" w:type="dxa"/>
              <w:bottom w:w="85" w:type="dxa"/>
              <w:right w:w="85" w:type="dxa"/>
            </w:tcMar>
            <w:vAlign w:val="center"/>
          </w:tcPr>
          <w:p w14:paraId="71CBF547" w14:textId="77777777" w:rsidR="002C4040" w:rsidRPr="00855721" w:rsidRDefault="00000000">
            <w:pPr>
              <w:spacing w:after="0" w:line="240" w:lineRule="auto"/>
            </w:pPr>
            <w:r w:rsidRPr="00855721">
              <w:rPr>
                <w:rFonts w:eastAsia="Times New Roman"/>
                <w:sz w:val="16"/>
              </w:rPr>
              <w:t>ADE occurred in 34.9% and was independently associated with lower in-hospital and 90-day mortality.</w:t>
            </w:r>
          </w:p>
        </w:tc>
        <w:tc>
          <w:tcPr>
            <w:tcW w:w="2448" w:type="dxa"/>
            <w:tcMar>
              <w:top w:w="85" w:type="dxa"/>
              <w:left w:w="85" w:type="dxa"/>
              <w:bottom w:w="85" w:type="dxa"/>
              <w:right w:w="85" w:type="dxa"/>
            </w:tcMar>
            <w:vAlign w:val="center"/>
          </w:tcPr>
          <w:p w14:paraId="388D9DCE" w14:textId="77777777" w:rsidR="002C4040" w:rsidRPr="00855721" w:rsidRDefault="00000000">
            <w:pPr>
              <w:spacing w:after="0" w:line="240" w:lineRule="auto"/>
            </w:pPr>
            <w:r w:rsidRPr="00855721">
              <w:rPr>
                <w:rFonts w:eastAsia="Times New Roman"/>
                <w:sz w:val="16"/>
              </w:rPr>
              <w:t>Reassuring for selected patients, but clinician selection and improving trajectory limit causal interpretation.</w:t>
            </w:r>
          </w:p>
        </w:tc>
        <w:tc>
          <w:tcPr>
            <w:tcW w:w="1152" w:type="dxa"/>
            <w:tcMar>
              <w:top w:w="85" w:type="dxa"/>
              <w:left w:w="85" w:type="dxa"/>
              <w:bottom w:w="85" w:type="dxa"/>
              <w:right w:w="85" w:type="dxa"/>
            </w:tcMar>
            <w:vAlign w:val="center"/>
          </w:tcPr>
          <w:p w14:paraId="2BEBA8CD" w14:textId="77777777" w:rsidR="002C4040" w:rsidRPr="00855721" w:rsidRDefault="00000000">
            <w:pPr>
              <w:spacing w:after="0" w:line="240" w:lineRule="auto"/>
            </w:pPr>
            <w:r w:rsidRPr="00855721">
              <w:rPr>
                <w:rFonts w:eastAsia="Times New Roman"/>
                <w:sz w:val="16"/>
              </w:rPr>
              <w:t>Garnacho-Montero et al. (2014)</w:t>
            </w:r>
          </w:p>
        </w:tc>
      </w:tr>
      <w:tr w:rsidR="00855721" w:rsidRPr="00855721" w14:paraId="68374821" w14:textId="77777777" w:rsidTr="00855721">
        <w:trPr>
          <w:cantSplit/>
          <w:jc w:val="center"/>
        </w:trPr>
        <w:tc>
          <w:tcPr>
            <w:tcW w:w="2088" w:type="dxa"/>
            <w:tcMar>
              <w:top w:w="85" w:type="dxa"/>
              <w:left w:w="85" w:type="dxa"/>
              <w:bottom w:w="85" w:type="dxa"/>
              <w:right w:w="85" w:type="dxa"/>
            </w:tcMar>
            <w:vAlign w:val="center"/>
          </w:tcPr>
          <w:p w14:paraId="3DAE0302" w14:textId="77777777" w:rsidR="002C4040" w:rsidRPr="00855721" w:rsidRDefault="00000000">
            <w:pPr>
              <w:spacing w:after="0" w:line="240" w:lineRule="auto"/>
            </w:pPr>
            <w:r w:rsidRPr="00855721">
              <w:rPr>
                <w:rFonts w:eastAsia="Times New Roman"/>
                <w:sz w:val="16"/>
              </w:rPr>
              <w:t xml:space="preserve">Severe sepsis; </w:t>
            </w:r>
            <w:proofErr w:type="spellStart"/>
            <w:r w:rsidRPr="00855721">
              <w:rPr>
                <w:rFonts w:eastAsia="Times New Roman"/>
                <w:sz w:val="16"/>
              </w:rPr>
              <w:t>multicentre</w:t>
            </w:r>
            <w:proofErr w:type="spellEnd"/>
            <w:r w:rsidRPr="00855721">
              <w:rPr>
                <w:rFonts w:eastAsia="Times New Roman"/>
                <w:sz w:val="16"/>
              </w:rPr>
              <w:t xml:space="preserve"> open-label </w:t>
            </w:r>
            <w:proofErr w:type="spellStart"/>
            <w:r w:rsidRPr="00855721">
              <w:rPr>
                <w:rFonts w:eastAsia="Times New Roman"/>
                <w:sz w:val="16"/>
              </w:rPr>
              <w:t>randomised</w:t>
            </w:r>
            <w:proofErr w:type="spellEnd"/>
            <w:r w:rsidRPr="00855721">
              <w:rPr>
                <w:rFonts w:eastAsia="Times New Roman"/>
                <w:sz w:val="16"/>
              </w:rPr>
              <w:t xml:space="preserve"> non-inferiority trial; 116 patients</w:t>
            </w:r>
          </w:p>
        </w:tc>
        <w:tc>
          <w:tcPr>
            <w:tcW w:w="2016" w:type="dxa"/>
            <w:tcMar>
              <w:top w:w="85" w:type="dxa"/>
              <w:left w:w="85" w:type="dxa"/>
              <w:bottom w:w="85" w:type="dxa"/>
              <w:right w:w="85" w:type="dxa"/>
            </w:tcMar>
            <w:vAlign w:val="center"/>
          </w:tcPr>
          <w:p w14:paraId="57B628A9" w14:textId="77777777" w:rsidR="002C4040" w:rsidRPr="00855721" w:rsidRDefault="00000000">
            <w:pPr>
              <w:spacing w:after="0" w:line="240" w:lineRule="auto"/>
            </w:pPr>
            <w:r w:rsidRPr="00855721">
              <w:rPr>
                <w:rFonts w:eastAsia="Times New Roman"/>
                <w:sz w:val="16"/>
              </w:rPr>
              <w:t>Protocolised de-escalation after appropriate empirical therapy.</w:t>
            </w:r>
          </w:p>
        </w:tc>
        <w:tc>
          <w:tcPr>
            <w:tcW w:w="2232" w:type="dxa"/>
            <w:tcMar>
              <w:top w:w="85" w:type="dxa"/>
              <w:left w:w="85" w:type="dxa"/>
              <w:bottom w:w="85" w:type="dxa"/>
              <w:right w:w="85" w:type="dxa"/>
            </w:tcMar>
            <w:vAlign w:val="center"/>
          </w:tcPr>
          <w:p w14:paraId="0242B96F" w14:textId="77777777" w:rsidR="002C4040" w:rsidRPr="00855721" w:rsidRDefault="00000000">
            <w:pPr>
              <w:spacing w:after="0" w:line="240" w:lineRule="auto"/>
            </w:pPr>
            <w:r w:rsidRPr="00855721">
              <w:rPr>
                <w:rFonts w:eastAsia="Times New Roman"/>
                <w:sz w:val="16"/>
              </w:rPr>
              <w:t>Mortality was similar; the ADE arm had more antibiotic days and more superinfections.</w:t>
            </w:r>
          </w:p>
        </w:tc>
        <w:tc>
          <w:tcPr>
            <w:tcW w:w="2448" w:type="dxa"/>
            <w:tcMar>
              <w:top w:w="85" w:type="dxa"/>
              <w:left w:w="85" w:type="dxa"/>
              <w:bottom w:w="85" w:type="dxa"/>
              <w:right w:w="85" w:type="dxa"/>
            </w:tcMar>
            <w:vAlign w:val="center"/>
          </w:tcPr>
          <w:p w14:paraId="54D0893A" w14:textId="77777777" w:rsidR="002C4040" w:rsidRPr="00855721" w:rsidRDefault="00000000">
            <w:pPr>
              <w:spacing w:after="0" w:line="240" w:lineRule="auto"/>
            </w:pPr>
            <w:r w:rsidRPr="00855721">
              <w:rPr>
                <w:rFonts w:eastAsia="Times New Roman"/>
                <w:sz w:val="16"/>
              </w:rPr>
              <w:t>Key randomised counterweight to observational survival benefits; small and not powered for mortality.</w:t>
            </w:r>
          </w:p>
        </w:tc>
        <w:tc>
          <w:tcPr>
            <w:tcW w:w="1152" w:type="dxa"/>
            <w:tcMar>
              <w:top w:w="85" w:type="dxa"/>
              <w:left w:w="85" w:type="dxa"/>
              <w:bottom w:w="85" w:type="dxa"/>
              <w:right w:w="85" w:type="dxa"/>
            </w:tcMar>
            <w:vAlign w:val="center"/>
          </w:tcPr>
          <w:p w14:paraId="5F2D4EDC" w14:textId="77777777" w:rsidR="002C4040" w:rsidRPr="00855721" w:rsidRDefault="00000000">
            <w:pPr>
              <w:spacing w:after="0" w:line="240" w:lineRule="auto"/>
            </w:pPr>
            <w:r w:rsidRPr="00855721">
              <w:rPr>
                <w:rFonts w:eastAsia="Times New Roman"/>
                <w:sz w:val="16"/>
              </w:rPr>
              <w:t>Leone et al. (2014)</w:t>
            </w:r>
          </w:p>
        </w:tc>
      </w:tr>
      <w:tr w:rsidR="00855721" w:rsidRPr="00855721" w14:paraId="68DA7CE2" w14:textId="77777777" w:rsidTr="00855721">
        <w:trPr>
          <w:cantSplit/>
          <w:jc w:val="center"/>
        </w:trPr>
        <w:tc>
          <w:tcPr>
            <w:tcW w:w="2088" w:type="dxa"/>
            <w:tcMar>
              <w:top w:w="85" w:type="dxa"/>
              <w:left w:w="85" w:type="dxa"/>
              <w:bottom w:w="85" w:type="dxa"/>
              <w:right w:w="85" w:type="dxa"/>
            </w:tcMar>
            <w:vAlign w:val="center"/>
          </w:tcPr>
          <w:p w14:paraId="2BD6FDA5" w14:textId="77777777" w:rsidR="002C4040" w:rsidRPr="00855721" w:rsidRDefault="00000000">
            <w:pPr>
              <w:spacing w:after="0" w:line="240" w:lineRule="auto"/>
            </w:pPr>
            <w:r w:rsidRPr="00855721">
              <w:rPr>
                <w:rFonts w:eastAsia="Times New Roman"/>
                <w:sz w:val="16"/>
              </w:rPr>
              <w:t>Critically ill adults; prospective international DIANA cohort; 1,495 patients, 152 ICUs, 28 countries</w:t>
            </w:r>
          </w:p>
        </w:tc>
        <w:tc>
          <w:tcPr>
            <w:tcW w:w="2016" w:type="dxa"/>
            <w:tcMar>
              <w:top w:w="85" w:type="dxa"/>
              <w:left w:w="85" w:type="dxa"/>
              <w:bottom w:w="85" w:type="dxa"/>
              <w:right w:w="85" w:type="dxa"/>
            </w:tcMar>
            <w:vAlign w:val="center"/>
          </w:tcPr>
          <w:p w14:paraId="71CD6CBE" w14:textId="77777777" w:rsidR="002C4040" w:rsidRPr="00855721" w:rsidRDefault="00000000">
            <w:pPr>
              <w:spacing w:after="0" w:line="240" w:lineRule="auto"/>
            </w:pPr>
            <w:r w:rsidRPr="00855721">
              <w:rPr>
                <w:rFonts w:eastAsia="Times New Roman"/>
                <w:sz w:val="16"/>
              </w:rPr>
              <w:t>Discontinuation of combination component or narrower replacement within first 3 days.</w:t>
            </w:r>
          </w:p>
        </w:tc>
        <w:tc>
          <w:tcPr>
            <w:tcW w:w="2232" w:type="dxa"/>
            <w:tcMar>
              <w:top w:w="85" w:type="dxa"/>
              <w:left w:w="85" w:type="dxa"/>
              <w:bottom w:w="85" w:type="dxa"/>
              <w:right w:w="85" w:type="dxa"/>
            </w:tcMar>
            <w:vAlign w:val="center"/>
          </w:tcPr>
          <w:p w14:paraId="70D1B200" w14:textId="77777777" w:rsidR="002C4040" w:rsidRPr="00855721" w:rsidRDefault="00000000">
            <w:pPr>
              <w:spacing w:after="0" w:line="240" w:lineRule="auto"/>
            </w:pPr>
            <w:r w:rsidRPr="00855721">
              <w:rPr>
                <w:rFonts w:eastAsia="Times New Roman"/>
                <w:sz w:val="16"/>
              </w:rPr>
              <w:t>Early ADE occurred in 16%; weighted clinical cure was not worse and unadjusted 28-day mortality did not differ significantly.</w:t>
            </w:r>
          </w:p>
        </w:tc>
        <w:tc>
          <w:tcPr>
            <w:tcW w:w="2448" w:type="dxa"/>
            <w:tcMar>
              <w:top w:w="85" w:type="dxa"/>
              <w:left w:w="85" w:type="dxa"/>
              <w:bottom w:w="85" w:type="dxa"/>
              <w:right w:w="85" w:type="dxa"/>
            </w:tcMar>
            <w:vAlign w:val="center"/>
          </w:tcPr>
          <w:p w14:paraId="37A6A94E" w14:textId="77777777" w:rsidR="002C4040" w:rsidRPr="00855721" w:rsidRDefault="00000000">
            <w:pPr>
              <w:spacing w:after="0" w:line="240" w:lineRule="auto"/>
            </w:pPr>
            <w:r w:rsidRPr="00855721">
              <w:rPr>
                <w:rFonts w:eastAsia="Times New Roman"/>
                <w:sz w:val="16"/>
              </w:rPr>
              <w:t>Time-varying adjustment strengthens inference, but residual confounding remains likely.</w:t>
            </w:r>
          </w:p>
        </w:tc>
        <w:tc>
          <w:tcPr>
            <w:tcW w:w="1152" w:type="dxa"/>
            <w:tcMar>
              <w:top w:w="85" w:type="dxa"/>
              <w:left w:w="85" w:type="dxa"/>
              <w:bottom w:w="85" w:type="dxa"/>
              <w:right w:w="85" w:type="dxa"/>
            </w:tcMar>
            <w:vAlign w:val="center"/>
          </w:tcPr>
          <w:p w14:paraId="0FB9E031" w14:textId="77777777" w:rsidR="002C4040" w:rsidRPr="00855721" w:rsidRDefault="00000000">
            <w:pPr>
              <w:spacing w:after="0" w:line="240" w:lineRule="auto"/>
            </w:pPr>
            <w:r w:rsidRPr="00855721">
              <w:rPr>
                <w:rFonts w:eastAsia="Times New Roman"/>
                <w:sz w:val="16"/>
              </w:rPr>
              <w:t>De Bus et al. (2020)</w:t>
            </w:r>
          </w:p>
        </w:tc>
      </w:tr>
      <w:tr w:rsidR="00855721" w:rsidRPr="00855721" w14:paraId="2C40967A" w14:textId="77777777" w:rsidTr="00855721">
        <w:trPr>
          <w:cantSplit/>
          <w:jc w:val="center"/>
        </w:trPr>
        <w:tc>
          <w:tcPr>
            <w:tcW w:w="2088" w:type="dxa"/>
            <w:tcMar>
              <w:top w:w="85" w:type="dxa"/>
              <w:left w:w="85" w:type="dxa"/>
              <w:bottom w:w="85" w:type="dxa"/>
              <w:right w:w="85" w:type="dxa"/>
            </w:tcMar>
            <w:vAlign w:val="center"/>
          </w:tcPr>
          <w:p w14:paraId="20F5D613" w14:textId="77777777" w:rsidR="002C4040" w:rsidRPr="00855721" w:rsidRDefault="00000000">
            <w:pPr>
              <w:spacing w:after="0" w:line="240" w:lineRule="auto"/>
            </w:pPr>
            <w:r w:rsidRPr="00855721">
              <w:rPr>
                <w:rFonts w:eastAsia="Times New Roman"/>
                <w:sz w:val="16"/>
              </w:rPr>
              <w:t>Sepsis/septic shock in high-MDR ICUs; multicentre prospective cohort; 262 patients</w:t>
            </w:r>
          </w:p>
        </w:tc>
        <w:tc>
          <w:tcPr>
            <w:tcW w:w="2016" w:type="dxa"/>
            <w:tcMar>
              <w:top w:w="85" w:type="dxa"/>
              <w:left w:w="85" w:type="dxa"/>
              <w:bottom w:w="85" w:type="dxa"/>
              <w:right w:w="85" w:type="dxa"/>
            </w:tcMar>
            <w:vAlign w:val="center"/>
          </w:tcPr>
          <w:p w14:paraId="122266EE" w14:textId="77777777" w:rsidR="002C4040" w:rsidRPr="00855721" w:rsidRDefault="00000000">
            <w:pPr>
              <w:spacing w:after="0" w:line="240" w:lineRule="auto"/>
            </w:pPr>
            <w:r w:rsidRPr="00855721">
              <w:rPr>
                <w:rFonts w:eastAsia="Times New Roman"/>
                <w:sz w:val="16"/>
              </w:rPr>
              <w:t>Microbiologically feasible narrowing assessed in high-resistance settings.</w:t>
            </w:r>
          </w:p>
        </w:tc>
        <w:tc>
          <w:tcPr>
            <w:tcW w:w="2232" w:type="dxa"/>
            <w:tcMar>
              <w:top w:w="85" w:type="dxa"/>
              <w:left w:w="85" w:type="dxa"/>
              <w:bottom w:w="85" w:type="dxa"/>
              <w:right w:w="85" w:type="dxa"/>
            </w:tcMar>
            <w:vAlign w:val="center"/>
          </w:tcPr>
          <w:p w14:paraId="4CD36BA3" w14:textId="77777777" w:rsidR="002C4040" w:rsidRPr="00855721" w:rsidRDefault="00000000">
            <w:pPr>
              <w:spacing w:after="0" w:line="240" w:lineRule="auto"/>
            </w:pPr>
            <w:r w:rsidRPr="00855721">
              <w:rPr>
                <w:rFonts w:eastAsia="Times New Roman"/>
                <w:sz w:val="16"/>
              </w:rPr>
              <w:t>ADE was infeasible in 37% and performed in 22.9% overall; matched analyses favoured ADE.</w:t>
            </w:r>
          </w:p>
        </w:tc>
        <w:tc>
          <w:tcPr>
            <w:tcW w:w="2448" w:type="dxa"/>
            <w:tcMar>
              <w:top w:w="85" w:type="dxa"/>
              <w:left w:w="85" w:type="dxa"/>
              <w:bottom w:w="85" w:type="dxa"/>
              <w:right w:w="85" w:type="dxa"/>
            </w:tcMar>
            <w:vAlign w:val="center"/>
          </w:tcPr>
          <w:p w14:paraId="65D52860" w14:textId="77777777" w:rsidR="002C4040" w:rsidRPr="00855721" w:rsidRDefault="00000000">
            <w:pPr>
              <w:spacing w:after="0" w:line="240" w:lineRule="auto"/>
            </w:pPr>
            <w:r w:rsidRPr="00855721">
              <w:rPr>
                <w:rFonts w:eastAsia="Times New Roman"/>
                <w:sz w:val="16"/>
              </w:rPr>
              <w:t>Demonstrates that local resistance constrains feasibility; mortality association remains non-randomised.</w:t>
            </w:r>
          </w:p>
        </w:tc>
        <w:tc>
          <w:tcPr>
            <w:tcW w:w="1152" w:type="dxa"/>
            <w:tcMar>
              <w:top w:w="85" w:type="dxa"/>
              <w:left w:w="85" w:type="dxa"/>
              <w:bottom w:w="85" w:type="dxa"/>
              <w:right w:w="85" w:type="dxa"/>
            </w:tcMar>
            <w:vAlign w:val="center"/>
          </w:tcPr>
          <w:p w14:paraId="3D7AD4C0" w14:textId="77777777" w:rsidR="002C4040" w:rsidRPr="00855721" w:rsidRDefault="00000000">
            <w:pPr>
              <w:spacing w:after="0" w:line="240" w:lineRule="auto"/>
            </w:pPr>
            <w:r w:rsidRPr="00855721">
              <w:rPr>
                <w:rFonts w:eastAsia="Times New Roman"/>
                <w:sz w:val="16"/>
              </w:rPr>
              <w:t>Routsi et al. (2020)</w:t>
            </w:r>
          </w:p>
        </w:tc>
      </w:tr>
      <w:tr w:rsidR="00855721" w:rsidRPr="00855721" w14:paraId="1F97C0DB" w14:textId="77777777" w:rsidTr="00855721">
        <w:trPr>
          <w:cantSplit/>
          <w:jc w:val="center"/>
        </w:trPr>
        <w:tc>
          <w:tcPr>
            <w:tcW w:w="2088" w:type="dxa"/>
            <w:tcMar>
              <w:top w:w="85" w:type="dxa"/>
              <w:left w:w="85" w:type="dxa"/>
              <w:bottom w:w="85" w:type="dxa"/>
              <w:right w:w="85" w:type="dxa"/>
            </w:tcMar>
            <w:vAlign w:val="center"/>
          </w:tcPr>
          <w:p w14:paraId="44D9A029" w14:textId="77777777" w:rsidR="002C4040" w:rsidRPr="00855721" w:rsidRDefault="00000000">
            <w:pPr>
              <w:spacing w:after="0" w:line="240" w:lineRule="auto"/>
            </w:pPr>
            <w:r w:rsidRPr="00855721">
              <w:rPr>
                <w:rFonts w:eastAsia="Times New Roman"/>
                <w:sz w:val="16"/>
              </w:rPr>
              <w:t xml:space="preserve">Suspected sepsis; retrospective </w:t>
            </w:r>
            <w:proofErr w:type="spellStart"/>
            <w:r w:rsidRPr="00855721">
              <w:rPr>
                <w:rFonts w:eastAsia="Times New Roman"/>
                <w:sz w:val="16"/>
              </w:rPr>
              <w:t>multicentre</w:t>
            </w:r>
            <w:proofErr w:type="spellEnd"/>
            <w:r w:rsidRPr="00855721">
              <w:rPr>
                <w:rFonts w:eastAsia="Times New Roman"/>
                <w:sz w:val="16"/>
              </w:rPr>
              <w:t xml:space="preserve"> cohort; 124,577 patients in 236 US hospitals</w:t>
            </w:r>
          </w:p>
        </w:tc>
        <w:tc>
          <w:tcPr>
            <w:tcW w:w="2016" w:type="dxa"/>
            <w:tcMar>
              <w:top w:w="85" w:type="dxa"/>
              <w:left w:w="85" w:type="dxa"/>
              <w:bottom w:w="85" w:type="dxa"/>
              <w:right w:w="85" w:type="dxa"/>
            </w:tcMar>
            <w:vAlign w:val="center"/>
          </w:tcPr>
          <w:p w14:paraId="6BE21690" w14:textId="77777777" w:rsidR="002C4040" w:rsidRPr="00855721" w:rsidRDefault="00000000">
            <w:pPr>
              <w:spacing w:after="0" w:line="240" w:lineRule="auto"/>
            </w:pPr>
            <w:r w:rsidRPr="00855721">
              <w:rPr>
                <w:rFonts w:eastAsia="Times New Roman"/>
                <w:sz w:val="16"/>
              </w:rPr>
              <w:t>Stopping or narrowing anti-MRSA and antipseudomonal therapy by hospital day 4 when resistant organisms were not identified.</w:t>
            </w:r>
          </w:p>
        </w:tc>
        <w:tc>
          <w:tcPr>
            <w:tcW w:w="2232" w:type="dxa"/>
            <w:tcMar>
              <w:top w:w="85" w:type="dxa"/>
              <w:left w:w="85" w:type="dxa"/>
              <w:bottom w:w="85" w:type="dxa"/>
              <w:right w:w="85" w:type="dxa"/>
            </w:tcMar>
            <w:vAlign w:val="center"/>
          </w:tcPr>
          <w:p w14:paraId="5B889210" w14:textId="77777777" w:rsidR="002C4040" w:rsidRPr="00855721" w:rsidRDefault="00000000">
            <w:pPr>
              <w:spacing w:after="0" w:line="240" w:lineRule="auto"/>
            </w:pPr>
            <w:r w:rsidRPr="00855721">
              <w:rPr>
                <w:rFonts w:eastAsia="Times New Roman"/>
                <w:sz w:val="16"/>
              </w:rPr>
              <w:t>ADE occurred in 29.5%, varied substantially by hospital and was associated with lower adjusted AKI, later ICU admission and mortality.</w:t>
            </w:r>
          </w:p>
        </w:tc>
        <w:tc>
          <w:tcPr>
            <w:tcW w:w="2448" w:type="dxa"/>
            <w:tcMar>
              <w:top w:w="85" w:type="dxa"/>
              <w:left w:w="85" w:type="dxa"/>
              <w:bottom w:w="85" w:type="dxa"/>
              <w:right w:w="85" w:type="dxa"/>
            </w:tcMar>
            <w:vAlign w:val="center"/>
          </w:tcPr>
          <w:p w14:paraId="2158647A" w14:textId="77777777" w:rsidR="002C4040" w:rsidRPr="00855721" w:rsidRDefault="00000000">
            <w:pPr>
              <w:spacing w:after="0" w:line="240" w:lineRule="auto"/>
            </w:pPr>
            <w:r w:rsidRPr="00855721">
              <w:rPr>
                <w:rFonts w:eastAsia="Times New Roman"/>
                <w:sz w:val="16"/>
              </w:rPr>
              <w:t>Large and clinically detailed, but observational selection remains important; cessation and narrowing are distinct subgroups.</w:t>
            </w:r>
          </w:p>
        </w:tc>
        <w:tc>
          <w:tcPr>
            <w:tcW w:w="1152" w:type="dxa"/>
            <w:tcMar>
              <w:top w:w="85" w:type="dxa"/>
              <w:left w:w="85" w:type="dxa"/>
              <w:bottom w:w="85" w:type="dxa"/>
              <w:right w:w="85" w:type="dxa"/>
            </w:tcMar>
            <w:vAlign w:val="center"/>
          </w:tcPr>
          <w:p w14:paraId="57136F0A" w14:textId="77777777" w:rsidR="002C4040" w:rsidRPr="00855721" w:rsidRDefault="00000000">
            <w:pPr>
              <w:spacing w:after="0" w:line="240" w:lineRule="auto"/>
            </w:pPr>
            <w:r w:rsidRPr="00855721">
              <w:rPr>
                <w:rFonts w:eastAsia="Times New Roman"/>
                <w:sz w:val="16"/>
              </w:rPr>
              <w:t>Kam et al. (2025)</w:t>
            </w:r>
          </w:p>
        </w:tc>
      </w:tr>
      <w:tr w:rsidR="00855721" w:rsidRPr="00855721" w14:paraId="4AAE5A13" w14:textId="77777777" w:rsidTr="00855721">
        <w:trPr>
          <w:cantSplit/>
          <w:jc w:val="center"/>
        </w:trPr>
        <w:tc>
          <w:tcPr>
            <w:tcW w:w="2088" w:type="dxa"/>
            <w:tcMar>
              <w:top w:w="85" w:type="dxa"/>
              <w:left w:w="85" w:type="dxa"/>
              <w:bottom w:w="85" w:type="dxa"/>
              <w:right w:w="85" w:type="dxa"/>
            </w:tcMar>
            <w:vAlign w:val="center"/>
          </w:tcPr>
          <w:p w14:paraId="1BCE4C74" w14:textId="77777777" w:rsidR="002C4040" w:rsidRPr="00855721" w:rsidRDefault="00000000">
            <w:pPr>
              <w:spacing w:after="0" w:line="240" w:lineRule="auto"/>
            </w:pPr>
            <w:r w:rsidRPr="00855721">
              <w:rPr>
                <w:rFonts w:eastAsia="Times New Roman"/>
                <w:sz w:val="16"/>
              </w:rPr>
              <w:t>Community-onset sepsis; target-trial emulation; 36,924 patients across 67 hospitals</w:t>
            </w:r>
          </w:p>
        </w:tc>
        <w:tc>
          <w:tcPr>
            <w:tcW w:w="2016" w:type="dxa"/>
            <w:tcMar>
              <w:top w:w="85" w:type="dxa"/>
              <w:left w:w="85" w:type="dxa"/>
              <w:bottom w:w="85" w:type="dxa"/>
              <w:right w:w="85" w:type="dxa"/>
            </w:tcMar>
            <w:vAlign w:val="center"/>
          </w:tcPr>
          <w:p w14:paraId="5457CF23" w14:textId="77777777" w:rsidR="002C4040" w:rsidRPr="00855721" w:rsidRDefault="00000000">
            <w:pPr>
              <w:spacing w:after="0" w:line="240" w:lineRule="auto"/>
            </w:pPr>
            <w:r w:rsidRPr="00855721">
              <w:rPr>
                <w:rFonts w:eastAsia="Times New Roman"/>
                <w:sz w:val="16"/>
              </w:rPr>
              <w:t>Day-4 de-escalation in patients meeting stability and eligibility criteria.</w:t>
            </w:r>
          </w:p>
        </w:tc>
        <w:tc>
          <w:tcPr>
            <w:tcW w:w="2232" w:type="dxa"/>
            <w:tcMar>
              <w:top w:w="85" w:type="dxa"/>
              <w:left w:w="85" w:type="dxa"/>
              <w:bottom w:w="85" w:type="dxa"/>
              <w:right w:w="85" w:type="dxa"/>
            </w:tcMar>
            <w:vAlign w:val="center"/>
          </w:tcPr>
          <w:p w14:paraId="47B2591E" w14:textId="77777777" w:rsidR="002C4040" w:rsidRPr="00855721" w:rsidRDefault="00000000">
            <w:pPr>
              <w:spacing w:after="0" w:line="240" w:lineRule="auto"/>
            </w:pPr>
            <w:r w:rsidRPr="00855721">
              <w:rPr>
                <w:rFonts w:eastAsia="Times New Roman"/>
                <w:sz w:val="16"/>
              </w:rPr>
              <w:t>Similar 90-day mortality with fewer antibiotic days and shorter hospital stay.</w:t>
            </w:r>
          </w:p>
        </w:tc>
        <w:tc>
          <w:tcPr>
            <w:tcW w:w="2448" w:type="dxa"/>
            <w:tcMar>
              <w:top w:w="85" w:type="dxa"/>
              <w:left w:w="85" w:type="dxa"/>
              <w:bottom w:w="85" w:type="dxa"/>
              <w:right w:w="85" w:type="dxa"/>
            </w:tcMar>
            <w:vAlign w:val="center"/>
          </w:tcPr>
          <w:p w14:paraId="2011A0DA" w14:textId="77777777" w:rsidR="002C4040" w:rsidRPr="00855721" w:rsidRDefault="00000000">
            <w:pPr>
              <w:spacing w:after="0" w:line="240" w:lineRule="auto"/>
            </w:pPr>
            <w:r w:rsidRPr="00855721">
              <w:rPr>
                <w:rFonts w:eastAsia="Times New Roman"/>
                <w:sz w:val="16"/>
              </w:rPr>
              <w:t>One of the stronger recent observational causal designs; still dependent on measured confounding and eligibility definitions.</w:t>
            </w:r>
          </w:p>
        </w:tc>
        <w:tc>
          <w:tcPr>
            <w:tcW w:w="1152" w:type="dxa"/>
            <w:tcMar>
              <w:top w:w="85" w:type="dxa"/>
              <w:left w:w="85" w:type="dxa"/>
              <w:bottom w:w="85" w:type="dxa"/>
              <w:right w:w="85" w:type="dxa"/>
            </w:tcMar>
            <w:vAlign w:val="center"/>
          </w:tcPr>
          <w:p w14:paraId="5F549393" w14:textId="77777777" w:rsidR="002C4040" w:rsidRPr="00855721" w:rsidRDefault="00000000">
            <w:pPr>
              <w:spacing w:after="0" w:line="240" w:lineRule="auto"/>
            </w:pPr>
            <w:r w:rsidRPr="00855721">
              <w:rPr>
                <w:rFonts w:eastAsia="Times New Roman"/>
                <w:sz w:val="16"/>
              </w:rPr>
              <w:t>Gupta et al. (2026)</w:t>
            </w:r>
          </w:p>
        </w:tc>
      </w:tr>
      <w:tr w:rsidR="00855721" w:rsidRPr="00855721" w14:paraId="6F0DFAEE" w14:textId="77777777" w:rsidTr="00855721">
        <w:trPr>
          <w:cantSplit/>
          <w:jc w:val="center"/>
        </w:trPr>
        <w:tc>
          <w:tcPr>
            <w:tcW w:w="2088" w:type="dxa"/>
            <w:tcMar>
              <w:top w:w="85" w:type="dxa"/>
              <w:left w:w="85" w:type="dxa"/>
              <w:bottom w:w="85" w:type="dxa"/>
              <w:right w:w="85" w:type="dxa"/>
            </w:tcMar>
            <w:vAlign w:val="center"/>
          </w:tcPr>
          <w:p w14:paraId="1DC2656B" w14:textId="77777777" w:rsidR="002C4040" w:rsidRPr="00855721" w:rsidRDefault="00000000">
            <w:pPr>
              <w:spacing w:after="0" w:line="240" w:lineRule="auto"/>
            </w:pPr>
            <w:r w:rsidRPr="00855721">
              <w:rPr>
                <w:rFonts w:eastAsia="Times New Roman"/>
                <w:sz w:val="16"/>
              </w:rPr>
              <w:t xml:space="preserve">Culture-negative community-onset sepsis; </w:t>
            </w:r>
            <w:proofErr w:type="spellStart"/>
            <w:r w:rsidRPr="00855721">
              <w:rPr>
                <w:rFonts w:eastAsia="Times New Roman"/>
                <w:sz w:val="16"/>
              </w:rPr>
              <w:t>multicentre</w:t>
            </w:r>
            <w:proofErr w:type="spellEnd"/>
            <w:r w:rsidRPr="00855721">
              <w:rPr>
                <w:rFonts w:eastAsia="Times New Roman"/>
                <w:sz w:val="16"/>
              </w:rPr>
              <w:t xml:space="preserve"> observational analysis; 7,741 patients</w:t>
            </w:r>
          </w:p>
        </w:tc>
        <w:tc>
          <w:tcPr>
            <w:tcW w:w="2016" w:type="dxa"/>
            <w:tcMar>
              <w:top w:w="85" w:type="dxa"/>
              <w:left w:w="85" w:type="dxa"/>
              <w:bottom w:w="85" w:type="dxa"/>
              <w:right w:w="85" w:type="dxa"/>
            </w:tcMar>
            <w:vAlign w:val="center"/>
          </w:tcPr>
          <w:p w14:paraId="45B97D88" w14:textId="77777777" w:rsidR="002C4040" w:rsidRPr="00855721" w:rsidRDefault="00000000">
            <w:pPr>
              <w:spacing w:after="0" w:line="240" w:lineRule="auto"/>
            </w:pPr>
            <w:r w:rsidRPr="00855721">
              <w:rPr>
                <w:rFonts w:eastAsia="Times New Roman"/>
                <w:sz w:val="16"/>
              </w:rPr>
              <w:t>Early ADE after negative cultures, analysed with changing severity.</w:t>
            </w:r>
          </w:p>
        </w:tc>
        <w:tc>
          <w:tcPr>
            <w:tcW w:w="2232" w:type="dxa"/>
            <w:tcMar>
              <w:top w:w="85" w:type="dxa"/>
              <w:left w:w="85" w:type="dxa"/>
              <w:bottom w:w="85" w:type="dxa"/>
              <w:right w:w="85" w:type="dxa"/>
            </w:tcMar>
            <w:vAlign w:val="center"/>
          </w:tcPr>
          <w:p w14:paraId="7811A511" w14:textId="77777777" w:rsidR="002C4040" w:rsidRPr="00855721" w:rsidRDefault="00000000">
            <w:pPr>
              <w:spacing w:after="0" w:line="240" w:lineRule="auto"/>
            </w:pPr>
            <w:r w:rsidRPr="00855721">
              <w:rPr>
                <w:rFonts w:eastAsia="Times New Roman"/>
                <w:sz w:val="16"/>
              </w:rPr>
              <w:t>ADE occurred in 62%; adjusted 30-day mortality did not increase.</w:t>
            </w:r>
          </w:p>
        </w:tc>
        <w:tc>
          <w:tcPr>
            <w:tcW w:w="2448" w:type="dxa"/>
            <w:tcMar>
              <w:top w:w="85" w:type="dxa"/>
              <w:left w:w="85" w:type="dxa"/>
              <w:bottom w:w="85" w:type="dxa"/>
              <w:right w:w="85" w:type="dxa"/>
            </w:tcMar>
            <w:vAlign w:val="center"/>
          </w:tcPr>
          <w:p w14:paraId="57F67523" w14:textId="77777777" w:rsidR="002C4040" w:rsidRPr="00855721" w:rsidRDefault="00000000">
            <w:pPr>
              <w:spacing w:after="0" w:line="240" w:lineRule="auto"/>
            </w:pPr>
            <w:r w:rsidRPr="00855721">
              <w:rPr>
                <w:rFonts w:eastAsia="Times New Roman"/>
                <w:sz w:val="16"/>
              </w:rPr>
              <w:t>Extends reassurance to culture-negative sepsis, while not proving universal safety in uncontrolled or high-risk infection.</w:t>
            </w:r>
          </w:p>
        </w:tc>
        <w:tc>
          <w:tcPr>
            <w:tcW w:w="1152" w:type="dxa"/>
            <w:tcMar>
              <w:top w:w="85" w:type="dxa"/>
              <w:left w:w="85" w:type="dxa"/>
              <w:bottom w:w="85" w:type="dxa"/>
              <w:right w:w="85" w:type="dxa"/>
            </w:tcMar>
            <w:vAlign w:val="center"/>
          </w:tcPr>
          <w:p w14:paraId="24F89236" w14:textId="77777777" w:rsidR="002C4040" w:rsidRPr="00855721" w:rsidRDefault="00000000">
            <w:pPr>
              <w:spacing w:after="0" w:line="240" w:lineRule="auto"/>
            </w:pPr>
            <w:r w:rsidRPr="00855721">
              <w:rPr>
                <w:rFonts w:eastAsia="Times New Roman"/>
                <w:sz w:val="16"/>
              </w:rPr>
              <w:t>Ohnuma et al. (2026)</w:t>
            </w:r>
          </w:p>
        </w:tc>
      </w:tr>
      <w:tr w:rsidR="00855721" w:rsidRPr="00855721" w14:paraId="69583CF5" w14:textId="77777777" w:rsidTr="00855721">
        <w:trPr>
          <w:cantSplit/>
          <w:jc w:val="center"/>
        </w:trPr>
        <w:tc>
          <w:tcPr>
            <w:tcW w:w="2088" w:type="dxa"/>
            <w:tcMar>
              <w:top w:w="85" w:type="dxa"/>
              <w:left w:w="85" w:type="dxa"/>
              <w:bottom w:w="85" w:type="dxa"/>
              <w:right w:w="85" w:type="dxa"/>
            </w:tcMar>
            <w:vAlign w:val="center"/>
          </w:tcPr>
          <w:p w14:paraId="06606A16" w14:textId="77777777" w:rsidR="002C4040" w:rsidRPr="00855721" w:rsidRDefault="00000000">
            <w:pPr>
              <w:spacing w:after="0" w:line="240" w:lineRule="auto"/>
            </w:pPr>
            <w:r w:rsidRPr="00855721">
              <w:rPr>
                <w:rFonts w:eastAsia="Times New Roman"/>
                <w:sz w:val="16"/>
              </w:rPr>
              <w:t>Suspected sepsis with negative blood cultures; multicentre randomised opt-out trial; 767 patients</w:t>
            </w:r>
          </w:p>
        </w:tc>
        <w:tc>
          <w:tcPr>
            <w:tcW w:w="2016" w:type="dxa"/>
            <w:tcMar>
              <w:top w:w="85" w:type="dxa"/>
              <w:left w:w="85" w:type="dxa"/>
              <w:bottom w:w="85" w:type="dxa"/>
              <w:right w:w="85" w:type="dxa"/>
            </w:tcMar>
            <w:vAlign w:val="center"/>
          </w:tcPr>
          <w:p w14:paraId="3BD27794" w14:textId="77777777" w:rsidR="002C4040" w:rsidRPr="00855721" w:rsidRDefault="00000000">
            <w:pPr>
              <w:spacing w:after="0" w:line="240" w:lineRule="auto"/>
            </w:pPr>
            <w:r w:rsidRPr="00855721">
              <w:rPr>
                <w:rFonts w:eastAsia="Times New Roman"/>
                <w:sz w:val="16"/>
              </w:rPr>
              <w:t>Structured safety check followed by an explicit opt-out discontinuation prompt.</w:t>
            </w:r>
          </w:p>
        </w:tc>
        <w:tc>
          <w:tcPr>
            <w:tcW w:w="2232" w:type="dxa"/>
            <w:tcMar>
              <w:top w:w="85" w:type="dxa"/>
              <w:left w:w="85" w:type="dxa"/>
              <w:bottom w:w="85" w:type="dxa"/>
              <w:right w:w="85" w:type="dxa"/>
            </w:tcMar>
            <w:vAlign w:val="center"/>
          </w:tcPr>
          <w:p w14:paraId="14423B57" w14:textId="77777777" w:rsidR="002C4040" w:rsidRPr="00855721" w:rsidRDefault="00000000">
            <w:pPr>
              <w:spacing w:after="0" w:line="240" w:lineRule="auto"/>
            </w:pPr>
            <w:r w:rsidRPr="00855721">
              <w:rPr>
                <w:rFonts w:eastAsia="Times New Roman"/>
                <w:sz w:val="16"/>
              </w:rPr>
              <w:t>Lower odds of antibiotic continuation and less extended-spectrum exposure; 30-day safety events were similar.</w:t>
            </w:r>
          </w:p>
        </w:tc>
        <w:tc>
          <w:tcPr>
            <w:tcW w:w="2448" w:type="dxa"/>
            <w:tcMar>
              <w:top w:w="85" w:type="dxa"/>
              <w:left w:w="85" w:type="dxa"/>
              <w:bottom w:w="85" w:type="dxa"/>
              <w:right w:w="85" w:type="dxa"/>
            </w:tcMar>
            <w:vAlign w:val="center"/>
          </w:tcPr>
          <w:p w14:paraId="4BEB3286" w14:textId="77777777" w:rsidR="002C4040" w:rsidRPr="00855721" w:rsidRDefault="00000000">
            <w:pPr>
              <w:spacing w:after="0" w:line="240" w:lineRule="auto"/>
            </w:pPr>
            <w:r w:rsidRPr="00855721">
              <w:rPr>
                <w:rFonts w:eastAsia="Times New Roman"/>
                <w:sz w:val="16"/>
              </w:rPr>
              <w:t>Shows that behavioural defaults can reduce exposure when applied to carefully screened patients.</w:t>
            </w:r>
          </w:p>
        </w:tc>
        <w:tc>
          <w:tcPr>
            <w:tcW w:w="1152" w:type="dxa"/>
            <w:tcMar>
              <w:top w:w="85" w:type="dxa"/>
              <w:left w:w="85" w:type="dxa"/>
              <w:bottom w:w="85" w:type="dxa"/>
              <w:right w:w="85" w:type="dxa"/>
            </w:tcMar>
            <w:vAlign w:val="center"/>
          </w:tcPr>
          <w:p w14:paraId="18FE282E" w14:textId="77777777" w:rsidR="002C4040" w:rsidRPr="00855721" w:rsidRDefault="00000000">
            <w:pPr>
              <w:spacing w:after="0" w:line="240" w:lineRule="auto"/>
            </w:pPr>
            <w:r w:rsidRPr="00855721">
              <w:rPr>
                <w:rFonts w:eastAsia="Times New Roman"/>
                <w:sz w:val="16"/>
              </w:rPr>
              <w:t>Moehring et al. (2023)</w:t>
            </w:r>
          </w:p>
        </w:tc>
      </w:tr>
      <w:tr w:rsidR="00855721" w:rsidRPr="00855721" w14:paraId="193B0236" w14:textId="77777777" w:rsidTr="00855721">
        <w:trPr>
          <w:cantSplit/>
          <w:jc w:val="center"/>
        </w:trPr>
        <w:tc>
          <w:tcPr>
            <w:tcW w:w="2088" w:type="dxa"/>
            <w:tcMar>
              <w:top w:w="85" w:type="dxa"/>
              <w:left w:w="85" w:type="dxa"/>
              <w:bottom w:w="85" w:type="dxa"/>
              <w:right w:w="85" w:type="dxa"/>
            </w:tcMar>
            <w:vAlign w:val="center"/>
          </w:tcPr>
          <w:p w14:paraId="79277172" w14:textId="77777777" w:rsidR="002C4040" w:rsidRPr="00855721" w:rsidRDefault="00000000">
            <w:pPr>
              <w:spacing w:after="0" w:line="240" w:lineRule="auto"/>
            </w:pPr>
            <w:r w:rsidRPr="00855721">
              <w:rPr>
                <w:rFonts w:eastAsia="Times New Roman"/>
                <w:sz w:val="16"/>
              </w:rPr>
              <w:t>Nosocomial pneumonia; retrospective cohort; 1,812 patients</w:t>
            </w:r>
          </w:p>
        </w:tc>
        <w:tc>
          <w:tcPr>
            <w:tcW w:w="2016" w:type="dxa"/>
            <w:tcMar>
              <w:top w:w="85" w:type="dxa"/>
              <w:left w:w="85" w:type="dxa"/>
              <w:bottom w:w="85" w:type="dxa"/>
              <w:right w:w="85" w:type="dxa"/>
            </w:tcMar>
            <w:vAlign w:val="center"/>
          </w:tcPr>
          <w:p w14:paraId="79381893" w14:textId="77777777" w:rsidR="002C4040" w:rsidRPr="00855721" w:rsidRDefault="00000000">
            <w:pPr>
              <w:spacing w:after="0" w:line="240" w:lineRule="auto"/>
            </w:pPr>
            <w:r w:rsidRPr="00855721">
              <w:rPr>
                <w:rFonts w:eastAsia="Times New Roman"/>
                <w:sz w:val="16"/>
              </w:rPr>
              <w:t>ADE assessed by change in antibiotic spectrum score.</w:t>
            </w:r>
          </w:p>
        </w:tc>
        <w:tc>
          <w:tcPr>
            <w:tcW w:w="2232" w:type="dxa"/>
            <w:tcMar>
              <w:top w:w="85" w:type="dxa"/>
              <w:left w:w="85" w:type="dxa"/>
              <w:bottom w:w="85" w:type="dxa"/>
              <w:right w:w="85" w:type="dxa"/>
            </w:tcMar>
            <w:vAlign w:val="center"/>
          </w:tcPr>
          <w:p w14:paraId="7813AA79" w14:textId="77777777" w:rsidR="002C4040" w:rsidRPr="00855721" w:rsidRDefault="00000000">
            <w:pPr>
              <w:spacing w:after="0" w:line="240" w:lineRule="auto"/>
            </w:pPr>
            <w:r w:rsidRPr="00855721">
              <w:rPr>
                <w:rFonts w:eastAsia="Times New Roman"/>
                <w:sz w:val="16"/>
              </w:rPr>
              <w:t>Spectrum-score ADE was not associated with higher treatment failure and was associated with fewer antibiotic days.</w:t>
            </w:r>
          </w:p>
        </w:tc>
        <w:tc>
          <w:tcPr>
            <w:tcW w:w="2448" w:type="dxa"/>
            <w:tcMar>
              <w:top w:w="85" w:type="dxa"/>
              <w:left w:w="85" w:type="dxa"/>
              <w:bottom w:w="85" w:type="dxa"/>
              <w:right w:w="85" w:type="dxa"/>
            </w:tcMar>
            <w:vAlign w:val="center"/>
          </w:tcPr>
          <w:p w14:paraId="257FD387" w14:textId="77777777" w:rsidR="002C4040" w:rsidRPr="00855721" w:rsidRDefault="00000000">
            <w:pPr>
              <w:spacing w:after="0" w:line="240" w:lineRule="auto"/>
            </w:pPr>
            <w:r w:rsidRPr="00855721">
              <w:rPr>
                <w:rFonts w:eastAsia="Times New Roman"/>
                <w:sz w:val="16"/>
              </w:rPr>
              <w:t>Supports spectrum-based measurement in pneumonia, but residual confounding remains.</w:t>
            </w:r>
          </w:p>
        </w:tc>
        <w:tc>
          <w:tcPr>
            <w:tcW w:w="1152" w:type="dxa"/>
            <w:tcMar>
              <w:top w:w="85" w:type="dxa"/>
              <w:left w:w="85" w:type="dxa"/>
              <w:bottom w:w="85" w:type="dxa"/>
              <w:right w:w="85" w:type="dxa"/>
            </w:tcMar>
            <w:vAlign w:val="center"/>
          </w:tcPr>
          <w:p w14:paraId="33E2A75A" w14:textId="77777777" w:rsidR="002C4040" w:rsidRPr="00855721" w:rsidRDefault="00000000">
            <w:pPr>
              <w:spacing w:after="0" w:line="240" w:lineRule="auto"/>
            </w:pPr>
            <w:r w:rsidRPr="00855721">
              <w:rPr>
                <w:rFonts w:eastAsia="Times New Roman"/>
                <w:sz w:val="16"/>
              </w:rPr>
              <w:t>Ilges et al. (2021)</w:t>
            </w:r>
          </w:p>
        </w:tc>
      </w:tr>
      <w:tr w:rsidR="00855721" w:rsidRPr="00855721" w14:paraId="5FBD4004" w14:textId="77777777" w:rsidTr="00855721">
        <w:trPr>
          <w:cantSplit/>
          <w:jc w:val="center"/>
        </w:trPr>
        <w:tc>
          <w:tcPr>
            <w:tcW w:w="2088" w:type="dxa"/>
            <w:tcMar>
              <w:top w:w="85" w:type="dxa"/>
              <w:left w:w="85" w:type="dxa"/>
              <w:bottom w:w="85" w:type="dxa"/>
              <w:right w:w="85" w:type="dxa"/>
            </w:tcMar>
            <w:vAlign w:val="center"/>
          </w:tcPr>
          <w:p w14:paraId="07D09548" w14:textId="77777777" w:rsidR="002C4040" w:rsidRPr="00855721" w:rsidRDefault="00000000">
            <w:pPr>
              <w:spacing w:after="0" w:line="240" w:lineRule="auto"/>
            </w:pPr>
            <w:r w:rsidRPr="00855721">
              <w:rPr>
                <w:rFonts w:eastAsia="Times New Roman"/>
                <w:sz w:val="16"/>
              </w:rPr>
              <w:lastRenderedPageBreak/>
              <w:t>Culture-negative pneumonia; systematic review and meta-analysis</w:t>
            </w:r>
          </w:p>
        </w:tc>
        <w:tc>
          <w:tcPr>
            <w:tcW w:w="2016" w:type="dxa"/>
            <w:tcMar>
              <w:top w:w="85" w:type="dxa"/>
              <w:left w:w="85" w:type="dxa"/>
              <w:bottom w:w="85" w:type="dxa"/>
              <w:right w:w="85" w:type="dxa"/>
            </w:tcMar>
            <w:vAlign w:val="center"/>
          </w:tcPr>
          <w:p w14:paraId="67FB9F74" w14:textId="77777777" w:rsidR="002C4040" w:rsidRPr="00855721" w:rsidRDefault="00000000">
            <w:pPr>
              <w:spacing w:after="0" w:line="240" w:lineRule="auto"/>
            </w:pPr>
            <w:r w:rsidRPr="00855721">
              <w:rPr>
                <w:rFonts w:eastAsia="Times New Roman"/>
                <w:sz w:val="16"/>
              </w:rPr>
              <w:t>Definitions varied across six included studies.</w:t>
            </w:r>
          </w:p>
        </w:tc>
        <w:tc>
          <w:tcPr>
            <w:tcW w:w="2232" w:type="dxa"/>
            <w:tcMar>
              <w:top w:w="85" w:type="dxa"/>
              <w:left w:w="85" w:type="dxa"/>
              <w:bottom w:w="85" w:type="dxa"/>
              <w:right w:w="85" w:type="dxa"/>
            </w:tcMar>
            <w:vAlign w:val="center"/>
          </w:tcPr>
          <w:p w14:paraId="3B211D1A" w14:textId="77777777" w:rsidR="002C4040" w:rsidRPr="00855721" w:rsidRDefault="00000000">
            <w:pPr>
              <w:spacing w:after="0" w:line="240" w:lineRule="auto"/>
            </w:pPr>
            <w:r w:rsidRPr="00855721">
              <w:rPr>
                <w:rFonts w:eastAsia="Times New Roman"/>
                <w:sz w:val="16"/>
              </w:rPr>
              <w:t>ADE was associated with lower mortality, but heterogeneity was substantial.</w:t>
            </w:r>
          </w:p>
        </w:tc>
        <w:tc>
          <w:tcPr>
            <w:tcW w:w="2448" w:type="dxa"/>
            <w:tcMar>
              <w:top w:w="85" w:type="dxa"/>
              <w:left w:w="85" w:type="dxa"/>
              <w:bottom w:w="85" w:type="dxa"/>
              <w:right w:w="85" w:type="dxa"/>
            </w:tcMar>
            <w:vAlign w:val="center"/>
          </w:tcPr>
          <w:p w14:paraId="006640DF" w14:textId="77777777" w:rsidR="002C4040" w:rsidRPr="00855721" w:rsidRDefault="00000000">
            <w:pPr>
              <w:spacing w:after="0" w:line="240" w:lineRule="auto"/>
            </w:pPr>
            <w:r w:rsidRPr="00855721">
              <w:rPr>
                <w:rFonts w:eastAsia="Times New Roman"/>
                <w:sz w:val="16"/>
              </w:rPr>
              <w:t>Pooled observational associations should not be interpreted as a causal survival effect.</w:t>
            </w:r>
          </w:p>
        </w:tc>
        <w:tc>
          <w:tcPr>
            <w:tcW w:w="1152" w:type="dxa"/>
            <w:tcMar>
              <w:top w:w="85" w:type="dxa"/>
              <w:left w:w="85" w:type="dxa"/>
              <w:bottom w:w="85" w:type="dxa"/>
              <w:right w:w="85" w:type="dxa"/>
            </w:tcMar>
            <w:vAlign w:val="center"/>
          </w:tcPr>
          <w:p w14:paraId="6DD356FE" w14:textId="77777777" w:rsidR="002C4040" w:rsidRPr="00855721" w:rsidRDefault="00000000">
            <w:pPr>
              <w:spacing w:after="0" w:line="240" w:lineRule="auto"/>
            </w:pPr>
            <w:r w:rsidRPr="00855721">
              <w:rPr>
                <w:rFonts w:eastAsia="Times New Roman"/>
                <w:sz w:val="16"/>
              </w:rPr>
              <w:t>Song &amp; Lee (2023)</w:t>
            </w:r>
          </w:p>
        </w:tc>
      </w:tr>
    </w:tbl>
    <w:p w14:paraId="7A4DB756" w14:textId="77777777" w:rsidR="002C4040" w:rsidRPr="00855721" w:rsidRDefault="00000000">
      <w:pPr>
        <w:pStyle w:val="TableNote"/>
      </w:pPr>
      <w:r w:rsidRPr="00855721">
        <w:rPr>
          <w:rFonts w:eastAsia="Times New Roman"/>
        </w:rPr>
        <w:t>Note. ADE = antimicrobial de-escalation; AKI = acute kidney injury; ICU = intensive care unit; MDR = multidrug resistant; MRSA = methicillin-resistant Staphylococcus aureus. The table is representative rather than exhaustive.</w:t>
      </w:r>
    </w:p>
    <w:p w14:paraId="127F4EF0" w14:textId="77777777" w:rsidR="002C4040" w:rsidRPr="00855721" w:rsidRDefault="00000000">
      <w:pPr>
        <w:pStyle w:val="Heading1"/>
        <w:rPr>
          <w:color w:val="auto"/>
        </w:rPr>
      </w:pPr>
      <w:r w:rsidRPr="00855721">
        <w:rPr>
          <w:rFonts w:ascii="Times New Roman" w:eastAsia="Times New Roman" w:hAnsi="Times New Roman"/>
          <w:color w:val="auto"/>
        </w:rPr>
        <w:t>5. Clinical Benefits, Ecological Claims and the Limits of Causal Inference</w:t>
      </w:r>
    </w:p>
    <w:p w14:paraId="390407DB" w14:textId="77777777" w:rsidR="002C4040" w:rsidRPr="00855721" w:rsidRDefault="00000000">
      <w:pPr>
        <w:pStyle w:val="Heading2"/>
        <w:rPr>
          <w:color w:val="auto"/>
        </w:rPr>
      </w:pPr>
      <w:r w:rsidRPr="00855721">
        <w:rPr>
          <w:rFonts w:ascii="Times New Roman" w:eastAsia="Times New Roman" w:hAnsi="Times New Roman"/>
          <w:color w:val="auto"/>
        </w:rPr>
        <w:t>5.1 Patient-Level Rationale: Reduce Exposure Without Sacrificing Adequacy</w:t>
      </w:r>
    </w:p>
    <w:p w14:paraId="6AAE3F03" w14:textId="77777777" w:rsidR="002C4040" w:rsidRPr="00855721" w:rsidRDefault="00000000">
      <w:pPr>
        <w:jc w:val="both"/>
      </w:pPr>
      <w:r w:rsidRPr="00855721">
        <w:rPr>
          <w:rFonts w:eastAsia="Times New Roman"/>
        </w:rPr>
        <w:t xml:space="preserve">The patient-level case for ADE begins with exposure. Antibiotics produce adverse effects, and avoidable days create avoidable risk. In a cohort of hospitalised patients receiving systemic antibiotics, Tamma et al. (2017) documented frequent antibiotic-associated adverse events and showed that risk accumulated with additional exposure. These events include gastrointestinal toxicity, renal injury, allergic reactions, haematological effects, drug interactions and </w:t>
      </w:r>
      <w:r w:rsidRPr="00855721">
        <w:rPr>
          <w:rFonts w:eastAsia="Times New Roman"/>
          <w:i/>
        </w:rPr>
        <w:t>C. difficile</w:t>
      </w:r>
      <w:r w:rsidRPr="00855721">
        <w:rPr>
          <w:rFonts w:eastAsia="Times New Roman"/>
        </w:rPr>
        <w:t xml:space="preserve"> infection, with the profile varying by agent. Narrowing or stopping an unnecessary drug can therefore produce an immediate risk reduction even if it never changes mortality.</w:t>
      </w:r>
    </w:p>
    <w:p w14:paraId="39B449DB" w14:textId="77777777" w:rsidR="002C4040" w:rsidRPr="00855721" w:rsidRDefault="00000000">
      <w:pPr>
        <w:jc w:val="both"/>
      </w:pPr>
      <w:r w:rsidRPr="00855721">
        <w:rPr>
          <w:rFonts w:eastAsia="Times New Roman"/>
        </w:rPr>
        <w:t xml:space="preserve">Broad-spectrum exposure also carries specific risks. In a large study of culture-positive community-onset sepsis, Rhee et al. (2020) found that resistant pathogens were much less common than empirical treatment targeting resistant organisms. Both inadequate and unnecessarily broad empirical therapy were associated with higher adjusted mortality; unnecessarily broad therapy was also associated with more </w:t>
      </w:r>
      <w:r w:rsidRPr="00855721">
        <w:rPr>
          <w:rFonts w:eastAsia="Times New Roman"/>
          <w:i/>
        </w:rPr>
        <w:t>C. difficile</w:t>
      </w:r>
      <w:r w:rsidRPr="00855721">
        <w:rPr>
          <w:rFonts w:eastAsia="Times New Roman"/>
        </w:rPr>
        <w:t xml:space="preserve"> infection. Because the study was observational, the mortality association cannot prove harm from breadth itself, but it demonstrates that "more coverage" is not a harmless default and that overtreatment deserves the same analytical attention as undertreatment.</w:t>
      </w:r>
    </w:p>
    <w:p w14:paraId="54822263" w14:textId="77777777" w:rsidR="002C4040" w:rsidRPr="00855721" w:rsidRDefault="00000000">
      <w:pPr>
        <w:jc w:val="both"/>
      </w:pPr>
      <w:r w:rsidRPr="00855721">
        <w:rPr>
          <w:rFonts w:eastAsia="Times New Roman"/>
        </w:rPr>
        <w:t>Exposure duration is also linked to subsequent resistance. Teshome et al. (2019) analysed critically ill adults exposed to cefepime, meropenem or piperacillin-tazobactam and found that each additional day of antipseudomonal beta-lactam exposure was associated with a greater hazard of newly detected resistance. This does not prove that a particular ADE manoeuvre prevents resistance, because duration, infection complexity and repeated culturing can all confound the relationship. It does, however, support the biological premise that avoiding unnecessary broad-spectrum days is preferable to leaving them unexamined.</w:t>
      </w:r>
    </w:p>
    <w:p w14:paraId="1F6E02EA" w14:textId="77777777" w:rsidR="002C4040" w:rsidRPr="00855721" w:rsidRDefault="00000000">
      <w:pPr>
        <w:pStyle w:val="Heading2"/>
        <w:rPr>
          <w:color w:val="auto"/>
        </w:rPr>
      </w:pPr>
      <w:r w:rsidRPr="00855721">
        <w:rPr>
          <w:rFonts w:ascii="Times New Roman" w:eastAsia="Times New Roman" w:hAnsi="Times New Roman"/>
          <w:color w:val="auto"/>
        </w:rPr>
        <w:t>5.2 Does De-escalation Itself Reduce Antimicrobial Resistance?</w:t>
      </w:r>
    </w:p>
    <w:p w14:paraId="5A728168" w14:textId="77777777" w:rsidR="002C4040" w:rsidRPr="00855721" w:rsidRDefault="00000000">
      <w:pPr>
        <w:jc w:val="both"/>
      </w:pPr>
      <w:r w:rsidRPr="00855721">
        <w:rPr>
          <w:rFonts w:eastAsia="Times New Roman"/>
        </w:rPr>
        <w:t>The claim that ADE prevents antimicrobial resistance is far less directly demonstrated than its frequent repetition implies. The 2016 systematic review by Tabah et al. found that none of the included studies had been designed to evaluate the effect of ADE on resistance. The later international position statement reached a similar conclusion: ADE is recommended as a stewardship practice, but high-quality evidence connecting it to lower resistance at patient or unit level remains lacking (Tabah et al., 2016, 2020). This gap persists because resistance is both an individual and ecological outcome. It can emerge within a patient, be acquired through transmission, or change at ward and hospital level over long periods.</w:t>
      </w:r>
    </w:p>
    <w:p w14:paraId="75DB47AC" w14:textId="77777777" w:rsidR="002C4040" w:rsidRPr="00855721" w:rsidRDefault="00000000">
      <w:pPr>
        <w:jc w:val="both"/>
      </w:pPr>
      <w:r w:rsidRPr="00855721">
        <w:rPr>
          <w:rFonts w:eastAsia="Times New Roman"/>
        </w:rPr>
        <w:t xml:space="preserve">A retrospective intensive-care-unit study specifically examined emergence of resistance after empirical beta-lactam therapy and did not establish a simple protective relationship between de-escalation and subsequent resistance (De Bus et al., 2016). Such studies are difficult to interpret because clinicians may preferentially narrow when the patient's flora and pathogen susceptibility already permit it, while patients </w:t>
      </w:r>
      <w:r w:rsidRPr="00855721">
        <w:rPr>
          <w:rFonts w:eastAsia="Times New Roman"/>
        </w:rPr>
        <w:lastRenderedPageBreak/>
        <w:t>who require continued broad therapy are inherently more likely to harbour resistant organisms. Surveillance intensity also differs: sicker patients are cultured more often and therefore have more opportunities for resistance to be detected.</w:t>
      </w:r>
    </w:p>
    <w:p w14:paraId="785989F7" w14:textId="77777777" w:rsidR="002C4040" w:rsidRPr="00855721" w:rsidRDefault="00000000">
      <w:pPr>
        <w:jc w:val="both"/>
      </w:pPr>
      <w:r w:rsidRPr="00855721">
        <w:rPr>
          <w:rFonts w:eastAsia="Times New Roman"/>
        </w:rPr>
        <w:t xml:space="preserve">Mathematical modelling reinforces the need for caution. Hughes et al. (2017) modelled </w:t>
      </w:r>
      <w:r w:rsidRPr="00855721">
        <w:rPr>
          <w:rFonts w:eastAsia="Times New Roman"/>
          <w:i/>
        </w:rPr>
        <w:t>Pseudomonas aeruginosa</w:t>
      </w:r>
      <w:r w:rsidRPr="00855721">
        <w:rPr>
          <w:rFonts w:eastAsia="Times New Roman"/>
        </w:rPr>
        <w:t xml:space="preserve"> transmission and resistance under alternative de-escalation strategies. De-escalation could preserve susceptibility to a high-value empirical agent while increasing use of, and resistance to, the replacement agent; some scenarios also increased colonisation or superinfection. These are theoretical outcomes rather than clinical observations, but they reveal a basic ecological truth: selection pressure is redistributed, not abolished, when one antibiotic is replaced with another. "Narrower" is not synonymous with "ecologically neutral".</w:t>
      </w:r>
    </w:p>
    <w:p w14:paraId="1E0ECBEF" w14:textId="77777777" w:rsidR="002C4040" w:rsidRPr="00855721" w:rsidRDefault="00000000">
      <w:pPr>
        <w:jc w:val="both"/>
      </w:pPr>
      <w:r w:rsidRPr="00855721">
        <w:rPr>
          <w:rFonts w:eastAsia="Times New Roman"/>
        </w:rPr>
        <w:t>The most defensible current claim is therefore modest. ADE reduces exposure to the broad or redundant agents that are stopped, and shorter exposure to some broad agents is associated with less opportunity for toxicity and selection. Whether a specific narrowing strategy lowers total resistance burden depends on the replacement drug, duration, microbiome effects, pathogen ecology, infection-control context and transmission. Resistance should be measured directly in future ADE trials rather than inferred from spectrum reduction.</w:t>
      </w:r>
    </w:p>
    <w:p w14:paraId="38B24566" w14:textId="77777777" w:rsidR="002C4040" w:rsidRPr="00855721" w:rsidRDefault="00000000">
      <w:pPr>
        <w:pStyle w:val="Heading2"/>
        <w:rPr>
          <w:color w:val="auto"/>
        </w:rPr>
      </w:pPr>
      <w:r w:rsidRPr="00855721">
        <w:rPr>
          <w:rFonts w:ascii="Times New Roman" w:eastAsia="Times New Roman" w:hAnsi="Times New Roman"/>
          <w:color w:val="auto"/>
        </w:rPr>
        <w:t>5.3 Why Observational Mortality Benefits Are Vulnerable to Bias</w:t>
      </w:r>
    </w:p>
    <w:p w14:paraId="2A1D2F06" w14:textId="77777777" w:rsidR="002C4040" w:rsidRPr="00855721" w:rsidRDefault="00000000">
      <w:pPr>
        <w:jc w:val="both"/>
      </w:pPr>
      <w:r w:rsidRPr="00855721">
        <w:rPr>
          <w:rFonts w:eastAsia="Times New Roman"/>
        </w:rPr>
        <w:t>The recurrent association between ADE and lower mortality has intuitive appeal but weak causal specificity. The decision occurs after treatment starts, often around 48-96 hours, by which time clinicians have observed haemodynamics, organ-function trends, source-control success, culture results and early response. These variables influence both the probability of de-escalation and prognosis. Even detailed baseline adjustment cannot fully correct a treatment decision driven by post-baseline information.</w:t>
      </w:r>
    </w:p>
    <w:p w14:paraId="3CA1D245" w14:textId="77777777" w:rsidR="002C4040" w:rsidRPr="00855721" w:rsidRDefault="00000000">
      <w:pPr>
        <w:jc w:val="both"/>
      </w:pPr>
      <w:r w:rsidRPr="00855721">
        <w:rPr>
          <w:rFonts w:eastAsia="Times New Roman"/>
        </w:rPr>
        <w:t>Several biases follow. Survivor bias arises if patients who die before cultures mature can never enter the de-escalated group. Confounding by clinical response arises because improvement causes both narrowing and survival. Confounding by microbiology arises because susceptible organisms permit de-escalation and may themselves have a better prognosis than resistant organisms. Confounding by clinician judgement persists even after measured severity scores are included. These mechanisms explain why the strong protective associations in earlier cohorts should not be directly compared with the null mortality findings of small randomised trials as though they estimate the same causal quantity (Garnacho-Montero et al., 2014; Leone et al., 2014; Tabah et al., 2016).</w:t>
      </w:r>
    </w:p>
    <w:p w14:paraId="270C79C9" w14:textId="77777777" w:rsidR="002C4040" w:rsidRPr="00855721" w:rsidRDefault="00000000">
      <w:pPr>
        <w:jc w:val="both"/>
      </w:pPr>
      <w:r w:rsidRPr="00855721">
        <w:rPr>
          <w:rFonts w:eastAsia="Times New Roman"/>
        </w:rPr>
        <w:t>Methodological progress is visible in newer studies. DIANA incorporated time-varying confounding through inverse-probability weighting. Ohnuma et al. (2026) explicitly accounted for change in organ dysfunction when analysing culture-negative sepsis. Gupta et al. (2026) emulated treatment assignment at a defined clinical landmark among patients meeting stability criteria. These approaches reduce, but do not eliminate, bias. Their convergence around "no evident excess mortality" is more persuasive than the earlier suggestion that ADE itself substantially lowers mortality.</w:t>
      </w:r>
    </w:p>
    <w:p w14:paraId="24A8C9E5" w14:textId="77777777" w:rsidR="002C4040" w:rsidRPr="00855721" w:rsidRDefault="00000000">
      <w:pPr>
        <w:pStyle w:val="Heading2"/>
        <w:rPr>
          <w:color w:val="auto"/>
        </w:rPr>
      </w:pPr>
      <w:r w:rsidRPr="00855721">
        <w:rPr>
          <w:rFonts w:ascii="Times New Roman" w:eastAsia="Times New Roman" w:hAnsi="Times New Roman"/>
          <w:color w:val="auto"/>
        </w:rPr>
        <w:t>5.4 What Outcomes Should Matter?</w:t>
      </w:r>
    </w:p>
    <w:p w14:paraId="7A5620AB" w14:textId="77777777" w:rsidR="002C4040" w:rsidRPr="00855721" w:rsidRDefault="00000000">
      <w:pPr>
        <w:jc w:val="both"/>
      </w:pPr>
      <w:r w:rsidRPr="00855721">
        <w:rPr>
          <w:rFonts w:eastAsia="Times New Roman"/>
        </w:rPr>
        <w:t xml:space="preserve">Mortality remains important, but it is an inefficient sole endpoint for stewardship interventions expected mainly to reduce exposure. A trial may successfully reduce unnecessary vancomycin by a day without being large enough to detect a mortality difference, particularly when baseline mortality is low and </w:t>
      </w:r>
      <w:r w:rsidRPr="00855721">
        <w:rPr>
          <w:rFonts w:eastAsia="Times New Roman"/>
        </w:rPr>
        <w:lastRenderedPageBreak/>
        <w:t>treatment remains adequate. Conversely, a mortality composite can be distorted if death prevents accumulation of antibiotic-free days. Outcomes should match the intervention's mechanism.</w:t>
      </w:r>
    </w:p>
    <w:p w14:paraId="55302F17" w14:textId="77777777" w:rsidR="002C4040" w:rsidRPr="00855721" w:rsidRDefault="00000000">
      <w:pPr>
        <w:jc w:val="both"/>
      </w:pPr>
      <w:r w:rsidRPr="00855721">
        <w:rPr>
          <w:rFonts w:eastAsia="Times New Roman"/>
        </w:rPr>
        <w:t xml:space="preserve">Useful patient-centred endpoints include clinical cure or treatment failure, recurrent infection, need for re-escalation, adverse drug events, acute kidney injury, </w:t>
      </w:r>
      <w:r w:rsidRPr="00855721">
        <w:rPr>
          <w:rFonts w:eastAsia="Times New Roman"/>
          <w:i/>
        </w:rPr>
        <w:t>C. difficile</w:t>
      </w:r>
      <w:r w:rsidRPr="00855721">
        <w:rPr>
          <w:rFonts w:eastAsia="Times New Roman"/>
        </w:rPr>
        <w:t xml:space="preserve"> infection, hospital and intensive-care-unit length of stay, readmission and mortality. Stewardship endpoints include days of therapy, days of broad-spectrum therapy, time to de-escalation, spectrum-weighted exposure and antibiotic-free days. Ecological endpoints should include acquisition of resistant organisms, emergence of resistance in the index pathogen, microbiome or resistome disruption where feasible, and unit-level resistance or transmission over sufficient follow-up. The crucial analytical step is to avoid treating a reduction in an antibiotic-use metric as direct evidence of improved clinical or ecological outcome.</w:t>
      </w:r>
    </w:p>
    <w:p w14:paraId="348B5FA5" w14:textId="77777777" w:rsidR="002C4040" w:rsidRPr="00855721" w:rsidRDefault="00000000">
      <w:pPr>
        <w:jc w:val="both"/>
      </w:pPr>
      <w:r w:rsidRPr="00855721">
        <w:rPr>
          <w:rFonts w:eastAsia="Times New Roman"/>
        </w:rPr>
        <w:t>Table 3 grades the current evidence by outcome domain qualitatively rather than assigning a formal certainty score. Confidence is highest that ADE can reduce selected broad-spectrum exposure when it is successfully implemented and that appropriately selected patients do not show a consistent excess in short-term mortality. Confidence is much lower that ADE independently improves survival or reduces resistance at population level.</w:t>
      </w:r>
    </w:p>
    <w:p w14:paraId="61E1120F" w14:textId="77777777" w:rsidR="002C4040" w:rsidRPr="00855721" w:rsidRDefault="00000000">
      <w:pPr>
        <w:pStyle w:val="TableCaption"/>
      </w:pPr>
      <w:r w:rsidRPr="00855721">
        <w:rPr>
          <w:rFonts w:eastAsia="Times New Roman"/>
        </w:rPr>
        <w:t>Table 3. Outcome domains and confidence that antimicrobial de-escalation affects them</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656"/>
        <w:gridCol w:w="2592"/>
        <w:gridCol w:w="1512"/>
        <w:gridCol w:w="3024"/>
        <w:gridCol w:w="1152"/>
      </w:tblGrid>
      <w:tr w:rsidR="00855721" w:rsidRPr="00855721" w14:paraId="091D7820" w14:textId="77777777" w:rsidTr="00855721">
        <w:trPr>
          <w:cantSplit/>
          <w:tblHeader/>
          <w:jc w:val="center"/>
        </w:trPr>
        <w:tc>
          <w:tcPr>
            <w:tcW w:w="1656" w:type="dxa"/>
            <w:tcMar>
              <w:top w:w="85" w:type="dxa"/>
              <w:left w:w="85" w:type="dxa"/>
              <w:bottom w:w="85" w:type="dxa"/>
              <w:right w:w="85" w:type="dxa"/>
            </w:tcMar>
            <w:vAlign w:val="center"/>
          </w:tcPr>
          <w:p w14:paraId="127EB07B" w14:textId="77777777" w:rsidR="002C4040" w:rsidRPr="00855721" w:rsidRDefault="00000000">
            <w:pPr>
              <w:spacing w:after="0" w:line="240" w:lineRule="auto"/>
              <w:jc w:val="center"/>
            </w:pPr>
            <w:r w:rsidRPr="00855721">
              <w:rPr>
                <w:rFonts w:eastAsia="Times New Roman"/>
                <w:b/>
                <w:sz w:val="16"/>
              </w:rPr>
              <w:t>Outcome domain</w:t>
            </w:r>
          </w:p>
        </w:tc>
        <w:tc>
          <w:tcPr>
            <w:tcW w:w="2592" w:type="dxa"/>
            <w:tcMar>
              <w:top w:w="85" w:type="dxa"/>
              <w:left w:w="85" w:type="dxa"/>
              <w:bottom w:w="85" w:type="dxa"/>
              <w:right w:w="85" w:type="dxa"/>
            </w:tcMar>
            <w:vAlign w:val="center"/>
          </w:tcPr>
          <w:p w14:paraId="214508CC" w14:textId="77777777" w:rsidR="002C4040" w:rsidRPr="00855721" w:rsidRDefault="00000000">
            <w:pPr>
              <w:spacing w:after="0" w:line="240" w:lineRule="auto"/>
              <w:jc w:val="center"/>
            </w:pPr>
            <w:r w:rsidRPr="00855721">
              <w:rPr>
                <w:rFonts w:eastAsia="Times New Roman"/>
                <w:b/>
                <w:sz w:val="16"/>
              </w:rPr>
              <w:t>Direction of current evidence</w:t>
            </w:r>
          </w:p>
        </w:tc>
        <w:tc>
          <w:tcPr>
            <w:tcW w:w="1512" w:type="dxa"/>
            <w:tcMar>
              <w:top w:w="85" w:type="dxa"/>
              <w:left w:w="85" w:type="dxa"/>
              <w:bottom w:w="85" w:type="dxa"/>
              <w:right w:w="85" w:type="dxa"/>
            </w:tcMar>
            <w:vAlign w:val="center"/>
          </w:tcPr>
          <w:p w14:paraId="706F30BB" w14:textId="77777777" w:rsidR="002C4040" w:rsidRPr="00855721" w:rsidRDefault="00000000">
            <w:pPr>
              <w:spacing w:after="0" w:line="240" w:lineRule="auto"/>
              <w:jc w:val="center"/>
            </w:pPr>
            <w:r w:rsidRPr="00855721">
              <w:rPr>
                <w:rFonts w:eastAsia="Times New Roman"/>
                <w:b/>
                <w:sz w:val="16"/>
              </w:rPr>
              <w:t>Narrative confidence</w:t>
            </w:r>
          </w:p>
        </w:tc>
        <w:tc>
          <w:tcPr>
            <w:tcW w:w="3024" w:type="dxa"/>
            <w:tcMar>
              <w:top w:w="85" w:type="dxa"/>
              <w:left w:w="85" w:type="dxa"/>
              <w:bottom w:w="85" w:type="dxa"/>
              <w:right w:w="85" w:type="dxa"/>
            </w:tcMar>
            <w:vAlign w:val="center"/>
          </w:tcPr>
          <w:p w14:paraId="74AD5FBB" w14:textId="77777777" w:rsidR="002C4040" w:rsidRPr="00855721" w:rsidRDefault="00000000">
            <w:pPr>
              <w:spacing w:after="0" w:line="240" w:lineRule="auto"/>
              <w:jc w:val="center"/>
            </w:pPr>
            <w:r w:rsidRPr="00855721">
              <w:rPr>
                <w:rFonts w:eastAsia="Times New Roman"/>
                <w:b/>
                <w:sz w:val="16"/>
              </w:rPr>
              <w:t>Main reason for uncertainty</w:t>
            </w:r>
          </w:p>
        </w:tc>
        <w:tc>
          <w:tcPr>
            <w:tcW w:w="1152" w:type="dxa"/>
            <w:tcMar>
              <w:top w:w="85" w:type="dxa"/>
              <w:left w:w="85" w:type="dxa"/>
              <w:bottom w:w="85" w:type="dxa"/>
              <w:right w:w="85" w:type="dxa"/>
            </w:tcMar>
            <w:vAlign w:val="center"/>
          </w:tcPr>
          <w:p w14:paraId="3A3E750E"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08EF30B" w14:textId="77777777" w:rsidTr="00855721">
        <w:trPr>
          <w:cantSplit/>
          <w:jc w:val="center"/>
        </w:trPr>
        <w:tc>
          <w:tcPr>
            <w:tcW w:w="1656" w:type="dxa"/>
            <w:tcMar>
              <w:top w:w="85" w:type="dxa"/>
              <w:left w:w="85" w:type="dxa"/>
              <w:bottom w:w="85" w:type="dxa"/>
              <w:right w:w="85" w:type="dxa"/>
            </w:tcMar>
            <w:vAlign w:val="center"/>
          </w:tcPr>
          <w:p w14:paraId="4A961587" w14:textId="77777777" w:rsidR="002C4040" w:rsidRPr="00855721" w:rsidRDefault="00000000">
            <w:pPr>
              <w:spacing w:after="0" w:line="240" w:lineRule="auto"/>
            </w:pPr>
            <w:r w:rsidRPr="00855721">
              <w:rPr>
                <w:rFonts w:eastAsia="Times New Roman"/>
                <w:sz w:val="16"/>
              </w:rPr>
              <w:t>Short-term mortality</w:t>
            </w:r>
          </w:p>
        </w:tc>
        <w:tc>
          <w:tcPr>
            <w:tcW w:w="2592" w:type="dxa"/>
            <w:tcMar>
              <w:top w:w="85" w:type="dxa"/>
              <w:left w:w="85" w:type="dxa"/>
              <w:bottom w:w="85" w:type="dxa"/>
              <w:right w:w="85" w:type="dxa"/>
            </w:tcMar>
            <w:vAlign w:val="center"/>
          </w:tcPr>
          <w:p w14:paraId="7AC4B4D4" w14:textId="77777777" w:rsidR="002C4040" w:rsidRPr="00855721" w:rsidRDefault="00000000">
            <w:pPr>
              <w:spacing w:after="0" w:line="240" w:lineRule="auto"/>
            </w:pPr>
            <w:r w:rsidRPr="00855721">
              <w:rPr>
                <w:rFonts w:eastAsia="Times New Roman"/>
                <w:sz w:val="16"/>
              </w:rPr>
              <w:t>No consistent excess mortality in appropriately selected patients; observational studies often report lower mortality.</w:t>
            </w:r>
          </w:p>
        </w:tc>
        <w:tc>
          <w:tcPr>
            <w:tcW w:w="1512" w:type="dxa"/>
            <w:tcMar>
              <w:top w:w="85" w:type="dxa"/>
              <w:left w:w="85" w:type="dxa"/>
              <w:bottom w:w="85" w:type="dxa"/>
              <w:right w:w="85" w:type="dxa"/>
            </w:tcMar>
            <w:vAlign w:val="center"/>
          </w:tcPr>
          <w:p w14:paraId="675A3295" w14:textId="77777777" w:rsidR="002C4040" w:rsidRPr="00855721" w:rsidRDefault="00000000">
            <w:pPr>
              <w:spacing w:after="0" w:line="240" w:lineRule="auto"/>
            </w:pPr>
            <w:r w:rsidRPr="00855721">
              <w:rPr>
                <w:rFonts w:eastAsia="Times New Roman"/>
                <w:sz w:val="16"/>
              </w:rPr>
              <w:t>Moderate for safety; low for mortality benefit</w:t>
            </w:r>
          </w:p>
        </w:tc>
        <w:tc>
          <w:tcPr>
            <w:tcW w:w="3024" w:type="dxa"/>
            <w:tcMar>
              <w:top w:w="85" w:type="dxa"/>
              <w:left w:w="85" w:type="dxa"/>
              <w:bottom w:w="85" w:type="dxa"/>
              <w:right w:w="85" w:type="dxa"/>
            </w:tcMar>
            <w:vAlign w:val="center"/>
          </w:tcPr>
          <w:p w14:paraId="0A536ADA" w14:textId="77777777" w:rsidR="002C4040" w:rsidRPr="00855721" w:rsidRDefault="00000000">
            <w:pPr>
              <w:spacing w:after="0" w:line="240" w:lineRule="auto"/>
            </w:pPr>
            <w:r w:rsidRPr="00855721">
              <w:rPr>
                <w:rFonts w:eastAsia="Times New Roman"/>
                <w:sz w:val="16"/>
              </w:rPr>
              <w:t>Strong confounding by improvement, microbiology and clinician selection; limited randomised evidence.</w:t>
            </w:r>
          </w:p>
        </w:tc>
        <w:tc>
          <w:tcPr>
            <w:tcW w:w="1152" w:type="dxa"/>
            <w:tcMar>
              <w:top w:w="85" w:type="dxa"/>
              <w:left w:w="85" w:type="dxa"/>
              <w:bottom w:w="85" w:type="dxa"/>
              <w:right w:w="85" w:type="dxa"/>
            </w:tcMar>
            <w:vAlign w:val="center"/>
          </w:tcPr>
          <w:p w14:paraId="3D36F62D" w14:textId="77777777" w:rsidR="002C4040" w:rsidRPr="00855721" w:rsidRDefault="00000000">
            <w:pPr>
              <w:spacing w:after="0" w:line="240" w:lineRule="auto"/>
            </w:pPr>
            <w:r w:rsidRPr="00855721">
              <w:rPr>
                <w:rFonts w:eastAsia="Times New Roman"/>
                <w:sz w:val="16"/>
              </w:rPr>
              <w:t>De Bus et al. (2020); Gupta et al. (2026); Leone et al. (2014); Tabah et al. (2016)</w:t>
            </w:r>
          </w:p>
        </w:tc>
      </w:tr>
      <w:tr w:rsidR="00855721" w:rsidRPr="00855721" w14:paraId="5A776EA0" w14:textId="77777777" w:rsidTr="00855721">
        <w:trPr>
          <w:cantSplit/>
          <w:jc w:val="center"/>
        </w:trPr>
        <w:tc>
          <w:tcPr>
            <w:tcW w:w="1656" w:type="dxa"/>
            <w:tcMar>
              <w:top w:w="85" w:type="dxa"/>
              <w:left w:w="85" w:type="dxa"/>
              <w:bottom w:w="85" w:type="dxa"/>
              <w:right w:w="85" w:type="dxa"/>
            </w:tcMar>
            <w:vAlign w:val="center"/>
          </w:tcPr>
          <w:p w14:paraId="070EA68B" w14:textId="77777777" w:rsidR="002C4040" w:rsidRPr="00855721" w:rsidRDefault="00000000">
            <w:pPr>
              <w:spacing w:after="0" w:line="240" w:lineRule="auto"/>
            </w:pPr>
            <w:r w:rsidRPr="00855721">
              <w:rPr>
                <w:rFonts w:eastAsia="Times New Roman"/>
                <w:sz w:val="16"/>
              </w:rPr>
              <w:t>Clinical cure/treatment failure</w:t>
            </w:r>
          </w:p>
        </w:tc>
        <w:tc>
          <w:tcPr>
            <w:tcW w:w="2592" w:type="dxa"/>
            <w:tcMar>
              <w:top w:w="85" w:type="dxa"/>
              <w:left w:w="85" w:type="dxa"/>
              <w:bottom w:w="85" w:type="dxa"/>
              <w:right w:w="85" w:type="dxa"/>
            </w:tcMar>
            <w:vAlign w:val="center"/>
          </w:tcPr>
          <w:p w14:paraId="5817E927" w14:textId="77777777" w:rsidR="002C4040" w:rsidRPr="00855721" w:rsidRDefault="00000000">
            <w:pPr>
              <w:spacing w:after="0" w:line="240" w:lineRule="auto"/>
            </w:pPr>
            <w:r w:rsidRPr="00855721">
              <w:rPr>
                <w:rFonts w:eastAsia="Times New Roman"/>
                <w:sz w:val="16"/>
              </w:rPr>
              <w:t>Generally similar or favourable among de-escalated patients.</w:t>
            </w:r>
          </w:p>
        </w:tc>
        <w:tc>
          <w:tcPr>
            <w:tcW w:w="1512" w:type="dxa"/>
            <w:tcMar>
              <w:top w:w="85" w:type="dxa"/>
              <w:left w:w="85" w:type="dxa"/>
              <w:bottom w:w="85" w:type="dxa"/>
              <w:right w:w="85" w:type="dxa"/>
            </w:tcMar>
            <w:vAlign w:val="center"/>
          </w:tcPr>
          <w:p w14:paraId="28586D86" w14:textId="77777777" w:rsidR="002C4040" w:rsidRPr="00855721" w:rsidRDefault="00000000">
            <w:pPr>
              <w:spacing w:after="0" w:line="240" w:lineRule="auto"/>
            </w:pPr>
            <w:r w:rsidRPr="00855721">
              <w:rPr>
                <w:rFonts w:eastAsia="Times New Roman"/>
                <w:sz w:val="16"/>
              </w:rPr>
              <w:t>Moderate</w:t>
            </w:r>
          </w:p>
        </w:tc>
        <w:tc>
          <w:tcPr>
            <w:tcW w:w="3024" w:type="dxa"/>
            <w:tcMar>
              <w:top w:w="85" w:type="dxa"/>
              <w:left w:w="85" w:type="dxa"/>
              <w:bottom w:w="85" w:type="dxa"/>
              <w:right w:w="85" w:type="dxa"/>
            </w:tcMar>
            <w:vAlign w:val="center"/>
          </w:tcPr>
          <w:p w14:paraId="636E827F" w14:textId="77777777" w:rsidR="002C4040" w:rsidRPr="00855721" w:rsidRDefault="00000000">
            <w:pPr>
              <w:spacing w:after="0" w:line="240" w:lineRule="auto"/>
            </w:pPr>
            <w:r w:rsidRPr="00855721">
              <w:rPr>
                <w:rFonts w:eastAsia="Times New Roman"/>
                <w:sz w:val="16"/>
              </w:rPr>
              <w:t>Definitions and timing vary; many studies are observational.</w:t>
            </w:r>
          </w:p>
        </w:tc>
        <w:tc>
          <w:tcPr>
            <w:tcW w:w="1152" w:type="dxa"/>
            <w:tcMar>
              <w:top w:w="85" w:type="dxa"/>
              <w:left w:w="85" w:type="dxa"/>
              <w:bottom w:w="85" w:type="dxa"/>
              <w:right w:w="85" w:type="dxa"/>
            </w:tcMar>
            <w:vAlign w:val="center"/>
          </w:tcPr>
          <w:p w14:paraId="219133A8" w14:textId="77777777" w:rsidR="002C4040" w:rsidRPr="00855721" w:rsidRDefault="00000000">
            <w:pPr>
              <w:spacing w:after="0" w:line="240" w:lineRule="auto"/>
            </w:pPr>
            <w:r w:rsidRPr="00855721">
              <w:rPr>
                <w:rFonts w:eastAsia="Times New Roman"/>
                <w:sz w:val="16"/>
              </w:rPr>
              <w:t>De Bus et al. (2020); Ilges et al. (2021)</w:t>
            </w:r>
          </w:p>
        </w:tc>
      </w:tr>
      <w:tr w:rsidR="00855721" w:rsidRPr="00855721" w14:paraId="10D3129E" w14:textId="77777777" w:rsidTr="00855721">
        <w:trPr>
          <w:cantSplit/>
          <w:jc w:val="center"/>
        </w:trPr>
        <w:tc>
          <w:tcPr>
            <w:tcW w:w="1656" w:type="dxa"/>
            <w:tcMar>
              <w:top w:w="85" w:type="dxa"/>
              <w:left w:w="85" w:type="dxa"/>
              <w:bottom w:w="85" w:type="dxa"/>
              <w:right w:w="85" w:type="dxa"/>
            </w:tcMar>
            <w:vAlign w:val="center"/>
          </w:tcPr>
          <w:p w14:paraId="32DBCB9D" w14:textId="77777777" w:rsidR="002C4040" w:rsidRPr="00855721" w:rsidRDefault="00000000">
            <w:pPr>
              <w:spacing w:after="0" w:line="240" w:lineRule="auto"/>
            </w:pPr>
            <w:r w:rsidRPr="00855721">
              <w:rPr>
                <w:rFonts w:eastAsia="Times New Roman"/>
                <w:sz w:val="16"/>
              </w:rPr>
              <w:t>Selected broad-spectrum exposure</w:t>
            </w:r>
          </w:p>
        </w:tc>
        <w:tc>
          <w:tcPr>
            <w:tcW w:w="2592" w:type="dxa"/>
            <w:tcMar>
              <w:top w:w="85" w:type="dxa"/>
              <w:left w:w="85" w:type="dxa"/>
              <w:bottom w:w="85" w:type="dxa"/>
              <w:right w:w="85" w:type="dxa"/>
            </w:tcMar>
            <w:vAlign w:val="center"/>
          </w:tcPr>
          <w:p w14:paraId="351F178F" w14:textId="77777777" w:rsidR="002C4040" w:rsidRPr="00855721" w:rsidRDefault="00000000">
            <w:pPr>
              <w:spacing w:after="0" w:line="240" w:lineRule="auto"/>
            </w:pPr>
            <w:r w:rsidRPr="00855721">
              <w:rPr>
                <w:rFonts w:eastAsia="Times New Roman"/>
                <w:sz w:val="16"/>
              </w:rPr>
              <w:t>Can be reduced when a de-escalation intervention successfully changes prescribing.</w:t>
            </w:r>
          </w:p>
        </w:tc>
        <w:tc>
          <w:tcPr>
            <w:tcW w:w="1512" w:type="dxa"/>
            <w:tcMar>
              <w:top w:w="85" w:type="dxa"/>
              <w:left w:w="85" w:type="dxa"/>
              <w:bottom w:w="85" w:type="dxa"/>
              <w:right w:w="85" w:type="dxa"/>
            </w:tcMar>
            <w:vAlign w:val="center"/>
          </w:tcPr>
          <w:p w14:paraId="04D79468" w14:textId="77777777" w:rsidR="002C4040" w:rsidRPr="00855721" w:rsidRDefault="00000000">
            <w:pPr>
              <w:spacing w:after="0" w:line="240" w:lineRule="auto"/>
            </w:pPr>
            <w:r w:rsidRPr="00855721">
              <w:rPr>
                <w:rFonts w:eastAsia="Times New Roman"/>
                <w:sz w:val="16"/>
              </w:rPr>
              <w:t>High</w:t>
            </w:r>
          </w:p>
        </w:tc>
        <w:tc>
          <w:tcPr>
            <w:tcW w:w="3024" w:type="dxa"/>
            <w:tcMar>
              <w:top w:w="85" w:type="dxa"/>
              <w:left w:w="85" w:type="dxa"/>
              <w:bottom w:w="85" w:type="dxa"/>
              <w:right w:w="85" w:type="dxa"/>
            </w:tcMar>
            <w:vAlign w:val="center"/>
          </w:tcPr>
          <w:p w14:paraId="5D6509E2" w14:textId="77777777" w:rsidR="002C4040" w:rsidRPr="00855721" w:rsidRDefault="00000000">
            <w:pPr>
              <w:spacing w:after="0" w:line="240" w:lineRule="auto"/>
            </w:pPr>
            <w:r w:rsidRPr="00855721">
              <w:rPr>
                <w:rFonts w:eastAsia="Times New Roman"/>
                <w:sz w:val="16"/>
              </w:rPr>
              <w:t>Effect size depends strongly on workflow and whether test/prompt results are acted upon.</w:t>
            </w:r>
          </w:p>
        </w:tc>
        <w:tc>
          <w:tcPr>
            <w:tcW w:w="1152" w:type="dxa"/>
            <w:tcMar>
              <w:top w:w="85" w:type="dxa"/>
              <w:left w:w="85" w:type="dxa"/>
              <w:bottom w:w="85" w:type="dxa"/>
              <w:right w:w="85" w:type="dxa"/>
            </w:tcMar>
            <w:vAlign w:val="center"/>
          </w:tcPr>
          <w:p w14:paraId="08391479" w14:textId="77777777" w:rsidR="002C4040" w:rsidRPr="00855721" w:rsidRDefault="00000000">
            <w:pPr>
              <w:spacing w:after="0" w:line="240" w:lineRule="auto"/>
            </w:pPr>
            <w:r w:rsidRPr="00855721">
              <w:rPr>
                <w:rFonts w:eastAsia="Times New Roman"/>
                <w:sz w:val="16"/>
              </w:rPr>
              <w:t>Bookstaver et al. (2017); Moehring et al. (2023); Timbrook et al. (2026)</w:t>
            </w:r>
          </w:p>
        </w:tc>
      </w:tr>
      <w:tr w:rsidR="00855721" w:rsidRPr="00855721" w14:paraId="3F656608" w14:textId="77777777" w:rsidTr="00855721">
        <w:trPr>
          <w:cantSplit/>
          <w:jc w:val="center"/>
        </w:trPr>
        <w:tc>
          <w:tcPr>
            <w:tcW w:w="1656" w:type="dxa"/>
            <w:tcMar>
              <w:top w:w="85" w:type="dxa"/>
              <w:left w:w="85" w:type="dxa"/>
              <w:bottom w:w="85" w:type="dxa"/>
              <w:right w:w="85" w:type="dxa"/>
            </w:tcMar>
            <w:vAlign w:val="center"/>
          </w:tcPr>
          <w:p w14:paraId="0C7DF4C5" w14:textId="77777777" w:rsidR="002C4040" w:rsidRPr="00855721" w:rsidRDefault="00000000">
            <w:pPr>
              <w:spacing w:after="0" w:line="240" w:lineRule="auto"/>
            </w:pPr>
            <w:r w:rsidRPr="00855721">
              <w:rPr>
                <w:rFonts w:eastAsia="Times New Roman"/>
                <w:sz w:val="16"/>
              </w:rPr>
              <w:t>Total antibiotic days</w:t>
            </w:r>
          </w:p>
        </w:tc>
        <w:tc>
          <w:tcPr>
            <w:tcW w:w="2592" w:type="dxa"/>
            <w:tcMar>
              <w:top w:w="85" w:type="dxa"/>
              <w:left w:w="85" w:type="dxa"/>
              <w:bottom w:w="85" w:type="dxa"/>
              <w:right w:w="85" w:type="dxa"/>
            </w:tcMar>
            <w:vAlign w:val="center"/>
          </w:tcPr>
          <w:p w14:paraId="5723D3FA" w14:textId="77777777" w:rsidR="002C4040" w:rsidRPr="00855721" w:rsidRDefault="00000000">
            <w:pPr>
              <w:spacing w:after="0" w:line="240" w:lineRule="auto"/>
            </w:pPr>
            <w:r w:rsidRPr="00855721">
              <w:rPr>
                <w:rFonts w:eastAsia="Times New Roman"/>
                <w:sz w:val="16"/>
              </w:rPr>
              <w:t>May decrease, remain unchanged or even increase despite spectrum narrowing.</w:t>
            </w:r>
          </w:p>
        </w:tc>
        <w:tc>
          <w:tcPr>
            <w:tcW w:w="1512" w:type="dxa"/>
            <w:tcMar>
              <w:top w:w="85" w:type="dxa"/>
              <w:left w:w="85" w:type="dxa"/>
              <w:bottom w:w="85" w:type="dxa"/>
              <w:right w:w="85" w:type="dxa"/>
            </w:tcMar>
            <w:vAlign w:val="center"/>
          </w:tcPr>
          <w:p w14:paraId="1487F052" w14:textId="77777777" w:rsidR="002C4040" w:rsidRPr="00855721" w:rsidRDefault="00000000">
            <w:pPr>
              <w:spacing w:after="0" w:line="240" w:lineRule="auto"/>
            </w:pPr>
            <w:r w:rsidRPr="00855721">
              <w:rPr>
                <w:rFonts w:eastAsia="Times New Roman"/>
                <w:sz w:val="16"/>
              </w:rPr>
              <w:t>Moderate that spectrum and duration are distinct</w:t>
            </w:r>
          </w:p>
        </w:tc>
        <w:tc>
          <w:tcPr>
            <w:tcW w:w="3024" w:type="dxa"/>
            <w:tcMar>
              <w:top w:w="85" w:type="dxa"/>
              <w:left w:w="85" w:type="dxa"/>
              <w:bottom w:w="85" w:type="dxa"/>
              <w:right w:w="85" w:type="dxa"/>
            </w:tcMar>
            <w:vAlign w:val="center"/>
          </w:tcPr>
          <w:p w14:paraId="3E1B2CBE" w14:textId="77777777" w:rsidR="002C4040" w:rsidRPr="00855721" w:rsidRDefault="00000000">
            <w:pPr>
              <w:spacing w:after="0" w:line="240" w:lineRule="auto"/>
            </w:pPr>
            <w:r w:rsidRPr="00855721">
              <w:rPr>
                <w:rFonts w:eastAsia="Times New Roman"/>
                <w:sz w:val="16"/>
              </w:rPr>
              <w:t>Sequential therapy can reduce spectrum while extending total exposure.</w:t>
            </w:r>
          </w:p>
        </w:tc>
        <w:tc>
          <w:tcPr>
            <w:tcW w:w="1152" w:type="dxa"/>
            <w:tcMar>
              <w:top w:w="85" w:type="dxa"/>
              <w:left w:w="85" w:type="dxa"/>
              <w:bottom w:w="85" w:type="dxa"/>
              <w:right w:w="85" w:type="dxa"/>
            </w:tcMar>
            <w:vAlign w:val="center"/>
          </w:tcPr>
          <w:p w14:paraId="33903C48" w14:textId="77777777" w:rsidR="002C4040" w:rsidRPr="00855721" w:rsidRDefault="00000000">
            <w:pPr>
              <w:spacing w:after="0" w:line="240" w:lineRule="auto"/>
            </w:pPr>
            <w:r w:rsidRPr="00855721">
              <w:rPr>
                <w:rFonts w:eastAsia="Times New Roman"/>
                <w:sz w:val="16"/>
              </w:rPr>
              <w:t>Gupta et al. (2026); Leone et al. (2014)</w:t>
            </w:r>
          </w:p>
        </w:tc>
      </w:tr>
      <w:tr w:rsidR="00855721" w:rsidRPr="00855721" w14:paraId="396D539B" w14:textId="77777777" w:rsidTr="00855721">
        <w:trPr>
          <w:cantSplit/>
          <w:jc w:val="center"/>
        </w:trPr>
        <w:tc>
          <w:tcPr>
            <w:tcW w:w="1656" w:type="dxa"/>
            <w:tcMar>
              <w:top w:w="85" w:type="dxa"/>
              <w:left w:w="85" w:type="dxa"/>
              <w:bottom w:w="85" w:type="dxa"/>
              <w:right w:w="85" w:type="dxa"/>
            </w:tcMar>
            <w:vAlign w:val="center"/>
          </w:tcPr>
          <w:p w14:paraId="30080C83" w14:textId="77777777" w:rsidR="002C4040" w:rsidRPr="00855721" w:rsidRDefault="00000000">
            <w:pPr>
              <w:spacing w:after="0" w:line="240" w:lineRule="auto"/>
            </w:pPr>
            <w:r w:rsidRPr="00855721">
              <w:rPr>
                <w:rFonts w:eastAsia="Times New Roman"/>
                <w:sz w:val="16"/>
              </w:rPr>
              <w:t>Adverse drug events/AKI</w:t>
            </w:r>
          </w:p>
        </w:tc>
        <w:tc>
          <w:tcPr>
            <w:tcW w:w="2592" w:type="dxa"/>
            <w:tcMar>
              <w:top w:w="85" w:type="dxa"/>
              <w:left w:w="85" w:type="dxa"/>
              <w:bottom w:w="85" w:type="dxa"/>
              <w:right w:w="85" w:type="dxa"/>
            </w:tcMar>
            <w:vAlign w:val="center"/>
          </w:tcPr>
          <w:p w14:paraId="3FD4BBA1" w14:textId="77777777" w:rsidR="002C4040" w:rsidRPr="00855721" w:rsidRDefault="00000000">
            <w:pPr>
              <w:spacing w:after="0" w:line="240" w:lineRule="auto"/>
            </w:pPr>
            <w:r w:rsidRPr="00855721">
              <w:rPr>
                <w:rFonts w:eastAsia="Times New Roman"/>
                <w:sz w:val="16"/>
              </w:rPr>
              <w:t>Reduced exposure is plausibly beneficial; some large cohorts associate ADE with less AKI.</w:t>
            </w:r>
          </w:p>
        </w:tc>
        <w:tc>
          <w:tcPr>
            <w:tcW w:w="1512" w:type="dxa"/>
            <w:tcMar>
              <w:top w:w="85" w:type="dxa"/>
              <w:left w:w="85" w:type="dxa"/>
              <w:bottom w:w="85" w:type="dxa"/>
              <w:right w:w="85" w:type="dxa"/>
            </w:tcMar>
            <w:vAlign w:val="center"/>
          </w:tcPr>
          <w:p w14:paraId="5F2EF89C" w14:textId="77777777" w:rsidR="002C4040" w:rsidRPr="00855721" w:rsidRDefault="00000000">
            <w:pPr>
              <w:spacing w:after="0" w:line="240" w:lineRule="auto"/>
            </w:pPr>
            <w:r w:rsidRPr="00855721">
              <w:rPr>
                <w:rFonts w:eastAsia="Times New Roman"/>
                <w:sz w:val="16"/>
              </w:rPr>
              <w:t>Low-to-moderate for direct ADE effect</w:t>
            </w:r>
          </w:p>
        </w:tc>
        <w:tc>
          <w:tcPr>
            <w:tcW w:w="3024" w:type="dxa"/>
            <w:tcMar>
              <w:top w:w="85" w:type="dxa"/>
              <w:left w:w="85" w:type="dxa"/>
              <w:bottom w:w="85" w:type="dxa"/>
              <w:right w:w="85" w:type="dxa"/>
            </w:tcMar>
            <w:vAlign w:val="center"/>
          </w:tcPr>
          <w:p w14:paraId="280472CF" w14:textId="77777777" w:rsidR="002C4040" w:rsidRPr="00855721" w:rsidRDefault="00000000">
            <w:pPr>
              <w:spacing w:after="0" w:line="240" w:lineRule="auto"/>
            </w:pPr>
            <w:r w:rsidRPr="00855721">
              <w:rPr>
                <w:rFonts w:eastAsia="Times New Roman"/>
                <w:sz w:val="16"/>
              </w:rPr>
              <w:t>General toxicity evidence is strong, but patient selection can explain part of ADE-outcome associations.</w:t>
            </w:r>
          </w:p>
        </w:tc>
        <w:tc>
          <w:tcPr>
            <w:tcW w:w="1152" w:type="dxa"/>
            <w:tcMar>
              <w:top w:w="85" w:type="dxa"/>
              <w:left w:w="85" w:type="dxa"/>
              <w:bottom w:w="85" w:type="dxa"/>
              <w:right w:w="85" w:type="dxa"/>
            </w:tcMar>
            <w:vAlign w:val="center"/>
          </w:tcPr>
          <w:p w14:paraId="4DB52586" w14:textId="77777777" w:rsidR="002C4040" w:rsidRPr="00855721" w:rsidRDefault="00000000">
            <w:pPr>
              <w:spacing w:after="0" w:line="240" w:lineRule="auto"/>
            </w:pPr>
            <w:r w:rsidRPr="00855721">
              <w:rPr>
                <w:rFonts w:eastAsia="Times New Roman"/>
                <w:sz w:val="16"/>
              </w:rPr>
              <w:t>Kam et al. (2025); Tamma et al. (2017)</w:t>
            </w:r>
          </w:p>
        </w:tc>
      </w:tr>
      <w:tr w:rsidR="00855721" w:rsidRPr="00855721" w14:paraId="4F5313AD" w14:textId="77777777" w:rsidTr="00855721">
        <w:trPr>
          <w:cantSplit/>
          <w:jc w:val="center"/>
        </w:trPr>
        <w:tc>
          <w:tcPr>
            <w:tcW w:w="1656" w:type="dxa"/>
            <w:tcMar>
              <w:top w:w="85" w:type="dxa"/>
              <w:left w:w="85" w:type="dxa"/>
              <w:bottom w:w="85" w:type="dxa"/>
              <w:right w:w="85" w:type="dxa"/>
            </w:tcMar>
            <w:vAlign w:val="center"/>
          </w:tcPr>
          <w:p w14:paraId="322D378D" w14:textId="77777777" w:rsidR="002C4040" w:rsidRPr="00855721" w:rsidRDefault="00000000">
            <w:pPr>
              <w:spacing w:after="0" w:line="240" w:lineRule="auto"/>
            </w:pPr>
            <w:r w:rsidRPr="00855721">
              <w:rPr>
                <w:rFonts w:eastAsia="Times New Roman"/>
                <w:sz w:val="16"/>
              </w:rPr>
              <w:t>Clostridioides difficile infection</w:t>
            </w:r>
          </w:p>
        </w:tc>
        <w:tc>
          <w:tcPr>
            <w:tcW w:w="2592" w:type="dxa"/>
            <w:tcMar>
              <w:top w:w="85" w:type="dxa"/>
              <w:left w:w="85" w:type="dxa"/>
              <w:bottom w:w="85" w:type="dxa"/>
              <w:right w:w="85" w:type="dxa"/>
            </w:tcMar>
            <w:vAlign w:val="center"/>
          </w:tcPr>
          <w:p w14:paraId="0BB8F8B0" w14:textId="77777777" w:rsidR="002C4040" w:rsidRPr="00855721" w:rsidRDefault="00000000">
            <w:pPr>
              <w:spacing w:after="0" w:line="240" w:lineRule="auto"/>
            </w:pPr>
            <w:r w:rsidRPr="00855721">
              <w:rPr>
                <w:rFonts w:eastAsia="Times New Roman"/>
                <w:sz w:val="16"/>
              </w:rPr>
              <w:t>Potentially reduced by avoiding unnecessary exposure; direct ADE-specific evidence is limited.</w:t>
            </w:r>
          </w:p>
        </w:tc>
        <w:tc>
          <w:tcPr>
            <w:tcW w:w="1512" w:type="dxa"/>
            <w:tcMar>
              <w:top w:w="85" w:type="dxa"/>
              <w:left w:w="85" w:type="dxa"/>
              <w:bottom w:w="85" w:type="dxa"/>
              <w:right w:w="85" w:type="dxa"/>
            </w:tcMar>
            <w:vAlign w:val="center"/>
          </w:tcPr>
          <w:p w14:paraId="522930F5" w14:textId="77777777" w:rsidR="002C4040" w:rsidRPr="00855721" w:rsidRDefault="00000000">
            <w:pPr>
              <w:spacing w:after="0" w:line="240" w:lineRule="auto"/>
            </w:pPr>
            <w:r w:rsidRPr="00855721">
              <w:rPr>
                <w:rFonts w:eastAsia="Times New Roman"/>
                <w:sz w:val="16"/>
              </w:rPr>
              <w:t>Low</w:t>
            </w:r>
          </w:p>
        </w:tc>
        <w:tc>
          <w:tcPr>
            <w:tcW w:w="3024" w:type="dxa"/>
            <w:tcMar>
              <w:top w:w="85" w:type="dxa"/>
              <w:left w:w="85" w:type="dxa"/>
              <w:bottom w:w="85" w:type="dxa"/>
              <w:right w:w="85" w:type="dxa"/>
            </w:tcMar>
            <w:vAlign w:val="center"/>
          </w:tcPr>
          <w:p w14:paraId="1148099D" w14:textId="77777777" w:rsidR="002C4040" w:rsidRPr="00855721" w:rsidRDefault="00000000">
            <w:pPr>
              <w:spacing w:after="0" w:line="240" w:lineRule="auto"/>
            </w:pPr>
            <w:r w:rsidRPr="00855721">
              <w:rPr>
                <w:rFonts w:eastAsia="Times New Roman"/>
                <w:sz w:val="16"/>
              </w:rPr>
              <w:t>Usually uncommon and measured inconsistently; broader-spectrum therapy and duration are intertwined.</w:t>
            </w:r>
          </w:p>
        </w:tc>
        <w:tc>
          <w:tcPr>
            <w:tcW w:w="1152" w:type="dxa"/>
            <w:tcMar>
              <w:top w:w="85" w:type="dxa"/>
              <w:left w:w="85" w:type="dxa"/>
              <w:bottom w:w="85" w:type="dxa"/>
              <w:right w:w="85" w:type="dxa"/>
            </w:tcMar>
            <w:vAlign w:val="center"/>
          </w:tcPr>
          <w:p w14:paraId="13A58103" w14:textId="77777777" w:rsidR="002C4040" w:rsidRPr="00855721" w:rsidRDefault="00000000">
            <w:pPr>
              <w:spacing w:after="0" w:line="240" w:lineRule="auto"/>
            </w:pPr>
            <w:r w:rsidRPr="00855721">
              <w:rPr>
                <w:rFonts w:eastAsia="Times New Roman"/>
                <w:sz w:val="16"/>
              </w:rPr>
              <w:t>Rhee et al. (2020); Tamma et al. (2017)</w:t>
            </w:r>
          </w:p>
        </w:tc>
      </w:tr>
      <w:tr w:rsidR="00855721" w:rsidRPr="00855721" w14:paraId="26090AEA" w14:textId="77777777" w:rsidTr="00855721">
        <w:trPr>
          <w:cantSplit/>
          <w:jc w:val="center"/>
        </w:trPr>
        <w:tc>
          <w:tcPr>
            <w:tcW w:w="1656" w:type="dxa"/>
            <w:tcMar>
              <w:top w:w="85" w:type="dxa"/>
              <w:left w:w="85" w:type="dxa"/>
              <w:bottom w:w="85" w:type="dxa"/>
              <w:right w:w="85" w:type="dxa"/>
            </w:tcMar>
            <w:vAlign w:val="center"/>
          </w:tcPr>
          <w:p w14:paraId="4126A78B" w14:textId="77777777" w:rsidR="002C4040" w:rsidRPr="00855721" w:rsidRDefault="00000000">
            <w:pPr>
              <w:spacing w:after="0" w:line="240" w:lineRule="auto"/>
            </w:pPr>
            <w:r w:rsidRPr="00855721">
              <w:rPr>
                <w:rFonts w:eastAsia="Times New Roman"/>
                <w:sz w:val="16"/>
              </w:rPr>
              <w:t>Emergence/acquisition of resistance</w:t>
            </w:r>
          </w:p>
        </w:tc>
        <w:tc>
          <w:tcPr>
            <w:tcW w:w="2592" w:type="dxa"/>
            <w:tcMar>
              <w:top w:w="85" w:type="dxa"/>
              <w:left w:w="85" w:type="dxa"/>
              <w:bottom w:w="85" w:type="dxa"/>
              <w:right w:w="85" w:type="dxa"/>
            </w:tcMar>
            <w:vAlign w:val="center"/>
          </w:tcPr>
          <w:p w14:paraId="02F65538" w14:textId="77777777" w:rsidR="002C4040" w:rsidRPr="00855721" w:rsidRDefault="00000000">
            <w:pPr>
              <w:spacing w:after="0" w:line="240" w:lineRule="auto"/>
            </w:pPr>
            <w:r w:rsidRPr="00855721">
              <w:rPr>
                <w:rFonts w:eastAsia="Times New Roman"/>
                <w:sz w:val="16"/>
              </w:rPr>
              <w:t>No consistent proof that the act of ADE independently reduces resistance.</w:t>
            </w:r>
          </w:p>
        </w:tc>
        <w:tc>
          <w:tcPr>
            <w:tcW w:w="1512" w:type="dxa"/>
            <w:tcMar>
              <w:top w:w="85" w:type="dxa"/>
              <w:left w:w="85" w:type="dxa"/>
              <w:bottom w:w="85" w:type="dxa"/>
              <w:right w:w="85" w:type="dxa"/>
            </w:tcMar>
            <w:vAlign w:val="center"/>
          </w:tcPr>
          <w:p w14:paraId="3F2FF107" w14:textId="77777777" w:rsidR="002C4040" w:rsidRPr="00855721" w:rsidRDefault="00000000">
            <w:pPr>
              <w:spacing w:after="0" w:line="240" w:lineRule="auto"/>
            </w:pPr>
            <w:r w:rsidRPr="00855721">
              <w:rPr>
                <w:rFonts w:eastAsia="Times New Roman"/>
                <w:sz w:val="16"/>
              </w:rPr>
              <w:t>Low</w:t>
            </w:r>
          </w:p>
        </w:tc>
        <w:tc>
          <w:tcPr>
            <w:tcW w:w="3024" w:type="dxa"/>
            <w:tcMar>
              <w:top w:w="85" w:type="dxa"/>
              <w:left w:w="85" w:type="dxa"/>
              <w:bottom w:w="85" w:type="dxa"/>
              <w:right w:w="85" w:type="dxa"/>
            </w:tcMar>
            <w:vAlign w:val="center"/>
          </w:tcPr>
          <w:p w14:paraId="2D3E6F6A" w14:textId="77777777" w:rsidR="002C4040" w:rsidRPr="00855721" w:rsidRDefault="00000000">
            <w:pPr>
              <w:spacing w:after="0" w:line="240" w:lineRule="auto"/>
            </w:pPr>
            <w:r w:rsidRPr="00855721">
              <w:rPr>
                <w:rFonts w:eastAsia="Times New Roman"/>
                <w:sz w:val="16"/>
              </w:rPr>
              <w:t>Few studies were designed for resistance outcomes; replacement drugs impose their own selection pressure.</w:t>
            </w:r>
          </w:p>
        </w:tc>
        <w:tc>
          <w:tcPr>
            <w:tcW w:w="1152" w:type="dxa"/>
            <w:tcMar>
              <w:top w:w="85" w:type="dxa"/>
              <w:left w:w="85" w:type="dxa"/>
              <w:bottom w:w="85" w:type="dxa"/>
              <w:right w:w="85" w:type="dxa"/>
            </w:tcMar>
            <w:vAlign w:val="center"/>
          </w:tcPr>
          <w:p w14:paraId="4F450621" w14:textId="77777777" w:rsidR="002C4040" w:rsidRPr="00855721" w:rsidRDefault="00000000">
            <w:pPr>
              <w:spacing w:after="0" w:line="240" w:lineRule="auto"/>
            </w:pPr>
            <w:r w:rsidRPr="00855721">
              <w:rPr>
                <w:rFonts w:eastAsia="Times New Roman"/>
                <w:sz w:val="16"/>
              </w:rPr>
              <w:t>De Bus et al. (2016); Hughes et al. (2017); Teshome et al. (2019)</w:t>
            </w:r>
          </w:p>
        </w:tc>
      </w:tr>
      <w:tr w:rsidR="00855721" w:rsidRPr="00855721" w14:paraId="074ED12B" w14:textId="77777777" w:rsidTr="00855721">
        <w:trPr>
          <w:cantSplit/>
          <w:jc w:val="center"/>
        </w:trPr>
        <w:tc>
          <w:tcPr>
            <w:tcW w:w="1656" w:type="dxa"/>
            <w:tcMar>
              <w:top w:w="85" w:type="dxa"/>
              <w:left w:w="85" w:type="dxa"/>
              <w:bottom w:w="85" w:type="dxa"/>
              <w:right w:w="85" w:type="dxa"/>
            </w:tcMar>
            <w:vAlign w:val="center"/>
          </w:tcPr>
          <w:p w14:paraId="43F46E34" w14:textId="77777777" w:rsidR="002C4040" w:rsidRPr="00855721" w:rsidRDefault="00000000">
            <w:pPr>
              <w:spacing w:after="0" w:line="240" w:lineRule="auto"/>
            </w:pPr>
            <w:r w:rsidRPr="00855721">
              <w:rPr>
                <w:rFonts w:eastAsia="Times New Roman"/>
                <w:sz w:val="16"/>
              </w:rPr>
              <w:lastRenderedPageBreak/>
              <w:t>Microbiome/</w:t>
            </w:r>
            <w:proofErr w:type="spellStart"/>
            <w:r w:rsidRPr="00855721">
              <w:rPr>
                <w:rFonts w:eastAsia="Times New Roman"/>
                <w:sz w:val="16"/>
              </w:rPr>
              <w:t>resistome</w:t>
            </w:r>
            <w:proofErr w:type="spellEnd"/>
            <w:r w:rsidRPr="00855721">
              <w:rPr>
                <w:rFonts w:eastAsia="Times New Roman"/>
                <w:sz w:val="16"/>
              </w:rPr>
              <w:t xml:space="preserve"> disruption</w:t>
            </w:r>
          </w:p>
        </w:tc>
        <w:tc>
          <w:tcPr>
            <w:tcW w:w="2592" w:type="dxa"/>
            <w:tcMar>
              <w:top w:w="85" w:type="dxa"/>
              <w:left w:w="85" w:type="dxa"/>
              <w:bottom w:w="85" w:type="dxa"/>
              <w:right w:w="85" w:type="dxa"/>
            </w:tcMar>
            <w:vAlign w:val="center"/>
          </w:tcPr>
          <w:p w14:paraId="13348767" w14:textId="77777777" w:rsidR="002C4040" w:rsidRPr="00855721" w:rsidRDefault="00000000">
            <w:pPr>
              <w:spacing w:after="0" w:line="240" w:lineRule="auto"/>
            </w:pPr>
            <w:r w:rsidRPr="00855721">
              <w:rPr>
                <w:rFonts w:eastAsia="Times New Roman"/>
                <w:sz w:val="16"/>
              </w:rPr>
              <w:t>Mechanistically relevant but rarely measured directly in ADE studies.</w:t>
            </w:r>
          </w:p>
        </w:tc>
        <w:tc>
          <w:tcPr>
            <w:tcW w:w="1512" w:type="dxa"/>
            <w:tcMar>
              <w:top w:w="85" w:type="dxa"/>
              <w:left w:w="85" w:type="dxa"/>
              <w:bottom w:w="85" w:type="dxa"/>
              <w:right w:w="85" w:type="dxa"/>
            </w:tcMar>
            <w:vAlign w:val="center"/>
          </w:tcPr>
          <w:p w14:paraId="613B2AF8" w14:textId="77777777" w:rsidR="002C4040" w:rsidRPr="00855721" w:rsidRDefault="00000000">
            <w:pPr>
              <w:spacing w:after="0" w:line="240" w:lineRule="auto"/>
            </w:pPr>
            <w:r w:rsidRPr="00855721">
              <w:rPr>
                <w:rFonts w:eastAsia="Times New Roman"/>
                <w:sz w:val="16"/>
              </w:rPr>
              <w:t>Very low</w:t>
            </w:r>
          </w:p>
        </w:tc>
        <w:tc>
          <w:tcPr>
            <w:tcW w:w="3024" w:type="dxa"/>
            <w:tcMar>
              <w:top w:w="85" w:type="dxa"/>
              <w:left w:w="85" w:type="dxa"/>
              <w:bottom w:w="85" w:type="dxa"/>
              <w:right w:w="85" w:type="dxa"/>
            </w:tcMar>
            <w:vAlign w:val="center"/>
          </w:tcPr>
          <w:p w14:paraId="35EC60E8" w14:textId="77777777" w:rsidR="002C4040" w:rsidRPr="00855721" w:rsidRDefault="00000000">
            <w:pPr>
              <w:spacing w:after="0" w:line="240" w:lineRule="auto"/>
            </w:pPr>
            <w:r w:rsidRPr="00855721">
              <w:rPr>
                <w:rFonts w:eastAsia="Times New Roman"/>
                <w:sz w:val="16"/>
              </w:rPr>
              <w:t>Sparse longitudinal patient-level data and heterogeneous methods.</w:t>
            </w:r>
          </w:p>
        </w:tc>
        <w:tc>
          <w:tcPr>
            <w:tcW w:w="1152" w:type="dxa"/>
            <w:tcMar>
              <w:top w:w="85" w:type="dxa"/>
              <w:left w:w="85" w:type="dxa"/>
              <w:bottom w:w="85" w:type="dxa"/>
              <w:right w:w="85" w:type="dxa"/>
            </w:tcMar>
            <w:vAlign w:val="center"/>
          </w:tcPr>
          <w:p w14:paraId="484E84F0" w14:textId="77777777" w:rsidR="002C4040" w:rsidRPr="00855721" w:rsidRDefault="00000000">
            <w:pPr>
              <w:spacing w:after="0" w:line="240" w:lineRule="auto"/>
            </w:pPr>
            <w:r w:rsidRPr="00855721">
              <w:rPr>
                <w:rFonts w:eastAsia="Times New Roman"/>
                <w:sz w:val="16"/>
              </w:rPr>
              <w:t>Hughes et al. (2017); Tanzarella et al. (2024)</w:t>
            </w:r>
          </w:p>
        </w:tc>
      </w:tr>
      <w:tr w:rsidR="00855721" w:rsidRPr="00855721" w14:paraId="39AADF28" w14:textId="77777777" w:rsidTr="00855721">
        <w:trPr>
          <w:cantSplit/>
          <w:jc w:val="center"/>
        </w:trPr>
        <w:tc>
          <w:tcPr>
            <w:tcW w:w="1656" w:type="dxa"/>
            <w:tcMar>
              <w:top w:w="85" w:type="dxa"/>
              <w:left w:w="85" w:type="dxa"/>
              <w:bottom w:w="85" w:type="dxa"/>
              <w:right w:w="85" w:type="dxa"/>
            </w:tcMar>
            <w:vAlign w:val="center"/>
          </w:tcPr>
          <w:p w14:paraId="75BB1A43" w14:textId="77777777" w:rsidR="002C4040" w:rsidRPr="00855721" w:rsidRDefault="00000000">
            <w:pPr>
              <w:spacing w:after="0" w:line="240" w:lineRule="auto"/>
            </w:pPr>
            <w:r w:rsidRPr="00855721">
              <w:rPr>
                <w:rFonts w:eastAsia="Times New Roman"/>
                <w:sz w:val="16"/>
              </w:rPr>
              <w:t>Hospital/ICU length of stay</w:t>
            </w:r>
          </w:p>
        </w:tc>
        <w:tc>
          <w:tcPr>
            <w:tcW w:w="2592" w:type="dxa"/>
            <w:tcMar>
              <w:top w:w="85" w:type="dxa"/>
              <w:left w:w="85" w:type="dxa"/>
              <w:bottom w:w="85" w:type="dxa"/>
              <w:right w:w="85" w:type="dxa"/>
            </w:tcMar>
            <w:vAlign w:val="center"/>
          </w:tcPr>
          <w:p w14:paraId="25EB6CA9" w14:textId="77777777" w:rsidR="002C4040" w:rsidRPr="00855721" w:rsidRDefault="00000000">
            <w:pPr>
              <w:spacing w:after="0" w:line="240" w:lineRule="auto"/>
            </w:pPr>
            <w:r w:rsidRPr="00855721">
              <w:rPr>
                <w:rFonts w:eastAsia="Times New Roman"/>
                <w:sz w:val="16"/>
              </w:rPr>
              <w:t>Some recent cohorts suggest shorter stay; randomised evidence does not establish a universal benefit.</w:t>
            </w:r>
          </w:p>
        </w:tc>
        <w:tc>
          <w:tcPr>
            <w:tcW w:w="1512" w:type="dxa"/>
            <w:tcMar>
              <w:top w:w="85" w:type="dxa"/>
              <w:left w:w="85" w:type="dxa"/>
              <w:bottom w:w="85" w:type="dxa"/>
              <w:right w:w="85" w:type="dxa"/>
            </w:tcMar>
            <w:vAlign w:val="center"/>
          </w:tcPr>
          <w:p w14:paraId="53B44DA9" w14:textId="77777777" w:rsidR="002C4040" w:rsidRPr="00855721" w:rsidRDefault="00000000">
            <w:pPr>
              <w:spacing w:after="0" w:line="240" w:lineRule="auto"/>
            </w:pPr>
            <w:r w:rsidRPr="00855721">
              <w:rPr>
                <w:rFonts w:eastAsia="Times New Roman"/>
                <w:sz w:val="16"/>
              </w:rPr>
              <w:t>Low-to-moderate</w:t>
            </w:r>
          </w:p>
        </w:tc>
        <w:tc>
          <w:tcPr>
            <w:tcW w:w="3024" w:type="dxa"/>
            <w:tcMar>
              <w:top w:w="85" w:type="dxa"/>
              <w:left w:w="85" w:type="dxa"/>
              <w:bottom w:w="85" w:type="dxa"/>
              <w:right w:w="85" w:type="dxa"/>
            </w:tcMar>
            <w:vAlign w:val="center"/>
          </w:tcPr>
          <w:p w14:paraId="4714240F" w14:textId="77777777" w:rsidR="002C4040" w:rsidRPr="00855721" w:rsidRDefault="00000000">
            <w:pPr>
              <w:spacing w:after="0" w:line="240" w:lineRule="auto"/>
            </w:pPr>
            <w:r w:rsidRPr="00855721">
              <w:rPr>
                <w:rFonts w:eastAsia="Times New Roman"/>
                <w:sz w:val="16"/>
              </w:rPr>
              <w:t>Susceptible to discharge-related and survivor biases and to non-antibiotic drivers of stay.</w:t>
            </w:r>
          </w:p>
        </w:tc>
        <w:tc>
          <w:tcPr>
            <w:tcW w:w="1152" w:type="dxa"/>
            <w:tcMar>
              <w:top w:w="85" w:type="dxa"/>
              <w:left w:w="85" w:type="dxa"/>
              <w:bottom w:w="85" w:type="dxa"/>
              <w:right w:w="85" w:type="dxa"/>
            </w:tcMar>
            <w:vAlign w:val="center"/>
          </w:tcPr>
          <w:p w14:paraId="6AB84138" w14:textId="77777777" w:rsidR="002C4040" w:rsidRPr="00855721" w:rsidRDefault="00000000">
            <w:pPr>
              <w:spacing w:after="0" w:line="240" w:lineRule="auto"/>
            </w:pPr>
            <w:r w:rsidRPr="00855721">
              <w:rPr>
                <w:rFonts w:eastAsia="Times New Roman"/>
                <w:sz w:val="16"/>
              </w:rPr>
              <w:t>Gupta et al. (2026); Leone et al. (2014)</w:t>
            </w:r>
          </w:p>
        </w:tc>
      </w:tr>
    </w:tbl>
    <w:p w14:paraId="6B3FC4E4" w14:textId="77777777" w:rsidR="002C4040" w:rsidRPr="00855721" w:rsidRDefault="00000000">
      <w:pPr>
        <w:pStyle w:val="TableNote"/>
      </w:pPr>
      <w:r w:rsidRPr="00855721">
        <w:rPr>
          <w:rFonts w:eastAsia="Times New Roman"/>
        </w:rPr>
        <w:t>Note. ADE = antimicrobial de-escalation; AKI = acute kidney injury; ICU = intensive care unit. Confidence labels are qualitative narrative judgements used for this review and are not formal GRADE ratings.</w:t>
      </w:r>
    </w:p>
    <w:p w14:paraId="087143FC" w14:textId="77777777" w:rsidR="002C4040" w:rsidRPr="00855721" w:rsidRDefault="00000000">
      <w:pPr>
        <w:pStyle w:val="Heading1"/>
        <w:rPr>
          <w:color w:val="auto"/>
        </w:rPr>
      </w:pPr>
      <w:r w:rsidRPr="00855721">
        <w:rPr>
          <w:rFonts w:ascii="Times New Roman" w:eastAsia="Times New Roman" w:hAnsi="Times New Roman"/>
          <w:color w:val="auto"/>
        </w:rPr>
        <w:t>6. Diagnostic and Decision Supports for De-escalation</w:t>
      </w:r>
    </w:p>
    <w:p w14:paraId="7C49D669" w14:textId="77777777" w:rsidR="002C4040" w:rsidRPr="00855721" w:rsidRDefault="00000000">
      <w:pPr>
        <w:pStyle w:val="Heading2"/>
        <w:rPr>
          <w:color w:val="auto"/>
        </w:rPr>
      </w:pPr>
      <w:r w:rsidRPr="00855721">
        <w:rPr>
          <w:rFonts w:ascii="Times New Roman" w:eastAsia="Times New Roman" w:hAnsi="Times New Roman"/>
          <w:color w:val="auto"/>
        </w:rPr>
        <w:t>6.1 Conventional Microbiology Still Defines the Core Decision</w:t>
      </w:r>
    </w:p>
    <w:p w14:paraId="37B37F5E" w14:textId="77777777" w:rsidR="002C4040" w:rsidRPr="00855721" w:rsidRDefault="00000000">
      <w:pPr>
        <w:jc w:val="both"/>
      </w:pPr>
      <w:r w:rsidRPr="00855721">
        <w:rPr>
          <w:rFonts w:eastAsia="Times New Roman"/>
        </w:rPr>
        <w:t>The most powerful de-escalation information remains basic: a credible pathogen, a valid susceptibility profile, and a clinical syndrome consistent with that result. Blood cultures can permit direct narrowing in bacteraemia; high-quality respiratory cultures may distinguish organisms requiring antipseudomonal or MRSA therapy from those susceptible to narrower agents. Yet negative cultures are less decisive. Their value depends on sampling quality, prior antibiotic exposure, site, organism biology and the pre-test probability that the illness is bacterial.</w:t>
      </w:r>
    </w:p>
    <w:p w14:paraId="7C2A117C" w14:textId="77777777" w:rsidR="002C4040" w:rsidRPr="00855721" w:rsidRDefault="00000000">
      <w:pPr>
        <w:jc w:val="both"/>
      </w:pPr>
      <w:r w:rsidRPr="00855721">
        <w:rPr>
          <w:rFonts w:eastAsia="Times New Roman"/>
        </w:rPr>
        <w:t>This means microbiology should not be read in isolation. A positive culture can represent colonisation or contamination; a negative culture can reflect inadequate sampling. The de-escalation decision should integrate source control, radiology, biomarkers, host factors and trajectory. Guidelines for sepsis and pneumonia reflect this approach by supporting repeated reassessment and narrowing when broader coverage is no longer indicated rather than specifying a universal laboratory trigger (Evans et al., 2021; Kalil et al., 2016; Metlay et al., 2019).</w:t>
      </w:r>
    </w:p>
    <w:p w14:paraId="74EDC82A" w14:textId="77777777" w:rsidR="002C4040" w:rsidRPr="00855721" w:rsidRDefault="00000000">
      <w:pPr>
        <w:pStyle w:val="Heading2"/>
        <w:rPr>
          <w:color w:val="auto"/>
        </w:rPr>
      </w:pPr>
      <w:r w:rsidRPr="00855721">
        <w:rPr>
          <w:rFonts w:ascii="Times New Roman" w:eastAsia="Times New Roman" w:hAnsi="Times New Roman"/>
          <w:color w:val="auto"/>
        </w:rPr>
        <w:t>6.2 Rapid Blood-Culture Diagnostics: Information Plus Stewardship</w:t>
      </w:r>
    </w:p>
    <w:p w14:paraId="6124F8DA" w14:textId="77777777" w:rsidR="002C4040" w:rsidRPr="00855721" w:rsidRDefault="00000000">
      <w:pPr>
        <w:jc w:val="both"/>
      </w:pPr>
      <w:r w:rsidRPr="00855721">
        <w:rPr>
          <w:rFonts w:eastAsia="Times New Roman"/>
        </w:rPr>
        <w:t>Rapid diagnostic technologies have two distinct potential effects: correcting inadequate empirical therapy earlier and enabling de-escalation earlier. The first is escalation, not ADE, but both arise from the same improvement in diagnostic timeliness. A stewardship programme should therefore be evaluated on appropriate modification rather than de-escalation rate alone.</w:t>
      </w:r>
    </w:p>
    <w:p w14:paraId="626BBE4D" w14:textId="77777777" w:rsidR="002C4040" w:rsidRPr="00855721" w:rsidRDefault="00000000">
      <w:pPr>
        <w:jc w:val="both"/>
      </w:pPr>
      <w:r w:rsidRPr="00855721">
        <w:rPr>
          <w:rFonts w:eastAsia="Times New Roman"/>
        </w:rPr>
        <w:t>The randomised trial by Banerjee et al. (2015) demonstrated that multiplex PCR reduced time to organism identification from positive blood cultures dramatically. The arm combining rapid results with real-time stewardship feedback produced the most clinically useful changes, including earlier de-escalation and more appropriate antibiotic adjustments. The result shows why a laboratory intervention cannot be separated from the communication system in which it operates.</w:t>
      </w:r>
    </w:p>
    <w:p w14:paraId="5A707A85" w14:textId="77777777" w:rsidR="002C4040" w:rsidRPr="00855721" w:rsidRDefault="00000000">
      <w:pPr>
        <w:jc w:val="both"/>
      </w:pPr>
      <w:r w:rsidRPr="00855721">
        <w:rPr>
          <w:rFonts w:eastAsia="Times New Roman"/>
        </w:rPr>
        <w:t>RAPIDS-GN extended this principle to rapid phenotypic susceptibility testing for Gram-negative bacteraemia. Rapid testing reduced time to identification and susceptibility results and shortened time to antibiotic modification, yet major clinical outcomes were similar (Banerjee et al., 2021). This is not evidence of diagnostic failure. It indicates that the most proximal and statistically sensitive endpoint was time to an appropriate prescribing change, while the trial was not designed to make mortality contingent on a modest temporal difference in already-treated patients.</w:t>
      </w:r>
    </w:p>
    <w:p w14:paraId="28192565" w14:textId="77777777" w:rsidR="002C4040" w:rsidRPr="00855721" w:rsidRDefault="00000000">
      <w:pPr>
        <w:jc w:val="both"/>
      </w:pPr>
      <w:r w:rsidRPr="00855721">
        <w:rPr>
          <w:rFonts w:eastAsia="Times New Roman"/>
        </w:rPr>
        <w:t xml:space="preserve">Quasi-experimental evidence from Bookstaver et al. (2017) is consistent with the trial data. Introducing rapid diagnostics within an active stewardship bundle shortened median time to de-escalation from </w:t>
      </w:r>
      <w:r w:rsidRPr="00855721">
        <w:rPr>
          <w:rFonts w:eastAsia="Times New Roman"/>
        </w:rPr>
        <w:lastRenderedPageBreak/>
        <w:t>combination therapy and broad Gram-negative agents. Because the intervention combined technology, guidelines and prospective review, causal attribution to the assay alone is impossible. For implementation, that limitation is almost the point: the effective unit is often a diagnostic-stewardship pathway rather than a test.</w:t>
      </w:r>
    </w:p>
    <w:p w14:paraId="67BC6ECD" w14:textId="77777777" w:rsidR="002C4040" w:rsidRPr="00855721" w:rsidRDefault="00000000">
      <w:pPr>
        <w:pStyle w:val="Heading2"/>
        <w:rPr>
          <w:color w:val="auto"/>
        </w:rPr>
      </w:pPr>
      <w:r w:rsidRPr="00855721">
        <w:rPr>
          <w:rFonts w:ascii="Times New Roman" w:eastAsia="Times New Roman" w:hAnsi="Times New Roman"/>
          <w:color w:val="auto"/>
        </w:rPr>
        <w:t>6.3 MRSA Nasal Screening: High Negative Predictive Value, Context-Dependent Action</w:t>
      </w:r>
    </w:p>
    <w:p w14:paraId="42F3A9E1" w14:textId="77777777" w:rsidR="002C4040" w:rsidRPr="00855721" w:rsidRDefault="00000000">
      <w:pPr>
        <w:jc w:val="both"/>
      </w:pPr>
      <w:r w:rsidRPr="00855721">
        <w:rPr>
          <w:rFonts w:eastAsia="Times New Roman"/>
        </w:rPr>
        <w:t>MRSA nasal PCR exemplifies a diagnostic primarily useful for ruling out a specific need for coverage. Parente et al. (2018) found high negative predictive value for MRSA pneumonia, particularly in community-acquired or healthcare-associated pneumonia, although performance was weaker in ventilator-associated pneumonia. Negative predictive value changes with prevalence, so a value reported in one population cannot be transplanted uncritically to a setting with markedly different MRSA epidemiology.</w:t>
      </w:r>
    </w:p>
    <w:p w14:paraId="18C8FCCD" w14:textId="77777777" w:rsidR="002C4040" w:rsidRPr="00855721" w:rsidRDefault="00000000">
      <w:pPr>
        <w:jc w:val="both"/>
      </w:pPr>
      <w:r w:rsidRPr="00855721">
        <w:rPr>
          <w:rFonts w:eastAsia="Times New Roman"/>
        </w:rPr>
        <w:t>Implementation evidence increasingly suggests that testing works best when someone owns the result. Timbrook et al. (2026) synthesised 15 studies of lower respiratory tract infection and found that pharmacist-driven PCR protocols produced the clearest reduction in MRSA-directed therapy compared with no testing or less structured use. Small real-world studies similarly show increased swab ordering or earlier anti-MRSA discontinuation when pharmacists are empowered to order tests and recommend action (Doan &amp; Smoke, 2024).</w:t>
      </w:r>
    </w:p>
    <w:p w14:paraId="7196F2B3" w14:textId="77777777" w:rsidR="002C4040" w:rsidRPr="00855721" w:rsidRDefault="00000000">
      <w:pPr>
        <w:jc w:val="both"/>
      </w:pPr>
      <w:r w:rsidRPr="00855721">
        <w:rPr>
          <w:rFonts w:eastAsia="Times New Roman"/>
        </w:rPr>
        <w:t>STOP-Vanc provides the most rigorous recent counterexample. The test's negative predictive value was excellent, but adding MRSA nasal PCR to usual care did not significantly increase vancomycin-free hours alive in the prespecified primary analysis (Freiberg et al., 2026). The implication is not that MRSA nasal PCR lacks diagnostic utility. It is that a negative result does not de-prescribe vancomycin by itself. Prescribers may distrust the test, remain concerned about severity, delay reviewing results, or have competing reasons to continue therapy. Diagnostic implementation must therefore measure whether the information was seen, trusted and acted upon.</w:t>
      </w:r>
    </w:p>
    <w:p w14:paraId="46E9C000" w14:textId="77777777" w:rsidR="002C4040" w:rsidRPr="00855721" w:rsidRDefault="00000000">
      <w:pPr>
        <w:pStyle w:val="Heading2"/>
        <w:rPr>
          <w:color w:val="auto"/>
        </w:rPr>
      </w:pPr>
      <w:r w:rsidRPr="00855721">
        <w:rPr>
          <w:rFonts w:ascii="Times New Roman" w:eastAsia="Times New Roman" w:hAnsi="Times New Roman"/>
          <w:color w:val="auto"/>
        </w:rPr>
        <w:t>6.4 Biomarkers: More Evidence for Stopping Than for Narrowing</w:t>
      </w:r>
    </w:p>
    <w:p w14:paraId="1077AD53" w14:textId="77777777" w:rsidR="002C4040" w:rsidRPr="00855721" w:rsidRDefault="00000000">
      <w:pPr>
        <w:jc w:val="both"/>
      </w:pPr>
      <w:r w:rsidRPr="00855721">
        <w:rPr>
          <w:rFonts w:eastAsia="Times New Roman"/>
        </w:rPr>
        <w:t>Procalcitonin and C-reactive protein are frequently discussed alongside de-escalation, but their strongest evidence concerns duration or discontinuation rather than selection of a narrower active agent. A biomarker can support the judgement that ongoing bacterial treatment is unnecessary, but it generally cannot identify which narrower drug is microbiologically appropriate.</w:t>
      </w:r>
    </w:p>
    <w:p w14:paraId="5A40FD27" w14:textId="77777777" w:rsidR="002C4040" w:rsidRPr="00855721" w:rsidRDefault="00000000">
      <w:pPr>
        <w:jc w:val="both"/>
      </w:pPr>
      <w:r w:rsidRPr="00855721">
        <w:rPr>
          <w:rFonts w:eastAsia="Times New Roman"/>
        </w:rPr>
        <w:t>A 2024 network meta-analysis of critically ill adults with sepsis found that procalcitonin-guided discontinuation strategies could reduce antibiotic exposure without a clear increase in recurrence, although certainty varied and protocols were heterogeneous (Kubo et al., 2024). This evidence supports biomarker-informed cessation as one component of stewardship, particularly when the clinical trajectory is favourable and microbiology is unrevealing. It should not be used to justify narrowing to an agent that does not adequately cover a documented pathogen.</w:t>
      </w:r>
    </w:p>
    <w:p w14:paraId="0A3C9D42" w14:textId="77777777" w:rsidR="002C4040" w:rsidRPr="00855721" w:rsidRDefault="00000000">
      <w:pPr>
        <w:pStyle w:val="Heading2"/>
        <w:rPr>
          <w:color w:val="auto"/>
        </w:rPr>
      </w:pPr>
      <w:r w:rsidRPr="00855721">
        <w:rPr>
          <w:rFonts w:ascii="Times New Roman" w:eastAsia="Times New Roman" w:hAnsi="Times New Roman"/>
          <w:color w:val="auto"/>
        </w:rPr>
        <w:t>6.5 Electronic Prompts, Antibiotic Time-outs and Opt-out Decisions</w:t>
      </w:r>
    </w:p>
    <w:p w14:paraId="5269A985" w14:textId="77777777" w:rsidR="002C4040" w:rsidRPr="00855721" w:rsidRDefault="00000000">
      <w:pPr>
        <w:jc w:val="both"/>
      </w:pPr>
      <w:r w:rsidRPr="00855721">
        <w:rPr>
          <w:rFonts w:eastAsia="Times New Roman"/>
        </w:rPr>
        <w:t>The success of electronic decision support depends less on the existence of an alert than on how it changes default behaviour. Established stewardship guidance supports prospective audit, feedback and structured reassessment as core programme functions, but a traditional antibiotic time-out can still be deferred or documented without meaningful change (Barlam et al., 2016). Opt-out strategies invert the default: continuation requires an affirmative rationale.</w:t>
      </w:r>
    </w:p>
    <w:p w14:paraId="3A99242A" w14:textId="77777777" w:rsidR="002C4040" w:rsidRPr="00855721" w:rsidRDefault="00000000">
      <w:pPr>
        <w:jc w:val="both"/>
      </w:pPr>
      <w:r w:rsidRPr="00855721">
        <w:rPr>
          <w:rFonts w:eastAsia="Times New Roman"/>
        </w:rPr>
        <w:lastRenderedPageBreak/>
        <w:t>Moehring et al. (2023) showed that a structured opt-out protocol for selected patients with suspected sepsis and negative blood cultures reduced antibiotic continuation without an observed safety penalty. The intervention did not eliminate clinician discretion; it made the decision explicit and elicited reasons for continuing. The finding is useful beyond the specific trial because it identifies a behavioural mechanism. De-escalation is more likely when a responsible clinician must actively justify ongoing broad therapy at a defined reassessment point.</w:t>
      </w:r>
    </w:p>
    <w:p w14:paraId="200D38B9" w14:textId="77777777" w:rsidR="002C4040" w:rsidRPr="00855721" w:rsidRDefault="00000000">
      <w:pPr>
        <w:jc w:val="both"/>
      </w:pPr>
      <w:r w:rsidRPr="00855721">
        <w:rPr>
          <w:rFonts w:eastAsia="Times New Roman"/>
        </w:rPr>
        <w:t>Electronic ADE definitions can also support measurement and feedback. Moehring et al. (2021) showed that reduction in antibiotic number or spectrum rank could be derived from hospital data with reasonable validity. Such measures enable benchmarking, but they should be used to identify variation and review practice rather than automatically reward the highest de-escalation rate. A hospital caring for more resistant infections can have a lower appropriate de-escalation rate than a hospital with less resistance.</w:t>
      </w:r>
    </w:p>
    <w:p w14:paraId="3645E667" w14:textId="77777777" w:rsidR="002C4040" w:rsidRPr="00855721" w:rsidRDefault="00000000">
      <w:pPr>
        <w:jc w:val="both"/>
      </w:pPr>
      <w:r w:rsidRPr="00855721">
        <w:rPr>
          <w:rFonts w:eastAsia="Times New Roman"/>
        </w:rPr>
        <w:t>Table 4 compares the main diagnostic and decision supports. The central pattern is that the clinical effect of a tool depends on the pathway between information generation and prescribing action. Tests with excellent analytic performance can fail to reduce exposure when ownership, trust or workflow is weak, whereas moderately faster information can have substantial impact when coupled to active stewardship.</w:t>
      </w:r>
    </w:p>
    <w:p w14:paraId="32A4C50D" w14:textId="77777777" w:rsidR="002C4040" w:rsidRPr="00855721" w:rsidRDefault="00000000">
      <w:pPr>
        <w:pStyle w:val="TableCaption"/>
      </w:pPr>
      <w:r w:rsidRPr="00855721">
        <w:rPr>
          <w:rFonts w:eastAsia="Times New Roman"/>
        </w:rPr>
        <w:t>Table 4. Diagnostic and stewardship supports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512"/>
        <w:gridCol w:w="1728"/>
        <w:gridCol w:w="2232"/>
        <w:gridCol w:w="1728"/>
        <w:gridCol w:w="1872"/>
        <w:gridCol w:w="864"/>
      </w:tblGrid>
      <w:tr w:rsidR="00855721" w:rsidRPr="00855721" w14:paraId="3CD09207" w14:textId="77777777" w:rsidTr="00855721">
        <w:trPr>
          <w:cantSplit/>
          <w:tblHeader/>
          <w:jc w:val="center"/>
        </w:trPr>
        <w:tc>
          <w:tcPr>
            <w:tcW w:w="1512" w:type="dxa"/>
            <w:tcMar>
              <w:top w:w="85" w:type="dxa"/>
              <w:left w:w="85" w:type="dxa"/>
              <w:bottom w:w="85" w:type="dxa"/>
              <w:right w:w="85" w:type="dxa"/>
            </w:tcMar>
            <w:vAlign w:val="center"/>
          </w:tcPr>
          <w:p w14:paraId="76285012" w14:textId="77777777" w:rsidR="002C4040" w:rsidRPr="00855721" w:rsidRDefault="00000000">
            <w:pPr>
              <w:spacing w:after="0" w:line="240" w:lineRule="auto"/>
              <w:jc w:val="center"/>
            </w:pPr>
            <w:r w:rsidRPr="00855721">
              <w:rPr>
                <w:rFonts w:eastAsia="Times New Roman"/>
                <w:b/>
                <w:sz w:val="16"/>
              </w:rPr>
              <w:t>Tool or intervention</w:t>
            </w:r>
          </w:p>
        </w:tc>
        <w:tc>
          <w:tcPr>
            <w:tcW w:w="1728" w:type="dxa"/>
            <w:tcMar>
              <w:top w:w="85" w:type="dxa"/>
              <w:left w:w="85" w:type="dxa"/>
              <w:bottom w:w="85" w:type="dxa"/>
              <w:right w:w="85" w:type="dxa"/>
            </w:tcMar>
            <w:vAlign w:val="center"/>
          </w:tcPr>
          <w:p w14:paraId="0394C644" w14:textId="77777777" w:rsidR="002C4040" w:rsidRPr="00855721" w:rsidRDefault="00000000">
            <w:pPr>
              <w:spacing w:after="0" w:line="240" w:lineRule="auto"/>
              <w:jc w:val="center"/>
            </w:pPr>
            <w:r w:rsidRPr="00855721">
              <w:rPr>
                <w:rFonts w:eastAsia="Times New Roman"/>
                <w:b/>
                <w:sz w:val="16"/>
              </w:rPr>
              <w:t>Actionable signal</w:t>
            </w:r>
          </w:p>
        </w:tc>
        <w:tc>
          <w:tcPr>
            <w:tcW w:w="2232" w:type="dxa"/>
            <w:tcMar>
              <w:top w:w="85" w:type="dxa"/>
              <w:left w:w="85" w:type="dxa"/>
              <w:bottom w:w="85" w:type="dxa"/>
              <w:right w:w="85" w:type="dxa"/>
            </w:tcMar>
            <w:vAlign w:val="center"/>
          </w:tcPr>
          <w:p w14:paraId="7D86DEC3" w14:textId="77777777" w:rsidR="002C4040" w:rsidRPr="00855721" w:rsidRDefault="00000000">
            <w:pPr>
              <w:spacing w:after="0" w:line="240" w:lineRule="auto"/>
              <w:jc w:val="center"/>
            </w:pPr>
            <w:r w:rsidRPr="00855721">
              <w:rPr>
                <w:rFonts w:eastAsia="Times New Roman"/>
                <w:b/>
                <w:sz w:val="16"/>
              </w:rPr>
              <w:t>Evidence of prescribing impact</w:t>
            </w:r>
          </w:p>
        </w:tc>
        <w:tc>
          <w:tcPr>
            <w:tcW w:w="1728" w:type="dxa"/>
            <w:tcMar>
              <w:top w:w="85" w:type="dxa"/>
              <w:left w:w="85" w:type="dxa"/>
              <w:bottom w:w="85" w:type="dxa"/>
              <w:right w:w="85" w:type="dxa"/>
            </w:tcMar>
            <w:vAlign w:val="center"/>
          </w:tcPr>
          <w:p w14:paraId="3A1CEAA8" w14:textId="77777777" w:rsidR="002C4040" w:rsidRPr="00855721" w:rsidRDefault="00000000">
            <w:pPr>
              <w:spacing w:after="0" w:line="240" w:lineRule="auto"/>
              <w:jc w:val="center"/>
            </w:pPr>
            <w:r w:rsidRPr="00855721">
              <w:rPr>
                <w:rFonts w:eastAsia="Times New Roman"/>
                <w:b/>
                <w:sz w:val="16"/>
              </w:rPr>
              <w:t>Operational requirement</w:t>
            </w:r>
          </w:p>
        </w:tc>
        <w:tc>
          <w:tcPr>
            <w:tcW w:w="1872" w:type="dxa"/>
            <w:tcMar>
              <w:top w:w="85" w:type="dxa"/>
              <w:left w:w="85" w:type="dxa"/>
              <w:bottom w:w="85" w:type="dxa"/>
              <w:right w:w="85" w:type="dxa"/>
            </w:tcMar>
            <w:vAlign w:val="center"/>
          </w:tcPr>
          <w:p w14:paraId="026306C7" w14:textId="77777777" w:rsidR="002C4040" w:rsidRPr="00855721" w:rsidRDefault="00000000">
            <w:pPr>
              <w:spacing w:after="0" w:line="240" w:lineRule="auto"/>
              <w:jc w:val="center"/>
            </w:pPr>
            <w:r w:rsidRPr="00855721">
              <w:rPr>
                <w:rFonts w:eastAsia="Times New Roman"/>
                <w:b/>
                <w:sz w:val="16"/>
              </w:rPr>
              <w:t>Principal failure mode</w:t>
            </w:r>
          </w:p>
        </w:tc>
        <w:tc>
          <w:tcPr>
            <w:tcW w:w="864" w:type="dxa"/>
            <w:tcMar>
              <w:top w:w="85" w:type="dxa"/>
              <w:left w:w="85" w:type="dxa"/>
              <w:bottom w:w="85" w:type="dxa"/>
              <w:right w:w="85" w:type="dxa"/>
            </w:tcMar>
            <w:vAlign w:val="center"/>
          </w:tcPr>
          <w:p w14:paraId="2C07A84E"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36B23D3" w14:textId="77777777" w:rsidTr="00855721">
        <w:trPr>
          <w:cantSplit/>
          <w:jc w:val="center"/>
        </w:trPr>
        <w:tc>
          <w:tcPr>
            <w:tcW w:w="1512" w:type="dxa"/>
            <w:tcMar>
              <w:top w:w="85" w:type="dxa"/>
              <w:left w:w="85" w:type="dxa"/>
              <w:bottom w:w="85" w:type="dxa"/>
              <w:right w:w="85" w:type="dxa"/>
            </w:tcMar>
            <w:vAlign w:val="center"/>
          </w:tcPr>
          <w:p w14:paraId="287EF148" w14:textId="77777777" w:rsidR="002C4040" w:rsidRPr="00855721" w:rsidRDefault="00000000">
            <w:pPr>
              <w:spacing w:after="0" w:line="240" w:lineRule="auto"/>
            </w:pPr>
            <w:r w:rsidRPr="00855721">
              <w:rPr>
                <w:rFonts w:eastAsia="Times New Roman"/>
                <w:sz w:val="16"/>
              </w:rPr>
              <w:t>Conventional culture and susceptibility testing</w:t>
            </w:r>
          </w:p>
        </w:tc>
        <w:tc>
          <w:tcPr>
            <w:tcW w:w="1728" w:type="dxa"/>
            <w:tcMar>
              <w:top w:w="85" w:type="dxa"/>
              <w:left w:w="85" w:type="dxa"/>
              <w:bottom w:w="85" w:type="dxa"/>
              <w:right w:w="85" w:type="dxa"/>
            </w:tcMar>
            <w:vAlign w:val="center"/>
          </w:tcPr>
          <w:p w14:paraId="28FB2FB9" w14:textId="77777777" w:rsidR="002C4040" w:rsidRPr="00855721" w:rsidRDefault="00000000">
            <w:pPr>
              <w:spacing w:after="0" w:line="240" w:lineRule="auto"/>
            </w:pPr>
            <w:r w:rsidRPr="00855721">
              <w:rPr>
                <w:rFonts w:eastAsia="Times New Roman"/>
                <w:sz w:val="16"/>
              </w:rPr>
              <w:t>Credible pathogen identity and definitive susceptibility pattern.</w:t>
            </w:r>
          </w:p>
        </w:tc>
        <w:tc>
          <w:tcPr>
            <w:tcW w:w="2232" w:type="dxa"/>
            <w:tcMar>
              <w:top w:w="85" w:type="dxa"/>
              <w:left w:w="85" w:type="dxa"/>
              <w:bottom w:w="85" w:type="dxa"/>
              <w:right w:w="85" w:type="dxa"/>
            </w:tcMar>
            <w:vAlign w:val="center"/>
          </w:tcPr>
          <w:p w14:paraId="47629A82" w14:textId="77777777" w:rsidR="002C4040" w:rsidRPr="00855721" w:rsidRDefault="00000000">
            <w:pPr>
              <w:spacing w:after="0" w:line="240" w:lineRule="auto"/>
            </w:pPr>
            <w:r w:rsidRPr="00855721">
              <w:rPr>
                <w:rFonts w:eastAsia="Times New Roman"/>
                <w:sz w:val="16"/>
              </w:rPr>
              <w:t>Core basis for pathogen-directed narrowing.</w:t>
            </w:r>
          </w:p>
        </w:tc>
        <w:tc>
          <w:tcPr>
            <w:tcW w:w="1728" w:type="dxa"/>
            <w:tcMar>
              <w:top w:w="85" w:type="dxa"/>
              <w:left w:w="85" w:type="dxa"/>
              <w:bottom w:w="85" w:type="dxa"/>
              <w:right w:w="85" w:type="dxa"/>
            </w:tcMar>
            <w:vAlign w:val="center"/>
          </w:tcPr>
          <w:p w14:paraId="2CCE3FF3" w14:textId="77777777" w:rsidR="002C4040" w:rsidRPr="00855721" w:rsidRDefault="00000000">
            <w:pPr>
              <w:spacing w:after="0" w:line="240" w:lineRule="auto"/>
            </w:pPr>
            <w:r w:rsidRPr="00855721">
              <w:rPr>
                <w:rFonts w:eastAsia="Times New Roman"/>
                <w:sz w:val="16"/>
              </w:rPr>
              <w:t>Good specimen quality, timely processing and clinical interpretation.</w:t>
            </w:r>
          </w:p>
        </w:tc>
        <w:tc>
          <w:tcPr>
            <w:tcW w:w="1872" w:type="dxa"/>
            <w:tcMar>
              <w:top w:w="85" w:type="dxa"/>
              <w:left w:w="85" w:type="dxa"/>
              <w:bottom w:w="85" w:type="dxa"/>
              <w:right w:w="85" w:type="dxa"/>
            </w:tcMar>
            <w:vAlign w:val="center"/>
          </w:tcPr>
          <w:p w14:paraId="7F781521" w14:textId="77777777" w:rsidR="002C4040" w:rsidRPr="00855721" w:rsidRDefault="00000000">
            <w:pPr>
              <w:spacing w:after="0" w:line="240" w:lineRule="auto"/>
            </w:pPr>
            <w:r w:rsidRPr="00855721">
              <w:rPr>
                <w:rFonts w:eastAsia="Times New Roman"/>
                <w:sz w:val="16"/>
              </w:rPr>
              <w:t>Negative cultures may be non-exclusionary; positive results may represent colonisation or contamination.</w:t>
            </w:r>
          </w:p>
        </w:tc>
        <w:tc>
          <w:tcPr>
            <w:tcW w:w="864" w:type="dxa"/>
            <w:tcMar>
              <w:top w:w="85" w:type="dxa"/>
              <w:left w:w="85" w:type="dxa"/>
              <w:bottom w:w="85" w:type="dxa"/>
              <w:right w:w="85" w:type="dxa"/>
            </w:tcMar>
            <w:vAlign w:val="center"/>
          </w:tcPr>
          <w:p w14:paraId="3CCF9A9C" w14:textId="77777777" w:rsidR="002C4040" w:rsidRPr="00855721" w:rsidRDefault="00000000">
            <w:pPr>
              <w:spacing w:after="0" w:line="240" w:lineRule="auto"/>
            </w:pPr>
            <w:r w:rsidRPr="00855721">
              <w:rPr>
                <w:rFonts w:eastAsia="Times New Roman"/>
                <w:sz w:val="16"/>
              </w:rPr>
              <w:t>Evans et al. (2021); Tabah et al. (2020)</w:t>
            </w:r>
          </w:p>
        </w:tc>
      </w:tr>
      <w:tr w:rsidR="00855721" w:rsidRPr="00855721" w14:paraId="5C23501C" w14:textId="77777777" w:rsidTr="00855721">
        <w:trPr>
          <w:cantSplit/>
          <w:jc w:val="center"/>
        </w:trPr>
        <w:tc>
          <w:tcPr>
            <w:tcW w:w="1512" w:type="dxa"/>
            <w:tcMar>
              <w:top w:w="85" w:type="dxa"/>
              <w:left w:w="85" w:type="dxa"/>
              <w:bottom w:w="85" w:type="dxa"/>
              <w:right w:w="85" w:type="dxa"/>
            </w:tcMar>
            <w:vAlign w:val="center"/>
          </w:tcPr>
          <w:p w14:paraId="4049FE44" w14:textId="77777777" w:rsidR="002C4040" w:rsidRPr="00855721" w:rsidRDefault="00000000">
            <w:pPr>
              <w:spacing w:after="0" w:line="240" w:lineRule="auto"/>
            </w:pPr>
            <w:r w:rsidRPr="00855721">
              <w:rPr>
                <w:rFonts w:eastAsia="Times New Roman"/>
                <w:sz w:val="16"/>
              </w:rPr>
              <w:t>Rapid multiplex blood-culture identification</w:t>
            </w:r>
          </w:p>
        </w:tc>
        <w:tc>
          <w:tcPr>
            <w:tcW w:w="1728" w:type="dxa"/>
            <w:tcMar>
              <w:top w:w="85" w:type="dxa"/>
              <w:left w:w="85" w:type="dxa"/>
              <w:bottom w:w="85" w:type="dxa"/>
              <w:right w:w="85" w:type="dxa"/>
            </w:tcMar>
            <w:vAlign w:val="center"/>
          </w:tcPr>
          <w:p w14:paraId="71AC3B69" w14:textId="77777777" w:rsidR="002C4040" w:rsidRPr="00855721" w:rsidRDefault="00000000">
            <w:pPr>
              <w:spacing w:after="0" w:line="240" w:lineRule="auto"/>
            </w:pPr>
            <w:r w:rsidRPr="00855721">
              <w:rPr>
                <w:rFonts w:eastAsia="Times New Roman"/>
                <w:sz w:val="16"/>
              </w:rPr>
              <w:t>Earlier organism/resistance-marker information from positive cultures.</w:t>
            </w:r>
          </w:p>
        </w:tc>
        <w:tc>
          <w:tcPr>
            <w:tcW w:w="2232" w:type="dxa"/>
            <w:tcMar>
              <w:top w:w="85" w:type="dxa"/>
              <w:left w:w="85" w:type="dxa"/>
              <w:bottom w:w="85" w:type="dxa"/>
              <w:right w:w="85" w:type="dxa"/>
            </w:tcMar>
            <w:vAlign w:val="center"/>
          </w:tcPr>
          <w:p w14:paraId="77701AA3" w14:textId="77777777" w:rsidR="002C4040" w:rsidRPr="00855721" w:rsidRDefault="00000000">
            <w:pPr>
              <w:spacing w:after="0" w:line="240" w:lineRule="auto"/>
            </w:pPr>
            <w:r w:rsidRPr="00855721">
              <w:rPr>
                <w:rFonts w:eastAsia="Times New Roman"/>
                <w:sz w:val="16"/>
              </w:rPr>
              <w:t>Earlier appropriate modification, especially with real-time stewardship feedback.</w:t>
            </w:r>
          </w:p>
        </w:tc>
        <w:tc>
          <w:tcPr>
            <w:tcW w:w="1728" w:type="dxa"/>
            <w:tcMar>
              <w:top w:w="85" w:type="dxa"/>
              <w:left w:w="85" w:type="dxa"/>
              <w:bottom w:w="85" w:type="dxa"/>
              <w:right w:w="85" w:type="dxa"/>
            </w:tcMar>
            <w:vAlign w:val="center"/>
          </w:tcPr>
          <w:p w14:paraId="22BAC3D8" w14:textId="77777777" w:rsidR="002C4040" w:rsidRPr="00855721" w:rsidRDefault="00000000">
            <w:pPr>
              <w:spacing w:after="0" w:line="240" w:lineRule="auto"/>
            </w:pPr>
            <w:r w:rsidRPr="00855721">
              <w:rPr>
                <w:rFonts w:eastAsia="Times New Roman"/>
                <w:sz w:val="16"/>
              </w:rPr>
              <w:t>Immediate result communication and authority to act.</w:t>
            </w:r>
          </w:p>
        </w:tc>
        <w:tc>
          <w:tcPr>
            <w:tcW w:w="1872" w:type="dxa"/>
            <w:tcMar>
              <w:top w:w="85" w:type="dxa"/>
              <w:left w:w="85" w:type="dxa"/>
              <w:bottom w:w="85" w:type="dxa"/>
              <w:right w:w="85" w:type="dxa"/>
            </w:tcMar>
            <w:vAlign w:val="center"/>
          </w:tcPr>
          <w:p w14:paraId="71F80D35" w14:textId="77777777" w:rsidR="002C4040" w:rsidRPr="00855721" w:rsidRDefault="00000000">
            <w:pPr>
              <w:spacing w:after="0" w:line="240" w:lineRule="auto"/>
            </w:pPr>
            <w:r w:rsidRPr="00855721">
              <w:rPr>
                <w:rFonts w:eastAsia="Times New Roman"/>
                <w:sz w:val="16"/>
              </w:rPr>
              <w:t>Fast information without an active decision pathway may not change therapy.</w:t>
            </w:r>
          </w:p>
        </w:tc>
        <w:tc>
          <w:tcPr>
            <w:tcW w:w="864" w:type="dxa"/>
            <w:tcMar>
              <w:top w:w="85" w:type="dxa"/>
              <w:left w:w="85" w:type="dxa"/>
              <w:bottom w:w="85" w:type="dxa"/>
              <w:right w:w="85" w:type="dxa"/>
            </w:tcMar>
            <w:vAlign w:val="center"/>
          </w:tcPr>
          <w:p w14:paraId="541F9EFE" w14:textId="77777777" w:rsidR="002C4040" w:rsidRPr="00855721" w:rsidRDefault="00000000">
            <w:pPr>
              <w:spacing w:after="0" w:line="240" w:lineRule="auto"/>
            </w:pPr>
            <w:r w:rsidRPr="00855721">
              <w:rPr>
                <w:rFonts w:eastAsia="Times New Roman"/>
                <w:sz w:val="16"/>
              </w:rPr>
              <w:t>Banerjee et al. (2015)</w:t>
            </w:r>
          </w:p>
        </w:tc>
      </w:tr>
      <w:tr w:rsidR="00855721" w:rsidRPr="00855721" w14:paraId="020EB2CA" w14:textId="77777777" w:rsidTr="00855721">
        <w:trPr>
          <w:cantSplit/>
          <w:jc w:val="center"/>
        </w:trPr>
        <w:tc>
          <w:tcPr>
            <w:tcW w:w="1512" w:type="dxa"/>
            <w:tcMar>
              <w:top w:w="85" w:type="dxa"/>
              <w:left w:w="85" w:type="dxa"/>
              <w:bottom w:w="85" w:type="dxa"/>
              <w:right w:w="85" w:type="dxa"/>
            </w:tcMar>
            <w:vAlign w:val="center"/>
          </w:tcPr>
          <w:p w14:paraId="51C53A35" w14:textId="77777777" w:rsidR="002C4040" w:rsidRPr="00855721" w:rsidRDefault="00000000">
            <w:pPr>
              <w:spacing w:after="0" w:line="240" w:lineRule="auto"/>
            </w:pPr>
            <w:r w:rsidRPr="00855721">
              <w:rPr>
                <w:rFonts w:eastAsia="Times New Roman"/>
                <w:sz w:val="16"/>
              </w:rPr>
              <w:t>Rapid phenotypic susceptibility testing</w:t>
            </w:r>
          </w:p>
        </w:tc>
        <w:tc>
          <w:tcPr>
            <w:tcW w:w="1728" w:type="dxa"/>
            <w:tcMar>
              <w:top w:w="85" w:type="dxa"/>
              <w:left w:w="85" w:type="dxa"/>
              <w:bottom w:w="85" w:type="dxa"/>
              <w:right w:w="85" w:type="dxa"/>
            </w:tcMar>
            <w:vAlign w:val="center"/>
          </w:tcPr>
          <w:p w14:paraId="1656DCA5" w14:textId="77777777" w:rsidR="002C4040" w:rsidRPr="00855721" w:rsidRDefault="00000000">
            <w:pPr>
              <w:spacing w:after="0" w:line="240" w:lineRule="auto"/>
            </w:pPr>
            <w:r w:rsidRPr="00855721">
              <w:rPr>
                <w:rFonts w:eastAsia="Times New Roman"/>
                <w:sz w:val="16"/>
              </w:rPr>
              <w:t>Earlier organism-specific susceptibility results in Gram-negative bacteraemia.</w:t>
            </w:r>
          </w:p>
        </w:tc>
        <w:tc>
          <w:tcPr>
            <w:tcW w:w="2232" w:type="dxa"/>
            <w:tcMar>
              <w:top w:w="85" w:type="dxa"/>
              <w:left w:w="85" w:type="dxa"/>
              <w:bottom w:w="85" w:type="dxa"/>
              <w:right w:w="85" w:type="dxa"/>
            </w:tcMar>
            <w:vAlign w:val="center"/>
          </w:tcPr>
          <w:p w14:paraId="1D5B742B" w14:textId="77777777" w:rsidR="002C4040" w:rsidRPr="00855721" w:rsidRDefault="00000000">
            <w:pPr>
              <w:spacing w:after="0" w:line="240" w:lineRule="auto"/>
            </w:pPr>
            <w:r w:rsidRPr="00855721">
              <w:rPr>
                <w:rFonts w:eastAsia="Times New Roman"/>
                <w:sz w:val="16"/>
              </w:rPr>
              <w:t>Shorter time to antibiotic modification.</w:t>
            </w:r>
          </w:p>
        </w:tc>
        <w:tc>
          <w:tcPr>
            <w:tcW w:w="1728" w:type="dxa"/>
            <w:tcMar>
              <w:top w:w="85" w:type="dxa"/>
              <w:left w:w="85" w:type="dxa"/>
              <w:bottom w:w="85" w:type="dxa"/>
              <w:right w:w="85" w:type="dxa"/>
            </w:tcMar>
            <w:vAlign w:val="center"/>
          </w:tcPr>
          <w:p w14:paraId="5884615F" w14:textId="77777777" w:rsidR="002C4040" w:rsidRPr="00855721" w:rsidRDefault="00000000">
            <w:pPr>
              <w:spacing w:after="0" w:line="240" w:lineRule="auto"/>
            </w:pPr>
            <w:r w:rsidRPr="00855721">
              <w:rPr>
                <w:rFonts w:eastAsia="Times New Roman"/>
                <w:sz w:val="16"/>
              </w:rPr>
              <w:t>Laboratory integration plus stewardship interpretation.</w:t>
            </w:r>
          </w:p>
        </w:tc>
        <w:tc>
          <w:tcPr>
            <w:tcW w:w="1872" w:type="dxa"/>
            <w:tcMar>
              <w:top w:w="85" w:type="dxa"/>
              <w:left w:w="85" w:type="dxa"/>
              <w:bottom w:w="85" w:type="dxa"/>
              <w:right w:w="85" w:type="dxa"/>
            </w:tcMar>
            <w:vAlign w:val="center"/>
          </w:tcPr>
          <w:p w14:paraId="69986BDA" w14:textId="77777777" w:rsidR="002C4040" w:rsidRPr="00855721" w:rsidRDefault="00000000">
            <w:pPr>
              <w:spacing w:after="0" w:line="240" w:lineRule="auto"/>
            </w:pPr>
            <w:r w:rsidRPr="00855721">
              <w:rPr>
                <w:rFonts w:eastAsia="Times New Roman"/>
                <w:sz w:val="16"/>
              </w:rPr>
              <w:t>Clinical outcome differences may be small when empirical therapy is already adequate.</w:t>
            </w:r>
          </w:p>
        </w:tc>
        <w:tc>
          <w:tcPr>
            <w:tcW w:w="864" w:type="dxa"/>
            <w:tcMar>
              <w:top w:w="85" w:type="dxa"/>
              <w:left w:w="85" w:type="dxa"/>
              <w:bottom w:w="85" w:type="dxa"/>
              <w:right w:w="85" w:type="dxa"/>
            </w:tcMar>
            <w:vAlign w:val="center"/>
          </w:tcPr>
          <w:p w14:paraId="176E6B15" w14:textId="77777777" w:rsidR="002C4040" w:rsidRPr="00855721" w:rsidRDefault="00000000">
            <w:pPr>
              <w:spacing w:after="0" w:line="240" w:lineRule="auto"/>
            </w:pPr>
            <w:r w:rsidRPr="00855721">
              <w:rPr>
                <w:rFonts w:eastAsia="Times New Roman"/>
                <w:sz w:val="16"/>
              </w:rPr>
              <w:t>Banerjee et al. (2021)</w:t>
            </w:r>
          </w:p>
        </w:tc>
      </w:tr>
      <w:tr w:rsidR="00855721" w:rsidRPr="00855721" w14:paraId="38B79FCC" w14:textId="77777777" w:rsidTr="00855721">
        <w:trPr>
          <w:cantSplit/>
          <w:jc w:val="center"/>
        </w:trPr>
        <w:tc>
          <w:tcPr>
            <w:tcW w:w="1512" w:type="dxa"/>
            <w:tcMar>
              <w:top w:w="85" w:type="dxa"/>
              <w:left w:w="85" w:type="dxa"/>
              <w:bottom w:w="85" w:type="dxa"/>
              <w:right w:w="85" w:type="dxa"/>
            </w:tcMar>
            <w:vAlign w:val="center"/>
          </w:tcPr>
          <w:p w14:paraId="08ED9EAB" w14:textId="77777777" w:rsidR="002C4040" w:rsidRPr="00855721" w:rsidRDefault="00000000">
            <w:pPr>
              <w:spacing w:after="0" w:line="240" w:lineRule="auto"/>
            </w:pPr>
            <w:r w:rsidRPr="00855721">
              <w:rPr>
                <w:rFonts w:eastAsia="Times New Roman"/>
                <w:sz w:val="16"/>
              </w:rPr>
              <w:t>MRSA nasal PCR</w:t>
            </w:r>
          </w:p>
        </w:tc>
        <w:tc>
          <w:tcPr>
            <w:tcW w:w="1728" w:type="dxa"/>
            <w:tcMar>
              <w:top w:w="85" w:type="dxa"/>
              <w:left w:w="85" w:type="dxa"/>
              <w:bottom w:w="85" w:type="dxa"/>
              <w:right w:w="85" w:type="dxa"/>
            </w:tcMar>
            <w:vAlign w:val="center"/>
          </w:tcPr>
          <w:p w14:paraId="1EECAAD7" w14:textId="77777777" w:rsidR="002C4040" w:rsidRPr="00855721" w:rsidRDefault="00000000">
            <w:pPr>
              <w:spacing w:after="0" w:line="240" w:lineRule="auto"/>
            </w:pPr>
            <w:r w:rsidRPr="00855721">
              <w:rPr>
                <w:rFonts w:eastAsia="Times New Roman"/>
                <w:sz w:val="16"/>
              </w:rPr>
              <w:t>A negative result substantially lowers probability of MRSA pneumonia in appropriate populations.</w:t>
            </w:r>
          </w:p>
        </w:tc>
        <w:tc>
          <w:tcPr>
            <w:tcW w:w="2232" w:type="dxa"/>
            <w:tcMar>
              <w:top w:w="85" w:type="dxa"/>
              <w:left w:w="85" w:type="dxa"/>
              <w:bottom w:w="85" w:type="dxa"/>
              <w:right w:w="85" w:type="dxa"/>
            </w:tcMar>
            <w:vAlign w:val="center"/>
          </w:tcPr>
          <w:p w14:paraId="7862C4B9" w14:textId="77777777" w:rsidR="002C4040" w:rsidRPr="00855721" w:rsidRDefault="00000000">
            <w:pPr>
              <w:spacing w:after="0" w:line="240" w:lineRule="auto"/>
            </w:pPr>
            <w:r w:rsidRPr="00855721">
              <w:rPr>
                <w:rFonts w:eastAsia="Times New Roman"/>
                <w:sz w:val="16"/>
              </w:rPr>
              <w:t>Can reduce anti-MRSA therapy in structured protocols; recent RCT found no significant primary reduction when added to usual care.</w:t>
            </w:r>
          </w:p>
        </w:tc>
        <w:tc>
          <w:tcPr>
            <w:tcW w:w="1728" w:type="dxa"/>
            <w:tcMar>
              <w:top w:w="85" w:type="dxa"/>
              <w:left w:w="85" w:type="dxa"/>
              <w:bottom w:w="85" w:type="dxa"/>
              <w:right w:w="85" w:type="dxa"/>
            </w:tcMar>
            <w:vAlign w:val="center"/>
          </w:tcPr>
          <w:p w14:paraId="0021DADE" w14:textId="77777777" w:rsidR="002C4040" w:rsidRPr="00855721" w:rsidRDefault="00000000">
            <w:pPr>
              <w:spacing w:after="0" w:line="240" w:lineRule="auto"/>
            </w:pPr>
            <w:r w:rsidRPr="00855721">
              <w:rPr>
                <w:rFonts w:eastAsia="Times New Roman"/>
                <w:sz w:val="16"/>
              </w:rPr>
              <w:t>Local prevalence awareness, timely review and a trusted discontinuation pathway.</w:t>
            </w:r>
          </w:p>
        </w:tc>
        <w:tc>
          <w:tcPr>
            <w:tcW w:w="1872" w:type="dxa"/>
            <w:tcMar>
              <w:top w:w="85" w:type="dxa"/>
              <w:left w:w="85" w:type="dxa"/>
              <w:bottom w:w="85" w:type="dxa"/>
              <w:right w:w="85" w:type="dxa"/>
            </w:tcMar>
            <w:vAlign w:val="center"/>
          </w:tcPr>
          <w:p w14:paraId="2DD636DD" w14:textId="77777777" w:rsidR="002C4040" w:rsidRPr="00855721" w:rsidRDefault="00000000">
            <w:pPr>
              <w:spacing w:after="0" w:line="240" w:lineRule="auto"/>
            </w:pPr>
            <w:r w:rsidRPr="00855721">
              <w:rPr>
                <w:rFonts w:eastAsia="Times New Roman"/>
                <w:sz w:val="16"/>
              </w:rPr>
              <w:t>High negative predictive value does not itself overcome prescriber inertia or competing clinical concerns.</w:t>
            </w:r>
          </w:p>
        </w:tc>
        <w:tc>
          <w:tcPr>
            <w:tcW w:w="864" w:type="dxa"/>
            <w:tcMar>
              <w:top w:w="85" w:type="dxa"/>
              <w:left w:w="85" w:type="dxa"/>
              <w:bottom w:w="85" w:type="dxa"/>
              <w:right w:w="85" w:type="dxa"/>
            </w:tcMar>
            <w:vAlign w:val="center"/>
          </w:tcPr>
          <w:p w14:paraId="0E038951" w14:textId="77777777" w:rsidR="002C4040" w:rsidRPr="00855721" w:rsidRDefault="00000000">
            <w:pPr>
              <w:spacing w:after="0" w:line="240" w:lineRule="auto"/>
            </w:pPr>
            <w:r w:rsidRPr="00855721">
              <w:rPr>
                <w:rFonts w:eastAsia="Times New Roman"/>
                <w:sz w:val="16"/>
              </w:rPr>
              <w:t>Freiberg et al. (2026); Parente et al. (2018); Timbrook et al. (2026)</w:t>
            </w:r>
          </w:p>
        </w:tc>
      </w:tr>
      <w:tr w:rsidR="00855721" w:rsidRPr="00855721" w14:paraId="626C37E0" w14:textId="77777777" w:rsidTr="00855721">
        <w:trPr>
          <w:cantSplit/>
          <w:jc w:val="center"/>
        </w:trPr>
        <w:tc>
          <w:tcPr>
            <w:tcW w:w="1512" w:type="dxa"/>
            <w:tcMar>
              <w:top w:w="85" w:type="dxa"/>
              <w:left w:w="85" w:type="dxa"/>
              <w:bottom w:w="85" w:type="dxa"/>
              <w:right w:w="85" w:type="dxa"/>
            </w:tcMar>
            <w:vAlign w:val="center"/>
          </w:tcPr>
          <w:p w14:paraId="777A37DD" w14:textId="77777777" w:rsidR="002C4040" w:rsidRPr="00855721" w:rsidRDefault="00000000">
            <w:pPr>
              <w:spacing w:after="0" w:line="240" w:lineRule="auto"/>
            </w:pPr>
            <w:r w:rsidRPr="00855721">
              <w:rPr>
                <w:rFonts w:eastAsia="Times New Roman"/>
                <w:sz w:val="16"/>
              </w:rPr>
              <w:t>Procalcitonin or C-reactive protein protocols</w:t>
            </w:r>
          </w:p>
        </w:tc>
        <w:tc>
          <w:tcPr>
            <w:tcW w:w="1728" w:type="dxa"/>
            <w:tcMar>
              <w:top w:w="85" w:type="dxa"/>
              <w:left w:w="85" w:type="dxa"/>
              <w:bottom w:w="85" w:type="dxa"/>
              <w:right w:w="85" w:type="dxa"/>
            </w:tcMar>
            <w:vAlign w:val="center"/>
          </w:tcPr>
          <w:p w14:paraId="26BE0290" w14:textId="77777777" w:rsidR="002C4040" w:rsidRPr="00855721" w:rsidRDefault="00000000">
            <w:pPr>
              <w:spacing w:after="0" w:line="240" w:lineRule="auto"/>
            </w:pPr>
            <w:r w:rsidRPr="00855721">
              <w:rPr>
                <w:rFonts w:eastAsia="Times New Roman"/>
                <w:sz w:val="16"/>
              </w:rPr>
              <w:t>Biomarker trajectory supporting lower likelihood of ongoing bacterial infection.</w:t>
            </w:r>
          </w:p>
        </w:tc>
        <w:tc>
          <w:tcPr>
            <w:tcW w:w="2232" w:type="dxa"/>
            <w:tcMar>
              <w:top w:w="85" w:type="dxa"/>
              <w:left w:w="85" w:type="dxa"/>
              <w:bottom w:w="85" w:type="dxa"/>
              <w:right w:w="85" w:type="dxa"/>
            </w:tcMar>
            <w:vAlign w:val="center"/>
          </w:tcPr>
          <w:p w14:paraId="627509BB" w14:textId="77777777" w:rsidR="002C4040" w:rsidRPr="00855721" w:rsidRDefault="00000000">
            <w:pPr>
              <w:spacing w:after="0" w:line="240" w:lineRule="auto"/>
            </w:pPr>
            <w:r w:rsidRPr="00855721">
              <w:rPr>
                <w:rFonts w:eastAsia="Times New Roman"/>
                <w:sz w:val="16"/>
              </w:rPr>
              <w:t>Evidence is strongest for discontinuation/shorter exposure, not pathogen-specific narrowing.</w:t>
            </w:r>
          </w:p>
        </w:tc>
        <w:tc>
          <w:tcPr>
            <w:tcW w:w="1728" w:type="dxa"/>
            <w:tcMar>
              <w:top w:w="85" w:type="dxa"/>
              <w:left w:w="85" w:type="dxa"/>
              <w:bottom w:w="85" w:type="dxa"/>
              <w:right w:w="85" w:type="dxa"/>
            </w:tcMar>
            <w:vAlign w:val="center"/>
          </w:tcPr>
          <w:p w14:paraId="3F032659" w14:textId="77777777" w:rsidR="002C4040" w:rsidRPr="00855721" w:rsidRDefault="00000000">
            <w:pPr>
              <w:spacing w:after="0" w:line="240" w:lineRule="auto"/>
            </w:pPr>
            <w:r w:rsidRPr="00855721">
              <w:rPr>
                <w:rFonts w:eastAsia="Times New Roman"/>
                <w:sz w:val="16"/>
              </w:rPr>
              <w:t>Protocol adherence and interpretation alongside clinical findings.</w:t>
            </w:r>
          </w:p>
        </w:tc>
        <w:tc>
          <w:tcPr>
            <w:tcW w:w="1872" w:type="dxa"/>
            <w:tcMar>
              <w:top w:w="85" w:type="dxa"/>
              <w:left w:w="85" w:type="dxa"/>
              <w:bottom w:w="85" w:type="dxa"/>
              <w:right w:w="85" w:type="dxa"/>
            </w:tcMar>
            <w:vAlign w:val="center"/>
          </w:tcPr>
          <w:p w14:paraId="76E2EEE2" w14:textId="77777777" w:rsidR="002C4040" w:rsidRPr="00855721" w:rsidRDefault="00000000">
            <w:pPr>
              <w:spacing w:after="0" w:line="240" w:lineRule="auto"/>
            </w:pPr>
            <w:r w:rsidRPr="00855721">
              <w:rPr>
                <w:rFonts w:eastAsia="Times New Roman"/>
                <w:sz w:val="16"/>
              </w:rPr>
              <w:t>Cannot select a narrower active drug for a documented pathogen.</w:t>
            </w:r>
          </w:p>
        </w:tc>
        <w:tc>
          <w:tcPr>
            <w:tcW w:w="864" w:type="dxa"/>
            <w:tcMar>
              <w:top w:w="85" w:type="dxa"/>
              <w:left w:w="85" w:type="dxa"/>
              <w:bottom w:w="85" w:type="dxa"/>
              <w:right w:w="85" w:type="dxa"/>
            </w:tcMar>
            <w:vAlign w:val="center"/>
          </w:tcPr>
          <w:p w14:paraId="7AF34A09" w14:textId="77777777" w:rsidR="002C4040" w:rsidRPr="00855721" w:rsidRDefault="00000000">
            <w:pPr>
              <w:spacing w:after="0" w:line="240" w:lineRule="auto"/>
            </w:pPr>
            <w:r w:rsidRPr="00855721">
              <w:rPr>
                <w:rFonts w:eastAsia="Times New Roman"/>
                <w:sz w:val="16"/>
              </w:rPr>
              <w:t>Kubo et al. (2024)</w:t>
            </w:r>
          </w:p>
        </w:tc>
      </w:tr>
      <w:tr w:rsidR="00855721" w:rsidRPr="00855721" w14:paraId="661167EA" w14:textId="77777777" w:rsidTr="00855721">
        <w:trPr>
          <w:cantSplit/>
          <w:jc w:val="center"/>
        </w:trPr>
        <w:tc>
          <w:tcPr>
            <w:tcW w:w="1512" w:type="dxa"/>
            <w:tcMar>
              <w:top w:w="85" w:type="dxa"/>
              <w:left w:w="85" w:type="dxa"/>
              <w:bottom w:w="85" w:type="dxa"/>
              <w:right w:w="85" w:type="dxa"/>
            </w:tcMar>
            <w:vAlign w:val="center"/>
          </w:tcPr>
          <w:p w14:paraId="6CA868E9" w14:textId="77777777" w:rsidR="002C4040" w:rsidRPr="00855721" w:rsidRDefault="00000000">
            <w:pPr>
              <w:spacing w:after="0" w:line="240" w:lineRule="auto"/>
            </w:pPr>
            <w:r w:rsidRPr="00855721">
              <w:rPr>
                <w:rFonts w:eastAsia="Times New Roman"/>
                <w:sz w:val="16"/>
              </w:rPr>
              <w:t>Pharmacist/ASP prospective review</w:t>
            </w:r>
          </w:p>
        </w:tc>
        <w:tc>
          <w:tcPr>
            <w:tcW w:w="1728" w:type="dxa"/>
            <w:tcMar>
              <w:top w:w="85" w:type="dxa"/>
              <w:left w:w="85" w:type="dxa"/>
              <w:bottom w:w="85" w:type="dxa"/>
              <w:right w:w="85" w:type="dxa"/>
            </w:tcMar>
            <w:vAlign w:val="center"/>
          </w:tcPr>
          <w:p w14:paraId="13CD9900" w14:textId="77777777" w:rsidR="002C4040" w:rsidRPr="00855721" w:rsidRDefault="00000000">
            <w:pPr>
              <w:spacing w:after="0" w:line="240" w:lineRule="auto"/>
            </w:pPr>
            <w:r w:rsidRPr="00855721">
              <w:rPr>
                <w:rFonts w:eastAsia="Times New Roman"/>
                <w:sz w:val="16"/>
              </w:rPr>
              <w:t>Expert synthesis of microbiology, syndrome, spectrum and duration.</w:t>
            </w:r>
          </w:p>
        </w:tc>
        <w:tc>
          <w:tcPr>
            <w:tcW w:w="2232" w:type="dxa"/>
            <w:tcMar>
              <w:top w:w="85" w:type="dxa"/>
              <w:left w:w="85" w:type="dxa"/>
              <w:bottom w:w="85" w:type="dxa"/>
              <w:right w:w="85" w:type="dxa"/>
            </w:tcMar>
            <w:vAlign w:val="center"/>
          </w:tcPr>
          <w:p w14:paraId="51734D45" w14:textId="77777777" w:rsidR="002C4040" w:rsidRPr="00855721" w:rsidRDefault="00000000">
            <w:pPr>
              <w:spacing w:after="0" w:line="240" w:lineRule="auto"/>
            </w:pPr>
            <w:r w:rsidRPr="00855721">
              <w:rPr>
                <w:rFonts w:eastAsia="Times New Roman"/>
                <w:sz w:val="16"/>
              </w:rPr>
              <w:t>Frequently accelerates appropriate modification and can amplify diagnostic impact.</w:t>
            </w:r>
          </w:p>
        </w:tc>
        <w:tc>
          <w:tcPr>
            <w:tcW w:w="1728" w:type="dxa"/>
            <w:tcMar>
              <w:top w:w="85" w:type="dxa"/>
              <w:left w:w="85" w:type="dxa"/>
              <w:bottom w:w="85" w:type="dxa"/>
              <w:right w:w="85" w:type="dxa"/>
            </w:tcMar>
            <w:vAlign w:val="center"/>
          </w:tcPr>
          <w:p w14:paraId="4F6839B7" w14:textId="77777777" w:rsidR="002C4040" w:rsidRPr="00855721" w:rsidRDefault="00000000">
            <w:pPr>
              <w:spacing w:after="0" w:line="240" w:lineRule="auto"/>
            </w:pPr>
            <w:r w:rsidRPr="00855721">
              <w:rPr>
                <w:rFonts w:eastAsia="Times New Roman"/>
                <w:sz w:val="16"/>
              </w:rPr>
              <w:t>Staffing, access to results and prescriber engagement.</w:t>
            </w:r>
          </w:p>
        </w:tc>
        <w:tc>
          <w:tcPr>
            <w:tcW w:w="1872" w:type="dxa"/>
            <w:tcMar>
              <w:top w:w="85" w:type="dxa"/>
              <w:left w:w="85" w:type="dxa"/>
              <w:bottom w:w="85" w:type="dxa"/>
              <w:right w:w="85" w:type="dxa"/>
            </w:tcMar>
            <w:vAlign w:val="center"/>
          </w:tcPr>
          <w:p w14:paraId="6C7AFFAA" w14:textId="77777777" w:rsidR="002C4040" w:rsidRPr="00855721" w:rsidRDefault="00000000">
            <w:pPr>
              <w:spacing w:after="0" w:line="240" w:lineRule="auto"/>
            </w:pPr>
            <w:r w:rsidRPr="00855721">
              <w:rPr>
                <w:rFonts w:eastAsia="Times New Roman"/>
                <w:sz w:val="16"/>
              </w:rPr>
              <w:t>Limited reach outside staffed hours or where recommendations lack ownership.</w:t>
            </w:r>
          </w:p>
        </w:tc>
        <w:tc>
          <w:tcPr>
            <w:tcW w:w="864" w:type="dxa"/>
            <w:tcMar>
              <w:top w:w="85" w:type="dxa"/>
              <w:left w:w="85" w:type="dxa"/>
              <w:bottom w:w="85" w:type="dxa"/>
              <w:right w:w="85" w:type="dxa"/>
            </w:tcMar>
            <w:vAlign w:val="center"/>
          </w:tcPr>
          <w:p w14:paraId="45AF02F6" w14:textId="77777777" w:rsidR="002C4040" w:rsidRPr="00855721" w:rsidRDefault="00000000">
            <w:pPr>
              <w:spacing w:after="0" w:line="240" w:lineRule="auto"/>
            </w:pPr>
            <w:r w:rsidRPr="00855721">
              <w:rPr>
                <w:rFonts w:eastAsia="Times New Roman"/>
                <w:sz w:val="16"/>
              </w:rPr>
              <w:t>Barlam et al. (2016); Bookstaver et al. (2017); Doan &amp; Smoke (2024)</w:t>
            </w:r>
          </w:p>
        </w:tc>
      </w:tr>
      <w:tr w:rsidR="00855721" w:rsidRPr="00855721" w14:paraId="573BCF08" w14:textId="77777777" w:rsidTr="00855721">
        <w:trPr>
          <w:cantSplit/>
          <w:jc w:val="center"/>
        </w:trPr>
        <w:tc>
          <w:tcPr>
            <w:tcW w:w="1512" w:type="dxa"/>
            <w:tcMar>
              <w:top w:w="85" w:type="dxa"/>
              <w:left w:w="85" w:type="dxa"/>
              <w:bottom w:w="85" w:type="dxa"/>
              <w:right w:w="85" w:type="dxa"/>
            </w:tcMar>
            <w:vAlign w:val="center"/>
          </w:tcPr>
          <w:p w14:paraId="44CC5FF6" w14:textId="77777777" w:rsidR="002C4040" w:rsidRPr="00855721" w:rsidRDefault="00000000">
            <w:pPr>
              <w:spacing w:after="0" w:line="240" w:lineRule="auto"/>
            </w:pPr>
            <w:r w:rsidRPr="00855721">
              <w:rPr>
                <w:rFonts w:eastAsia="Times New Roman"/>
                <w:sz w:val="16"/>
              </w:rPr>
              <w:lastRenderedPageBreak/>
              <w:t>Electronic time-out or opt-out prompt</w:t>
            </w:r>
          </w:p>
        </w:tc>
        <w:tc>
          <w:tcPr>
            <w:tcW w:w="1728" w:type="dxa"/>
            <w:tcMar>
              <w:top w:w="85" w:type="dxa"/>
              <w:left w:w="85" w:type="dxa"/>
              <w:bottom w:w="85" w:type="dxa"/>
              <w:right w:w="85" w:type="dxa"/>
            </w:tcMar>
            <w:vAlign w:val="center"/>
          </w:tcPr>
          <w:p w14:paraId="6F8A460B" w14:textId="77777777" w:rsidR="002C4040" w:rsidRPr="00855721" w:rsidRDefault="00000000">
            <w:pPr>
              <w:spacing w:after="0" w:line="240" w:lineRule="auto"/>
            </w:pPr>
            <w:r w:rsidRPr="00855721">
              <w:rPr>
                <w:rFonts w:eastAsia="Times New Roman"/>
                <w:sz w:val="16"/>
              </w:rPr>
              <w:t>Forces an explicit reassessment of indication, breadth and continuation.</w:t>
            </w:r>
          </w:p>
        </w:tc>
        <w:tc>
          <w:tcPr>
            <w:tcW w:w="2232" w:type="dxa"/>
            <w:tcMar>
              <w:top w:w="85" w:type="dxa"/>
              <w:left w:w="85" w:type="dxa"/>
              <w:bottom w:w="85" w:type="dxa"/>
              <w:right w:w="85" w:type="dxa"/>
            </w:tcMar>
            <w:vAlign w:val="center"/>
          </w:tcPr>
          <w:p w14:paraId="26AE007E" w14:textId="77777777" w:rsidR="002C4040" w:rsidRPr="00855721" w:rsidRDefault="00000000">
            <w:pPr>
              <w:spacing w:after="0" w:line="240" w:lineRule="auto"/>
            </w:pPr>
            <w:r w:rsidRPr="00855721">
              <w:rPr>
                <w:rFonts w:eastAsia="Times New Roman"/>
                <w:sz w:val="16"/>
              </w:rPr>
              <w:t>Opt-out trial reduced continuation in selected suspected-sepsis patients.</w:t>
            </w:r>
          </w:p>
        </w:tc>
        <w:tc>
          <w:tcPr>
            <w:tcW w:w="1728" w:type="dxa"/>
            <w:tcMar>
              <w:top w:w="85" w:type="dxa"/>
              <w:left w:w="85" w:type="dxa"/>
              <w:bottom w:w="85" w:type="dxa"/>
              <w:right w:w="85" w:type="dxa"/>
            </w:tcMar>
            <w:vAlign w:val="center"/>
          </w:tcPr>
          <w:p w14:paraId="7C55BC35" w14:textId="77777777" w:rsidR="002C4040" w:rsidRPr="00855721" w:rsidRDefault="00000000">
            <w:pPr>
              <w:spacing w:after="0" w:line="240" w:lineRule="auto"/>
            </w:pPr>
            <w:r w:rsidRPr="00855721">
              <w:rPr>
                <w:rFonts w:eastAsia="Times New Roman"/>
                <w:sz w:val="16"/>
              </w:rPr>
              <w:t>Well-defined eligibility, safety checks and a named decision owner.</w:t>
            </w:r>
          </w:p>
        </w:tc>
        <w:tc>
          <w:tcPr>
            <w:tcW w:w="1872" w:type="dxa"/>
            <w:tcMar>
              <w:top w:w="85" w:type="dxa"/>
              <w:left w:w="85" w:type="dxa"/>
              <w:bottom w:w="85" w:type="dxa"/>
              <w:right w:w="85" w:type="dxa"/>
            </w:tcMar>
            <w:vAlign w:val="center"/>
          </w:tcPr>
          <w:p w14:paraId="002246AD" w14:textId="77777777" w:rsidR="002C4040" w:rsidRPr="00855721" w:rsidRDefault="00000000">
            <w:pPr>
              <w:spacing w:after="0" w:line="240" w:lineRule="auto"/>
            </w:pPr>
            <w:r w:rsidRPr="00855721">
              <w:rPr>
                <w:rFonts w:eastAsia="Times New Roman"/>
                <w:sz w:val="16"/>
              </w:rPr>
              <w:t>Alert fatigue or perfunctory documentation if continuation remains the passive default.</w:t>
            </w:r>
          </w:p>
        </w:tc>
        <w:tc>
          <w:tcPr>
            <w:tcW w:w="864" w:type="dxa"/>
            <w:tcMar>
              <w:top w:w="85" w:type="dxa"/>
              <w:left w:w="85" w:type="dxa"/>
              <w:bottom w:w="85" w:type="dxa"/>
              <w:right w:w="85" w:type="dxa"/>
            </w:tcMar>
            <w:vAlign w:val="center"/>
          </w:tcPr>
          <w:p w14:paraId="3DFE136B" w14:textId="77777777" w:rsidR="002C4040" w:rsidRPr="00855721" w:rsidRDefault="00000000">
            <w:pPr>
              <w:spacing w:after="0" w:line="240" w:lineRule="auto"/>
            </w:pPr>
            <w:r w:rsidRPr="00855721">
              <w:rPr>
                <w:rFonts w:eastAsia="Times New Roman"/>
                <w:sz w:val="16"/>
              </w:rPr>
              <w:t>Moehring et al. (2021, 2023)</w:t>
            </w:r>
          </w:p>
        </w:tc>
      </w:tr>
    </w:tbl>
    <w:p w14:paraId="2C8241FF" w14:textId="77777777" w:rsidR="002C4040" w:rsidRPr="00855721" w:rsidRDefault="00000000">
      <w:pPr>
        <w:pStyle w:val="TableNote"/>
      </w:pPr>
      <w:r w:rsidRPr="00855721">
        <w:rPr>
          <w:rFonts w:eastAsia="Times New Roman"/>
        </w:rPr>
        <w:t>Note. ASP = antimicrobial stewardship programme; MRSA = methicillin-resistant Staphylococcus aureus; PCR = polymerase chain reaction; RCT = randomised controlled trial.</w:t>
      </w:r>
    </w:p>
    <w:p w14:paraId="1C2A902E" w14:textId="77777777" w:rsidR="002C4040" w:rsidRPr="00855721" w:rsidRDefault="00000000">
      <w:pPr>
        <w:pStyle w:val="Heading1"/>
        <w:rPr>
          <w:color w:val="auto"/>
        </w:rPr>
      </w:pPr>
      <w:r w:rsidRPr="00855721">
        <w:rPr>
          <w:rFonts w:ascii="Times New Roman" w:eastAsia="Times New Roman" w:hAnsi="Times New Roman"/>
          <w:color w:val="auto"/>
        </w:rPr>
        <w:t>7. Implementation Challenges in Routine Practice</w:t>
      </w:r>
    </w:p>
    <w:p w14:paraId="27EA058F" w14:textId="77777777" w:rsidR="002C4040" w:rsidRPr="00855721" w:rsidRDefault="00000000">
      <w:pPr>
        <w:pStyle w:val="Heading2"/>
        <w:rPr>
          <w:color w:val="auto"/>
        </w:rPr>
      </w:pPr>
      <w:r w:rsidRPr="00855721">
        <w:rPr>
          <w:rFonts w:ascii="Times New Roman" w:eastAsia="Times New Roman" w:hAnsi="Times New Roman"/>
          <w:color w:val="auto"/>
        </w:rPr>
        <w:t>7.1 Diagnostic Uncertainty and the Asymmetry of Risk</w:t>
      </w:r>
    </w:p>
    <w:p w14:paraId="57E4186A" w14:textId="77777777" w:rsidR="002C4040" w:rsidRPr="00855721" w:rsidRDefault="00000000">
      <w:pPr>
        <w:jc w:val="both"/>
      </w:pPr>
      <w:r w:rsidRPr="00855721">
        <w:rPr>
          <w:rFonts w:eastAsia="Times New Roman"/>
        </w:rPr>
        <w:t xml:space="preserve">Clinicians rarely experience the potential harms of broad-spectrum therapy and the potential harms of premature narrowing as psychologically equivalent. A missed resistant pathogen can produce visible deterioration within hours, whereas ecological harm, resistance selection or a future </w:t>
      </w:r>
      <w:r w:rsidRPr="00855721">
        <w:rPr>
          <w:rFonts w:eastAsia="Times New Roman"/>
          <w:i/>
        </w:rPr>
        <w:t>C. difficile</w:t>
      </w:r>
      <w:r w:rsidRPr="00855721">
        <w:rPr>
          <w:rFonts w:eastAsia="Times New Roman"/>
        </w:rPr>
        <w:t xml:space="preserve"> episode is delayed and probabilistic. This asymmetry favours continuation when uncertainty remains. The result is especially pronounced in patients who initially presented with shock, required organ support, have immunocompromise or lack a definitive source.</w:t>
      </w:r>
    </w:p>
    <w:p w14:paraId="64896FB3" w14:textId="77777777" w:rsidR="002C4040" w:rsidRPr="00855721" w:rsidRDefault="00000000">
      <w:pPr>
        <w:jc w:val="both"/>
      </w:pPr>
      <w:r w:rsidRPr="00855721">
        <w:rPr>
          <w:rFonts w:eastAsia="Times New Roman"/>
        </w:rPr>
        <w:t>The appropriate response is not to make de-escalation mandatory at an arbitrary clock time. Instead, reassessment should explicitly separate unresolved danger from residual uncertainty. If the patient is worsening, source control is incomplete, cultures are unreliable, or there is substantial risk of a pathogen not covered by the proposed narrower regimen, continuation or even escalation may be appropriate. When physiology is improving, cultures and diagnostics do not support resistant organisms, and an alternative explanation becomes more probable, the evidential balance shifts toward narrowing or cessation (Evans et al., 2021; Tabah et al., 2020).</w:t>
      </w:r>
    </w:p>
    <w:p w14:paraId="078F1407" w14:textId="77777777" w:rsidR="002C4040" w:rsidRPr="00855721" w:rsidRDefault="00000000">
      <w:pPr>
        <w:pStyle w:val="Heading2"/>
        <w:rPr>
          <w:color w:val="auto"/>
        </w:rPr>
      </w:pPr>
      <w:r w:rsidRPr="00855721">
        <w:rPr>
          <w:rFonts w:ascii="Times New Roman" w:eastAsia="Times New Roman" w:hAnsi="Times New Roman"/>
          <w:color w:val="auto"/>
        </w:rPr>
        <w:t>7.2 Culture-Negative Infection Is a Decision Problem, Not a Diagnosis</w:t>
      </w:r>
    </w:p>
    <w:p w14:paraId="16FFF689" w14:textId="77777777" w:rsidR="002C4040" w:rsidRPr="00855721" w:rsidRDefault="00000000">
      <w:pPr>
        <w:jc w:val="both"/>
      </w:pPr>
      <w:r w:rsidRPr="00855721">
        <w:rPr>
          <w:rFonts w:eastAsia="Times New Roman"/>
        </w:rPr>
        <w:t>"Culture-negative sepsis" is often treated as a uniform category despite containing several biologically different states. A patient may have true bacterial infection with low organism burden, an infection at a site poorly sampled by routine culture, prior antibiotics that sterilised cultures, or a non-bacterial inflammatory syndrome. The de-escalation decision therefore cannot be derived from culture status alone.</w:t>
      </w:r>
    </w:p>
    <w:p w14:paraId="74A19CC4" w14:textId="77777777" w:rsidR="002C4040" w:rsidRPr="00855721" w:rsidRDefault="00000000">
      <w:pPr>
        <w:jc w:val="both"/>
      </w:pPr>
      <w:r w:rsidRPr="00855721">
        <w:rPr>
          <w:rFonts w:eastAsia="Times New Roman"/>
        </w:rPr>
        <w:t>Recent evidence is reassuring that early ADE is not associated with higher mortality in carefully defined culture-negative sepsis when early severity changes are considered (Ohnuma et al., 2026). The opt-out trial similarly shows that selected patients with negative blood cultures can undergo more frequent discontinuation safely (Moehring et al., 2023). Yet both approaches relied on eligibility or safety assessments. Their applicability should not be extended to uncontrolled shock, endovascular infection, undrained collections or other contexts where culture negativity has low exclusion value.</w:t>
      </w:r>
    </w:p>
    <w:p w14:paraId="7707F17A" w14:textId="77777777" w:rsidR="002C4040" w:rsidRPr="00855721" w:rsidRDefault="00000000">
      <w:pPr>
        <w:pStyle w:val="Heading2"/>
        <w:rPr>
          <w:color w:val="auto"/>
        </w:rPr>
      </w:pPr>
      <w:r w:rsidRPr="00855721">
        <w:rPr>
          <w:rFonts w:ascii="Times New Roman" w:eastAsia="Times New Roman" w:hAnsi="Times New Roman"/>
          <w:color w:val="auto"/>
        </w:rPr>
        <w:t>7.3 Adequacy of Initial Therapy Must Be Preserved</w:t>
      </w:r>
    </w:p>
    <w:p w14:paraId="06C7D347" w14:textId="77777777" w:rsidR="002C4040" w:rsidRPr="00855721" w:rsidRDefault="00000000">
      <w:pPr>
        <w:jc w:val="both"/>
      </w:pPr>
      <w:r w:rsidRPr="00855721">
        <w:rPr>
          <w:rFonts w:eastAsia="Times New Roman"/>
        </w:rPr>
        <w:t>A programme that maximises de-escalation without protecting initial adequacy is unsafe. In sepsis, inadequate empirical therapy remains associated with adverse outcomes, and rapid diagnostics sometimes need to trigger escalation rather than narrowing (Rhee et al., 2020). This makes ADE a second-stage optimisation process rather than a substitute for risk-based empirical therapy.</w:t>
      </w:r>
    </w:p>
    <w:p w14:paraId="3B010B4F" w14:textId="77777777" w:rsidR="002C4040" w:rsidRPr="00855721" w:rsidRDefault="00000000">
      <w:pPr>
        <w:jc w:val="both"/>
      </w:pPr>
      <w:r w:rsidRPr="00855721">
        <w:rPr>
          <w:rFonts w:eastAsia="Times New Roman"/>
        </w:rPr>
        <w:lastRenderedPageBreak/>
        <w:t>The practical sequence is therefore conditional. Initial therapy should reflect syndrome, severity, prior microbiology, recent antibiotic exposure, local resistance and source. Once the patient reaches a meaningful reassessment point, the question becomes which components are still required. If cultures identify a resistant organism, continuing a broad agent may be definitive rather than "failure to de-escalate". If cultures reveal susceptibility to a narrower drug, or repeatedly fail to support the resistant organisms for which coverage was added, narrowing becomes more defensible.</w:t>
      </w:r>
    </w:p>
    <w:p w14:paraId="321B983D" w14:textId="77777777" w:rsidR="002C4040" w:rsidRPr="00855721" w:rsidRDefault="00000000">
      <w:pPr>
        <w:pStyle w:val="Heading2"/>
        <w:rPr>
          <w:color w:val="auto"/>
        </w:rPr>
      </w:pPr>
      <w:r w:rsidRPr="00855721">
        <w:rPr>
          <w:rFonts w:ascii="Times New Roman" w:eastAsia="Times New Roman" w:hAnsi="Times New Roman"/>
          <w:color w:val="auto"/>
        </w:rPr>
        <w:t>7.4 Timing: The 48- to 72-Hour Reassessment Is a Window, Not a Rule</w:t>
      </w:r>
    </w:p>
    <w:p w14:paraId="67AC1B06" w14:textId="77777777" w:rsidR="002C4040" w:rsidRPr="00855721" w:rsidRDefault="00000000">
      <w:pPr>
        <w:jc w:val="both"/>
      </w:pPr>
      <w:r w:rsidRPr="00855721">
        <w:rPr>
          <w:rFonts w:eastAsia="Times New Roman"/>
        </w:rPr>
        <w:t>Many stewardship pathways emphasise review around 48-72 hours because conventional cultures and early clinical response often become informative then. The evidence does not support treating this interval as a rigid threshold. Rapid blood-culture diagnostics can make a safe modification possible within hours, while slow-growing organisms, difficult source control or delayed clinical response may require longer observation.</w:t>
      </w:r>
    </w:p>
    <w:p w14:paraId="50959E3A" w14:textId="77777777" w:rsidR="002C4040" w:rsidRPr="00855721" w:rsidRDefault="00000000">
      <w:pPr>
        <w:jc w:val="both"/>
      </w:pPr>
      <w:r w:rsidRPr="00855721">
        <w:rPr>
          <w:rFonts w:eastAsia="Times New Roman"/>
        </w:rPr>
        <w:t>The more important principle is that broad therapy should have an expiry on unreviewed status. At initiation, clinicians should specify when the regimen will be reconsidered and what data are expected to support continuation. A negative rapid test may justify an earlier review; a pending susceptibility result may justify a brief extension; persistent instability should trigger diagnostic reconsideration rather than automatic continuation of the original regimen. Reassessment should repeat when new information arrives.</w:t>
      </w:r>
    </w:p>
    <w:p w14:paraId="16E40A3D" w14:textId="77777777" w:rsidR="002C4040" w:rsidRPr="00855721" w:rsidRDefault="00000000">
      <w:pPr>
        <w:pStyle w:val="Heading2"/>
        <w:rPr>
          <w:color w:val="auto"/>
        </w:rPr>
      </w:pPr>
      <w:r w:rsidRPr="00855721">
        <w:rPr>
          <w:rFonts w:ascii="Times New Roman" w:eastAsia="Times New Roman" w:hAnsi="Times New Roman"/>
          <w:color w:val="auto"/>
        </w:rPr>
        <w:t>7.5 Behaviour, Hierarchy and Ownership</w:t>
      </w:r>
    </w:p>
    <w:p w14:paraId="4569809B" w14:textId="77777777" w:rsidR="002C4040" w:rsidRPr="00855721" w:rsidRDefault="00000000">
      <w:pPr>
        <w:jc w:val="both"/>
      </w:pPr>
      <w:r w:rsidRPr="00855721">
        <w:rPr>
          <w:rFonts w:eastAsia="Times New Roman"/>
        </w:rPr>
        <w:t>De-escalation often fails even when the evidence to support it is present. Team hand-offs, weekend coverage, uncertainty over who "owns" antibiotics, fear of contradicting an initial senior decision and lack of stewardship staff can all prolong broad therapy. STOP-Vanc demonstrates this directly: highly reliable negative MRSA PCR results did not produce a significant primary reduction in vancomycin exposure under usual-care decision-making (Freiberg et al., 2026). In contrast, pharmacist-driven and active-stewardship pathways more often shorten exposure (Bookstaver et al., 2017; Timbrook et al., 2026).</w:t>
      </w:r>
    </w:p>
    <w:p w14:paraId="7B7787DB" w14:textId="77777777" w:rsidR="002C4040" w:rsidRPr="00855721" w:rsidRDefault="00000000">
      <w:pPr>
        <w:jc w:val="both"/>
      </w:pPr>
      <w:r w:rsidRPr="00855721">
        <w:rPr>
          <w:rFonts w:eastAsia="Times New Roman"/>
        </w:rPr>
        <w:t>This suggests that successful implementation requires a named decision owner, a defined review time, interpretable diagnostic reporting, and low-friction authority to discontinue or recommend discontinuation. Education alone is unlikely to be sufficient if the workflow continues to reward inaction. The opt-out trial supports making continuation an active choice rather than the passive default (Moehring et al., 2023).</w:t>
      </w:r>
    </w:p>
    <w:p w14:paraId="33A3DCB0" w14:textId="77777777" w:rsidR="002C4040" w:rsidRPr="00855721" w:rsidRDefault="00000000">
      <w:pPr>
        <w:pStyle w:val="Heading2"/>
        <w:rPr>
          <w:color w:val="auto"/>
        </w:rPr>
      </w:pPr>
      <w:r w:rsidRPr="00855721">
        <w:rPr>
          <w:rFonts w:ascii="Times New Roman" w:eastAsia="Times New Roman" w:hAnsi="Times New Roman"/>
          <w:color w:val="auto"/>
        </w:rPr>
        <w:t>7.6 Measurement Can Create Perverse Incentives</w:t>
      </w:r>
    </w:p>
    <w:p w14:paraId="305616CB" w14:textId="77777777" w:rsidR="002C4040" w:rsidRPr="00855721" w:rsidRDefault="00000000">
      <w:pPr>
        <w:jc w:val="both"/>
      </w:pPr>
      <w:r w:rsidRPr="00855721">
        <w:rPr>
          <w:rFonts w:eastAsia="Times New Roman"/>
        </w:rPr>
        <w:t>If de-escalation rate becomes a performance target, clinicians and programmes may optimise the metric rather than the underlying clinical objective. Empirical therapy could be made unnecessarily broad so that subsequent narrowing appears successful. Alternatively, a switch to a numerically lower spectrum score could be recorded as improvement even if total antibiotic exposure lengthens. The Leone trial, in which the de-escalation arm accumulated more antibiotic days, is a reminder that spectrum and duration can move in opposite directions (Leone et al., 2014).</w:t>
      </w:r>
    </w:p>
    <w:p w14:paraId="71B52ED4" w14:textId="77777777" w:rsidR="002C4040" w:rsidRPr="00855721" w:rsidRDefault="00000000">
      <w:pPr>
        <w:jc w:val="both"/>
      </w:pPr>
      <w:r w:rsidRPr="00855721">
        <w:rPr>
          <w:rFonts w:eastAsia="Times New Roman"/>
        </w:rPr>
        <w:t>Quality measurement should therefore use balancing measures. A hospital-level ADE metric should be interpreted with initial spectrum, appropriateness, total days of therapy, re-escalation, treatment failure, resistant-pathogen prevalence and case mix. De Waele et al. (2020) argued against treating ADE as a simple intensive-care quality indicator for precisely this reason. Measurement is most useful as a prompt for structured review of variation, not as an isolated league table.</w:t>
      </w:r>
    </w:p>
    <w:p w14:paraId="4ED266FD" w14:textId="77777777" w:rsidR="002C4040" w:rsidRPr="00855721" w:rsidRDefault="00000000">
      <w:pPr>
        <w:pStyle w:val="Heading2"/>
        <w:rPr>
          <w:color w:val="auto"/>
        </w:rPr>
      </w:pPr>
      <w:r w:rsidRPr="00855721">
        <w:rPr>
          <w:rFonts w:ascii="Times New Roman" w:eastAsia="Times New Roman" w:hAnsi="Times New Roman"/>
          <w:color w:val="auto"/>
        </w:rPr>
        <w:lastRenderedPageBreak/>
        <w:t>7.7 Resource and Equity Constraints</w:t>
      </w:r>
    </w:p>
    <w:p w14:paraId="78C5C801" w14:textId="77777777" w:rsidR="002C4040" w:rsidRPr="00855721" w:rsidRDefault="00000000">
      <w:pPr>
        <w:jc w:val="both"/>
      </w:pPr>
      <w:r w:rsidRPr="00855721">
        <w:rPr>
          <w:rFonts w:eastAsia="Times New Roman"/>
        </w:rPr>
        <w:t>Many de-escalation strategies assume timely cultures, rapid diagnostics, stewardship pharmacists, infectious-diseases expertise and interoperable electronic data. These resources are unevenly distributed. In hospitals with delayed microbiology, limited susceptibility testing or high prevalence of multidrug-resistant organisms, opportunities for confident early narrowing may be fewer and the consequences of a wrong decision greater. Routsi et al. (2020) illustrate how microbiological feasibility itself declines in high-resistance settings.</w:t>
      </w:r>
    </w:p>
    <w:p w14:paraId="5696D53C" w14:textId="77777777" w:rsidR="002C4040" w:rsidRPr="00855721" w:rsidRDefault="00000000">
      <w:pPr>
        <w:jc w:val="both"/>
      </w:pPr>
      <w:r w:rsidRPr="00855721">
        <w:rPr>
          <w:rFonts w:eastAsia="Times New Roman"/>
        </w:rPr>
        <w:t>Resource-limited settings should not be judged against implementation rates generated in hospitals with advanced diagnostics. The relevant question is which locally available information can safely reduce unnecessary breadth. Improvements in specimen quality, timely conventional microbiology, standard antibiotic review, local antibiograms and clear responsibility may produce greater benefit than acquiring a rapid test without stewardship infrastructure. Comparative implementation research across income and resistance settings remains a major gap.</w:t>
      </w:r>
    </w:p>
    <w:p w14:paraId="737F36D6" w14:textId="77777777" w:rsidR="002C4040" w:rsidRPr="00855721" w:rsidRDefault="00000000">
      <w:pPr>
        <w:pStyle w:val="Heading1"/>
        <w:rPr>
          <w:color w:val="auto"/>
        </w:rPr>
      </w:pPr>
      <w:r w:rsidRPr="00855721">
        <w:rPr>
          <w:rFonts w:ascii="Times New Roman" w:eastAsia="Times New Roman" w:hAnsi="Times New Roman"/>
          <w:color w:val="auto"/>
        </w:rPr>
        <w:t>8. An Evidence-Calibrated Framework for Bedside De-escalation</w:t>
      </w:r>
    </w:p>
    <w:p w14:paraId="726799FD" w14:textId="77777777" w:rsidR="002C4040" w:rsidRPr="00855721" w:rsidRDefault="00000000">
      <w:pPr>
        <w:pStyle w:val="Heading2"/>
        <w:rPr>
          <w:color w:val="auto"/>
        </w:rPr>
      </w:pPr>
      <w:r w:rsidRPr="00855721">
        <w:rPr>
          <w:rFonts w:ascii="Times New Roman" w:eastAsia="Times New Roman" w:hAnsi="Times New Roman"/>
          <w:color w:val="auto"/>
        </w:rPr>
        <w:t>8.1 Confirm That the Initial Strategy Was Adequate and the Source Is Controlled</w:t>
      </w:r>
    </w:p>
    <w:p w14:paraId="0B8B6EA2" w14:textId="77777777" w:rsidR="002C4040" w:rsidRPr="00855721" w:rsidRDefault="00000000">
      <w:pPr>
        <w:jc w:val="both"/>
      </w:pPr>
      <w:r w:rsidRPr="00855721">
        <w:rPr>
          <w:rFonts w:eastAsia="Times New Roman"/>
        </w:rPr>
        <w:t>The first de-escalation question is not "Can I use a narrower antibiotic?" but "What problem am I treating now?" The initial syndrome and severity should be restated, including whether the patient actually met a plausible bacterial infection phenotype and whether source control has occurred. A patient with an undrained abscess, persistent bacteraemia or haemodynamic deterioration may need diagnostic escalation rather than antimicrobial narrowing. If empirical therapy was inadequate, correcting coverage takes priority over stewardship reduction.</w:t>
      </w:r>
    </w:p>
    <w:p w14:paraId="7F1FE9BB" w14:textId="77777777" w:rsidR="002C4040" w:rsidRPr="00855721" w:rsidRDefault="00000000">
      <w:pPr>
        <w:jc w:val="both"/>
      </w:pPr>
      <w:r w:rsidRPr="00855721">
        <w:rPr>
          <w:rFonts w:eastAsia="Times New Roman"/>
        </w:rPr>
        <w:t>Adequacy should be assessed against the pathogens now considered plausible, not the original differential. This is where susceptibility data, prior colonisation, local resistance and anatomical source matter. For documented infection, definitive therapy should cover the established pathogen at the site using the least unnecessarily broad regimen that remains pharmacologically and clinically appropriate. For unconfirmed infection, the probability that antibiotics are needed at all becomes central.</w:t>
      </w:r>
    </w:p>
    <w:p w14:paraId="0656A392" w14:textId="77777777" w:rsidR="002C4040" w:rsidRPr="00855721" w:rsidRDefault="00000000">
      <w:pPr>
        <w:pStyle w:val="Heading2"/>
        <w:rPr>
          <w:color w:val="auto"/>
        </w:rPr>
      </w:pPr>
      <w:r w:rsidRPr="00855721">
        <w:rPr>
          <w:rFonts w:ascii="Times New Roman" w:eastAsia="Times New Roman" w:hAnsi="Times New Roman"/>
          <w:color w:val="auto"/>
        </w:rPr>
        <w:t>8.2 Re-estimate the Probability of Bacterial Infection</w:t>
      </w:r>
    </w:p>
    <w:p w14:paraId="44CDDC99" w14:textId="77777777" w:rsidR="002C4040" w:rsidRPr="00855721" w:rsidRDefault="00000000">
      <w:pPr>
        <w:jc w:val="both"/>
      </w:pPr>
      <w:r w:rsidRPr="00855721">
        <w:rPr>
          <w:rFonts w:eastAsia="Times New Roman"/>
        </w:rPr>
        <w:t>A de-escalation decision is fundamentally Bayesian even when clinicians do not calculate a formal probability. The pre-test probability comes from syndrome, host factors and severity. New evidence then shifts it: negative blood cultures, a negative MRSA nasal PCR, absence of a focal bacterial source, rapid improvement without source-specific findings, or a competing non-bacterial diagnosis can lower the probability. Conversely, persistent focal signs, purulence, new imaging findings or worsening organ dysfunction may increase it.</w:t>
      </w:r>
    </w:p>
    <w:p w14:paraId="2894BB24" w14:textId="77777777" w:rsidR="002C4040" w:rsidRPr="00855721" w:rsidRDefault="00000000">
      <w:pPr>
        <w:jc w:val="both"/>
      </w:pPr>
      <w:r w:rsidRPr="00855721">
        <w:rPr>
          <w:rFonts w:eastAsia="Times New Roman"/>
        </w:rPr>
        <w:t>A single negative test should have influence proportional to its sensitivity, timing and applicability. MRSA nasal PCR is valuable for ruling out MRSA pneumonia in appropriate populations but does not rule out non-MRSA bacterial pneumonia. Negative blood cultures are expected in many non-bacteraemic infections. Procalcitonin trends can support discontinuation in selected sepsis populations but cannot determine which drug covers a known isolate (Kubo et al., 2024; Parente et al., 2018). The framework therefore treats tests as likelihood-modifying evidence rather than commands.</w:t>
      </w:r>
    </w:p>
    <w:p w14:paraId="6CDC1A95" w14:textId="77777777" w:rsidR="002C4040" w:rsidRPr="00855721" w:rsidRDefault="00000000">
      <w:pPr>
        <w:pStyle w:val="Heading2"/>
        <w:rPr>
          <w:color w:val="auto"/>
        </w:rPr>
      </w:pPr>
      <w:r w:rsidRPr="00855721">
        <w:rPr>
          <w:rFonts w:ascii="Times New Roman" w:eastAsia="Times New Roman" w:hAnsi="Times New Roman"/>
          <w:color w:val="auto"/>
        </w:rPr>
        <w:lastRenderedPageBreak/>
        <w:t>8.3 Match the De-escalation Action to the Uncertainty That Has Resolved</w:t>
      </w:r>
    </w:p>
    <w:p w14:paraId="52F4C368" w14:textId="77777777" w:rsidR="002C4040" w:rsidRPr="00855721" w:rsidRDefault="00000000">
      <w:pPr>
        <w:jc w:val="both"/>
      </w:pPr>
      <w:r w:rsidRPr="00855721">
        <w:rPr>
          <w:rFonts w:eastAsia="Times New Roman"/>
        </w:rPr>
        <w:t>The correct action depends on what has become less uncertain. If a pathogen and susceptibilities are known, spectrum narrowing is usually the relevant action. If combination therapy was started to hedge against resistance or achieve broad coverage and one component is no longer needed, dropping the redundant agent is appropriate. If the infection diagnosis itself has become unlikely, complete discontinuation may be better than replacing one antibiotic with another.</w:t>
      </w:r>
    </w:p>
    <w:p w14:paraId="12F96199" w14:textId="77777777" w:rsidR="002C4040" w:rsidRPr="00855721" w:rsidRDefault="00000000">
      <w:pPr>
        <w:jc w:val="both"/>
      </w:pPr>
      <w:r w:rsidRPr="00855721">
        <w:rPr>
          <w:rFonts w:eastAsia="Times New Roman"/>
        </w:rPr>
        <w:t>This separation helps avoid a common conceptual error: substituting a narrower drug when the stronger stewardship decision is to stop therapy. It also prevents the opposite error of stopping all therapy when only a resistance concern has been resolved. Kam et al. (2025) found clinically important differences between narrowing and cessation subgroups, reinforcing that these actions should not be collapsed analytically or at the bedside.</w:t>
      </w:r>
    </w:p>
    <w:p w14:paraId="0421E4E1" w14:textId="77777777" w:rsidR="002C4040" w:rsidRPr="00855721" w:rsidRDefault="00000000">
      <w:pPr>
        <w:pStyle w:val="Heading2"/>
        <w:rPr>
          <w:color w:val="auto"/>
        </w:rPr>
      </w:pPr>
      <w:r w:rsidRPr="00855721">
        <w:rPr>
          <w:rFonts w:ascii="Times New Roman" w:eastAsia="Times New Roman" w:hAnsi="Times New Roman"/>
          <w:color w:val="auto"/>
        </w:rPr>
        <w:t>8.4 Incorporate Host Risk and Consequences of Failure</w:t>
      </w:r>
    </w:p>
    <w:p w14:paraId="23564B5B" w14:textId="77777777" w:rsidR="002C4040" w:rsidRPr="00855721" w:rsidRDefault="00000000">
      <w:pPr>
        <w:jc w:val="both"/>
      </w:pPr>
      <w:r w:rsidRPr="00855721">
        <w:rPr>
          <w:rFonts w:eastAsia="Times New Roman"/>
        </w:rPr>
        <w:t>Identical diagnostic evidence can reasonably lead to different decisions in different hosts. A clinically stable immunocompetent patient with negative cultures and a convincing non-infectious diagnosis may tolerate rapid cessation. A profoundly neutropenic patient with persistent fever, unstable physiology and an incompletely evaluated source may not. The evidence base for ADE in such high-risk populations is smaller, so greater diagnostic confidence or a narrower, reversible step may be justified (Kroll et al., 2016; Tanzarella et al., 2024).</w:t>
      </w:r>
    </w:p>
    <w:p w14:paraId="40959DB4" w14:textId="77777777" w:rsidR="002C4040" w:rsidRPr="00855721" w:rsidRDefault="00000000">
      <w:pPr>
        <w:jc w:val="both"/>
      </w:pPr>
      <w:r w:rsidRPr="00855721">
        <w:rPr>
          <w:rFonts w:eastAsia="Times New Roman"/>
        </w:rPr>
        <w:t>This is not an argument for indefinite broad-spectrum treatment in high-risk patients. Continued exposure also causes harm, and resistant organisms may be selected by unnecessary therapy. It is an argument for explicitly weighting the cost of treatment failure, rescue options, host immune function and follow-up intensity when deciding how far to de-escalate.</w:t>
      </w:r>
    </w:p>
    <w:p w14:paraId="46CFCC58" w14:textId="77777777" w:rsidR="002C4040" w:rsidRPr="00855721" w:rsidRDefault="00000000">
      <w:pPr>
        <w:pStyle w:val="Heading2"/>
        <w:rPr>
          <w:color w:val="auto"/>
        </w:rPr>
      </w:pPr>
      <w:r w:rsidRPr="00855721">
        <w:rPr>
          <w:rFonts w:ascii="Times New Roman" w:eastAsia="Times New Roman" w:hAnsi="Times New Roman"/>
          <w:color w:val="auto"/>
        </w:rPr>
        <w:t>8.5 Document the Rationale and Set a New Review Trigger</w:t>
      </w:r>
    </w:p>
    <w:p w14:paraId="2CDF3086" w14:textId="77777777" w:rsidR="002C4040" w:rsidRPr="00855721" w:rsidRDefault="00000000">
      <w:pPr>
        <w:jc w:val="both"/>
      </w:pPr>
      <w:r w:rsidRPr="00855721">
        <w:rPr>
          <w:rFonts w:eastAsia="Times New Roman"/>
        </w:rPr>
        <w:t>Every continuation or de-escalation decision should end with a documented reason and a next trigger. A useful note states the working diagnosis, relevant microbiology, why resistant coverage is or is not still needed, the selected definitive regimen, intended duration, and what change would prompt re-escalation. This improves hand-offs and reduces the chance that a broad empirical regimen persists simply because no clinician revisits it.</w:t>
      </w:r>
    </w:p>
    <w:p w14:paraId="09555562" w14:textId="77777777" w:rsidR="002C4040" w:rsidRPr="00855721" w:rsidRDefault="00000000">
      <w:pPr>
        <w:jc w:val="both"/>
      </w:pPr>
      <w:r w:rsidRPr="00855721">
        <w:rPr>
          <w:rFonts w:eastAsia="Times New Roman"/>
        </w:rPr>
        <w:t>If therapy is continued despite negative or narrowing data, the reason should be clinically specific, such as unresolved source control or persistent shock, rather than generic "severity". If therapy is narrowed, teams should define what constitutes failure. If it is stopped, the patient should still be monitored for a clinical trajectory that would reopen the infection hypothesis. De-escalation is safer when it is an explicit, reversible decision embedded in ongoing diagnostic reasoning rather than a one-time stewardship checkbox.</w:t>
      </w:r>
    </w:p>
    <w:p w14:paraId="29B935C5" w14:textId="77777777" w:rsidR="002C4040" w:rsidRPr="00855721" w:rsidRDefault="00000000">
      <w:pPr>
        <w:jc w:val="both"/>
      </w:pPr>
      <w:r w:rsidRPr="00855721">
        <w:rPr>
          <w:rFonts w:eastAsia="Times New Roman"/>
        </w:rPr>
        <w:t>The bedside framework in Table 5 translates the evidence into a sequence of decisions while preserving clinical discretion. It deliberately avoids a universal requirement to narrow by a specified hour. The most defensible target is timely, documented reassessment that produces the least broad regimen consistent with current evidence and patient risk.</w:t>
      </w:r>
    </w:p>
    <w:p w14:paraId="41507DA4" w14:textId="77777777" w:rsidR="002C4040" w:rsidRPr="00855721" w:rsidRDefault="00000000">
      <w:pPr>
        <w:pStyle w:val="TableCaption"/>
      </w:pPr>
      <w:r w:rsidRPr="00855721">
        <w:rPr>
          <w:rFonts w:eastAsia="Times New Roman"/>
        </w:rPr>
        <w:lastRenderedPageBreak/>
        <w:t>Table 5. Evidence-calibrated bedside framework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008"/>
        <w:gridCol w:w="1872"/>
        <w:gridCol w:w="2304"/>
        <w:gridCol w:w="2304"/>
        <w:gridCol w:w="1584"/>
        <w:gridCol w:w="864"/>
      </w:tblGrid>
      <w:tr w:rsidR="00855721" w:rsidRPr="00855721" w14:paraId="66A4019D" w14:textId="77777777" w:rsidTr="00855721">
        <w:trPr>
          <w:cantSplit/>
          <w:tblHeader/>
          <w:jc w:val="center"/>
        </w:trPr>
        <w:tc>
          <w:tcPr>
            <w:tcW w:w="1008" w:type="dxa"/>
            <w:tcMar>
              <w:top w:w="85" w:type="dxa"/>
              <w:left w:w="85" w:type="dxa"/>
              <w:bottom w:w="85" w:type="dxa"/>
              <w:right w:w="85" w:type="dxa"/>
            </w:tcMar>
            <w:vAlign w:val="center"/>
          </w:tcPr>
          <w:p w14:paraId="47F0C376" w14:textId="77777777" w:rsidR="002C4040" w:rsidRPr="00855721" w:rsidRDefault="00000000">
            <w:pPr>
              <w:spacing w:after="0" w:line="240" w:lineRule="auto"/>
              <w:jc w:val="center"/>
            </w:pPr>
            <w:r w:rsidRPr="00855721">
              <w:rPr>
                <w:rFonts w:eastAsia="Times New Roman"/>
                <w:b/>
                <w:sz w:val="16"/>
              </w:rPr>
              <w:t>Stage</w:t>
            </w:r>
          </w:p>
        </w:tc>
        <w:tc>
          <w:tcPr>
            <w:tcW w:w="1872" w:type="dxa"/>
            <w:tcMar>
              <w:top w:w="85" w:type="dxa"/>
              <w:left w:w="85" w:type="dxa"/>
              <w:bottom w:w="85" w:type="dxa"/>
              <w:right w:w="85" w:type="dxa"/>
            </w:tcMar>
            <w:vAlign w:val="center"/>
          </w:tcPr>
          <w:p w14:paraId="7A875942" w14:textId="77777777" w:rsidR="002C4040" w:rsidRPr="00855721" w:rsidRDefault="00000000">
            <w:pPr>
              <w:spacing w:after="0" w:line="240" w:lineRule="auto"/>
              <w:jc w:val="center"/>
            </w:pPr>
            <w:r w:rsidRPr="00855721">
              <w:rPr>
                <w:rFonts w:eastAsia="Times New Roman"/>
                <w:b/>
                <w:sz w:val="16"/>
              </w:rPr>
              <w:t>Key question</w:t>
            </w:r>
          </w:p>
        </w:tc>
        <w:tc>
          <w:tcPr>
            <w:tcW w:w="2304" w:type="dxa"/>
            <w:tcMar>
              <w:top w:w="85" w:type="dxa"/>
              <w:left w:w="85" w:type="dxa"/>
              <w:bottom w:w="85" w:type="dxa"/>
              <w:right w:w="85" w:type="dxa"/>
            </w:tcMar>
            <w:vAlign w:val="center"/>
          </w:tcPr>
          <w:p w14:paraId="35783F8C" w14:textId="77777777" w:rsidR="002C4040" w:rsidRPr="00855721" w:rsidRDefault="00000000">
            <w:pPr>
              <w:spacing w:after="0" w:line="240" w:lineRule="auto"/>
              <w:jc w:val="center"/>
            </w:pPr>
            <w:r w:rsidRPr="00855721">
              <w:rPr>
                <w:rFonts w:eastAsia="Times New Roman"/>
                <w:b/>
                <w:sz w:val="16"/>
              </w:rPr>
              <w:t>Signals favouring de-escalation</w:t>
            </w:r>
          </w:p>
        </w:tc>
        <w:tc>
          <w:tcPr>
            <w:tcW w:w="2304" w:type="dxa"/>
            <w:tcMar>
              <w:top w:w="85" w:type="dxa"/>
              <w:left w:w="85" w:type="dxa"/>
              <w:bottom w:w="85" w:type="dxa"/>
              <w:right w:w="85" w:type="dxa"/>
            </w:tcMar>
            <w:vAlign w:val="center"/>
          </w:tcPr>
          <w:p w14:paraId="612AC063" w14:textId="77777777" w:rsidR="002C4040" w:rsidRPr="00855721" w:rsidRDefault="00000000">
            <w:pPr>
              <w:spacing w:after="0" w:line="240" w:lineRule="auto"/>
              <w:jc w:val="center"/>
            </w:pPr>
            <w:r w:rsidRPr="00855721">
              <w:rPr>
                <w:rFonts w:eastAsia="Times New Roman"/>
                <w:b/>
                <w:sz w:val="16"/>
              </w:rPr>
              <w:t>Reasons to continue or modify broad therapy</w:t>
            </w:r>
          </w:p>
        </w:tc>
        <w:tc>
          <w:tcPr>
            <w:tcW w:w="1584" w:type="dxa"/>
            <w:tcMar>
              <w:top w:w="85" w:type="dxa"/>
              <w:left w:w="85" w:type="dxa"/>
              <w:bottom w:w="85" w:type="dxa"/>
              <w:right w:w="85" w:type="dxa"/>
            </w:tcMar>
            <w:vAlign w:val="center"/>
          </w:tcPr>
          <w:p w14:paraId="402390B3" w14:textId="77777777" w:rsidR="002C4040" w:rsidRPr="00855721" w:rsidRDefault="00000000">
            <w:pPr>
              <w:spacing w:after="0" w:line="240" w:lineRule="auto"/>
              <w:jc w:val="center"/>
            </w:pPr>
            <w:r w:rsidRPr="00855721">
              <w:rPr>
                <w:rFonts w:eastAsia="Times New Roman"/>
                <w:b/>
                <w:sz w:val="16"/>
              </w:rPr>
              <w:t>Action</w:t>
            </w:r>
          </w:p>
        </w:tc>
        <w:tc>
          <w:tcPr>
            <w:tcW w:w="864" w:type="dxa"/>
            <w:tcMar>
              <w:top w:w="85" w:type="dxa"/>
              <w:left w:w="85" w:type="dxa"/>
              <w:bottom w:w="85" w:type="dxa"/>
              <w:right w:w="85" w:type="dxa"/>
            </w:tcMar>
            <w:vAlign w:val="center"/>
          </w:tcPr>
          <w:p w14:paraId="2F72EABC"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E13E0F8" w14:textId="77777777" w:rsidTr="00855721">
        <w:trPr>
          <w:cantSplit/>
          <w:jc w:val="center"/>
        </w:trPr>
        <w:tc>
          <w:tcPr>
            <w:tcW w:w="1008" w:type="dxa"/>
            <w:tcMar>
              <w:top w:w="85" w:type="dxa"/>
              <w:left w:w="85" w:type="dxa"/>
              <w:bottom w:w="85" w:type="dxa"/>
              <w:right w:w="85" w:type="dxa"/>
            </w:tcMar>
            <w:vAlign w:val="center"/>
          </w:tcPr>
          <w:p w14:paraId="3CDEE3A3" w14:textId="77777777" w:rsidR="002C4040" w:rsidRPr="00855721" w:rsidRDefault="00000000">
            <w:pPr>
              <w:spacing w:after="0" w:line="240" w:lineRule="auto"/>
            </w:pPr>
            <w:r w:rsidRPr="00855721">
              <w:rPr>
                <w:rFonts w:eastAsia="Times New Roman"/>
                <w:sz w:val="16"/>
              </w:rPr>
              <w:t>1. Reconfirm problem</w:t>
            </w:r>
          </w:p>
        </w:tc>
        <w:tc>
          <w:tcPr>
            <w:tcW w:w="1872" w:type="dxa"/>
            <w:tcMar>
              <w:top w:w="85" w:type="dxa"/>
              <w:left w:w="85" w:type="dxa"/>
              <w:bottom w:w="85" w:type="dxa"/>
              <w:right w:w="85" w:type="dxa"/>
            </w:tcMar>
            <w:vAlign w:val="center"/>
          </w:tcPr>
          <w:p w14:paraId="4DCFCADE" w14:textId="77777777" w:rsidR="002C4040" w:rsidRPr="00855721" w:rsidRDefault="00000000">
            <w:pPr>
              <w:spacing w:after="0" w:line="240" w:lineRule="auto"/>
            </w:pPr>
            <w:r w:rsidRPr="00855721">
              <w:rPr>
                <w:rFonts w:eastAsia="Times New Roman"/>
                <w:sz w:val="16"/>
              </w:rPr>
              <w:t>What syndrome is being treated, and was initial therapy adequate?</w:t>
            </w:r>
          </w:p>
        </w:tc>
        <w:tc>
          <w:tcPr>
            <w:tcW w:w="2304" w:type="dxa"/>
            <w:tcMar>
              <w:top w:w="85" w:type="dxa"/>
              <w:left w:w="85" w:type="dxa"/>
              <w:bottom w:w="85" w:type="dxa"/>
              <w:right w:w="85" w:type="dxa"/>
            </w:tcMar>
            <w:vAlign w:val="center"/>
          </w:tcPr>
          <w:p w14:paraId="37A67AA5" w14:textId="77777777" w:rsidR="002C4040" w:rsidRPr="00855721" w:rsidRDefault="00000000">
            <w:pPr>
              <w:spacing w:after="0" w:line="240" w:lineRule="auto"/>
            </w:pPr>
            <w:r w:rsidRPr="00855721">
              <w:rPr>
                <w:rFonts w:eastAsia="Times New Roman"/>
                <w:sz w:val="16"/>
              </w:rPr>
              <w:t>Source identified or controlled; likely pathogens are now better defined.</w:t>
            </w:r>
          </w:p>
        </w:tc>
        <w:tc>
          <w:tcPr>
            <w:tcW w:w="2304" w:type="dxa"/>
            <w:tcMar>
              <w:top w:w="85" w:type="dxa"/>
              <w:left w:w="85" w:type="dxa"/>
              <w:bottom w:w="85" w:type="dxa"/>
              <w:right w:w="85" w:type="dxa"/>
            </w:tcMar>
            <w:vAlign w:val="center"/>
          </w:tcPr>
          <w:p w14:paraId="08BBD72C" w14:textId="77777777" w:rsidR="002C4040" w:rsidRPr="00855721" w:rsidRDefault="00000000">
            <w:pPr>
              <w:spacing w:after="0" w:line="240" w:lineRule="auto"/>
            </w:pPr>
            <w:r w:rsidRPr="00855721">
              <w:rPr>
                <w:rFonts w:eastAsia="Times New Roman"/>
                <w:sz w:val="16"/>
              </w:rPr>
              <w:t>Shock, uncontrolled source, persistent bacteraemia or evidence initial therapy missed the pathogen.</w:t>
            </w:r>
          </w:p>
        </w:tc>
        <w:tc>
          <w:tcPr>
            <w:tcW w:w="1584" w:type="dxa"/>
            <w:tcMar>
              <w:top w:w="85" w:type="dxa"/>
              <w:left w:w="85" w:type="dxa"/>
              <w:bottom w:w="85" w:type="dxa"/>
              <w:right w:w="85" w:type="dxa"/>
            </w:tcMar>
            <w:vAlign w:val="center"/>
          </w:tcPr>
          <w:p w14:paraId="293A748C" w14:textId="77777777" w:rsidR="002C4040" w:rsidRPr="00855721" w:rsidRDefault="00000000">
            <w:pPr>
              <w:spacing w:after="0" w:line="240" w:lineRule="auto"/>
            </w:pPr>
            <w:r w:rsidRPr="00855721">
              <w:rPr>
                <w:rFonts w:eastAsia="Times New Roman"/>
                <w:sz w:val="16"/>
              </w:rPr>
              <w:t>Correct inadequacy first; do not de-escalate merely to meet a target.</w:t>
            </w:r>
          </w:p>
        </w:tc>
        <w:tc>
          <w:tcPr>
            <w:tcW w:w="864" w:type="dxa"/>
            <w:tcMar>
              <w:top w:w="85" w:type="dxa"/>
              <w:left w:w="85" w:type="dxa"/>
              <w:bottom w:w="85" w:type="dxa"/>
              <w:right w:w="85" w:type="dxa"/>
            </w:tcMar>
            <w:vAlign w:val="center"/>
          </w:tcPr>
          <w:p w14:paraId="4295F63A" w14:textId="77777777" w:rsidR="002C4040" w:rsidRPr="00855721" w:rsidRDefault="00000000">
            <w:pPr>
              <w:spacing w:after="0" w:line="240" w:lineRule="auto"/>
            </w:pPr>
            <w:r w:rsidRPr="00855721">
              <w:rPr>
                <w:rFonts w:eastAsia="Times New Roman"/>
                <w:sz w:val="16"/>
              </w:rPr>
              <w:t>Evans et al. (2021); Rhee et al. (2020)</w:t>
            </w:r>
          </w:p>
        </w:tc>
      </w:tr>
      <w:tr w:rsidR="00855721" w:rsidRPr="00855721" w14:paraId="577495AC" w14:textId="77777777" w:rsidTr="00855721">
        <w:trPr>
          <w:cantSplit/>
          <w:jc w:val="center"/>
        </w:trPr>
        <w:tc>
          <w:tcPr>
            <w:tcW w:w="1008" w:type="dxa"/>
            <w:tcMar>
              <w:top w:w="85" w:type="dxa"/>
              <w:left w:w="85" w:type="dxa"/>
              <w:bottom w:w="85" w:type="dxa"/>
              <w:right w:w="85" w:type="dxa"/>
            </w:tcMar>
            <w:vAlign w:val="center"/>
          </w:tcPr>
          <w:p w14:paraId="2BAA5207" w14:textId="77777777" w:rsidR="002C4040" w:rsidRPr="00855721" w:rsidRDefault="00000000">
            <w:pPr>
              <w:spacing w:after="0" w:line="240" w:lineRule="auto"/>
            </w:pPr>
            <w:r w:rsidRPr="00855721">
              <w:rPr>
                <w:rFonts w:eastAsia="Times New Roman"/>
                <w:sz w:val="16"/>
              </w:rPr>
              <w:t>2. Re-estimate infection probability</w:t>
            </w:r>
          </w:p>
        </w:tc>
        <w:tc>
          <w:tcPr>
            <w:tcW w:w="1872" w:type="dxa"/>
            <w:tcMar>
              <w:top w:w="85" w:type="dxa"/>
              <w:left w:w="85" w:type="dxa"/>
              <w:bottom w:w="85" w:type="dxa"/>
              <w:right w:w="85" w:type="dxa"/>
            </w:tcMar>
            <w:vAlign w:val="center"/>
          </w:tcPr>
          <w:p w14:paraId="40199868" w14:textId="77777777" w:rsidR="002C4040" w:rsidRPr="00855721" w:rsidRDefault="00000000">
            <w:pPr>
              <w:spacing w:after="0" w:line="240" w:lineRule="auto"/>
            </w:pPr>
            <w:r w:rsidRPr="00855721">
              <w:rPr>
                <w:rFonts w:eastAsia="Times New Roman"/>
                <w:sz w:val="16"/>
              </w:rPr>
              <w:t>Is ongoing bacterial infection still sufficiently likely to require treatment?</w:t>
            </w:r>
          </w:p>
        </w:tc>
        <w:tc>
          <w:tcPr>
            <w:tcW w:w="2304" w:type="dxa"/>
            <w:tcMar>
              <w:top w:w="85" w:type="dxa"/>
              <w:left w:w="85" w:type="dxa"/>
              <w:bottom w:w="85" w:type="dxa"/>
              <w:right w:w="85" w:type="dxa"/>
            </w:tcMar>
            <w:vAlign w:val="center"/>
          </w:tcPr>
          <w:p w14:paraId="30F89AA9" w14:textId="77777777" w:rsidR="002C4040" w:rsidRPr="00855721" w:rsidRDefault="00000000">
            <w:pPr>
              <w:spacing w:after="0" w:line="240" w:lineRule="auto"/>
            </w:pPr>
            <w:r w:rsidRPr="00855721">
              <w:rPr>
                <w:rFonts w:eastAsia="Times New Roman"/>
                <w:sz w:val="16"/>
              </w:rPr>
              <w:t>Improving physiology, credible competing diagnosis, negative tests with appropriate exclusion value.</w:t>
            </w:r>
          </w:p>
        </w:tc>
        <w:tc>
          <w:tcPr>
            <w:tcW w:w="2304" w:type="dxa"/>
            <w:tcMar>
              <w:top w:w="85" w:type="dxa"/>
              <w:left w:w="85" w:type="dxa"/>
              <w:bottom w:w="85" w:type="dxa"/>
              <w:right w:w="85" w:type="dxa"/>
            </w:tcMar>
            <w:vAlign w:val="center"/>
          </w:tcPr>
          <w:p w14:paraId="4C5206CE" w14:textId="77777777" w:rsidR="002C4040" w:rsidRPr="00855721" w:rsidRDefault="00000000">
            <w:pPr>
              <w:spacing w:after="0" w:line="240" w:lineRule="auto"/>
            </w:pPr>
            <w:r w:rsidRPr="00855721">
              <w:rPr>
                <w:rFonts w:eastAsia="Times New Roman"/>
                <w:sz w:val="16"/>
              </w:rPr>
              <w:t>Persistent focal signs, new organ dysfunction, unreliable sampling or high pre-test probability despite negative tests.</w:t>
            </w:r>
          </w:p>
        </w:tc>
        <w:tc>
          <w:tcPr>
            <w:tcW w:w="1584" w:type="dxa"/>
            <w:tcMar>
              <w:top w:w="85" w:type="dxa"/>
              <w:left w:w="85" w:type="dxa"/>
              <w:bottom w:w="85" w:type="dxa"/>
              <w:right w:w="85" w:type="dxa"/>
            </w:tcMar>
            <w:vAlign w:val="center"/>
          </w:tcPr>
          <w:p w14:paraId="01DBFCA2" w14:textId="77777777" w:rsidR="002C4040" w:rsidRPr="00855721" w:rsidRDefault="00000000">
            <w:pPr>
              <w:spacing w:after="0" w:line="240" w:lineRule="auto"/>
            </w:pPr>
            <w:r w:rsidRPr="00855721">
              <w:rPr>
                <w:rFonts w:eastAsia="Times New Roman"/>
                <w:sz w:val="16"/>
              </w:rPr>
              <w:t>Stop therapy if bacterial infection has become unlikely; otherwise proceed to spectrum review.</w:t>
            </w:r>
          </w:p>
        </w:tc>
        <w:tc>
          <w:tcPr>
            <w:tcW w:w="864" w:type="dxa"/>
            <w:tcMar>
              <w:top w:w="85" w:type="dxa"/>
              <w:left w:w="85" w:type="dxa"/>
              <w:bottom w:w="85" w:type="dxa"/>
              <w:right w:w="85" w:type="dxa"/>
            </w:tcMar>
            <w:vAlign w:val="center"/>
          </w:tcPr>
          <w:p w14:paraId="6F7786A0" w14:textId="77777777" w:rsidR="002C4040" w:rsidRPr="00855721" w:rsidRDefault="00000000">
            <w:pPr>
              <w:spacing w:after="0" w:line="240" w:lineRule="auto"/>
            </w:pPr>
            <w:r w:rsidRPr="00855721">
              <w:rPr>
                <w:rFonts w:eastAsia="Times New Roman"/>
                <w:sz w:val="16"/>
              </w:rPr>
              <w:t>Moehring et al. (2023); Ohnuma et al. (2026)</w:t>
            </w:r>
          </w:p>
        </w:tc>
      </w:tr>
      <w:tr w:rsidR="00855721" w:rsidRPr="00855721" w14:paraId="372BE604" w14:textId="77777777" w:rsidTr="00855721">
        <w:trPr>
          <w:cantSplit/>
          <w:jc w:val="center"/>
        </w:trPr>
        <w:tc>
          <w:tcPr>
            <w:tcW w:w="1008" w:type="dxa"/>
            <w:tcMar>
              <w:top w:w="85" w:type="dxa"/>
              <w:left w:w="85" w:type="dxa"/>
              <w:bottom w:w="85" w:type="dxa"/>
              <w:right w:w="85" w:type="dxa"/>
            </w:tcMar>
            <w:vAlign w:val="center"/>
          </w:tcPr>
          <w:p w14:paraId="2E9EC778" w14:textId="77777777" w:rsidR="002C4040" w:rsidRPr="00855721" w:rsidRDefault="00000000">
            <w:pPr>
              <w:spacing w:after="0" w:line="240" w:lineRule="auto"/>
            </w:pPr>
            <w:r w:rsidRPr="00855721">
              <w:rPr>
                <w:rFonts w:eastAsia="Times New Roman"/>
                <w:sz w:val="16"/>
              </w:rPr>
              <w:t>3. Interrogate microbiology</w:t>
            </w:r>
          </w:p>
        </w:tc>
        <w:tc>
          <w:tcPr>
            <w:tcW w:w="1872" w:type="dxa"/>
            <w:tcMar>
              <w:top w:w="85" w:type="dxa"/>
              <w:left w:w="85" w:type="dxa"/>
              <w:bottom w:w="85" w:type="dxa"/>
              <w:right w:w="85" w:type="dxa"/>
            </w:tcMar>
            <w:vAlign w:val="center"/>
          </w:tcPr>
          <w:p w14:paraId="1C571439" w14:textId="77777777" w:rsidR="002C4040" w:rsidRPr="00855721" w:rsidRDefault="00000000">
            <w:pPr>
              <w:spacing w:after="0" w:line="240" w:lineRule="auto"/>
            </w:pPr>
            <w:r w:rsidRPr="00855721">
              <w:rPr>
                <w:rFonts w:eastAsia="Times New Roman"/>
                <w:sz w:val="16"/>
              </w:rPr>
              <w:t>Which pathogens and resistance mechanisms remain plausible now?</w:t>
            </w:r>
          </w:p>
        </w:tc>
        <w:tc>
          <w:tcPr>
            <w:tcW w:w="2304" w:type="dxa"/>
            <w:tcMar>
              <w:top w:w="85" w:type="dxa"/>
              <w:left w:w="85" w:type="dxa"/>
              <w:bottom w:w="85" w:type="dxa"/>
              <w:right w:w="85" w:type="dxa"/>
            </w:tcMar>
            <w:vAlign w:val="center"/>
          </w:tcPr>
          <w:p w14:paraId="53AF8913" w14:textId="77777777" w:rsidR="002C4040" w:rsidRPr="00855721" w:rsidRDefault="00000000">
            <w:pPr>
              <w:spacing w:after="0" w:line="240" w:lineRule="auto"/>
            </w:pPr>
            <w:r w:rsidRPr="00855721">
              <w:rPr>
                <w:rFonts w:eastAsia="Times New Roman"/>
                <w:sz w:val="16"/>
              </w:rPr>
              <w:t>Definitive susceptible isolate; negative resistant-pathogen test with strong local predictive value.</w:t>
            </w:r>
          </w:p>
        </w:tc>
        <w:tc>
          <w:tcPr>
            <w:tcW w:w="2304" w:type="dxa"/>
            <w:tcMar>
              <w:top w:w="85" w:type="dxa"/>
              <w:left w:w="85" w:type="dxa"/>
              <w:bottom w:w="85" w:type="dxa"/>
              <w:right w:w="85" w:type="dxa"/>
            </w:tcMar>
            <w:vAlign w:val="center"/>
          </w:tcPr>
          <w:p w14:paraId="102A8ADA" w14:textId="77777777" w:rsidR="002C4040" w:rsidRPr="00855721" w:rsidRDefault="00000000">
            <w:pPr>
              <w:spacing w:after="0" w:line="240" w:lineRule="auto"/>
            </w:pPr>
            <w:r w:rsidRPr="00855721">
              <w:rPr>
                <w:rFonts w:eastAsia="Times New Roman"/>
                <w:sz w:val="16"/>
              </w:rPr>
              <w:t>Resistant isolate, mixed infection, poor specimen quality or pending critical susceptibility data.</w:t>
            </w:r>
          </w:p>
        </w:tc>
        <w:tc>
          <w:tcPr>
            <w:tcW w:w="1584" w:type="dxa"/>
            <w:tcMar>
              <w:top w:w="85" w:type="dxa"/>
              <w:left w:w="85" w:type="dxa"/>
              <w:bottom w:w="85" w:type="dxa"/>
              <w:right w:w="85" w:type="dxa"/>
            </w:tcMar>
            <w:vAlign w:val="center"/>
          </w:tcPr>
          <w:p w14:paraId="4B1D84B8" w14:textId="77777777" w:rsidR="002C4040" w:rsidRPr="00855721" w:rsidRDefault="00000000">
            <w:pPr>
              <w:spacing w:after="0" w:line="240" w:lineRule="auto"/>
            </w:pPr>
            <w:r w:rsidRPr="00855721">
              <w:rPr>
                <w:rFonts w:eastAsia="Times New Roman"/>
                <w:sz w:val="16"/>
              </w:rPr>
              <w:t>Select the narrowest regimen that remains microbiologically adequate.</w:t>
            </w:r>
          </w:p>
        </w:tc>
        <w:tc>
          <w:tcPr>
            <w:tcW w:w="864" w:type="dxa"/>
            <w:tcMar>
              <w:top w:w="85" w:type="dxa"/>
              <w:left w:w="85" w:type="dxa"/>
              <w:bottom w:w="85" w:type="dxa"/>
              <w:right w:w="85" w:type="dxa"/>
            </w:tcMar>
            <w:vAlign w:val="center"/>
          </w:tcPr>
          <w:p w14:paraId="4679512C" w14:textId="77777777" w:rsidR="002C4040" w:rsidRPr="00855721" w:rsidRDefault="00000000">
            <w:pPr>
              <w:spacing w:after="0" w:line="240" w:lineRule="auto"/>
            </w:pPr>
            <w:r w:rsidRPr="00855721">
              <w:rPr>
                <w:rFonts w:eastAsia="Times New Roman"/>
                <w:sz w:val="16"/>
              </w:rPr>
              <w:t>Banerjee et al. (2015, 2021); Parente et al. (2018)</w:t>
            </w:r>
          </w:p>
        </w:tc>
      </w:tr>
      <w:tr w:rsidR="00855721" w:rsidRPr="00855721" w14:paraId="32F3D439" w14:textId="77777777" w:rsidTr="00855721">
        <w:trPr>
          <w:cantSplit/>
          <w:jc w:val="center"/>
        </w:trPr>
        <w:tc>
          <w:tcPr>
            <w:tcW w:w="1008" w:type="dxa"/>
            <w:tcMar>
              <w:top w:w="85" w:type="dxa"/>
              <w:left w:w="85" w:type="dxa"/>
              <w:bottom w:w="85" w:type="dxa"/>
              <w:right w:w="85" w:type="dxa"/>
            </w:tcMar>
            <w:vAlign w:val="center"/>
          </w:tcPr>
          <w:p w14:paraId="2A2409E9" w14:textId="77777777" w:rsidR="002C4040" w:rsidRPr="00855721" w:rsidRDefault="00000000">
            <w:pPr>
              <w:spacing w:after="0" w:line="240" w:lineRule="auto"/>
            </w:pPr>
            <w:r w:rsidRPr="00855721">
              <w:rPr>
                <w:rFonts w:eastAsia="Times New Roman"/>
                <w:sz w:val="16"/>
              </w:rPr>
              <w:t>4. Assess trajectory and host risk</w:t>
            </w:r>
          </w:p>
        </w:tc>
        <w:tc>
          <w:tcPr>
            <w:tcW w:w="1872" w:type="dxa"/>
            <w:tcMar>
              <w:top w:w="85" w:type="dxa"/>
              <w:left w:w="85" w:type="dxa"/>
              <w:bottom w:w="85" w:type="dxa"/>
              <w:right w:w="85" w:type="dxa"/>
            </w:tcMar>
            <w:vAlign w:val="center"/>
          </w:tcPr>
          <w:p w14:paraId="439CFD0C" w14:textId="77777777" w:rsidR="002C4040" w:rsidRPr="00855721" w:rsidRDefault="00000000">
            <w:pPr>
              <w:spacing w:after="0" w:line="240" w:lineRule="auto"/>
            </w:pPr>
            <w:r w:rsidRPr="00855721">
              <w:rPr>
                <w:rFonts w:eastAsia="Times New Roman"/>
                <w:sz w:val="16"/>
              </w:rPr>
              <w:t>How costly would an incorrect narrowing decision be in this patient now?</w:t>
            </w:r>
          </w:p>
        </w:tc>
        <w:tc>
          <w:tcPr>
            <w:tcW w:w="2304" w:type="dxa"/>
            <w:tcMar>
              <w:top w:w="85" w:type="dxa"/>
              <w:left w:w="85" w:type="dxa"/>
              <w:bottom w:w="85" w:type="dxa"/>
              <w:right w:w="85" w:type="dxa"/>
            </w:tcMar>
            <w:vAlign w:val="center"/>
          </w:tcPr>
          <w:p w14:paraId="78A4812F" w14:textId="77777777" w:rsidR="002C4040" w:rsidRPr="00855721" w:rsidRDefault="00000000">
            <w:pPr>
              <w:spacing w:after="0" w:line="240" w:lineRule="auto"/>
            </w:pPr>
            <w:r w:rsidRPr="00855721">
              <w:rPr>
                <w:rFonts w:eastAsia="Times New Roman"/>
                <w:sz w:val="16"/>
              </w:rPr>
              <w:t>Clinical stability, improving organ dysfunction, achieved source control.</w:t>
            </w:r>
          </w:p>
        </w:tc>
        <w:tc>
          <w:tcPr>
            <w:tcW w:w="2304" w:type="dxa"/>
            <w:tcMar>
              <w:top w:w="85" w:type="dxa"/>
              <w:left w:w="85" w:type="dxa"/>
              <w:bottom w:w="85" w:type="dxa"/>
              <w:right w:w="85" w:type="dxa"/>
            </w:tcMar>
            <w:vAlign w:val="center"/>
          </w:tcPr>
          <w:p w14:paraId="59FCE162" w14:textId="77777777" w:rsidR="002C4040" w:rsidRPr="00855721" w:rsidRDefault="00000000">
            <w:pPr>
              <w:spacing w:after="0" w:line="240" w:lineRule="auto"/>
            </w:pPr>
            <w:r w:rsidRPr="00855721">
              <w:rPr>
                <w:rFonts w:eastAsia="Times New Roman"/>
                <w:sz w:val="16"/>
              </w:rPr>
              <w:t>Deterioration, profound immunosuppression, difficult source control or infection where failure is catastrophic.</w:t>
            </w:r>
          </w:p>
        </w:tc>
        <w:tc>
          <w:tcPr>
            <w:tcW w:w="1584" w:type="dxa"/>
            <w:tcMar>
              <w:top w:w="85" w:type="dxa"/>
              <w:left w:w="85" w:type="dxa"/>
              <w:bottom w:w="85" w:type="dxa"/>
              <w:right w:w="85" w:type="dxa"/>
            </w:tcMar>
            <w:vAlign w:val="center"/>
          </w:tcPr>
          <w:p w14:paraId="555F4970" w14:textId="77777777" w:rsidR="002C4040" w:rsidRPr="00855721" w:rsidRDefault="00000000">
            <w:pPr>
              <w:spacing w:after="0" w:line="240" w:lineRule="auto"/>
            </w:pPr>
            <w:r w:rsidRPr="00855721">
              <w:rPr>
                <w:rFonts w:eastAsia="Times New Roman"/>
                <w:sz w:val="16"/>
              </w:rPr>
              <w:t>Increase evidence threshold for narrowing when consequences of failure are high.</w:t>
            </w:r>
          </w:p>
        </w:tc>
        <w:tc>
          <w:tcPr>
            <w:tcW w:w="864" w:type="dxa"/>
            <w:tcMar>
              <w:top w:w="85" w:type="dxa"/>
              <w:left w:w="85" w:type="dxa"/>
              <w:bottom w:w="85" w:type="dxa"/>
              <w:right w:w="85" w:type="dxa"/>
            </w:tcMar>
            <w:vAlign w:val="center"/>
          </w:tcPr>
          <w:p w14:paraId="4391298D" w14:textId="77777777" w:rsidR="002C4040" w:rsidRPr="00855721" w:rsidRDefault="00000000">
            <w:pPr>
              <w:spacing w:after="0" w:line="240" w:lineRule="auto"/>
            </w:pPr>
            <w:r w:rsidRPr="00855721">
              <w:rPr>
                <w:rFonts w:eastAsia="Times New Roman"/>
                <w:sz w:val="16"/>
              </w:rPr>
              <w:t>Kroll et al. (2016); Tabah et al. (2020)</w:t>
            </w:r>
          </w:p>
        </w:tc>
      </w:tr>
      <w:tr w:rsidR="00855721" w:rsidRPr="00855721" w14:paraId="0E69C4DF" w14:textId="77777777" w:rsidTr="00855721">
        <w:trPr>
          <w:cantSplit/>
          <w:jc w:val="center"/>
        </w:trPr>
        <w:tc>
          <w:tcPr>
            <w:tcW w:w="1008" w:type="dxa"/>
            <w:tcMar>
              <w:top w:w="85" w:type="dxa"/>
              <w:left w:w="85" w:type="dxa"/>
              <w:bottom w:w="85" w:type="dxa"/>
              <w:right w:w="85" w:type="dxa"/>
            </w:tcMar>
            <w:vAlign w:val="center"/>
          </w:tcPr>
          <w:p w14:paraId="4F216BEB" w14:textId="77777777" w:rsidR="002C4040" w:rsidRPr="00855721" w:rsidRDefault="00000000">
            <w:pPr>
              <w:spacing w:after="0" w:line="240" w:lineRule="auto"/>
            </w:pPr>
            <w:r w:rsidRPr="00855721">
              <w:rPr>
                <w:rFonts w:eastAsia="Times New Roman"/>
                <w:sz w:val="16"/>
              </w:rPr>
              <w:t>5. Match action to resolved uncertainty</w:t>
            </w:r>
          </w:p>
        </w:tc>
        <w:tc>
          <w:tcPr>
            <w:tcW w:w="1872" w:type="dxa"/>
            <w:tcMar>
              <w:top w:w="85" w:type="dxa"/>
              <w:left w:w="85" w:type="dxa"/>
              <w:bottom w:w="85" w:type="dxa"/>
              <w:right w:w="85" w:type="dxa"/>
            </w:tcMar>
            <w:vAlign w:val="center"/>
          </w:tcPr>
          <w:p w14:paraId="5035EEB6" w14:textId="77777777" w:rsidR="002C4040" w:rsidRPr="00855721" w:rsidRDefault="00000000">
            <w:pPr>
              <w:spacing w:after="0" w:line="240" w:lineRule="auto"/>
            </w:pPr>
            <w:r w:rsidRPr="00855721">
              <w:rPr>
                <w:rFonts w:eastAsia="Times New Roman"/>
                <w:sz w:val="16"/>
              </w:rPr>
              <w:t>Has uncertainty resolved about drug number, spectrum, or the infection diagnosis itself?</w:t>
            </w:r>
          </w:p>
        </w:tc>
        <w:tc>
          <w:tcPr>
            <w:tcW w:w="2304" w:type="dxa"/>
            <w:tcMar>
              <w:top w:w="85" w:type="dxa"/>
              <w:left w:w="85" w:type="dxa"/>
              <w:bottom w:w="85" w:type="dxa"/>
              <w:right w:w="85" w:type="dxa"/>
            </w:tcMar>
            <w:vAlign w:val="center"/>
          </w:tcPr>
          <w:p w14:paraId="40139BE0" w14:textId="77777777" w:rsidR="002C4040" w:rsidRPr="00855721" w:rsidRDefault="00000000">
            <w:pPr>
              <w:spacing w:after="0" w:line="240" w:lineRule="auto"/>
            </w:pPr>
            <w:r w:rsidRPr="00855721">
              <w:rPr>
                <w:rFonts w:eastAsia="Times New Roman"/>
                <w:sz w:val="16"/>
              </w:rPr>
              <w:t>Redundant combination component; documented susceptible pathogen; low remaining probability of bacterial infection.</w:t>
            </w:r>
          </w:p>
        </w:tc>
        <w:tc>
          <w:tcPr>
            <w:tcW w:w="2304" w:type="dxa"/>
            <w:tcMar>
              <w:top w:w="85" w:type="dxa"/>
              <w:left w:w="85" w:type="dxa"/>
              <w:bottom w:w="85" w:type="dxa"/>
              <w:right w:w="85" w:type="dxa"/>
            </w:tcMar>
            <w:vAlign w:val="center"/>
          </w:tcPr>
          <w:p w14:paraId="4B4FBF75" w14:textId="77777777" w:rsidR="002C4040" w:rsidRPr="00855721" w:rsidRDefault="00000000">
            <w:pPr>
              <w:spacing w:after="0" w:line="240" w:lineRule="auto"/>
            </w:pPr>
            <w:r w:rsidRPr="00855721">
              <w:rPr>
                <w:rFonts w:eastAsia="Times New Roman"/>
                <w:sz w:val="16"/>
              </w:rPr>
              <w:t>Uncertainty remains specifically about resistant coverage or diagnosis.</w:t>
            </w:r>
          </w:p>
        </w:tc>
        <w:tc>
          <w:tcPr>
            <w:tcW w:w="1584" w:type="dxa"/>
            <w:tcMar>
              <w:top w:w="85" w:type="dxa"/>
              <w:left w:w="85" w:type="dxa"/>
              <w:bottom w:w="85" w:type="dxa"/>
              <w:right w:w="85" w:type="dxa"/>
            </w:tcMar>
            <w:vAlign w:val="center"/>
          </w:tcPr>
          <w:p w14:paraId="4D70D899" w14:textId="77777777" w:rsidR="002C4040" w:rsidRPr="00855721" w:rsidRDefault="00000000">
            <w:pPr>
              <w:spacing w:after="0" w:line="240" w:lineRule="auto"/>
            </w:pPr>
            <w:r w:rsidRPr="00855721">
              <w:rPr>
                <w:rFonts w:eastAsia="Times New Roman"/>
                <w:sz w:val="16"/>
              </w:rPr>
              <w:t>Choose combination-to-monotherapy, spectrum narrowing, cessation, continuation or escalation as appropriate.</w:t>
            </w:r>
          </w:p>
        </w:tc>
        <w:tc>
          <w:tcPr>
            <w:tcW w:w="864" w:type="dxa"/>
            <w:tcMar>
              <w:top w:w="85" w:type="dxa"/>
              <w:left w:w="85" w:type="dxa"/>
              <w:bottom w:w="85" w:type="dxa"/>
              <w:right w:w="85" w:type="dxa"/>
            </w:tcMar>
            <w:vAlign w:val="center"/>
          </w:tcPr>
          <w:p w14:paraId="7D325167" w14:textId="77777777" w:rsidR="002C4040" w:rsidRPr="00855721" w:rsidRDefault="00000000">
            <w:pPr>
              <w:spacing w:after="0" w:line="240" w:lineRule="auto"/>
            </w:pPr>
            <w:r w:rsidRPr="00855721">
              <w:rPr>
                <w:rFonts w:eastAsia="Times New Roman"/>
                <w:sz w:val="16"/>
              </w:rPr>
              <w:t>De Waele et al. (2020); Moehring et al. (2021)</w:t>
            </w:r>
          </w:p>
        </w:tc>
      </w:tr>
      <w:tr w:rsidR="00855721" w:rsidRPr="00855721" w14:paraId="01410757" w14:textId="77777777" w:rsidTr="00855721">
        <w:trPr>
          <w:cantSplit/>
          <w:jc w:val="center"/>
        </w:trPr>
        <w:tc>
          <w:tcPr>
            <w:tcW w:w="1008" w:type="dxa"/>
            <w:tcMar>
              <w:top w:w="85" w:type="dxa"/>
              <w:left w:w="85" w:type="dxa"/>
              <w:bottom w:w="85" w:type="dxa"/>
              <w:right w:w="85" w:type="dxa"/>
            </w:tcMar>
            <w:vAlign w:val="center"/>
          </w:tcPr>
          <w:p w14:paraId="0AB25A95" w14:textId="77777777" w:rsidR="002C4040" w:rsidRPr="00855721" w:rsidRDefault="00000000">
            <w:pPr>
              <w:spacing w:after="0" w:line="240" w:lineRule="auto"/>
            </w:pPr>
            <w:r w:rsidRPr="00855721">
              <w:rPr>
                <w:rFonts w:eastAsia="Times New Roman"/>
                <w:sz w:val="16"/>
              </w:rPr>
              <w:t>6. Document and review again</w:t>
            </w:r>
          </w:p>
        </w:tc>
        <w:tc>
          <w:tcPr>
            <w:tcW w:w="1872" w:type="dxa"/>
            <w:tcMar>
              <w:top w:w="85" w:type="dxa"/>
              <w:left w:w="85" w:type="dxa"/>
              <w:bottom w:w="85" w:type="dxa"/>
              <w:right w:w="85" w:type="dxa"/>
            </w:tcMar>
            <w:vAlign w:val="center"/>
          </w:tcPr>
          <w:p w14:paraId="7749C91D" w14:textId="77777777" w:rsidR="002C4040" w:rsidRPr="00855721" w:rsidRDefault="00000000">
            <w:pPr>
              <w:spacing w:after="0" w:line="240" w:lineRule="auto"/>
            </w:pPr>
            <w:r w:rsidRPr="00855721">
              <w:rPr>
                <w:rFonts w:eastAsia="Times New Roman"/>
                <w:sz w:val="16"/>
              </w:rPr>
              <w:t>What would make the current decision wrong tomorrow?</w:t>
            </w:r>
          </w:p>
        </w:tc>
        <w:tc>
          <w:tcPr>
            <w:tcW w:w="2304" w:type="dxa"/>
            <w:tcMar>
              <w:top w:w="85" w:type="dxa"/>
              <w:left w:w="85" w:type="dxa"/>
              <w:bottom w:w="85" w:type="dxa"/>
              <w:right w:w="85" w:type="dxa"/>
            </w:tcMar>
            <w:vAlign w:val="center"/>
          </w:tcPr>
          <w:p w14:paraId="64B54635" w14:textId="77777777" w:rsidR="002C4040" w:rsidRPr="00855721" w:rsidRDefault="00000000">
            <w:pPr>
              <w:spacing w:after="0" w:line="240" w:lineRule="auto"/>
            </w:pPr>
            <w:r w:rsidRPr="00855721">
              <w:rPr>
                <w:rFonts w:eastAsia="Times New Roman"/>
                <w:sz w:val="16"/>
              </w:rPr>
              <w:t>Clear rationale, monitoring plan and time/result that will trigger reconsideration.</w:t>
            </w:r>
          </w:p>
        </w:tc>
        <w:tc>
          <w:tcPr>
            <w:tcW w:w="2304" w:type="dxa"/>
            <w:tcMar>
              <w:top w:w="85" w:type="dxa"/>
              <w:left w:w="85" w:type="dxa"/>
              <w:bottom w:w="85" w:type="dxa"/>
              <w:right w:w="85" w:type="dxa"/>
            </w:tcMar>
            <w:vAlign w:val="center"/>
          </w:tcPr>
          <w:p w14:paraId="19535605" w14:textId="77777777" w:rsidR="002C4040" w:rsidRPr="00855721" w:rsidRDefault="00000000">
            <w:pPr>
              <w:spacing w:after="0" w:line="240" w:lineRule="auto"/>
            </w:pPr>
            <w:r w:rsidRPr="00855721">
              <w:rPr>
                <w:rFonts w:eastAsia="Times New Roman"/>
                <w:sz w:val="16"/>
              </w:rPr>
              <w:t>No ownership, no review trigger or unresolved critical result.</w:t>
            </w:r>
          </w:p>
        </w:tc>
        <w:tc>
          <w:tcPr>
            <w:tcW w:w="1584" w:type="dxa"/>
            <w:tcMar>
              <w:top w:w="85" w:type="dxa"/>
              <w:left w:w="85" w:type="dxa"/>
              <w:bottom w:w="85" w:type="dxa"/>
              <w:right w:w="85" w:type="dxa"/>
            </w:tcMar>
            <w:vAlign w:val="center"/>
          </w:tcPr>
          <w:p w14:paraId="2D17AD79" w14:textId="77777777" w:rsidR="002C4040" w:rsidRPr="00855721" w:rsidRDefault="00000000">
            <w:pPr>
              <w:spacing w:after="0" w:line="240" w:lineRule="auto"/>
            </w:pPr>
            <w:r w:rsidRPr="00855721">
              <w:rPr>
                <w:rFonts w:eastAsia="Times New Roman"/>
                <w:sz w:val="16"/>
              </w:rPr>
              <w:t>Record indication and rationale; define failure criteria and next reassessment.</w:t>
            </w:r>
          </w:p>
        </w:tc>
        <w:tc>
          <w:tcPr>
            <w:tcW w:w="864" w:type="dxa"/>
            <w:tcMar>
              <w:top w:w="85" w:type="dxa"/>
              <w:left w:w="85" w:type="dxa"/>
              <w:bottom w:w="85" w:type="dxa"/>
              <w:right w:w="85" w:type="dxa"/>
            </w:tcMar>
            <w:vAlign w:val="center"/>
          </w:tcPr>
          <w:p w14:paraId="0066C285" w14:textId="77777777" w:rsidR="002C4040" w:rsidRPr="00855721" w:rsidRDefault="00000000">
            <w:pPr>
              <w:spacing w:after="0" w:line="240" w:lineRule="auto"/>
            </w:pPr>
            <w:r w:rsidRPr="00855721">
              <w:rPr>
                <w:rFonts w:eastAsia="Times New Roman"/>
                <w:sz w:val="16"/>
              </w:rPr>
              <w:t>Barlam et al. (2016); Moehring et al. (2023)</w:t>
            </w:r>
          </w:p>
        </w:tc>
      </w:tr>
    </w:tbl>
    <w:p w14:paraId="36C34FBA" w14:textId="77777777" w:rsidR="002C4040" w:rsidRPr="00855721" w:rsidRDefault="00000000">
      <w:pPr>
        <w:pStyle w:val="TableNote"/>
      </w:pPr>
      <w:r w:rsidRPr="00855721">
        <w:rPr>
          <w:rFonts w:eastAsia="Times New Roman"/>
        </w:rPr>
        <w:t>Note. The framework is developed from the present synthesis. It distinguishes established decision principles from context-dependent clinical judgement and does not prescribe a universal hour for de-escalation.</w:t>
      </w:r>
    </w:p>
    <w:p w14:paraId="7DD6607B" w14:textId="77777777" w:rsidR="002C4040" w:rsidRPr="00855721" w:rsidRDefault="00000000">
      <w:pPr>
        <w:pStyle w:val="Heading1"/>
        <w:rPr>
          <w:color w:val="auto"/>
        </w:rPr>
      </w:pPr>
      <w:r w:rsidRPr="00855721">
        <w:rPr>
          <w:rFonts w:ascii="Times New Roman" w:eastAsia="Times New Roman" w:hAnsi="Times New Roman"/>
          <w:color w:val="auto"/>
        </w:rPr>
        <w:t>9. Future Directions</w:t>
      </w:r>
    </w:p>
    <w:p w14:paraId="24403FE7" w14:textId="77777777" w:rsidR="002C4040" w:rsidRPr="00855721" w:rsidRDefault="00000000">
      <w:pPr>
        <w:jc w:val="both"/>
      </w:pPr>
      <w:r w:rsidRPr="00855721">
        <w:rPr>
          <w:rFonts w:eastAsia="Times New Roman"/>
        </w:rPr>
        <w:t>The immediate research priority is to improve causal inference rather than produce more uncontrolled comparisons of de-escalated and non-de-escalated patients. Conventional randomised trials remain valuable where equipoise and operational feasibility exist, but interventions should be designed around realistic decision points such as day 2-4 stability, negative resistant-pathogen testing or definitive susceptibility results. Pragmatic cluster trials and embedded randomised stewardship interventions may be particularly suitable when the intervention is a default, prompt or diagnostic pathway rather than a drug. When randomisation is not feasible, target-trial emulation should define time zero, eligibility, treatment strategies and censoring explicitly and should incorporate time-updated severity, source control and microbiological information. The progress seen in recent sepsis analyses should become the methodological floor rather than the exception.</w:t>
      </w:r>
    </w:p>
    <w:p w14:paraId="4FE04613" w14:textId="77777777" w:rsidR="002C4040" w:rsidRPr="00855721" w:rsidRDefault="00000000">
      <w:pPr>
        <w:jc w:val="both"/>
      </w:pPr>
      <w:r w:rsidRPr="00855721">
        <w:rPr>
          <w:rFonts w:eastAsia="Times New Roman"/>
        </w:rPr>
        <w:t xml:space="preserve">A second priority is a core outcome and exposure framework. Binary ADE should be decomposed into cessation, combination-to-monotherapy and spectrum narrowing. Studies should report the starting </w:t>
      </w:r>
      <w:r w:rsidRPr="00855721">
        <w:rPr>
          <w:rFonts w:eastAsia="Times New Roman"/>
        </w:rPr>
        <w:lastRenderedPageBreak/>
        <w:t>regimen, new regimen, time of change, cumulative days of therapy, days of broad-spectrum therapy and a validated spectrum measure. Re-escalation should be captured as an outcome rather than silently reclassifying exposure. These data would allow clinicians to distinguish a genuinely lower-exposure strategy from a sequence of multiple agents that lowers spectrum score but lengthens treatment.</w:t>
      </w:r>
    </w:p>
    <w:p w14:paraId="69ED39D7" w14:textId="77777777" w:rsidR="002C4040" w:rsidRPr="00855721" w:rsidRDefault="00000000">
      <w:pPr>
        <w:jc w:val="both"/>
      </w:pPr>
      <w:r w:rsidRPr="00855721">
        <w:rPr>
          <w:rFonts w:eastAsia="Times New Roman"/>
        </w:rPr>
        <w:t xml:space="preserve">Third, ecological outcomes must be measured directly. The field has long justified ADE partly as resistance prevention while rarely designing studies capable of testing that proposition. Future trials should include acquisition of resistant colonisation, emergence of resistance in recurrent isolates, </w:t>
      </w:r>
      <w:r w:rsidRPr="00855721">
        <w:rPr>
          <w:rFonts w:eastAsia="Times New Roman"/>
          <w:i/>
        </w:rPr>
        <w:t>C. difficile</w:t>
      </w:r>
      <w:r w:rsidRPr="00855721">
        <w:rPr>
          <w:rFonts w:eastAsia="Times New Roman"/>
        </w:rPr>
        <w:t xml:space="preserve"> infection, microbiome and resistome measures in mechanistic substudies, and unit-level transmission or resistance trends when cluster designs are used. Follow-up should extend beyond discharge because ecological consequences may emerge after the immediate treatment episode. Replacement-agent effects should be analysed explicitly; moving selective pressure from a carbapenem to a fluoroquinolone is not ecologically equivalent to removing antibiotic exposure.</w:t>
      </w:r>
    </w:p>
    <w:p w14:paraId="4CD0DF5F" w14:textId="77777777" w:rsidR="002C4040" w:rsidRPr="00855721" w:rsidRDefault="00000000">
      <w:pPr>
        <w:jc w:val="both"/>
      </w:pPr>
      <w:r w:rsidRPr="00855721">
        <w:rPr>
          <w:rFonts w:eastAsia="Times New Roman"/>
        </w:rPr>
        <w:t>Fourth, diagnostic research should evaluate the full information-to-action pathway. New assays should not be considered successful solely because they shorten laboratory turnaround time. Studies should measure whether results were available before a decision, whether clinicians saw and trusted them, whether stewardship teams acted on them, the time to appropriate modification, and patient outcomes. STOP-Vanc demonstrates why this is necessary: excellent negative predictive performance did not guarantee a meaningful primary reduction in vancomycin exposure. Factorial or adaptive designs could test the incremental contribution of the assay, automatic result interpretation, pharmacist authority and prescriber-facing defaults.</w:t>
      </w:r>
    </w:p>
    <w:p w14:paraId="0416196E" w14:textId="77777777" w:rsidR="002C4040" w:rsidRPr="00855721" w:rsidRDefault="00000000">
      <w:pPr>
        <w:jc w:val="both"/>
      </w:pPr>
      <w:r w:rsidRPr="00855721">
        <w:rPr>
          <w:rFonts w:eastAsia="Times New Roman"/>
        </w:rPr>
        <w:t>Fifth, high-risk and under-represented populations require purpose-built evidence. Profound neutropenia, transplant, prolonged critical illness, endovascular infection, difficult source control and severe immunosuppression are frequently excluded or too sparse for confident subgroup inference. Studies should define risk strata prospectively rather than label all immunocompromised patients together. Outcomes should include treatment failure, breakthrough infection, re-escalation, resistant infection and mortality, with sufficient follow-up to identify delayed harm.</w:t>
      </w:r>
    </w:p>
    <w:p w14:paraId="5EDA433C" w14:textId="77777777" w:rsidR="002C4040" w:rsidRPr="00855721" w:rsidRDefault="00000000">
      <w:pPr>
        <w:jc w:val="both"/>
      </w:pPr>
      <w:r w:rsidRPr="00855721">
        <w:rPr>
          <w:rFonts w:eastAsia="Times New Roman"/>
        </w:rPr>
        <w:t>Sixth, geographic and health-system generalisability needs deliberate attention. Most high-resolution ADE studies come from well-resourced hospitals with rapid microbiology and stewardship infrastructure. In settings with high antimicrobial resistance, the proportion of patients microbiologically eligible for narrowing may be intrinsically lower, while diagnostic delays may make clinical judgement more important. Comparative studies should test low-resource stewardship models based on specimen quality, standard review, local antibiograms and simple decision support as well as technology-intensive pathways. Cost-effectiveness should include staffing, laboratory costs, avoided broad-spectrum days and downstream adverse events rather than only acquisition cost of a test.</w:t>
      </w:r>
    </w:p>
    <w:p w14:paraId="7652506D" w14:textId="77777777" w:rsidR="002C4040" w:rsidRPr="00855721" w:rsidRDefault="00000000">
      <w:pPr>
        <w:jc w:val="both"/>
      </w:pPr>
      <w:r w:rsidRPr="00855721">
        <w:rPr>
          <w:rFonts w:eastAsia="Times New Roman"/>
        </w:rPr>
        <w:t>Seventh, electronic decision support should move beyond passive alerts. Future systems could combine microbiological results, prior resistant organisms, current physiology, source, antibiotic spectrum and treatment duration to identify patients likely to be eligible for reassessment. Machine-learning models may help prioritise review, but they should not substitute opaque risk scores for clinical judgement. Prospective external validation, calibration across hospitals, monitoring for subgroup inequity and clear explanation of which data drove a recommendation are prerequisites. The clinically meaningful endpoint is not predictive accuracy alone but safer, earlier appropriate modification.</w:t>
      </w:r>
    </w:p>
    <w:p w14:paraId="4EE45A8F" w14:textId="77777777" w:rsidR="002C4040" w:rsidRPr="00855721" w:rsidRDefault="00000000">
      <w:pPr>
        <w:jc w:val="both"/>
      </w:pPr>
      <w:r w:rsidRPr="00855721">
        <w:rPr>
          <w:rFonts w:eastAsia="Times New Roman"/>
        </w:rPr>
        <w:lastRenderedPageBreak/>
        <w:t>Finally, implementation science should be integrated with efficacy research. De-escalation is a social and organisational behaviour involving physicians, pharmacists, microbiology staff, nurses and information systems. Trials should measure adoption, fidelity, override reasons, time burden, sustainability and unintended consequences. If an intervention reduces broad-spectrum days only while a dedicated study team is present, its real-world value is limited. Conversely, a modest effect sustained through routine workflow may have greater population impact than a high-intensity programme that cannot be scaled.</w:t>
      </w:r>
    </w:p>
    <w:p w14:paraId="29730E9F" w14:textId="77777777" w:rsidR="002C4040" w:rsidRPr="00855721" w:rsidRDefault="00000000">
      <w:pPr>
        <w:pStyle w:val="Heading1"/>
        <w:rPr>
          <w:color w:val="auto"/>
        </w:rPr>
      </w:pPr>
      <w:r w:rsidRPr="00855721">
        <w:rPr>
          <w:rFonts w:ascii="Times New Roman" w:eastAsia="Times New Roman" w:hAnsi="Times New Roman"/>
          <w:color w:val="auto"/>
        </w:rPr>
        <w:t>10. Conclusions</w:t>
      </w:r>
    </w:p>
    <w:p w14:paraId="3E04A81A" w14:textId="77777777" w:rsidR="002C4040" w:rsidRPr="00855721" w:rsidRDefault="00000000">
      <w:pPr>
        <w:jc w:val="both"/>
      </w:pPr>
      <w:r w:rsidRPr="00855721">
        <w:rPr>
          <w:rFonts w:eastAsia="Times New Roman"/>
        </w:rPr>
        <w:t>Antimicrobial de-escalation is best understood as structured therapeutic reassessment after the uncertainty of empirical treatment begins to resolve. The strongest evidence supports its safety in appropriately selected, clinically stable patients whose initial treatment was adequate and for whom microbiological, diagnostic and clinical information no longer justifies the original breadth. Observational studies frequently associate de-escalation with better outcomes, but these apparent benefits are strongly vulnerable to selection and time-varying confounding. Randomised evidence does not establish a mortality advantage, and recent target-trial emulations are most persuasive for showing similar clinical outcomes with less broad-spectrum exposure rather than superior survival.</w:t>
      </w:r>
    </w:p>
    <w:p w14:paraId="53B1CC14" w14:textId="77777777" w:rsidR="002C4040" w:rsidRPr="00855721" w:rsidRDefault="00000000">
      <w:pPr>
        <w:jc w:val="both"/>
      </w:pPr>
      <w:r w:rsidRPr="00855721">
        <w:rPr>
          <w:rFonts w:eastAsia="Times New Roman"/>
        </w:rPr>
        <w:t>The practical value of de-escalation therefore lies chiefly in avoiding unnecessary treatment while preserving adequacy. Narrowing spectrum, discontinuing redundant combination therapy and stopping antibiotics when bacterial infection becomes unlikely should be distinguished because they address different uncertainties and have different risks. Rapid diagnostics can accelerate these decisions, but diagnostic accuracy alone is insufficient; stewardship ownership, decision defaults and timely communication determine whether information changes prescribing.</w:t>
      </w:r>
    </w:p>
    <w:p w14:paraId="66EF04EA" w14:textId="77777777" w:rsidR="002C4040" w:rsidRPr="00855721" w:rsidRDefault="00000000">
      <w:pPr>
        <w:jc w:val="both"/>
      </w:pPr>
      <w:r w:rsidRPr="00855721">
        <w:rPr>
          <w:rFonts w:eastAsia="Times New Roman"/>
        </w:rPr>
        <w:t>Claims that de-escalation itself prevents antimicrobial resistance remain less secure than often assumed. Reducing exposure to selected broad-spectrum agents is biologically and clinically sensible, yet ecological effects depend on replacement therapy, total duration, microbiome disruption and transmission. Future research should measure these outcomes directly. In current practice, the most defensible objective is not the highest possible de-escalation rate but timely, documented reassessment leading to the least unnecessarily broad regimen compatible with the patient's evolving diagnosis, microbiology, host risk and clinical trajectory.</w:t>
      </w:r>
    </w:p>
    <w:p w14:paraId="7A9C6330" w14:textId="77777777" w:rsidR="002C4040" w:rsidRPr="00855721" w:rsidRDefault="00000000">
      <w:pPr>
        <w:pStyle w:val="Heading1"/>
        <w:rPr>
          <w:color w:val="auto"/>
        </w:rPr>
      </w:pPr>
      <w:r w:rsidRPr="00855721">
        <w:rPr>
          <w:rFonts w:ascii="Times New Roman" w:eastAsia="Times New Roman" w:hAnsi="Times New Roman"/>
          <w:color w:val="auto"/>
        </w:rPr>
        <w:t>11. Limitations</w:t>
      </w:r>
    </w:p>
    <w:p w14:paraId="5C963500" w14:textId="77777777" w:rsidR="002C4040" w:rsidRPr="00855721" w:rsidRDefault="00000000">
      <w:pPr>
        <w:jc w:val="both"/>
      </w:pPr>
      <w:r w:rsidRPr="00855721">
        <w:rPr>
          <w:rFonts w:eastAsia="Times New Roman"/>
        </w:rPr>
        <w:t>This critical narrative review is intrinsically susceptible to selection and interpretive bias despite the use of explicit searching, eligibility criteria and structured appraisal. It was not designed as a formally exhaustive systematic review, and no quantitative meta-analysis was performed. The evidence base itself is heterogeneous in definitions of de-escalation, timing, infection syndromes, spectrum measures and outcomes, which limits direct comparison across studies. Many influential studies are observational and remain vulnerable to residual confounding, especially by clinical improvement and clinician judgement.</w:t>
      </w:r>
    </w:p>
    <w:p w14:paraId="097C37EA" w14:textId="77777777" w:rsidR="002C4040" w:rsidRDefault="00000000">
      <w:pPr>
        <w:jc w:val="both"/>
        <w:rPr>
          <w:rFonts w:eastAsia="Times New Roman"/>
        </w:rPr>
      </w:pPr>
      <w:r w:rsidRPr="00855721">
        <w:rPr>
          <w:rFonts w:eastAsia="Times New Roman"/>
        </w:rPr>
        <w:t xml:space="preserve">The review was restricted to sources that could be verified reliably in English and through accessible scholarly records, so relevant literature not retrievable through the searched sources may have been missed. Evidence is disproportionately derived from intensive care and well-resourced hospital systems, with less direct information from settings with limited microbiology infrastructure, from some high-resistance regions and from several immunocompromised populations. Rapid diagnostic technologies and implementation models continue to evolve, which may shorten the useful life of some operational </w:t>
      </w:r>
      <w:r w:rsidRPr="00855721">
        <w:rPr>
          <w:rFonts w:eastAsia="Times New Roman"/>
        </w:rPr>
        <w:lastRenderedPageBreak/>
        <w:t>conclusions. Finally, resistance, microbiome and long-term ecological outcomes are measured inconsistently, preventing a strong conclusion about the population-level effect of de-escalation on antimicrobial resistance.</w:t>
      </w:r>
    </w:p>
    <w:p w14:paraId="3E455AC0" w14:textId="77777777" w:rsidR="00030DBF" w:rsidRDefault="00030DBF">
      <w:pPr>
        <w:jc w:val="both"/>
        <w:rPr>
          <w:rFonts w:eastAsia="Times New Roman"/>
        </w:rPr>
      </w:pPr>
    </w:p>
    <w:p w14:paraId="26E487D7" w14:textId="77777777" w:rsidR="00030DBF" w:rsidRPr="00030DBF" w:rsidRDefault="00030DBF" w:rsidP="00030DBF">
      <w:pPr>
        <w:spacing w:after="0" w:line="240" w:lineRule="auto"/>
        <w:rPr>
          <w:rFonts w:ascii="Arial" w:eastAsia="Calibri" w:hAnsi="Arial" w:cs="Arial"/>
          <w:b/>
          <w:sz w:val="20"/>
          <w:szCs w:val="20"/>
        </w:rPr>
      </w:pPr>
      <w:commentRangeStart w:id="5"/>
      <w:r w:rsidRPr="00030DBF">
        <w:rPr>
          <w:rFonts w:ascii="Arial" w:eastAsia="Calibri" w:hAnsi="Arial" w:cs="Arial"/>
          <w:b/>
          <w:sz w:val="20"/>
          <w:szCs w:val="20"/>
        </w:rPr>
        <w:t>Declaration of AI Use</w:t>
      </w:r>
    </w:p>
    <w:p w14:paraId="283C0B0A" w14:textId="77777777" w:rsidR="00030DBF" w:rsidRPr="00030DBF" w:rsidRDefault="00030DBF" w:rsidP="00030DBF">
      <w:pPr>
        <w:spacing w:after="0" w:line="240" w:lineRule="auto"/>
        <w:rPr>
          <w:rFonts w:ascii="Arial" w:eastAsia="Calibri" w:hAnsi="Arial" w:cs="Arial"/>
          <w:sz w:val="20"/>
          <w:szCs w:val="20"/>
        </w:rPr>
      </w:pPr>
    </w:p>
    <w:p w14:paraId="2280407F" w14:textId="77777777" w:rsidR="00030DBF" w:rsidRPr="00030DBF" w:rsidRDefault="00030DBF" w:rsidP="00030DBF">
      <w:pPr>
        <w:spacing w:after="0" w:line="240" w:lineRule="auto"/>
        <w:rPr>
          <w:rFonts w:ascii="Arial" w:eastAsia="Calibri" w:hAnsi="Arial" w:cs="Arial"/>
          <w:sz w:val="20"/>
          <w:szCs w:val="20"/>
        </w:rPr>
      </w:pPr>
      <w:r w:rsidRPr="0047580B">
        <w:rPr>
          <w:rFonts w:ascii="Arial" w:eastAsia="Calibri" w:hAnsi="Arial" w:cs="Arial"/>
          <w:sz w:val="20"/>
          <w:szCs w:val="20"/>
          <w:highlight w:val="yellow"/>
        </w:rPr>
        <w:t>This manuscript was prepared through the intellectual contributions of the author(s) to the study design, data analysis, interpretation of results, and scholarly content. Grammarly and ChatGPT were used solely to assist with grammatical</w:t>
      </w:r>
      <w:r w:rsidRPr="00030DBF">
        <w:rPr>
          <w:rFonts w:ascii="Arial" w:eastAsia="Calibri" w:hAnsi="Arial" w:cs="Arial"/>
          <w:sz w:val="20"/>
          <w:szCs w:val="20"/>
        </w:rPr>
        <w:t xml:space="preserve"> refinement and reference </w:t>
      </w:r>
      <w:commentRangeEnd w:id="5"/>
      <w:r w:rsidR="00B42E37">
        <w:rPr>
          <w:rStyle w:val="CommentReference"/>
        </w:rPr>
        <w:commentReference w:id="5"/>
      </w:r>
      <w:r w:rsidRPr="00030DBF">
        <w:rPr>
          <w:rFonts w:ascii="Arial" w:eastAsia="Calibri" w:hAnsi="Arial" w:cs="Arial"/>
          <w:sz w:val="20"/>
          <w:szCs w:val="20"/>
        </w:rPr>
        <w:t>formatting during manuscript revision. The author(s) accept full responsibility for the accuracy, integrity, and final content of the manuscript.</w:t>
      </w:r>
    </w:p>
    <w:p w14:paraId="2D371504" w14:textId="77777777" w:rsidR="00030DBF" w:rsidRPr="00030DBF" w:rsidRDefault="00030DBF" w:rsidP="00030DBF">
      <w:pPr>
        <w:spacing w:after="0" w:line="240" w:lineRule="auto"/>
        <w:jc w:val="both"/>
        <w:rPr>
          <w:rFonts w:eastAsia="Calibri" w:cs="Times New Roman"/>
          <w:sz w:val="22"/>
        </w:rPr>
      </w:pPr>
    </w:p>
    <w:p w14:paraId="352DFBDE" w14:textId="77777777" w:rsidR="00030DBF" w:rsidRPr="00030DBF" w:rsidRDefault="00030DBF" w:rsidP="00030DBF">
      <w:pPr>
        <w:spacing w:after="0" w:line="240" w:lineRule="auto"/>
        <w:jc w:val="both"/>
        <w:rPr>
          <w:rFonts w:eastAsia="Calibri" w:cs="Times New Roman"/>
          <w:sz w:val="22"/>
        </w:rPr>
      </w:pPr>
    </w:p>
    <w:p w14:paraId="40243D14" w14:textId="77777777" w:rsidR="00030DBF" w:rsidRPr="0047580B" w:rsidRDefault="00030DBF" w:rsidP="00030DBF">
      <w:pPr>
        <w:spacing w:after="200"/>
        <w:rPr>
          <w:rFonts w:ascii="Cambria" w:eastAsia="Times New Roman" w:hAnsi="Cambria" w:cs="Arial"/>
          <w:b/>
          <w:bCs/>
          <w:sz w:val="22"/>
          <w:highlight w:val="yellow"/>
          <w:lang w:val="en-GB" w:eastAsia="en-GB"/>
        </w:rPr>
      </w:pPr>
      <w:commentRangeStart w:id="6"/>
      <w:r w:rsidRPr="0047580B">
        <w:rPr>
          <w:rFonts w:ascii="Cambria" w:eastAsia="Times New Roman" w:hAnsi="Cambria" w:cs="Arial"/>
          <w:b/>
          <w:bCs/>
          <w:sz w:val="22"/>
          <w:highlight w:val="yellow"/>
          <w:lang w:val="en-GB" w:eastAsia="en-GB"/>
        </w:rPr>
        <w:t>COMPETING INTERESTS DISCLAIMER:</w:t>
      </w:r>
    </w:p>
    <w:p w14:paraId="49480267" w14:textId="77777777" w:rsidR="00030DBF" w:rsidRPr="00030DBF" w:rsidRDefault="00030DBF" w:rsidP="00030DBF">
      <w:pPr>
        <w:spacing w:after="200"/>
        <w:rPr>
          <w:rFonts w:ascii="Cambria" w:eastAsia="Times New Roman" w:hAnsi="Cambria" w:cs="Times New Roman"/>
          <w:sz w:val="22"/>
          <w:lang w:val="en-GB" w:eastAsia="en-GB"/>
        </w:rPr>
      </w:pPr>
      <w:r w:rsidRPr="0047580B">
        <w:rPr>
          <w:rFonts w:ascii="Cambria" w:eastAsia="Times New Roman" w:hAnsi="Cambria" w:cs="Arial"/>
          <w:sz w:val="22"/>
          <w:highlight w:val="yellow"/>
          <w:lang w:val="en-GB" w:eastAsia="en-GB"/>
        </w:rPr>
        <w:t>Authors have declared that they have no known competing financial interests OR non-financial interests OR personal</w:t>
      </w:r>
      <w:r w:rsidRPr="00030DBF">
        <w:rPr>
          <w:rFonts w:ascii="Cambria" w:eastAsia="Times New Roman" w:hAnsi="Cambria" w:cs="Arial"/>
          <w:sz w:val="22"/>
          <w:lang w:val="en-GB" w:eastAsia="en-GB"/>
        </w:rPr>
        <w:t xml:space="preserve"> relationships </w:t>
      </w:r>
      <w:commentRangeEnd w:id="6"/>
      <w:r w:rsidR="00B42E37">
        <w:rPr>
          <w:rStyle w:val="CommentReference"/>
        </w:rPr>
        <w:commentReference w:id="6"/>
      </w:r>
      <w:r w:rsidRPr="00030DBF">
        <w:rPr>
          <w:rFonts w:ascii="Cambria" w:eastAsia="Times New Roman" w:hAnsi="Cambria" w:cs="Arial"/>
          <w:sz w:val="22"/>
          <w:lang w:val="en-GB" w:eastAsia="en-GB"/>
        </w:rPr>
        <w:t>that could have appeared to influence the work reported in this paper.</w:t>
      </w:r>
    </w:p>
    <w:p w14:paraId="652F1A9C" w14:textId="77777777" w:rsidR="00030DBF" w:rsidRPr="00855721" w:rsidRDefault="00030DBF">
      <w:pPr>
        <w:jc w:val="both"/>
      </w:pPr>
    </w:p>
    <w:p w14:paraId="7D79C998" w14:textId="77777777" w:rsidR="002C4040" w:rsidRPr="00855721" w:rsidRDefault="00000000">
      <w:pPr>
        <w:pStyle w:val="Heading1"/>
        <w:rPr>
          <w:color w:val="auto"/>
        </w:rPr>
      </w:pPr>
      <w:r w:rsidRPr="00855721">
        <w:rPr>
          <w:rFonts w:ascii="Times New Roman" w:eastAsia="Times New Roman" w:hAnsi="Times New Roman"/>
          <w:color w:val="auto"/>
        </w:rPr>
        <w:t>References</w:t>
      </w:r>
    </w:p>
    <w:p w14:paraId="4437D843" w14:textId="77777777" w:rsidR="002C4040" w:rsidRPr="00B42E37" w:rsidRDefault="00000000">
      <w:pPr>
        <w:spacing w:after="80" w:line="240" w:lineRule="auto"/>
        <w:ind w:left="403" w:hanging="403"/>
      </w:pPr>
      <w:r w:rsidRPr="00B42E37">
        <w:rPr>
          <w:rFonts w:eastAsia="Times New Roman"/>
          <w:sz w:val="20"/>
        </w:rPr>
        <w:t xml:space="preserve">Baethge, C., Goldbeck-Wood, S., &amp; Mertens, S. (2019). SANRA—a scale for the quality assessment of narrative review articles. </w:t>
      </w:r>
      <w:r w:rsidRPr="00B42E37">
        <w:rPr>
          <w:rFonts w:eastAsia="Times New Roman"/>
          <w:i/>
          <w:sz w:val="20"/>
        </w:rPr>
        <w:t>Research Integrity and Peer Review, 4</w:t>
      </w:r>
      <w:r w:rsidRPr="00B42E37">
        <w:rPr>
          <w:rFonts w:eastAsia="Times New Roman"/>
          <w:sz w:val="20"/>
        </w:rPr>
        <w:t xml:space="preserve">, 5. </w:t>
      </w:r>
      <w:hyperlink r:id="rId12">
        <w:r w:rsidR="002C4040" w:rsidRPr="00B42E37">
          <w:rPr>
            <w:rFonts w:eastAsia="Times New Roman"/>
            <w:sz w:val="20"/>
            <w:szCs w:val="20"/>
          </w:rPr>
          <w:t>https://doi.org/10.1186/s41073-019-0064-8</w:t>
        </w:r>
      </w:hyperlink>
    </w:p>
    <w:p w14:paraId="2D70488D" w14:textId="77777777" w:rsidR="002C4040" w:rsidRPr="00B42E37" w:rsidRDefault="00000000">
      <w:pPr>
        <w:spacing w:after="80" w:line="240" w:lineRule="auto"/>
        <w:ind w:left="403" w:hanging="403"/>
      </w:pPr>
      <w:r w:rsidRPr="00B42E37">
        <w:rPr>
          <w:rFonts w:eastAsia="Times New Roman"/>
          <w:sz w:val="20"/>
        </w:rPr>
        <w:t xml:space="preserve">Banerjee, R., Teng, C. B., Cunningham, S. A., Ihde, S. M., Steckelberg, J. M., Moriarty, J. P., Shah, N. D., Mandrekar, J. N., &amp; Patel, R. (2015). Randomized trial of rapid multiplex polymerase chain reaction-based blood culture identification and susceptibility testing. </w:t>
      </w:r>
      <w:r w:rsidRPr="00B42E37">
        <w:rPr>
          <w:rFonts w:eastAsia="Times New Roman"/>
          <w:i/>
          <w:sz w:val="20"/>
        </w:rPr>
        <w:t>Clinical Infectious Diseases, 61</w:t>
      </w:r>
      <w:r w:rsidRPr="00B42E37">
        <w:rPr>
          <w:rFonts w:eastAsia="Times New Roman"/>
          <w:sz w:val="20"/>
        </w:rPr>
        <w:t xml:space="preserve">(7), 1071-1080. </w:t>
      </w:r>
      <w:hyperlink r:id="rId13">
        <w:r w:rsidR="002C4040" w:rsidRPr="00B42E37">
          <w:rPr>
            <w:rFonts w:eastAsia="Times New Roman"/>
            <w:sz w:val="20"/>
            <w:szCs w:val="20"/>
          </w:rPr>
          <w:t>https://doi.org/10.1093/cid/civ447</w:t>
        </w:r>
      </w:hyperlink>
    </w:p>
    <w:p w14:paraId="479C0444" w14:textId="77777777" w:rsidR="002C4040" w:rsidRPr="00B42E37" w:rsidRDefault="00000000">
      <w:pPr>
        <w:spacing w:after="80" w:line="240" w:lineRule="auto"/>
        <w:ind w:left="403" w:hanging="403"/>
      </w:pPr>
      <w:r w:rsidRPr="00B42E37">
        <w:rPr>
          <w:rFonts w:eastAsia="Times New Roman"/>
          <w:sz w:val="20"/>
        </w:rPr>
        <w:t xml:space="preserve">Banerjee, R., Komarow, L., Virk, A., Rajapakse, N., Schuetz, A. N., Dylla, B., Earley, M., Lok, J., Kohner, P., Ihde, S., Cole, N., Hines, L., Reed, K., Garner, O. B., Chandrasekaran, S., de St. Maurice, A., Kanatani, M., Curello, J., Arias, R., ... Patel, R. (2021). Randomized trial evaluating clinical impact of RAPid IDentification and susceptibility testing for Gram-negative bacteremia: RAPIDS-GN. </w:t>
      </w:r>
      <w:r w:rsidRPr="00B42E37">
        <w:rPr>
          <w:rFonts w:eastAsia="Times New Roman"/>
          <w:i/>
          <w:sz w:val="20"/>
        </w:rPr>
        <w:t>Clinical Infectious Diseases, 73</w:t>
      </w:r>
      <w:r w:rsidRPr="00B42E37">
        <w:rPr>
          <w:rFonts w:eastAsia="Times New Roman"/>
          <w:sz w:val="20"/>
        </w:rPr>
        <w:t xml:space="preserve">(1), e39-e46. </w:t>
      </w:r>
      <w:hyperlink r:id="rId14">
        <w:r w:rsidR="002C4040" w:rsidRPr="00B42E37">
          <w:rPr>
            <w:rFonts w:eastAsia="Times New Roman"/>
            <w:sz w:val="20"/>
            <w:szCs w:val="20"/>
          </w:rPr>
          <w:t>https://doi.org/10.1093/cid/ciaa528</w:t>
        </w:r>
      </w:hyperlink>
    </w:p>
    <w:p w14:paraId="475C83A3" w14:textId="77777777" w:rsidR="002C4040" w:rsidRPr="00B42E37" w:rsidRDefault="00000000">
      <w:pPr>
        <w:spacing w:after="80" w:line="240" w:lineRule="auto"/>
        <w:ind w:left="403" w:hanging="403"/>
      </w:pPr>
      <w:r w:rsidRPr="00B42E37">
        <w:rPr>
          <w:rFonts w:eastAsia="Times New Roman"/>
          <w:sz w:val="20"/>
        </w:rPr>
        <w:t xml:space="preserve">Barlam, T. F., Cosgrove, S. E., Abbo, L. M., MacDougall, C., Schuetz, A. N., Septimus, E. J., Srinivasan, A., Dellit, T. H., Falck-Ytter, Y. T., Fishman, N. O., Hamilton, C. W., Jenkins, T. C., Lipsett, P. A., Malani, P. N., May, L. S., Moran, G. J., Neuhauser, M. M., Newland, J. G., Ohl, C. A., ... Trivedi, K. K. (2016). Implementing an antibiotic stewardship program: Guidelines by the Infectious Diseases Society of America and the Society for Healthcare Epidemiology of America. </w:t>
      </w:r>
      <w:r w:rsidRPr="00B42E37">
        <w:rPr>
          <w:rFonts w:eastAsia="Times New Roman"/>
          <w:i/>
          <w:sz w:val="20"/>
        </w:rPr>
        <w:t>Clinical Infectious Diseases, 62</w:t>
      </w:r>
      <w:r w:rsidRPr="00B42E37">
        <w:rPr>
          <w:rFonts w:eastAsia="Times New Roman"/>
          <w:sz w:val="20"/>
        </w:rPr>
        <w:t xml:space="preserve">(10), e51-e77. </w:t>
      </w:r>
      <w:hyperlink r:id="rId15">
        <w:r w:rsidR="002C4040" w:rsidRPr="00B42E37">
          <w:rPr>
            <w:rFonts w:eastAsia="Times New Roman"/>
            <w:sz w:val="20"/>
            <w:szCs w:val="20"/>
          </w:rPr>
          <w:t>https://doi.org/10.1093/cid/ciw118</w:t>
        </w:r>
      </w:hyperlink>
    </w:p>
    <w:p w14:paraId="4332E360" w14:textId="77777777" w:rsidR="002C4040" w:rsidRPr="00B42E37" w:rsidRDefault="00000000">
      <w:pPr>
        <w:spacing w:after="80" w:line="240" w:lineRule="auto"/>
        <w:ind w:left="403" w:hanging="403"/>
      </w:pPr>
      <w:r w:rsidRPr="00B42E37">
        <w:rPr>
          <w:rFonts w:eastAsia="Times New Roman"/>
          <w:sz w:val="20"/>
        </w:rPr>
        <w:t xml:space="preserve">Bookstaver, P. B., Nimmich, E. B., Smith, T. J., III, Justo, J. A., Kohn, J., Hammer, K. L., Troficanto, C., Albrecht, H. A., &amp; Al-Hasan, M. N. (2017). Cumulative effect of an antimicrobial stewardship and rapid diagnostic testing bundle on early streamlining of antimicrobial therapy in Gram-negative bloodstream infections. </w:t>
      </w:r>
      <w:r w:rsidRPr="00B42E37">
        <w:rPr>
          <w:rFonts w:eastAsia="Times New Roman"/>
          <w:i/>
          <w:sz w:val="20"/>
        </w:rPr>
        <w:t>Antimicrobial Agents and Chemotherapy, 61</w:t>
      </w:r>
      <w:r w:rsidRPr="00B42E37">
        <w:rPr>
          <w:rFonts w:eastAsia="Times New Roman"/>
          <w:sz w:val="20"/>
        </w:rPr>
        <w:t xml:space="preserve">(9), e00189-17. </w:t>
      </w:r>
      <w:hyperlink r:id="rId16">
        <w:r w:rsidR="002C4040" w:rsidRPr="00B42E37">
          <w:rPr>
            <w:rFonts w:eastAsia="Times New Roman"/>
            <w:sz w:val="20"/>
            <w:szCs w:val="20"/>
          </w:rPr>
          <w:t>https://doi.org/10.1128/AAC.00189-17</w:t>
        </w:r>
      </w:hyperlink>
    </w:p>
    <w:p w14:paraId="1249A794" w14:textId="77777777" w:rsidR="002C4040" w:rsidRPr="00B42E37" w:rsidRDefault="00000000">
      <w:pPr>
        <w:spacing w:after="80" w:line="240" w:lineRule="auto"/>
        <w:ind w:left="403" w:hanging="403"/>
      </w:pPr>
      <w:r w:rsidRPr="00B42E37">
        <w:rPr>
          <w:rFonts w:eastAsia="Times New Roman"/>
          <w:sz w:val="20"/>
        </w:rPr>
        <w:t xml:space="preserve">De Bus, L., Denys, W., Catteeuw, J., Gadeyne, B., Vermeulen, K., Boelens, J., Claeys, G., De Waele, J. J., Decruyenaere, J., &amp; Depuydt, P. O. (2016). Impact of de-escalation of beta-lactam antibiotics on the emergence of antibiotic resistance in ICU patients: A retrospective observational study. </w:t>
      </w:r>
      <w:r w:rsidRPr="00B42E37">
        <w:rPr>
          <w:rFonts w:eastAsia="Times New Roman"/>
          <w:i/>
          <w:sz w:val="20"/>
        </w:rPr>
        <w:t>Intensive Care Medicine, 42</w:t>
      </w:r>
      <w:r w:rsidRPr="00B42E37">
        <w:rPr>
          <w:rFonts w:eastAsia="Times New Roman"/>
          <w:sz w:val="20"/>
        </w:rPr>
        <w:t xml:space="preserve">(6), 1029-1039. </w:t>
      </w:r>
      <w:hyperlink r:id="rId17">
        <w:r w:rsidR="002C4040" w:rsidRPr="00B42E37">
          <w:rPr>
            <w:rFonts w:eastAsia="Times New Roman"/>
            <w:sz w:val="20"/>
            <w:szCs w:val="20"/>
          </w:rPr>
          <w:t>https://doi.org/10.1007/s00134-016-4301-z</w:t>
        </w:r>
      </w:hyperlink>
    </w:p>
    <w:p w14:paraId="2EAE9A1B" w14:textId="77777777" w:rsidR="002C4040" w:rsidRPr="00B42E37" w:rsidRDefault="00000000">
      <w:pPr>
        <w:spacing w:after="80" w:line="240" w:lineRule="auto"/>
        <w:ind w:left="403" w:hanging="403"/>
      </w:pPr>
      <w:r w:rsidRPr="00B42E37">
        <w:rPr>
          <w:rFonts w:eastAsia="Times New Roman"/>
          <w:sz w:val="20"/>
        </w:rPr>
        <w:t xml:space="preserve">De Bus, L., Depuydt, P., Steen, J., Dhaese, S., De Smet, K., Tabah, A., Akova, M., Cotta, M. O., De Pascale, G., Dimopoulos, G., Fujitani, S., Garnacho-Montero, J., Leone, M., Lipman, J., Ostermann, M., Paiva, J. A., Schouten, J., Sjövall, F., Timsit, J.-F., ... De Waele, J. J. (2020). Antimicrobial de-escalation in the critically ill patient and assessment of clinical cure: The DIANA study. </w:t>
      </w:r>
      <w:r w:rsidRPr="00B42E37">
        <w:rPr>
          <w:rFonts w:eastAsia="Times New Roman"/>
          <w:i/>
          <w:sz w:val="20"/>
        </w:rPr>
        <w:t>Intensive Care Medicine, 46</w:t>
      </w:r>
      <w:r w:rsidRPr="00B42E37">
        <w:rPr>
          <w:rFonts w:eastAsia="Times New Roman"/>
          <w:sz w:val="20"/>
        </w:rPr>
        <w:t xml:space="preserve">(7), 1404-1417. </w:t>
      </w:r>
      <w:hyperlink r:id="rId18">
        <w:r w:rsidR="002C4040" w:rsidRPr="00B42E37">
          <w:rPr>
            <w:rFonts w:eastAsia="Times New Roman"/>
            <w:sz w:val="20"/>
            <w:szCs w:val="20"/>
          </w:rPr>
          <w:t>https://doi.org/10.1007/s00134-020-06111-5</w:t>
        </w:r>
      </w:hyperlink>
    </w:p>
    <w:p w14:paraId="7B5AC044" w14:textId="77777777" w:rsidR="002C4040" w:rsidRPr="00B42E37" w:rsidRDefault="00000000">
      <w:pPr>
        <w:spacing w:after="80" w:line="240" w:lineRule="auto"/>
        <w:ind w:left="403" w:hanging="403"/>
      </w:pPr>
      <w:r w:rsidRPr="00B42E37">
        <w:rPr>
          <w:rFonts w:eastAsia="Times New Roman"/>
          <w:sz w:val="20"/>
        </w:rPr>
        <w:t xml:space="preserve">De Waele, J. J., Schouten, J., Beovic, B., Tabah, A., &amp; Leone, M. (2020). Antimicrobial de-escalation as part of antimicrobial stewardship in intensive care: No simple answers to simple questions—a viewpoint of experts. </w:t>
      </w:r>
      <w:r w:rsidRPr="00B42E37">
        <w:rPr>
          <w:rFonts w:eastAsia="Times New Roman"/>
          <w:i/>
          <w:sz w:val="20"/>
        </w:rPr>
        <w:t>Intensive Care Medicine, 46</w:t>
      </w:r>
      <w:r w:rsidRPr="00B42E37">
        <w:rPr>
          <w:rFonts w:eastAsia="Times New Roman"/>
          <w:sz w:val="20"/>
        </w:rPr>
        <w:t xml:space="preserve">(2), 236-244. </w:t>
      </w:r>
      <w:hyperlink r:id="rId19">
        <w:r w:rsidR="002C4040" w:rsidRPr="00B42E37">
          <w:rPr>
            <w:rFonts w:eastAsia="Times New Roman"/>
            <w:sz w:val="20"/>
            <w:szCs w:val="20"/>
          </w:rPr>
          <w:t>https://doi.org/10.1007/s00134-019-05871-z</w:t>
        </w:r>
      </w:hyperlink>
    </w:p>
    <w:p w14:paraId="638EF553" w14:textId="77777777" w:rsidR="002C4040" w:rsidRPr="00B42E37" w:rsidRDefault="00000000">
      <w:pPr>
        <w:spacing w:after="80" w:line="240" w:lineRule="auto"/>
        <w:ind w:left="403" w:hanging="403"/>
      </w:pPr>
      <w:r w:rsidRPr="00B42E37">
        <w:rPr>
          <w:rFonts w:eastAsia="Times New Roman"/>
          <w:sz w:val="20"/>
        </w:rPr>
        <w:lastRenderedPageBreak/>
        <w:t xml:space="preserve">Dellit, T. H., Owens, R. C., McGowan, J. E., Jr., Gerding, D. N., Weinstein, R. A., Burke, J. P., Huskins, W. C., Paterson, D. L., Fishman, N. O., Carpenter, C. F., Brennan, P. J., Billeter, M., &amp; Hooton, T. M. (2007). Infectious Diseases Society of America and the Society for Healthcare Epidemiology of America guidelines for developing an institutional program to enhance antimicrobial stewardship. </w:t>
      </w:r>
      <w:r w:rsidRPr="00B42E37">
        <w:rPr>
          <w:rFonts w:eastAsia="Times New Roman"/>
          <w:i/>
          <w:sz w:val="20"/>
        </w:rPr>
        <w:t>Clinical Infectious Diseases, 44</w:t>
      </w:r>
      <w:r w:rsidRPr="00B42E37">
        <w:rPr>
          <w:rFonts w:eastAsia="Times New Roman"/>
          <w:sz w:val="20"/>
        </w:rPr>
        <w:t xml:space="preserve">(2), 159-177. </w:t>
      </w:r>
      <w:hyperlink r:id="rId20">
        <w:r w:rsidR="002C4040" w:rsidRPr="00B42E37">
          <w:rPr>
            <w:rFonts w:eastAsia="Times New Roman"/>
            <w:sz w:val="20"/>
            <w:szCs w:val="20"/>
          </w:rPr>
          <w:t>https://doi.org/10.1086/510393</w:t>
        </w:r>
      </w:hyperlink>
    </w:p>
    <w:p w14:paraId="7E665E78" w14:textId="77777777" w:rsidR="002C4040" w:rsidRPr="00B42E37" w:rsidRDefault="00000000">
      <w:pPr>
        <w:spacing w:after="80" w:line="240" w:lineRule="auto"/>
        <w:ind w:left="403" w:hanging="403"/>
      </w:pPr>
      <w:r w:rsidRPr="00B42E37">
        <w:rPr>
          <w:rFonts w:eastAsia="Times New Roman"/>
          <w:sz w:val="20"/>
        </w:rPr>
        <w:t xml:space="preserve">Doan, K., &amp; Smoke, S. (2024). Antibiotic de-escalation in pneumonia with pharmacist education and ordering of methicillin-resistant Staphylococcus aureus nasal swabs. </w:t>
      </w:r>
      <w:r w:rsidRPr="00B42E37">
        <w:rPr>
          <w:rFonts w:eastAsia="Times New Roman"/>
          <w:i/>
          <w:sz w:val="20"/>
        </w:rPr>
        <w:t>European Journal of Hospital Pharmacy, 31</w:t>
      </w:r>
      <w:r w:rsidRPr="00B42E37">
        <w:rPr>
          <w:rFonts w:eastAsia="Times New Roman"/>
          <w:sz w:val="20"/>
        </w:rPr>
        <w:t xml:space="preserve">(4), 327-331. </w:t>
      </w:r>
      <w:hyperlink r:id="rId21">
        <w:r w:rsidR="002C4040" w:rsidRPr="00B42E37">
          <w:rPr>
            <w:rFonts w:eastAsia="Times New Roman"/>
            <w:sz w:val="20"/>
            <w:szCs w:val="20"/>
          </w:rPr>
          <w:t>https://doi.org/10.1136/ejhpharm-2022-003504</w:t>
        </w:r>
      </w:hyperlink>
    </w:p>
    <w:p w14:paraId="38432252" w14:textId="77777777" w:rsidR="002C4040" w:rsidRPr="00B42E37" w:rsidRDefault="00000000">
      <w:pPr>
        <w:spacing w:after="80" w:line="240" w:lineRule="auto"/>
        <w:ind w:left="403" w:hanging="403"/>
      </w:pPr>
      <w:r w:rsidRPr="00B42E37">
        <w:rPr>
          <w:rFonts w:eastAsia="Times New Roman"/>
          <w:sz w:val="20"/>
        </w:rPr>
        <w:t xml:space="preserve">Dyar, O. J., Huttner, B., Schouten, J., &amp; Pulcini, C. (2017). What is antimicrobial stewardship? </w:t>
      </w:r>
      <w:r w:rsidRPr="00B42E37">
        <w:rPr>
          <w:rFonts w:eastAsia="Times New Roman"/>
          <w:i/>
          <w:sz w:val="20"/>
        </w:rPr>
        <w:t>Clinical Microbiology and Infection, 23</w:t>
      </w:r>
      <w:r w:rsidRPr="00B42E37">
        <w:rPr>
          <w:rFonts w:eastAsia="Times New Roman"/>
          <w:sz w:val="20"/>
        </w:rPr>
        <w:t xml:space="preserve">(11), 793-798. </w:t>
      </w:r>
      <w:hyperlink r:id="rId22">
        <w:r w:rsidR="002C4040" w:rsidRPr="00B42E37">
          <w:rPr>
            <w:rFonts w:eastAsia="Times New Roman"/>
            <w:sz w:val="20"/>
            <w:szCs w:val="20"/>
          </w:rPr>
          <w:t>https://doi.org/10.1016/j.cmi.2017.08.026</w:t>
        </w:r>
      </w:hyperlink>
    </w:p>
    <w:p w14:paraId="02888008" w14:textId="77777777" w:rsidR="002C4040" w:rsidRPr="00B42E37" w:rsidRDefault="00000000">
      <w:pPr>
        <w:spacing w:after="80" w:line="240" w:lineRule="auto"/>
        <w:ind w:left="403" w:hanging="403"/>
      </w:pPr>
      <w:r w:rsidRPr="00B42E37">
        <w:rPr>
          <w:rFonts w:eastAsia="Times New Roman"/>
          <w:sz w:val="20"/>
        </w:rPr>
        <w:t xml:space="preserve">Evans, L., Rhodes, A., Alhazzani, W., Antonelli, M., Coopersmith, C. M., French, C., Machado, F. R., McIntyre, L., Ostermann, M., Prescott, H. C., Schorr, C., Simpson, S., Wiersinga, W. J., Alshamsi, F., Angus, D. C., Arabi, Y., Azevedo, L., Beale, R., Beilman, G., ... Levy, M. (2021). Surviving sepsis campaign: International guidelines for management of sepsis and septic shock 2021. </w:t>
      </w:r>
      <w:r w:rsidRPr="00B42E37">
        <w:rPr>
          <w:rFonts w:eastAsia="Times New Roman"/>
          <w:i/>
          <w:sz w:val="20"/>
        </w:rPr>
        <w:t>Intensive Care Medicine, 47</w:t>
      </w:r>
      <w:r w:rsidRPr="00B42E37">
        <w:rPr>
          <w:rFonts w:eastAsia="Times New Roman"/>
          <w:sz w:val="20"/>
        </w:rPr>
        <w:t xml:space="preserve">(11), 1181-1247. </w:t>
      </w:r>
      <w:hyperlink r:id="rId23">
        <w:r w:rsidR="002C4040" w:rsidRPr="00B42E37">
          <w:rPr>
            <w:rFonts w:eastAsia="Times New Roman"/>
            <w:sz w:val="20"/>
            <w:szCs w:val="20"/>
          </w:rPr>
          <w:t>https://doi.org/10.1007/s00134-021-06506-y</w:t>
        </w:r>
      </w:hyperlink>
    </w:p>
    <w:p w14:paraId="49A45705" w14:textId="77777777" w:rsidR="002C4040" w:rsidRPr="00B42E37" w:rsidRDefault="00000000">
      <w:pPr>
        <w:spacing w:after="80" w:line="240" w:lineRule="auto"/>
        <w:ind w:left="403" w:hanging="403"/>
      </w:pPr>
      <w:r w:rsidRPr="00B42E37">
        <w:rPr>
          <w:rFonts w:eastAsia="Times New Roman"/>
          <w:sz w:val="20"/>
        </w:rPr>
        <w:t xml:space="preserve">Freiberg, J. A., Qian, E. T., Nairon, K. G., Ereshefsky, B. J., Hennessy, C., Van Winkle, G., Lewis, A. A., Justice, J. M., Siemann, J. K., Stollings, J. L., Rali, T. M., Harrell, F. E., Gatto, C. L., Nelson, G. E., Rice, T. W., &amp; Vanderbilt Center for Learning Healthcare. (2026). Swab testing to optimize pneumonia treatment with empiric vancomycin: A randomized controlled trial. </w:t>
      </w:r>
      <w:r w:rsidRPr="00B42E37">
        <w:rPr>
          <w:rFonts w:eastAsia="Times New Roman"/>
          <w:i/>
          <w:sz w:val="20"/>
        </w:rPr>
        <w:t>Clinical Infectious Diseases</w:t>
      </w:r>
      <w:r w:rsidRPr="00B42E37">
        <w:rPr>
          <w:rFonts w:eastAsia="Times New Roman"/>
          <w:sz w:val="20"/>
        </w:rPr>
        <w:t xml:space="preserve">. Advance online publication. </w:t>
      </w:r>
      <w:hyperlink r:id="rId24">
        <w:r w:rsidR="002C4040" w:rsidRPr="00B42E37">
          <w:rPr>
            <w:rFonts w:eastAsia="Times New Roman"/>
            <w:sz w:val="20"/>
            <w:szCs w:val="20"/>
          </w:rPr>
          <w:t>https://doi.org/10.1093/cid/ciag295</w:t>
        </w:r>
      </w:hyperlink>
    </w:p>
    <w:p w14:paraId="40AB49CA" w14:textId="77777777" w:rsidR="002C4040" w:rsidRPr="00B42E37" w:rsidRDefault="00000000">
      <w:pPr>
        <w:spacing w:after="80" w:line="240" w:lineRule="auto"/>
        <w:ind w:left="403" w:hanging="403"/>
      </w:pPr>
      <w:r w:rsidRPr="00B42E37">
        <w:rPr>
          <w:rFonts w:eastAsia="Times New Roman"/>
          <w:sz w:val="20"/>
        </w:rPr>
        <w:t xml:space="preserve">Garnacho-Montero, J., Gutiérrez-Pizarraya, A., Escoresca-Ortega, A., Corcia-Palomo, Y., Fernández-Delgado, E., Herrera-Melero, I., Ortiz-Leyba, C., &amp; Márquez-Vácaro, J. A. (2014). De-escalation of empirical therapy is associated with lower mortality in patients with severe sepsis and septic shock. </w:t>
      </w:r>
      <w:r w:rsidRPr="00B42E37">
        <w:rPr>
          <w:rFonts w:eastAsia="Times New Roman"/>
          <w:i/>
          <w:sz w:val="20"/>
        </w:rPr>
        <w:t>Intensive Care Medicine, 40</w:t>
      </w:r>
      <w:r w:rsidRPr="00B42E37">
        <w:rPr>
          <w:rFonts w:eastAsia="Times New Roman"/>
          <w:sz w:val="20"/>
        </w:rPr>
        <w:t xml:space="preserve">(1), 32-40. </w:t>
      </w:r>
      <w:hyperlink r:id="rId25">
        <w:r w:rsidR="002C4040" w:rsidRPr="00B42E37">
          <w:rPr>
            <w:rFonts w:eastAsia="Times New Roman"/>
            <w:sz w:val="20"/>
            <w:szCs w:val="20"/>
          </w:rPr>
          <w:t>https://doi.org/10.1007/s00134-013-3077-7</w:t>
        </w:r>
      </w:hyperlink>
    </w:p>
    <w:p w14:paraId="063A953D" w14:textId="77777777" w:rsidR="002C4040" w:rsidRPr="00B42E37" w:rsidRDefault="00000000">
      <w:pPr>
        <w:spacing w:after="80" w:line="240" w:lineRule="auto"/>
        <w:ind w:left="403" w:hanging="403"/>
      </w:pPr>
      <w:r w:rsidRPr="00B42E37">
        <w:rPr>
          <w:rFonts w:eastAsia="Times New Roman"/>
          <w:sz w:val="20"/>
        </w:rPr>
        <w:t xml:space="preserve">Gerber, J. S., Hersh, A. L., Kronman, M. P., Newland, J. G., Ross, R. K., &amp; Metjian, T. A. (2017). Development and application of an antibiotic spectrum index for benchmarking antibiotic selection patterns across hospitals. </w:t>
      </w:r>
      <w:r w:rsidRPr="00B42E37">
        <w:rPr>
          <w:rFonts w:eastAsia="Times New Roman"/>
          <w:i/>
          <w:sz w:val="20"/>
        </w:rPr>
        <w:t>Infection Control &amp; Hospital Epidemiology, 38</w:t>
      </w:r>
      <w:r w:rsidRPr="00B42E37">
        <w:rPr>
          <w:rFonts w:eastAsia="Times New Roman"/>
          <w:sz w:val="20"/>
        </w:rPr>
        <w:t xml:space="preserve">(8), 993-997. </w:t>
      </w:r>
      <w:hyperlink r:id="rId26">
        <w:r w:rsidR="002C4040" w:rsidRPr="00B42E37">
          <w:rPr>
            <w:rFonts w:eastAsia="Times New Roman"/>
            <w:sz w:val="20"/>
            <w:szCs w:val="20"/>
          </w:rPr>
          <w:t>https://doi.org/10.1017/ice.2017.94</w:t>
        </w:r>
      </w:hyperlink>
    </w:p>
    <w:p w14:paraId="107C0A3F" w14:textId="77777777" w:rsidR="002C4040" w:rsidRPr="00B42E37" w:rsidRDefault="00000000">
      <w:pPr>
        <w:spacing w:after="80" w:line="240" w:lineRule="auto"/>
        <w:ind w:left="403" w:hanging="403"/>
      </w:pPr>
      <w:r w:rsidRPr="00B42E37">
        <w:rPr>
          <w:rFonts w:eastAsia="Times New Roman"/>
          <w:sz w:val="20"/>
        </w:rPr>
        <w:t xml:space="preserve">Gupta, A. B., Heath, M., Walzl, E., Ratz, D., Munroe, E., Vaughn, V. M., Horowitz, J. K., Czilok, T., Petty, L. A., Gandhi, T. N., Taylor, S. P., McLaughlin, E. S., Posa, P., Malani, A. N., Hsaiky, L., Flanders, S. A., &amp; Prescott, H. C. (2026). Antibiotic de-escalation in adults hospitalized for community-onset sepsis. </w:t>
      </w:r>
      <w:r w:rsidRPr="00B42E37">
        <w:rPr>
          <w:rFonts w:eastAsia="Times New Roman"/>
          <w:i/>
          <w:sz w:val="20"/>
        </w:rPr>
        <w:t>JAMA Internal Medicine, 186</w:t>
      </w:r>
      <w:r w:rsidRPr="00B42E37">
        <w:rPr>
          <w:rFonts w:eastAsia="Times New Roman"/>
          <w:sz w:val="20"/>
        </w:rPr>
        <w:t xml:space="preserve">(2), 192-202. </w:t>
      </w:r>
      <w:hyperlink r:id="rId27">
        <w:r w:rsidR="002C4040" w:rsidRPr="00B42E37">
          <w:rPr>
            <w:rFonts w:eastAsia="Times New Roman"/>
            <w:sz w:val="20"/>
            <w:szCs w:val="20"/>
          </w:rPr>
          <w:t>https://doi.org/10.1001/jamainternmed.2025.6919</w:t>
        </w:r>
      </w:hyperlink>
    </w:p>
    <w:p w14:paraId="01A1D880" w14:textId="77777777" w:rsidR="002C4040" w:rsidRPr="00B42E37" w:rsidRDefault="00000000">
      <w:pPr>
        <w:spacing w:after="80" w:line="240" w:lineRule="auto"/>
        <w:ind w:left="403" w:hanging="403"/>
      </w:pPr>
      <w:r w:rsidRPr="00B42E37">
        <w:rPr>
          <w:rFonts w:eastAsia="Times New Roman"/>
          <w:sz w:val="20"/>
        </w:rPr>
        <w:t xml:space="preserve">Hughes, J., Huo, X., Falk, L., Hurford, A., Lan, K., Coburn, B., Morris, A., &amp; Wu, J. (2017). Benefits and unintended consequences of antimicrobial de-escalation: Implications for stewardship programs. </w:t>
      </w:r>
      <w:r w:rsidRPr="00B42E37">
        <w:rPr>
          <w:rFonts w:eastAsia="Times New Roman"/>
          <w:i/>
          <w:sz w:val="20"/>
        </w:rPr>
        <w:t>PLOS ONE, 12</w:t>
      </w:r>
      <w:r w:rsidRPr="00B42E37">
        <w:rPr>
          <w:rFonts w:eastAsia="Times New Roman"/>
          <w:sz w:val="20"/>
        </w:rPr>
        <w:t xml:space="preserve">(2), e0171218. </w:t>
      </w:r>
      <w:hyperlink r:id="rId28">
        <w:r w:rsidR="002C4040" w:rsidRPr="00B42E37">
          <w:rPr>
            <w:rFonts w:eastAsia="Times New Roman"/>
            <w:sz w:val="20"/>
            <w:szCs w:val="20"/>
          </w:rPr>
          <w:t>https://doi.org/10.1371/journal.pone.0171218</w:t>
        </w:r>
      </w:hyperlink>
    </w:p>
    <w:p w14:paraId="38FB5029" w14:textId="77777777" w:rsidR="002C4040" w:rsidRPr="00B42E37" w:rsidRDefault="00000000">
      <w:pPr>
        <w:spacing w:after="80" w:line="240" w:lineRule="auto"/>
        <w:ind w:left="403" w:hanging="403"/>
      </w:pPr>
      <w:r w:rsidRPr="00B42E37">
        <w:rPr>
          <w:rFonts w:eastAsia="Times New Roman"/>
          <w:sz w:val="20"/>
        </w:rPr>
        <w:t xml:space="preserve">Ilges, D., Ritchie, D. J., Krekel, T., Neuner, E. A., Hampton, N., Kollef, M. H., &amp; Micek, S. (2021). Assessment of antibiotic de-escalation by spectrum score in patients with nosocomial pneumonia: A single-center, retrospective cohort study. </w:t>
      </w:r>
      <w:r w:rsidRPr="00B42E37">
        <w:rPr>
          <w:rFonts w:eastAsia="Times New Roman"/>
          <w:i/>
          <w:sz w:val="20"/>
        </w:rPr>
        <w:t>Open Forum Infectious Diseases, 8</w:t>
      </w:r>
      <w:r w:rsidRPr="00B42E37">
        <w:rPr>
          <w:rFonts w:eastAsia="Times New Roman"/>
          <w:sz w:val="20"/>
        </w:rPr>
        <w:t xml:space="preserve">(11), ofab508. </w:t>
      </w:r>
      <w:hyperlink r:id="rId29">
        <w:r w:rsidR="002C4040" w:rsidRPr="00B42E37">
          <w:rPr>
            <w:rFonts w:eastAsia="Times New Roman"/>
            <w:sz w:val="20"/>
            <w:szCs w:val="20"/>
          </w:rPr>
          <w:t>https://doi.org/10.1093/ofid/ofab508</w:t>
        </w:r>
      </w:hyperlink>
    </w:p>
    <w:p w14:paraId="1C3F0E70" w14:textId="77777777" w:rsidR="002C4040" w:rsidRPr="00B42E37" w:rsidRDefault="00000000">
      <w:pPr>
        <w:spacing w:after="80" w:line="240" w:lineRule="auto"/>
        <w:ind w:left="403" w:hanging="403"/>
      </w:pPr>
      <w:r w:rsidRPr="00B42E37">
        <w:rPr>
          <w:rFonts w:eastAsia="Times New Roman"/>
          <w:sz w:val="20"/>
        </w:rPr>
        <w:t xml:space="preserve">Ilges, D. T., Ritchie, D. J., Krekel, T., Neuner, E. A., &amp; Micek, S. T. (2023). Spectrum scores: Toward a better definition of de-escalation. </w:t>
      </w:r>
      <w:r w:rsidRPr="00B42E37">
        <w:rPr>
          <w:rFonts w:eastAsia="Times New Roman"/>
          <w:i/>
          <w:sz w:val="20"/>
        </w:rPr>
        <w:t>Infection Control &amp; Hospital Epidemiology, 44</w:t>
      </w:r>
      <w:r w:rsidRPr="00B42E37">
        <w:rPr>
          <w:rFonts w:eastAsia="Times New Roman"/>
          <w:sz w:val="20"/>
        </w:rPr>
        <w:t xml:space="preserve">(6), 938-940. </w:t>
      </w:r>
      <w:hyperlink r:id="rId30">
        <w:r w:rsidR="002C4040" w:rsidRPr="00B42E37">
          <w:rPr>
            <w:rFonts w:eastAsia="Times New Roman"/>
            <w:sz w:val="20"/>
            <w:szCs w:val="20"/>
          </w:rPr>
          <w:t>https://doi.org/10.1017/ice.2022.207</w:t>
        </w:r>
      </w:hyperlink>
    </w:p>
    <w:p w14:paraId="3A199FF3" w14:textId="77777777" w:rsidR="002C4040" w:rsidRPr="00B42E37" w:rsidRDefault="00000000">
      <w:pPr>
        <w:spacing w:after="80" w:line="240" w:lineRule="auto"/>
        <w:ind w:left="403" w:hanging="403"/>
      </w:pPr>
      <w:r w:rsidRPr="00B42E37">
        <w:rPr>
          <w:rFonts w:eastAsia="Times New Roman"/>
          <w:sz w:val="20"/>
        </w:rPr>
        <w:t xml:space="preserve">Kalil, A. C., Metersky, M. L., Klompas, M., Muscedere, J., Sweeney, D. A., Palmer, L. B., Napolitano, L. M., O'Grady, N. P., Bartlett, J. G., Carratalà, J., El Solh, A. A., Ewig, S., Fey, P. D., File, T. M., Jr., Restrepo, M. I., Roberts, J. A., Waterer, G. W., Cruse, P., Knight, S. L., &amp; Brozek, J. L. (2016). Management of adults with hospital-acquired and ventilator-associated pneumonia: 2016 clinical practice guidelines by the Infectious Diseases Society of America and the American Thoracic Society. </w:t>
      </w:r>
      <w:r w:rsidRPr="00B42E37">
        <w:rPr>
          <w:rFonts w:eastAsia="Times New Roman"/>
          <w:i/>
          <w:sz w:val="20"/>
        </w:rPr>
        <w:t>Clinical Infectious Diseases, 63</w:t>
      </w:r>
      <w:r w:rsidRPr="00B42E37">
        <w:rPr>
          <w:rFonts w:eastAsia="Times New Roman"/>
          <w:sz w:val="20"/>
        </w:rPr>
        <w:t xml:space="preserve">(5), e61-e111. </w:t>
      </w:r>
      <w:hyperlink r:id="rId31">
        <w:r w:rsidR="002C4040" w:rsidRPr="00B42E37">
          <w:rPr>
            <w:rFonts w:eastAsia="Times New Roman"/>
            <w:sz w:val="20"/>
            <w:szCs w:val="20"/>
          </w:rPr>
          <w:t>https://doi.org/10.1093/cid/ciw353</w:t>
        </w:r>
      </w:hyperlink>
    </w:p>
    <w:p w14:paraId="041A0F23" w14:textId="77777777" w:rsidR="002C4040" w:rsidRPr="00B42E37" w:rsidRDefault="00000000">
      <w:pPr>
        <w:spacing w:after="80" w:line="240" w:lineRule="auto"/>
        <w:ind w:left="403" w:hanging="403"/>
      </w:pPr>
      <w:r w:rsidRPr="00B42E37">
        <w:rPr>
          <w:rFonts w:eastAsia="Times New Roman"/>
          <w:sz w:val="20"/>
        </w:rPr>
        <w:t xml:space="preserve">Kam, K. Q., Chen, T., Kadri, S. S., Lawandi, A., Yek, C., Walker, M., Warner, S., Fram, D., Chen, H.-C., Shappell, C. N., DelloStritto, L., Jin, R., Klompas, M., &amp; Rhee, C. (2025). Epidemiology and outcomes of antibiotic de-escalation in patients with suspected sepsis in US hospitals. </w:t>
      </w:r>
      <w:r w:rsidRPr="00B42E37">
        <w:rPr>
          <w:rFonts w:eastAsia="Times New Roman"/>
          <w:i/>
          <w:sz w:val="20"/>
        </w:rPr>
        <w:t>Clinical Infectious Diseases, 80</w:t>
      </w:r>
      <w:r w:rsidRPr="00B42E37">
        <w:rPr>
          <w:rFonts w:eastAsia="Times New Roman"/>
          <w:sz w:val="20"/>
        </w:rPr>
        <w:t xml:space="preserve">(1), 108-117. </w:t>
      </w:r>
      <w:hyperlink r:id="rId32">
        <w:r w:rsidR="002C4040" w:rsidRPr="00B42E37">
          <w:rPr>
            <w:rFonts w:eastAsia="Times New Roman"/>
            <w:sz w:val="20"/>
            <w:szCs w:val="20"/>
          </w:rPr>
          <w:t>https://doi.org/10.1093/cid/ciae591</w:t>
        </w:r>
      </w:hyperlink>
    </w:p>
    <w:p w14:paraId="76C36DBB" w14:textId="77777777" w:rsidR="002C4040" w:rsidRPr="00B42E37" w:rsidRDefault="00000000">
      <w:pPr>
        <w:spacing w:after="80" w:line="240" w:lineRule="auto"/>
        <w:ind w:left="403" w:hanging="403"/>
      </w:pPr>
      <w:r w:rsidRPr="00B42E37">
        <w:rPr>
          <w:rFonts w:eastAsia="Times New Roman"/>
          <w:sz w:val="20"/>
        </w:rPr>
        <w:t xml:space="preserve">Kroll, A. L., Corrigan, P. A., Patel, S., &amp; Hawks, K. G. (2016). Evaluation of empiric antibiotic de-escalation in febrile neutropenia. </w:t>
      </w:r>
      <w:r w:rsidRPr="00B42E37">
        <w:rPr>
          <w:rFonts w:eastAsia="Times New Roman"/>
          <w:i/>
          <w:sz w:val="20"/>
        </w:rPr>
        <w:t>Journal of Oncology Pharmacy Practice, 22</w:t>
      </w:r>
      <w:r w:rsidRPr="00B42E37">
        <w:rPr>
          <w:rFonts w:eastAsia="Times New Roman"/>
          <w:sz w:val="20"/>
        </w:rPr>
        <w:t xml:space="preserve">(5), 696-701. </w:t>
      </w:r>
      <w:hyperlink r:id="rId33">
        <w:r w:rsidR="002C4040" w:rsidRPr="00B42E37">
          <w:rPr>
            <w:rFonts w:eastAsia="Times New Roman"/>
            <w:sz w:val="20"/>
            <w:szCs w:val="20"/>
          </w:rPr>
          <w:t>https://doi.org/10.1177/1078155215597558</w:t>
        </w:r>
      </w:hyperlink>
    </w:p>
    <w:p w14:paraId="42558BBB" w14:textId="77777777" w:rsidR="002C4040" w:rsidRPr="00B42E37" w:rsidRDefault="00000000">
      <w:pPr>
        <w:spacing w:after="80" w:line="240" w:lineRule="auto"/>
        <w:ind w:left="403" w:hanging="403"/>
      </w:pPr>
      <w:r w:rsidRPr="00B42E37">
        <w:rPr>
          <w:rFonts w:eastAsia="Times New Roman"/>
          <w:sz w:val="20"/>
        </w:rPr>
        <w:t xml:space="preserve">Kubo, K., Sakuraya, M., Sugimoto, H., Takahashi, N., Kano, K.-I., Yoshimura, J., Egi, M., &amp; Kondo, Y. (2024). Benefits and harms of procalcitonin- or C-reactive protein-guided antimicrobial discontinuation in critically ill adults with sepsis: A systematic review and network meta-analysis. </w:t>
      </w:r>
      <w:r w:rsidRPr="00B42E37">
        <w:rPr>
          <w:rFonts w:eastAsia="Times New Roman"/>
          <w:i/>
          <w:sz w:val="20"/>
        </w:rPr>
        <w:t>Critical Care Medicine, 52</w:t>
      </w:r>
      <w:r w:rsidRPr="00B42E37">
        <w:rPr>
          <w:rFonts w:eastAsia="Times New Roman"/>
          <w:sz w:val="20"/>
        </w:rPr>
        <w:t xml:space="preserve">(10), e522-e534. </w:t>
      </w:r>
      <w:hyperlink r:id="rId34">
        <w:r w:rsidR="002C4040" w:rsidRPr="00B42E37">
          <w:rPr>
            <w:rFonts w:eastAsia="Times New Roman"/>
            <w:sz w:val="20"/>
            <w:szCs w:val="20"/>
          </w:rPr>
          <w:t>https://doi.org/10.1097/CCM.0000000000006366</w:t>
        </w:r>
      </w:hyperlink>
    </w:p>
    <w:p w14:paraId="66DE54E1" w14:textId="77777777" w:rsidR="002C4040" w:rsidRPr="00B42E37" w:rsidRDefault="00000000">
      <w:pPr>
        <w:spacing w:after="80" w:line="240" w:lineRule="auto"/>
        <w:ind w:left="403" w:hanging="403"/>
      </w:pPr>
      <w:r w:rsidRPr="00B42E37">
        <w:rPr>
          <w:rFonts w:eastAsia="Times New Roman"/>
          <w:sz w:val="20"/>
        </w:rPr>
        <w:lastRenderedPageBreak/>
        <w:t xml:space="preserve">Leone, M., Bechis, C., Baumstarck, K., Lefrant, J.-Y., Albanèse, J., Jaber, S., Lepape, A., Constantin, J.-M., Papazian, L., Bruder, N., Allaouchiche, B., Bézulier, K., Antonini, F., Textoris, J., &amp; Martin, C. (2014). De-escalation versus continuation of empirical antimicrobial treatment in severe sepsis: A multicenter non-blinded randomized noninferiority trial. </w:t>
      </w:r>
      <w:r w:rsidRPr="00B42E37">
        <w:rPr>
          <w:rFonts w:eastAsia="Times New Roman"/>
          <w:i/>
          <w:sz w:val="20"/>
        </w:rPr>
        <w:t>Intensive Care Medicine, 40</w:t>
      </w:r>
      <w:r w:rsidRPr="00B42E37">
        <w:rPr>
          <w:rFonts w:eastAsia="Times New Roman"/>
          <w:sz w:val="20"/>
        </w:rPr>
        <w:t xml:space="preserve">(10), 1399-1408. </w:t>
      </w:r>
      <w:hyperlink r:id="rId35">
        <w:r w:rsidR="002C4040" w:rsidRPr="00B42E37">
          <w:rPr>
            <w:rFonts w:eastAsia="Times New Roman"/>
            <w:sz w:val="20"/>
            <w:szCs w:val="20"/>
          </w:rPr>
          <w:t>https://doi.org/10.1007/s00134-014-3411-8</w:t>
        </w:r>
      </w:hyperlink>
    </w:p>
    <w:p w14:paraId="7A6B34AB" w14:textId="77777777" w:rsidR="002C4040" w:rsidRPr="00B42E37" w:rsidRDefault="00000000">
      <w:pPr>
        <w:spacing w:after="80" w:line="240" w:lineRule="auto"/>
        <w:ind w:left="403" w:hanging="403"/>
      </w:pPr>
      <w:r w:rsidRPr="00B42E37">
        <w:rPr>
          <w:rFonts w:eastAsia="Times New Roman"/>
          <w:sz w:val="20"/>
        </w:rPr>
        <w:t xml:space="preserve">Madaras-Kelly, K., Jones, M., Remington, R., Hill, N., Huttner, B., &amp; Samore, M. (2014). Development of an antibiotic spectrum score based on Veterans Affairs culture and susceptibility data for the purpose of measuring antibiotic de-escalation: A modified Delphi approach. </w:t>
      </w:r>
      <w:r w:rsidRPr="00B42E37">
        <w:rPr>
          <w:rFonts w:eastAsia="Times New Roman"/>
          <w:i/>
          <w:sz w:val="20"/>
        </w:rPr>
        <w:t>Infection Control &amp; Hospital Epidemiology, 35</w:t>
      </w:r>
      <w:r w:rsidRPr="00B42E37">
        <w:rPr>
          <w:rFonts w:eastAsia="Times New Roman"/>
          <w:sz w:val="20"/>
        </w:rPr>
        <w:t xml:space="preserve">(9), 1103-1113. </w:t>
      </w:r>
      <w:hyperlink r:id="rId36">
        <w:r w:rsidR="002C4040" w:rsidRPr="00B42E37">
          <w:rPr>
            <w:rFonts w:eastAsia="Times New Roman"/>
            <w:sz w:val="20"/>
            <w:szCs w:val="20"/>
          </w:rPr>
          <w:t>https://doi.org/10.1086/677633</w:t>
        </w:r>
      </w:hyperlink>
    </w:p>
    <w:p w14:paraId="7DD08AC4" w14:textId="77777777" w:rsidR="002C4040" w:rsidRPr="00B42E37" w:rsidRDefault="00000000">
      <w:pPr>
        <w:spacing w:after="80" w:line="240" w:lineRule="auto"/>
        <w:ind w:left="403" w:hanging="403"/>
      </w:pPr>
      <w:r w:rsidRPr="00B42E37">
        <w:rPr>
          <w:rFonts w:eastAsia="Times New Roman"/>
          <w:sz w:val="20"/>
        </w:rPr>
        <w:t xml:space="preserve">Metlay, J. P., Waterer, G. W., Long, A. C., Anzueto, A., Brozek, J., Crothers, K., Cooley, L. A., Dean, N. C., Fine, M. J., Flanders, S. A., Griffin, M. R., Metersky, M. L., Musher, D. M., Restrepo, M. I., &amp; Whitney, C. G. (2019). Diagnosis and treatment of adults with community-acquired pneumonia: An official clinical practice guideline of the American Thoracic Society and Infectious Diseases Society of America. </w:t>
      </w:r>
      <w:r w:rsidRPr="00B42E37">
        <w:rPr>
          <w:rFonts w:eastAsia="Times New Roman"/>
          <w:i/>
          <w:sz w:val="20"/>
        </w:rPr>
        <w:t>American Journal of Respiratory and Critical Care Medicine, 200</w:t>
      </w:r>
      <w:r w:rsidRPr="00B42E37">
        <w:rPr>
          <w:rFonts w:eastAsia="Times New Roman"/>
          <w:sz w:val="20"/>
        </w:rPr>
        <w:t xml:space="preserve">(7), e45-e67. </w:t>
      </w:r>
      <w:hyperlink r:id="rId37">
        <w:r w:rsidR="002C4040" w:rsidRPr="00B42E37">
          <w:rPr>
            <w:rFonts w:eastAsia="Times New Roman"/>
            <w:sz w:val="20"/>
            <w:szCs w:val="20"/>
          </w:rPr>
          <w:t>https://doi.org/10.1164/rccm.201908-1581ST</w:t>
        </w:r>
      </w:hyperlink>
    </w:p>
    <w:p w14:paraId="44686AC7" w14:textId="77777777" w:rsidR="002C4040" w:rsidRPr="00B42E37" w:rsidRDefault="00000000">
      <w:pPr>
        <w:spacing w:after="80" w:line="240" w:lineRule="auto"/>
        <w:ind w:left="403" w:hanging="403"/>
      </w:pPr>
      <w:r w:rsidRPr="00B42E37">
        <w:rPr>
          <w:rFonts w:eastAsia="Times New Roman"/>
          <w:sz w:val="20"/>
        </w:rPr>
        <w:t xml:space="preserve">Moehring, R. W., Dodds Ashley, E. S., Davis, A. E., Dyer, A. P., Parish, A., Ren, X., Lokhnygina, Y., Hicks, L. A., Srinivasan, A., &amp; Anderson, D. J. (2021). Development of an electronic definition for de-escalation of antibiotics in hospitalized patients. </w:t>
      </w:r>
      <w:r w:rsidRPr="00B42E37">
        <w:rPr>
          <w:rFonts w:eastAsia="Times New Roman"/>
          <w:i/>
          <w:sz w:val="20"/>
        </w:rPr>
        <w:t>Clinical Infectious Diseases, 73</w:t>
      </w:r>
      <w:r w:rsidRPr="00B42E37">
        <w:rPr>
          <w:rFonts w:eastAsia="Times New Roman"/>
          <w:sz w:val="20"/>
        </w:rPr>
        <w:t xml:space="preserve">(11), e4507-e4514. </w:t>
      </w:r>
      <w:hyperlink r:id="rId38">
        <w:r w:rsidR="002C4040" w:rsidRPr="00B42E37">
          <w:rPr>
            <w:rFonts w:eastAsia="Times New Roman"/>
            <w:sz w:val="20"/>
            <w:szCs w:val="20"/>
          </w:rPr>
          <w:t>https://doi.org/10.1093/cid/ciaa932</w:t>
        </w:r>
      </w:hyperlink>
    </w:p>
    <w:p w14:paraId="74D52B95" w14:textId="77777777" w:rsidR="002C4040" w:rsidRPr="00B42E37" w:rsidRDefault="00000000">
      <w:pPr>
        <w:spacing w:after="80" w:line="240" w:lineRule="auto"/>
        <w:ind w:left="403" w:hanging="403"/>
      </w:pPr>
      <w:r w:rsidRPr="00B42E37">
        <w:rPr>
          <w:rFonts w:eastAsia="Times New Roman"/>
          <w:sz w:val="20"/>
        </w:rPr>
        <w:t xml:space="preserve">Moehring, R. W., Yarrington, M. E., Warren, B. G., Lokhnygina, Y., Atkinson, E., Bankston, A., Collucio, J., David, M. Z., Davis, A. E., Davis, J., Dionne, B., Dyer, A. P., Jones, T. M., Klompas, M., Kubiak, D. W., Marsalis, J., Omorogbe, J., Orajaka, P., Parish, A., ... Anderson, D. J. (2023). Evaluation of an opt-out protocol for antibiotic de-escalation in patients with suspected sepsis: A multicenter, randomized, controlled trial. </w:t>
      </w:r>
      <w:r w:rsidRPr="00B42E37">
        <w:rPr>
          <w:rFonts w:eastAsia="Times New Roman"/>
          <w:i/>
          <w:sz w:val="20"/>
        </w:rPr>
        <w:t>Clinical Infectious Diseases, 76</w:t>
      </w:r>
      <w:r w:rsidRPr="00B42E37">
        <w:rPr>
          <w:rFonts w:eastAsia="Times New Roman"/>
          <w:sz w:val="20"/>
        </w:rPr>
        <w:t xml:space="preserve">(3), 433-442. </w:t>
      </w:r>
      <w:hyperlink r:id="rId39">
        <w:r w:rsidR="002C4040" w:rsidRPr="00B42E37">
          <w:rPr>
            <w:rFonts w:eastAsia="Times New Roman"/>
            <w:sz w:val="20"/>
            <w:szCs w:val="20"/>
          </w:rPr>
          <w:t>https://doi.org/10.1093/cid/ciac787</w:t>
        </w:r>
      </w:hyperlink>
    </w:p>
    <w:p w14:paraId="30F5E46C" w14:textId="77777777" w:rsidR="002C4040" w:rsidRPr="00B42E37" w:rsidRDefault="00000000">
      <w:pPr>
        <w:spacing w:after="80" w:line="240" w:lineRule="auto"/>
        <w:ind w:left="403" w:hanging="403"/>
      </w:pPr>
      <w:r w:rsidRPr="00B42E37">
        <w:rPr>
          <w:rFonts w:eastAsia="Times New Roman"/>
          <w:sz w:val="20"/>
        </w:rPr>
        <w:t xml:space="preserve">Ohnuma, T., Fuller, M., Balamurugan, P., Moehring, R., Krishnamoorthy, V., Raghunathan, K., &amp; Treggiari, M. M. (2026). Antibiotic de-escalation and 30-day mortality in patients with suspected bacterial culture-negative sepsis. </w:t>
      </w:r>
      <w:r w:rsidRPr="00B42E37">
        <w:rPr>
          <w:rFonts w:eastAsia="Times New Roman"/>
          <w:i/>
          <w:sz w:val="20"/>
        </w:rPr>
        <w:t>Journal of Critical Care, 95</w:t>
      </w:r>
      <w:r w:rsidRPr="00B42E37">
        <w:rPr>
          <w:rFonts w:eastAsia="Times New Roman"/>
          <w:sz w:val="20"/>
        </w:rPr>
        <w:t xml:space="preserve">, 155646. </w:t>
      </w:r>
      <w:hyperlink r:id="rId40">
        <w:r w:rsidR="002C4040" w:rsidRPr="00B42E37">
          <w:rPr>
            <w:rFonts w:eastAsia="Times New Roman"/>
            <w:sz w:val="20"/>
            <w:szCs w:val="20"/>
          </w:rPr>
          <w:t>https://doi.org/10.1016/j.jcrc.2026.155646</w:t>
        </w:r>
      </w:hyperlink>
    </w:p>
    <w:p w14:paraId="6448CF49" w14:textId="77777777" w:rsidR="002C4040" w:rsidRPr="00B42E37" w:rsidRDefault="00000000">
      <w:pPr>
        <w:spacing w:after="80" w:line="240" w:lineRule="auto"/>
        <w:ind w:left="403" w:hanging="403"/>
      </w:pPr>
      <w:r w:rsidRPr="00B42E37">
        <w:rPr>
          <w:rFonts w:eastAsia="Times New Roman"/>
          <w:sz w:val="20"/>
        </w:rPr>
        <w:t xml:space="preserve">Parente, D. M., Cunha, C. B., Mylonakis, E., &amp; Timbrook, T. T. (2018). The clinical utility of methicillin-resistant Staphylococcus aureus (MRSA) nasal screening to rule out MRSA pneumonia: A diagnostic meta-analysis with antimicrobial stewardship implications. </w:t>
      </w:r>
      <w:r w:rsidRPr="00B42E37">
        <w:rPr>
          <w:rFonts w:eastAsia="Times New Roman"/>
          <w:i/>
          <w:sz w:val="20"/>
        </w:rPr>
        <w:t>Clinical Infectious Diseases, 67</w:t>
      </w:r>
      <w:r w:rsidRPr="00B42E37">
        <w:rPr>
          <w:rFonts w:eastAsia="Times New Roman"/>
          <w:sz w:val="20"/>
        </w:rPr>
        <w:t xml:space="preserve">(1), 1-7. </w:t>
      </w:r>
      <w:hyperlink r:id="rId41">
        <w:r w:rsidR="002C4040" w:rsidRPr="00B42E37">
          <w:rPr>
            <w:rFonts w:eastAsia="Times New Roman"/>
            <w:sz w:val="20"/>
            <w:szCs w:val="20"/>
          </w:rPr>
          <w:t>https://doi.org/10.1093/cid/ciy024</w:t>
        </w:r>
      </w:hyperlink>
    </w:p>
    <w:p w14:paraId="58450B5E" w14:textId="77777777" w:rsidR="002C4040" w:rsidRPr="00B42E37" w:rsidRDefault="00000000">
      <w:pPr>
        <w:spacing w:after="80" w:line="240" w:lineRule="auto"/>
        <w:ind w:left="403" w:hanging="403"/>
      </w:pPr>
      <w:r w:rsidRPr="00B42E37">
        <w:rPr>
          <w:rFonts w:eastAsia="Times New Roman"/>
          <w:sz w:val="20"/>
        </w:rPr>
        <w:t xml:space="preserve">Paul, M., Dickstein, Y., &amp; Raz-Pasteur, A. (2016). Antibiotic de-escalation for bloodstream infections and pneumonia: Systematic review and meta-analysis. </w:t>
      </w:r>
      <w:r w:rsidRPr="00B42E37">
        <w:rPr>
          <w:rFonts w:eastAsia="Times New Roman"/>
          <w:i/>
          <w:sz w:val="20"/>
        </w:rPr>
        <w:t>Clinical Microbiology and Infection, 22</w:t>
      </w:r>
      <w:r w:rsidRPr="00B42E37">
        <w:rPr>
          <w:rFonts w:eastAsia="Times New Roman"/>
          <w:sz w:val="20"/>
        </w:rPr>
        <w:t xml:space="preserve">(12), 960-967. </w:t>
      </w:r>
      <w:hyperlink r:id="rId42">
        <w:r w:rsidR="002C4040" w:rsidRPr="00B42E37">
          <w:rPr>
            <w:rFonts w:eastAsia="Times New Roman"/>
            <w:sz w:val="20"/>
            <w:szCs w:val="20"/>
          </w:rPr>
          <w:t>https://doi.org/10.1016/j.cmi.2016.05.023</w:t>
        </w:r>
      </w:hyperlink>
    </w:p>
    <w:p w14:paraId="6BD20BE8" w14:textId="77777777" w:rsidR="002C4040" w:rsidRPr="00B42E37" w:rsidRDefault="00000000">
      <w:pPr>
        <w:spacing w:after="80" w:line="240" w:lineRule="auto"/>
        <w:ind w:left="403" w:hanging="403"/>
      </w:pPr>
      <w:r w:rsidRPr="00B42E37">
        <w:rPr>
          <w:rFonts w:eastAsia="Times New Roman"/>
          <w:sz w:val="20"/>
        </w:rPr>
        <w:t xml:space="preserve">Rhee, C., Kadri, S. S., Dekker, J. P., Danner, R. L., Chen, H.-C., Fram, D., Zhang, F., Wang, R., &amp; Klompas, M. (2020). Prevalence of antibiotic-resistant pathogens in culture-proven sepsis and outcomes associated with inadequate and broad-spectrum empiric antibiotic use. </w:t>
      </w:r>
      <w:r w:rsidRPr="00B42E37">
        <w:rPr>
          <w:rFonts w:eastAsia="Times New Roman"/>
          <w:i/>
          <w:sz w:val="20"/>
        </w:rPr>
        <w:t>JAMA Network Open, 3</w:t>
      </w:r>
      <w:r w:rsidRPr="00B42E37">
        <w:rPr>
          <w:rFonts w:eastAsia="Times New Roman"/>
          <w:sz w:val="20"/>
        </w:rPr>
        <w:t xml:space="preserve">(4), e202899. </w:t>
      </w:r>
      <w:hyperlink r:id="rId43">
        <w:r w:rsidR="002C4040" w:rsidRPr="00B42E37">
          <w:rPr>
            <w:rFonts w:eastAsia="Times New Roman"/>
            <w:sz w:val="20"/>
            <w:szCs w:val="20"/>
          </w:rPr>
          <w:t>https://doi.org/10.1001/jamanetworkopen.2020.2899</w:t>
        </w:r>
      </w:hyperlink>
    </w:p>
    <w:p w14:paraId="741FBFA9" w14:textId="77777777" w:rsidR="002C4040" w:rsidRPr="00B42E37" w:rsidRDefault="00000000">
      <w:pPr>
        <w:spacing w:after="80" w:line="240" w:lineRule="auto"/>
        <w:ind w:left="403" w:hanging="403"/>
      </w:pPr>
      <w:r w:rsidRPr="00B42E37">
        <w:rPr>
          <w:rFonts w:eastAsia="Times New Roman"/>
          <w:sz w:val="20"/>
        </w:rPr>
        <w:t xml:space="preserve">Routsi, C., Gkoufa, A., Arvaniti, K., Kokkoris, S., Tourtoglou, A., Theodorou, V., Vemvetsou, A., Kassianidis, G., Amerikanou, A., Paramythiotou, E., Potamianou, E., Ntorlis, K., Kanavou, A., Nakos, G., Hassou, E., Antoniadou, H., Karaiskos, I., Prekates, A., Armaganidis, A., ... Giamarellou, H. (2020). De-escalation of antimicrobial therapy in ICU settings with high prevalence of multidrug-resistant bacteria: A multicentre prospective observational cohort study in patients with sepsis or septic shock. </w:t>
      </w:r>
      <w:r w:rsidRPr="00B42E37">
        <w:rPr>
          <w:rFonts w:eastAsia="Times New Roman"/>
          <w:i/>
          <w:sz w:val="20"/>
        </w:rPr>
        <w:t>Journal of Antimicrobial Chemotherapy, 75</w:t>
      </w:r>
      <w:r w:rsidRPr="00B42E37">
        <w:rPr>
          <w:rFonts w:eastAsia="Times New Roman"/>
          <w:sz w:val="20"/>
        </w:rPr>
        <w:t xml:space="preserve">(12), 3665-3674. </w:t>
      </w:r>
      <w:hyperlink r:id="rId44">
        <w:r w:rsidR="002C4040" w:rsidRPr="00B42E37">
          <w:rPr>
            <w:rFonts w:eastAsia="Times New Roman"/>
            <w:sz w:val="20"/>
            <w:szCs w:val="20"/>
          </w:rPr>
          <w:t>https://doi.org/10.1093/jac/dkaa375</w:t>
        </w:r>
      </w:hyperlink>
    </w:p>
    <w:p w14:paraId="0108A452" w14:textId="77777777" w:rsidR="002C4040" w:rsidRPr="00B42E37" w:rsidRDefault="00000000">
      <w:pPr>
        <w:spacing w:after="80" w:line="240" w:lineRule="auto"/>
        <w:ind w:left="403" w:hanging="403"/>
      </w:pPr>
      <w:r w:rsidRPr="00B42E37">
        <w:rPr>
          <w:rFonts w:eastAsia="Times New Roman"/>
          <w:sz w:val="20"/>
        </w:rPr>
        <w:t xml:space="preserve">Song, J.-U., &amp; Lee, J. (2023). The impact of antimicrobial de-escalation therapy in culture-negative pneumonia: A systematic review and meta-analysis. </w:t>
      </w:r>
      <w:r w:rsidRPr="00B42E37">
        <w:rPr>
          <w:rFonts w:eastAsia="Times New Roman"/>
          <w:i/>
          <w:sz w:val="20"/>
        </w:rPr>
        <w:t>Korean Journal of Internal Medicine, 38</w:t>
      </w:r>
      <w:r w:rsidRPr="00B42E37">
        <w:rPr>
          <w:rFonts w:eastAsia="Times New Roman"/>
          <w:sz w:val="20"/>
        </w:rPr>
        <w:t xml:space="preserve">(5), 704-713. </w:t>
      </w:r>
      <w:hyperlink r:id="rId45">
        <w:r w:rsidR="002C4040" w:rsidRPr="00B42E37">
          <w:rPr>
            <w:rFonts w:eastAsia="Times New Roman"/>
            <w:sz w:val="20"/>
            <w:szCs w:val="20"/>
          </w:rPr>
          <w:t>https://doi.org/10.3904/kjim.2023.115</w:t>
        </w:r>
      </w:hyperlink>
    </w:p>
    <w:p w14:paraId="43947CE2" w14:textId="77777777" w:rsidR="002C4040" w:rsidRPr="00855721" w:rsidRDefault="00000000">
      <w:pPr>
        <w:spacing w:after="80" w:line="240" w:lineRule="auto"/>
        <w:ind w:left="403" w:hanging="403"/>
      </w:pPr>
      <w:r w:rsidRPr="00B42E37">
        <w:rPr>
          <w:rFonts w:eastAsia="Times New Roman"/>
          <w:sz w:val="20"/>
        </w:rPr>
        <w:t>Tabah, A., Cotta, M. O., Garnacho-Montero, J., Schouten, J., Roberts, J. A., Lipman, J., Tacey, M., Timsit, J.-F., Leone, M., Zahar, J. R., &amp; De Waele, J. J. (2016). A systematic review of the definitions, determinants, and clinical outcomes of antimicrobial</w:t>
      </w:r>
      <w:r w:rsidRPr="00855721">
        <w:rPr>
          <w:rFonts w:eastAsia="Times New Roman"/>
          <w:sz w:val="20"/>
        </w:rPr>
        <w:t xml:space="preserve"> de-escalation in the intensive care unit. </w:t>
      </w:r>
      <w:r w:rsidRPr="00855721">
        <w:rPr>
          <w:rFonts w:eastAsia="Times New Roman"/>
          <w:i/>
          <w:sz w:val="20"/>
        </w:rPr>
        <w:t>Clinical Infectious Diseases, 62</w:t>
      </w:r>
      <w:r w:rsidRPr="00855721">
        <w:rPr>
          <w:rFonts w:eastAsia="Times New Roman"/>
          <w:sz w:val="20"/>
        </w:rPr>
        <w:t xml:space="preserve">(8), 1009-1017. </w:t>
      </w:r>
      <w:hyperlink r:id="rId46">
        <w:r w:rsidR="002C4040" w:rsidRPr="00855721">
          <w:rPr>
            <w:rFonts w:eastAsia="Times New Roman"/>
            <w:sz w:val="20"/>
            <w:szCs w:val="20"/>
          </w:rPr>
          <w:t>https://doi.org/10.1093/cid/civ1199</w:t>
        </w:r>
      </w:hyperlink>
    </w:p>
    <w:p w14:paraId="3287D28E" w14:textId="77777777" w:rsidR="002C4040" w:rsidRPr="00855721" w:rsidRDefault="00000000">
      <w:pPr>
        <w:spacing w:after="80" w:line="240" w:lineRule="auto"/>
        <w:ind w:left="403" w:hanging="403"/>
      </w:pPr>
      <w:r w:rsidRPr="00B42E37">
        <w:rPr>
          <w:rFonts w:eastAsia="Times New Roman"/>
          <w:sz w:val="20"/>
        </w:rPr>
        <w:t>Tabah, A., Bassetti, M., Kollef, M. H., Zahar, J.-R., Paiva, J.-A., Timsit, J.-F., Roberts, J. A., Schouten, J., Giamarellou, H., Rello</w:t>
      </w:r>
      <w:r w:rsidRPr="00855721">
        <w:rPr>
          <w:rFonts w:eastAsia="Times New Roman"/>
          <w:sz w:val="20"/>
        </w:rPr>
        <w:t xml:space="preserve">, J., De Waele, J., Shorr, A. F., Leone, M., Poulakou, G., Depuydt, P., &amp; Garnacho-Montero, J. (2020). Antimicrobial de-escalation in critically ill patients: A position statement from a task force of the European Society of Intensive Care Medicine and European Society of Clinical Microbiology and Infectious Diseases Critically Ill Patients Study Group. </w:t>
      </w:r>
      <w:r w:rsidRPr="00855721">
        <w:rPr>
          <w:rFonts w:eastAsia="Times New Roman"/>
          <w:i/>
          <w:sz w:val="20"/>
        </w:rPr>
        <w:t>Intensive Care Medicine, 46</w:t>
      </w:r>
      <w:r w:rsidRPr="00855721">
        <w:rPr>
          <w:rFonts w:eastAsia="Times New Roman"/>
          <w:sz w:val="20"/>
        </w:rPr>
        <w:t xml:space="preserve">(2), 245-265. </w:t>
      </w:r>
      <w:hyperlink r:id="rId47">
        <w:r w:rsidR="002C4040" w:rsidRPr="00855721">
          <w:rPr>
            <w:rFonts w:eastAsia="Times New Roman"/>
            <w:sz w:val="20"/>
            <w:szCs w:val="20"/>
          </w:rPr>
          <w:t>https://doi.org/10.1007/s00134-019-05866-w</w:t>
        </w:r>
      </w:hyperlink>
    </w:p>
    <w:p w14:paraId="1FA55878" w14:textId="77777777" w:rsidR="002C4040" w:rsidRPr="00855721" w:rsidRDefault="00000000">
      <w:pPr>
        <w:spacing w:after="80" w:line="240" w:lineRule="auto"/>
        <w:ind w:left="403" w:hanging="403"/>
      </w:pPr>
      <w:r w:rsidRPr="00B42E37">
        <w:rPr>
          <w:rFonts w:eastAsia="Times New Roman"/>
          <w:sz w:val="20"/>
        </w:rPr>
        <w:lastRenderedPageBreak/>
        <w:t xml:space="preserve">Tamma, P. D., Avdic, E., Li, D. X., Dzintars, K., &amp; Cosgrove, S. E. (2017). Association of adverse events with antibiotic use in hospitalized patients. </w:t>
      </w:r>
      <w:r w:rsidRPr="00B42E37">
        <w:rPr>
          <w:rFonts w:eastAsia="Times New Roman"/>
          <w:i/>
          <w:sz w:val="20"/>
        </w:rPr>
        <w:t>JAMA Internal Medicine, 177</w:t>
      </w:r>
      <w:r w:rsidRPr="00B42E37">
        <w:rPr>
          <w:rFonts w:eastAsia="Times New Roman"/>
          <w:sz w:val="20"/>
        </w:rPr>
        <w:t xml:space="preserve">(9), 1308-1315. </w:t>
      </w:r>
      <w:hyperlink r:id="rId48">
        <w:r w:rsidR="002C4040" w:rsidRPr="00B42E37">
          <w:rPr>
            <w:rFonts w:eastAsia="Times New Roman"/>
            <w:sz w:val="20"/>
            <w:szCs w:val="20"/>
          </w:rPr>
          <w:t>https://doi.org/10.1001/jamainternmed.2017.1938</w:t>
        </w:r>
      </w:hyperlink>
    </w:p>
    <w:p w14:paraId="253FC6FE" w14:textId="77777777" w:rsidR="002C4040" w:rsidRPr="00855721" w:rsidRDefault="00000000">
      <w:pPr>
        <w:spacing w:after="80" w:line="240" w:lineRule="auto"/>
        <w:ind w:left="403" w:hanging="403"/>
      </w:pPr>
      <w:r w:rsidRPr="00B42E37">
        <w:rPr>
          <w:rFonts w:eastAsia="Times New Roman"/>
          <w:sz w:val="20"/>
        </w:rPr>
        <w:t>Tanzarella, E. S., Cutuli, S. L., Lombardi, G., Cammarota, F., Caroli, A., Franchini, E., Sancho Ferrando, E., Grieco, D. L., Antonelli</w:t>
      </w:r>
      <w:r w:rsidRPr="00855721">
        <w:rPr>
          <w:rFonts w:eastAsia="Times New Roman"/>
          <w:sz w:val="20"/>
        </w:rPr>
        <w:t xml:space="preserve">, M., &amp; De Pascale, G. (2024). Antimicrobial de-escalation in critically ill patients. </w:t>
      </w:r>
      <w:r w:rsidRPr="00855721">
        <w:rPr>
          <w:rFonts w:eastAsia="Times New Roman"/>
          <w:i/>
          <w:sz w:val="20"/>
        </w:rPr>
        <w:t>Antibiotics, 13</w:t>
      </w:r>
      <w:r w:rsidRPr="00855721">
        <w:rPr>
          <w:rFonts w:eastAsia="Times New Roman"/>
          <w:sz w:val="20"/>
        </w:rPr>
        <w:t xml:space="preserve">(4), 375. </w:t>
      </w:r>
      <w:hyperlink r:id="rId49">
        <w:r w:rsidR="002C4040" w:rsidRPr="00855721">
          <w:rPr>
            <w:rFonts w:eastAsia="Times New Roman"/>
            <w:sz w:val="20"/>
            <w:szCs w:val="20"/>
          </w:rPr>
          <w:t>https://doi.org/10.3390/antibiotics13040375</w:t>
        </w:r>
      </w:hyperlink>
    </w:p>
    <w:p w14:paraId="1AC1B81F" w14:textId="77777777" w:rsidR="002C4040" w:rsidRPr="00855721" w:rsidRDefault="00000000">
      <w:pPr>
        <w:spacing w:after="80" w:line="240" w:lineRule="auto"/>
        <w:ind w:left="403" w:hanging="403"/>
      </w:pPr>
      <w:r w:rsidRPr="00B42E37">
        <w:rPr>
          <w:rFonts w:eastAsia="Times New Roman"/>
          <w:sz w:val="20"/>
        </w:rPr>
        <w:t>Teshome, B. F., Vouri, S. M., Hampton, N., Kollef, M. H., &amp; Micek, S. T. (2019). Duration of exposure to antipseudomonal</w:t>
      </w:r>
      <w:r w:rsidRPr="00855721">
        <w:rPr>
          <w:rFonts w:eastAsia="Times New Roman"/>
          <w:sz w:val="20"/>
        </w:rPr>
        <w:t xml:space="preserve"> beta-lactam antibiotics in the critically ill and development of new resistance. </w:t>
      </w:r>
      <w:r w:rsidRPr="00855721">
        <w:rPr>
          <w:rFonts w:eastAsia="Times New Roman"/>
          <w:i/>
          <w:sz w:val="20"/>
        </w:rPr>
        <w:t>Pharmacotherapy, 39</w:t>
      </w:r>
      <w:r w:rsidRPr="00855721">
        <w:rPr>
          <w:rFonts w:eastAsia="Times New Roman"/>
          <w:sz w:val="20"/>
        </w:rPr>
        <w:t xml:space="preserve">(3), 261-270. </w:t>
      </w:r>
      <w:hyperlink r:id="rId50">
        <w:r w:rsidR="002C4040" w:rsidRPr="00855721">
          <w:rPr>
            <w:rFonts w:eastAsia="Times New Roman"/>
            <w:sz w:val="20"/>
            <w:szCs w:val="20"/>
          </w:rPr>
          <w:t>https://doi.org/10.1002/phar.2201</w:t>
        </w:r>
      </w:hyperlink>
    </w:p>
    <w:p w14:paraId="14C1396F" w14:textId="77777777" w:rsidR="002C4040" w:rsidRPr="00855721" w:rsidRDefault="00000000">
      <w:pPr>
        <w:spacing w:after="80" w:line="240" w:lineRule="auto"/>
        <w:ind w:left="403" w:hanging="403"/>
      </w:pPr>
      <w:r w:rsidRPr="00B42E37">
        <w:rPr>
          <w:rFonts w:eastAsia="Times New Roman"/>
          <w:sz w:val="20"/>
        </w:rPr>
        <w:t xml:space="preserve">Timbrook, T. T., Zhang, Z., &amp; Krekel, T. (2026). Impact of methicillin-resistant Staphylococcus aureus nasal screening in lower respiratory tract infections: A systematic review incorporating network and Bayesian meta-analyses. </w:t>
      </w:r>
      <w:r w:rsidRPr="00B42E37">
        <w:rPr>
          <w:rFonts w:eastAsia="Times New Roman"/>
          <w:i/>
          <w:sz w:val="20"/>
        </w:rPr>
        <w:t>Open Forum</w:t>
      </w:r>
      <w:r w:rsidRPr="00855721">
        <w:rPr>
          <w:rFonts w:eastAsia="Times New Roman"/>
          <w:i/>
          <w:sz w:val="20"/>
        </w:rPr>
        <w:t xml:space="preserve"> Infectious Diseases, 13</w:t>
      </w:r>
      <w:r w:rsidRPr="00855721">
        <w:rPr>
          <w:rFonts w:eastAsia="Times New Roman"/>
          <w:sz w:val="20"/>
        </w:rPr>
        <w:t xml:space="preserve">(4), ofag178. </w:t>
      </w:r>
      <w:hyperlink r:id="rId51">
        <w:r w:rsidR="002C4040" w:rsidRPr="00855721">
          <w:rPr>
            <w:rFonts w:eastAsia="Times New Roman"/>
            <w:sz w:val="20"/>
            <w:szCs w:val="20"/>
          </w:rPr>
          <w:t>https://doi.org/10.1093/ofid/ofag178</w:t>
        </w:r>
      </w:hyperlink>
    </w:p>
    <w:sectPr w:rsidR="002C4040" w:rsidRPr="00855721" w:rsidSect="00034616">
      <w:headerReference w:type="even" r:id="rId52"/>
      <w:headerReference w:type="default" r:id="rId53"/>
      <w:footerReference w:type="even" r:id="rId54"/>
      <w:footerReference w:type="default" r:id="rId55"/>
      <w:headerReference w:type="first" r:id="rId56"/>
      <w:footerReference w:type="first" r:id="rId57"/>
      <w:pgSz w:w="12240" w:h="15840"/>
      <w:pgMar w:top="1152" w:right="1152" w:bottom="1080"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Severinus Mutagwaba" w:date="2026-08-29T22:13:00Z" w:initials="SM">
    <w:p w14:paraId="3B7167AC" w14:textId="0772D565" w:rsidR="00B435D8" w:rsidRDefault="00B435D8">
      <w:pPr>
        <w:pStyle w:val="CommentText"/>
      </w:pPr>
      <w:r>
        <w:rPr>
          <w:rStyle w:val="CommentReference"/>
        </w:rPr>
        <w:annotationRef/>
      </w:r>
      <w:r>
        <w:t>Too long sentence. May be shortened to create understanding by punctuation.</w:t>
      </w:r>
    </w:p>
  </w:comment>
  <w:comment w:id="1" w:author="Severinus Mutagwaba" w:date="2026-08-29T22:14:00Z" w:initials="SM">
    <w:p w14:paraId="5B714746" w14:textId="23DA37E5" w:rsidR="00B435D8" w:rsidRDefault="00B435D8">
      <w:pPr>
        <w:pStyle w:val="CommentText"/>
      </w:pPr>
      <w:r>
        <w:rPr>
          <w:rStyle w:val="CommentReference"/>
        </w:rPr>
        <w:annotationRef/>
      </w:r>
      <w:r>
        <w:t>What is the long form of DIANA</w:t>
      </w:r>
    </w:p>
  </w:comment>
  <w:comment w:id="2" w:author="Severinus Mutagwaba" w:date="2026-08-29T22:15:00Z" w:initials="SM">
    <w:p w14:paraId="059F21D7" w14:textId="5C1F61B2" w:rsidR="00B435D8" w:rsidRDefault="00B435D8">
      <w:pPr>
        <w:pStyle w:val="CommentText"/>
      </w:pPr>
      <w:r>
        <w:rPr>
          <w:rStyle w:val="CommentReference"/>
        </w:rPr>
        <w:annotationRef/>
      </w:r>
      <w:r>
        <w:t>This word is repeatedly confusing when used. Is it an objective, a gerund, known or?</w:t>
      </w:r>
    </w:p>
  </w:comment>
  <w:comment w:id="3" w:author="Severinus Mutagwaba" w:date="2026-08-29T22:12:00Z" w:initials="SM">
    <w:p w14:paraId="5F6B1544" w14:textId="5B7BE79D" w:rsidR="00B435D8" w:rsidRDefault="00B435D8">
      <w:pPr>
        <w:pStyle w:val="CommentText"/>
      </w:pPr>
      <w:r>
        <w:rPr>
          <w:rStyle w:val="CommentReference"/>
        </w:rPr>
        <w:annotationRef/>
      </w:r>
      <w:r>
        <w:t>Too long sentence with inappropriate punctuation.</w:t>
      </w:r>
    </w:p>
  </w:comment>
  <w:comment w:id="4" w:author="Severinus Mutagwaba" w:date="2026-08-29T22:20:00Z" w:initials="SM">
    <w:p w14:paraId="3AF3C800" w14:textId="722AED7F" w:rsidR="00B435D8" w:rsidRDefault="00B435D8">
      <w:pPr>
        <w:pStyle w:val="CommentText"/>
      </w:pPr>
      <w:r>
        <w:rPr>
          <w:rStyle w:val="CommentReference"/>
        </w:rPr>
        <w:annotationRef/>
      </w:r>
      <w:r>
        <w:t>Unclear sentence</w:t>
      </w:r>
    </w:p>
  </w:comment>
  <w:comment w:id="5" w:author="Severinus Mutagwaba" w:date="2026-08-29T22:39:00Z" w:initials="SM">
    <w:p w14:paraId="7F7C4E41" w14:textId="092C670B" w:rsidR="00B42E37" w:rsidRDefault="00B42E37">
      <w:pPr>
        <w:pStyle w:val="CommentText"/>
      </w:pPr>
      <w:r>
        <w:rPr>
          <w:rStyle w:val="CommentReference"/>
        </w:rPr>
        <w:annotationRef/>
      </w:r>
      <w:r>
        <w:t>Different font type and size used.</w:t>
      </w:r>
    </w:p>
  </w:comment>
  <w:comment w:id="6" w:author="Severinus Mutagwaba" w:date="2026-08-29T22:38:00Z" w:initials="SM">
    <w:p w14:paraId="532C8985" w14:textId="734589A9" w:rsidR="00B42E37" w:rsidRDefault="00B42E37">
      <w:pPr>
        <w:pStyle w:val="CommentText"/>
      </w:pPr>
      <w:r>
        <w:rPr>
          <w:rStyle w:val="CommentReference"/>
        </w:rPr>
        <w:annotationRef/>
      </w:r>
      <w:r>
        <w:t>Different font type used.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B7167AC" w15:done="0"/>
  <w15:commentEx w15:paraId="5B714746" w15:done="0"/>
  <w15:commentEx w15:paraId="059F21D7" w15:done="0"/>
  <w15:commentEx w15:paraId="5F6B1544" w15:done="0"/>
  <w15:commentEx w15:paraId="3AF3C800" w15:done="0"/>
  <w15:commentEx w15:paraId="7F7C4E41" w15:done="0"/>
  <w15:commentEx w15:paraId="532C89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ED35509" w16cex:dateUtc="2026-08-30T10:13:00Z"/>
  <w16cex:commentExtensible w16cex:durableId="5C93AA46" w16cex:dateUtc="2026-08-30T10:14:00Z"/>
  <w16cex:commentExtensible w16cex:durableId="0FFFE4AB" w16cex:dateUtc="2026-08-30T10:15:00Z"/>
  <w16cex:commentExtensible w16cex:durableId="30BB6B16" w16cex:dateUtc="2026-08-30T10:12:00Z"/>
  <w16cex:commentExtensible w16cex:durableId="0DB63B8A" w16cex:dateUtc="2026-08-30T10:20:00Z"/>
  <w16cex:commentExtensible w16cex:durableId="5E3D50F1" w16cex:dateUtc="2026-08-30T10:39:00Z"/>
  <w16cex:commentExtensible w16cex:durableId="117F6E0B" w16cex:dateUtc="2026-08-30T10: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B7167AC" w16cid:durableId="2ED35509"/>
  <w16cid:commentId w16cid:paraId="5B714746" w16cid:durableId="5C93AA46"/>
  <w16cid:commentId w16cid:paraId="059F21D7" w16cid:durableId="0FFFE4AB"/>
  <w16cid:commentId w16cid:paraId="5F6B1544" w16cid:durableId="30BB6B16"/>
  <w16cid:commentId w16cid:paraId="3AF3C800" w16cid:durableId="0DB63B8A"/>
  <w16cid:commentId w16cid:paraId="7F7C4E41" w16cid:durableId="5E3D50F1"/>
  <w16cid:commentId w16cid:paraId="532C8985" w16cid:durableId="117F6E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32F829" w14:textId="77777777" w:rsidR="00CF0E6B" w:rsidRDefault="00CF0E6B">
      <w:pPr>
        <w:spacing w:after="0" w:line="240" w:lineRule="auto"/>
      </w:pPr>
      <w:r>
        <w:separator/>
      </w:r>
    </w:p>
  </w:endnote>
  <w:endnote w:type="continuationSeparator" w:id="0">
    <w:p w14:paraId="68FCBAAC" w14:textId="77777777" w:rsidR="00CF0E6B" w:rsidRDefault="00CF0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7E5FA" w14:textId="77777777" w:rsidR="00BD1346" w:rsidRDefault="00BD1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1B2CF" w14:textId="77777777" w:rsidR="002C4040" w:rsidRDefault="00000000">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855721">
      <w:rPr>
        <w:rFonts w:eastAsia="Times New Roman"/>
        <w:noProof/>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39669" w14:textId="77777777" w:rsidR="00BD1346" w:rsidRDefault="00BD1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BA6E15" w14:textId="77777777" w:rsidR="00CF0E6B" w:rsidRDefault="00CF0E6B">
      <w:pPr>
        <w:spacing w:after="0" w:line="240" w:lineRule="auto"/>
      </w:pPr>
      <w:r>
        <w:separator/>
      </w:r>
    </w:p>
  </w:footnote>
  <w:footnote w:type="continuationSeparator" w:id="0">
    <w:p w14:paraId="331C2EB6" w14:textId="77777777" w:rsidR="00CF0E6B" w:rsidRDefault="00CF0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BCC12" w14:textId="133ABD2A" w:rsidR="00BD1346" w:rsidRDefault="00000000">
    <w:pPr>
      <w:pStyle w:val="Header"/>
    </w:pPr>
    <w:r>
      <w:rPr>
        <w:noProof/>
      </w:rPr>
      <w:pict w14:anchorId="43F118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7"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DAA85" w14:textId="62BC477B" w:rsidR="00BD1346" w:rsidRDefault="00000000">
    <w:pPr>
      <w:pStyle w:val="Header"/>
    </w:pPr>
    <w:r>
      <w:rPr>
        <w:noProof/>
      </w:rPr>
      <w:pict w14:anchorId="1AEBC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8"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04FC7" w14:textId="159FCEC9" w:rsidR="00BD1346" w:rsidRDefault="00000000">
    <w:pPr>
      <w:pStyle w:val="Header"/>
    </w:pPr>
    <w:r>
      <w:rPr>
        <w:noProof/>
      </w:rPr>
      <w:pict w14:anchorId="5477DE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6"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136581">
    <w:abstractNumId w:val="8"/>
  </w:num>
  <w:num w:numId="2" w16cid:durableId="524294208">
    <w:abstractNumId w:val="6"/>
  </w:num>
  <w:num w:numId="3" w16cid:durableId="1676690074">
    <w:abstractNumId w:val="5"/>
  </w:num>
  <w:num w:numId="4" w16cid:durableId="558174541">
    <w:abstractNumId w:val="4"/>
  </w:num>
  <w:num w:numId="5" w16cid:durableId="1897661099">
    <w:abstractNumId w:val="7"/>
  </w:num>
  <w:num w:numId="6" w16cid:durableId="241330768">
    <w:abstractNumId w:val="3"/>
  </w:num>
  <w:num w:numId="7" w16cid:durableId="1794639989">
    <w:abstractNumId w:val="2"/>
  </w:num>
  <w:num w:numId="8" w16cid:durableId="953947659">
    <w:abstractNumId w:val="1"/>
  </w:num>
  <w:num w:numId="9" w16cid:durableId="6020376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everinus Mutagwaba">
    <w15:presenceInfo w15:providerId="Windows Live" w15:userId="ab248229431d4d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DBF"/>
    <w:rsid w:val="00034616"/>
    <w:rsid w:val="0006063C"/>
    <w:rsid w:val="001013ED"/>
    <w:rsid w:val="00135034"/>
    <w:rsid w:val="0015074B"/>
    <w:rsid w:val="001E2D7C"/>
    <w:rsid w:val="0029639D"/>
    <w:rsid w:val="002C4040"/>
    <w:rsid w:val="00326F90"/>
    <w:rsid w:val="003E0E70"/>
    <w:rsid w:val="004519D9"/>
    <w:rsid w:val="0047580B"/>
    <w:rsid w:val="00581DCF"/>
    <w:rsid w:val="005B3EEB"/>
    <w:rsid w:val="00645237"/>
    <w:rsid w:val="00822C5B"/>
    <w:rsid w:val="00853933"/>
    <w:rsid w:val="00855721"/>
    <w:rsid w:val="00994D88"/>
    <w:rsid w:val="00AA141A"/>
    <w:rsid w:val="00AA1D8D"/>
    <w:rsid w:val="00B42E37"/>
    <w:rsid w:val="00B435D8"/>
    <w:rsid w:val="00B47730"/>
    <w:rsid w:val="00BD1346"/>
    <w:rsid w:val="00C17FBB"/>
    <w:rsid w:val="00C43CF0"/>
    <w:rsid w:val="00CB0664"/>
    <w:rsid w:val="00CE65DA"/>
    <w:rsid w:val="00CF0E6B"/>
    <w:rsid w:val="00F22C7A"/>
    <w:rsid w:val="00F52D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D3F0A2"/>
  <w14:defaultImageDpi w14:val="300"/>
  <w15:docId w15:val="{EB2DA319-B9FE-4E8A-9264-4DA201DE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b/>
      <w:color w:val="17365D" w:themeColor="text2" w:themeShade="BF"/>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60" w:after="80"/>
    </w:pPr>
    <w:rPr>
      <w:rFonts w:ascii="Times New Roman" w:hAnsi="Times New Roman"/>
      <w:b/>
      <w:sz w:val="21"/>
    </w:rPr>
  </w:style>
  <w:style w:type="paragraph" w:customStyle="1" w:styleId="TableNote">
    <w:name w:val="Table Note"/>
    <w:pPr>
      <w:spacing w:before="60" w:after="140" w:line="240" w:lineRule="auto"/>
    </w:pPr>
    <w:rPr>
      <w:rFonts w:ascii="Times New Roman" w:hAnsi="Times New Roman"/>
      <w:sz w:val="17"/>
    </w:rPr>
  </w:style>
  <w:style w:type="character" w:styleId="CommentReference">
    <w:name w:val="annotation reference"/>
    <w:basedOn w:val="DefaultParagraphFont"/>
    <w:uiPriority w:val="99"/>
    <w:semiHidden/>
    <w:unhideWhenUsed/>
    <w:rsid w:val="00B435D8"/>
    <w:rPr>
      <w:sz w:val="16"/>
      <w:szCs w:val="16"/>
    </w:rPr>
  </w:style>
  <w:style w:type="paragraph" w:styleId="CommentText">
    <w:name w:val="annotation text"/>
    <w:basedOn w:val="Normal"/>
    <w:link w:val="CommentTextChar"/>
    <w:uiPriority w:val="99"/>
    <w:semiHidden/>
    <w:unhideWhenUsed/>
    <w:rsid w:val="00B435D8"/>
    <w:pPr>
      <w:spacing w:line="240" w:lineRule="auto"/>
    </w:pPr>
    <w:rPr>
      <w:sz w:val="20"/>
      <w:szCs w:val="20"/>
    </w:rPr>
  </w:style>
  <w:style w:type="character" w:customStyle="1" w:styleId="CommentTextChar">
    <w:name w:val="Comment Text Char"/>
    <w:basedOn w:val="DefaultParagraphFont"/>
    <w:link w:val="CommentText"/>
    <w:uiPriority w:val="99"/>
    <w:semiHidden/>
    <w:rsid w:val="00B435D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435D8"/>
    <w:rPr>
      <w:b/>
      <w:bCs/>
    </w:rPr>
  </w:style>
  <w:style w:type="character" w:customStyle="1" w:styleId="CommentSubjectChar">
    <w:name w:val="Comment Subject Char"/>
    <w:basedOn w:val="CommentTextChar"/>
    <w:link w:val="CommentSubject"/>
    <w:uiPriority w:val="99"/>
    <w:semiHidden/>
    <w:rsid w:val="00B435D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3/cid/civ447" TargetMode="External"/><Relationship Id="rId18" Type="http://schemas.openxmlformats.org/officeDocument/2006/relationships/hyperlink" Target="https://doi.org/10.1007/s00134-020-06111-5" TargetMode="External"/><Relationship Id="rId26" Type="http://schemas.openxmlformats.org/officeDocument/2006/relationships/hyperlink" Target="https://doi.org/10.1017/ice.2017.94" TargetMode="External"/><Relationship Id="rId39" Type="http://schemas.openxmlformats.org/officeDocument/2006/relationships/hyperlink" Target="https://doi.org/10.1093/cid/ciac787" TargetMode="External"/><Relationship Id="rId21" Type="http://schemas.openxmlformats.org/officeDocument/2006/relationships/hyperlink" Target="https://doi.org/10.1136/ejhpharm-2022-003504" TargetMode="External"/><Relationship Id="rId34" Type="http://schemas.openxmlformats.org/officeDocument/2006/relationships/hyperlink" Target="https://doi.org/10.1097/CCM.0000000000006366" TargetMode="External"/><Relationship Id="rId42" Type="http://schemas.openxmlformats.org/officeDocument/2006/relationships/hyperlink" Target="https://doi.org/10.1016/j.cmi.2016.05.023" TargetMode="External"/><Relationship Id="rId47" Type="http://schemas.openxmlformats.org/officeDocument/2006/relationships/hyperlink" Target="https://doi.org/10.1007/s00134-019-05866-w" TargetMode="External"/><Relationship Id="rId50" Type="http://schemas.openxmlformats.org/officeDocument/2006/relationships/hyperlink" Target="https://doi.org/10.1002/phar.2201" TargetMode="External"/><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1186/s41073-019-0064-8" TargetMode="External"/><Relationship Id="rId17" Type="http://schemas.openxmlformats.org/officeDocument/2006/relationships/hyperlink" Target="https://doi.org/10.1007/s00134-016-4301-z" TargetMode="External"/><Relationship Id="rId25" Type="http://schemas.openxmlformats.org/officeDocument/2006/relationships/hyperlink" Target="https://doi.org/10.1007/s00134-013-3077-7" TargetMode="External"/><Relationship Id="rId33" Type="http://schemas.openxmlformats.org/officeDocument/2006/relationships/hyperlink" Target="https://doi.org/10.1177/1078155215597558" TargetMode="External"/><Relationship Id="rId38" Type="http://schemas.openxmlformats.org/officeDocument/2006/relationships/hyperlink" Target="https://doi.org/10.1093/cid/ciaa932" TargetMode="External"/><Relationship Id="rId46" Type="http://schemas.openxmlformats.org/officeDocument/2006/relationships/hyperlink" Target="https://doi.org/10.1093/cid/civ1199" TargetMode="External"/><Relationship Id="rId59"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doi.org/10.1128/AAC.00189-17" TargetMode="External"/><Relationship Id="rId20" Type="http://schemas.openxmlformats.org/officeDocument/2006/relationships/hyperlink" Target="https://doi.org/10.1086/510393" TargetMode="External"/><Relationship Id="rId29" Type="http://schemas.openxmlformats.org/officeDocument/2006/relationships/hyperlink" Target="https://doi.org/10.1093/ofid/ofab508" TargetMode="External"/><Relationship Id="rId41" Type="http://schemas.openxmlformats.org/officeDocument/2006/relationships/hyperlink" Target="https://doi.org/10.1093/cid/ciy024"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doi.org/10.1093/cid/ciag295" TargetMode="External"/><Relationship Id="rId32" Type="http://schemas.openxmlformats.org/officeDocument/2006/relationships/hyperlink" Target="https://doi.org/10.1093/cid/ciae591" TargetMode="External"/><Relationship Id="rId37" Type="http://schemas.openxmlformats.org/officeDocument/2006/relationships/hyperlink" Target="https://doi.org/10.1164/rccm.201908-1581ST" TargetMode="External"/><Relationship Id="rId40" Type="http://schemas.openxmlformats.org/officeDocument/2006/relationships/hyperlink" Target="https://doi.org/10.1016/j.jcrc.2026.155646" TargetMode="External"/><Relationship Id="rId45" Type="http://schemas.openxmlformats.org/officeDocument/2006/relationships/hyperlink" Target="https://doi.org/10.3904/kjim.2023.115"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93/cid/ciw118" TargetMode="External"/><Relationship Id="rId23" Type="http://schemas.openxmlformats.org/officeDocument/2006/relationships/hyperlink" Target="https://doi.org/10.1007/s00134-021-06506-y" TargetMode="External"/><Relationship Id="rId28" Type="http://schemas.openxmlformats.org/officeDocument/2006/relationships/hyperlink" Target="https://doi.org/10.1371/journal.pone.0171218" TargetMode="External"/><Relationship Id="rId36" Type="http://schemas.openxmlformats.org/officeDocument/2006/relationships/hyperlink" Target="https://doi.org/10.1086/677633" TargetMode="External"/><Relationship Id="rId49" Type="http://schemas.openxmlformats.org/officeDocument/2006/relationships/hyperlink" Target="https://doi.org/10.3390/antibiotics13040375" TargetMode="External"/><Relationship Id="rId57" Type="http://schemas.openxmlformats.org/officeDocument/2006/relationships/footer" Target="footer3.xml"/><Relationship Id="rId10" Type="http://schemas.microsoft.com/office/2016/09/relationships/commentsIds" Target="commentsIds.xml"/><Relationship Id="rId19" Type="http://schemas.openxmlformats.org/officeDocument/2006/relationships/hyperlink" Target="https://doi.org/10.1007/s00134-019-05871-z" TargetMode="External"/><Relationship Id="rId31" Type="http://schemas.openxmlformats.org/officeDocument/2006/relationships/hyperlink" Target="https://doi.org/10.1093/cid/ciw353" TargetMode="External"/><Relationship Id="rId44" Type="http://schemas.openxmlformats.org/officeDocument/2006/relationships/hyperlink" Target="https://doi.org/10.1093/jac/dkaa375" TargetMode="External"/><Relationship Id="rId52" Type="http://schemas.openxmlformats.org/officeDocument/2006/relationships/header" Target="header1.xml"/><Relationship Id="rId60"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093/cid/ciaa528" TargetMode="External"/><Relationship Id="rId22" Type="http://schemas.openxmlformats.org/officeDocument/2006/relationships/hyperlink" Target="https://doi.org/10.1016/j.cmi.2017.08.026" TargetMode="External"/><Relationship Id="rId27" Type="http://schemas.openxmlformats.org/officeDocument/2006/relationships/hyperlink" Target="https://doi.org/10.1001/jamainternmed.2025.6919" TargetMode="External"/><Relationship Id="rId30" Type="http://schemas.openxmlformats.org/officeDocument/2006/relationships/hyperlink" Target="https://doi.org/10.1017/ice.2022.207" TargetMode="External"/><Relationship Id="rId35" Type="http://schemas.openxmlformats.org/officeDocument/2006/relationships/hyperlink" Target="https://doi.org/10.1007/s00134-014-3411-8" TargetMode="External"/><Relationship Id="rId43" Type="http://schemas.openxmlformats.org/officeDocument/2006/relationships/hyperlink" Target="https://doi.org/10.1001/jamanetworkopen.2020.2899" TargetMode="External"/><Relationship Id="rId48" Type="http://schemas.openxmlformats.org/officeDocument/2006/relationships/hyperlink" Target="https://doi.org/10.1001/jamainternmed.2017.1938" TargetMode="External"/><Relationship Id="rId56" Type="http://schemas.openxmlformats.org/officeDocument/2006/relationships/header" Target="header3.xml"/><Relationship Id="rId8" Type="http://schemas.openxmlformats.org/officeDocument/2006/relationships/comments" Target="comments.xml"/><Relationship Id="rId51" Type="http://schemas.openxmlformats.org/officeDocument/2006/relationships/hyperlink" Target="https://doi.org/10.1093/ofid/ofag178"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28</Pages>
  <Words>16387</Words>
  <Characters>93410</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Antimicrobial De-escalation in Clinical Practice: Current Evidence, Challenges, and Future Directions</vt:lpstr>
    </vt:vector>
  </TitlesOfParts>
  <Manager/>
  <Company/>
  <LinksUpToDate>false</LinksUpToDate>
  <CharactersWithSpaces>109578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Antimicrobial De-escalation in Clinical Practice: Current Evidence, Challenges, and Future Directions</dc:title>
  <dc:subject>Critical narrative review</dc:subject>
  <dc:creator/>
  <cp:keywords>antimicrobial stewardship; antibiotic de-escalation; sepsis; critical care; rapid diagnostics; antimicrobial resistance</cp:keywords>
  <dc:description/>
  <cp:lastModifiedBy>Severinus Mutagwaba</cp:lastModifiedBy>
  <cp:revision>8</cp:revision>
  <dcterms:created xsi:type="dcterms:W3CDTF">2013-12-23T23:15:00Z</dcterms:created>
  <dcterms:modified xsi:type="dcterms:W3CDTF">2026-08-30T11:12:00Z</dcterms:modified>
  <cp:category/>
</cp:coreProperties>
</file>