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723C7" w14:textId="77777777" w:rsidR="003F2BFF" w:rsidRPr="003F2BFF" w:rsidRDefault="003F2BFF" w:rsidP="003F2BFF">
      <w:pPr>
        <w:spacing w:before="40" w:after="104" w:line="264" w:lineRule="auto"/>
        <w:jc w:val="center"/>
        <w:rPr>
          <w:rFonts w:ascii="Times New Roman" w:hAnsi="Times New Roman"/>
          <w:b/>
          <w:sz w:val="28"/>
          <w:szCs w:val="32"/>
        </w:rPr>
      </w:pPr>
      <w:bookmarkStart w:id="0" w:name="X1edef045ff566162d4a1d255f7c8dc6930be2f3"/>
      <w:r w:rsidRPr="003F2BFF">
        <w:rPr>
          <w:rFonts w:ascii="Times New Roman" w:hAnsi="Times New Roman"/>
          <w:b/>
          <w:sz w:val="28"/>
          <w:szCs w:val="32"/>
        </w:rPr>
        <w:t>Microplastic Pollution in Aquatic Ecosystems: Sources, Transport, Ecotoxicological Impacts, and Implications for Human Health</w:t>
      </w:r>
    </w:p>
    <w:p w14:paraId="2A8D569E" w14:textId="77777777" w:rsidR="007868D8" w:rsidRPr="003F2BFF" w:rsidRDefault="00000000">
      <w:pPr>
        <w:pStyle w:val="Heading2"/>
        <w:spacing w:before="0" w:after="80"/>
        <w:rPr>
          <w:color w:val="auto"/>
        </w:rPr>
      </w:pPr>
      <w:bookmarkStart w:id="1" w:name="abstract"/>
      <w:r w:rsidRPr="003F2BFF">
        <w:rPr>
          <w:rFonts w:ascii="Times New Roman" w:hAnsi="Times New Roman"/>
          <w:color w:val="auto"/>
        </w:rPr>
        <w:t>Abstract</w:t>
      </w:r>
    </w:p>
    <w:p w14:paraId="0B40C218" w14:textId="77777777" w:rsidR="007868D8" w:rsidRPr="003F2BFF" w:rsidRDefault="00000000">
      <w:pPr>
        <w:pStyle w:val="FirstParagraph"/>
        <w:spacing w:after="110" w:line="254" w:lineRule="auto"/>
        <w:jc w:val="both"/>
      </w:pPr>
      <w:r w:rsidRPr="003F2BFF">
        <w:rPr>
          <w:rFonts w:ascii="Times New Roman" w:hAnsi="Times New Roman"/>
          <w:sz w:val="21"/>
        </w:rPr>
        <w:t xml:space="preserve">Microplastic pollution is now documented across freshwater, estuarine, coastal and oceanic systems, yet the implications of widespread occurrence remain difficult to interpret because particles differ in size, shape, polymer, density, weathering state and associated chemicals, while analytical and toxicological methods remain poorly </w:t>
      </w:r>
      <w:proofErr w:type="spellStart"/>
      <w:r w:rsidRPr="003F2BFF">
        <w:rPr>
          <w:rFonts w:ascii="Times New Roman" w:hAnsi="Times New Roman"/>
          <w:sz w:val="21"/>
        </w:rPr>
        <w:t>harmonised</w:t>
      </w:r>
      <w:proofErr w:type="spellEnd"/>
      <w:r w:rsidRPr="003F2BFF">
        <w:rPr>
          <w:rFonts w:ascii="Times New Roman" w:hAnsi="Times New Roman"/>
          <w:sz w:val="21"/>
        </w:rPr>
        <w:t xml:space="preserve">. This critical narrative review integrates evidence on sources, transport, transformation, ecological effects and human-health implications, with emphasis on where inference is robust and where it remains constrained. Literature published from 1 January 2004 to 19 July 2026 was considered, supplemented by authoritative institutional assessments and citation searching. The evidence consistently identifies land-based waste leakage, wastewater, textile </w:t>
      </w:r>
      <w:proofErr w:type="spellStart"/>
      <w:r w:rsidRPr="003F2BFF">
        <w:rPr>
          <w:rFonts w:ascii="Times New Roman" w:hAnsi="Times New Roman"/>
          <w:sz w:val="21"/>
        </w:rPr>
        <w:t>fibres</w:t>
      </w:r>
      <w:proofErr w:type="spellEnd"/>
      <w:r w:rsidRPr="003F2BFF">
        <w:rPr>
          <w:rFonts w:ascii="Times New Roman" w:hAnsi="Times New Roman"/>
          <w:sz w:val="21"/>
        </w:rPr>
        <w:t xml:space="preserve">, </w:t>
      </w:r>
      <w:proofErr w:type="spellStart"/>
      <w:r w:rsidRPr="003F2BFF">
        <w:rPr>
          <w:rFonts w:ascii="Times New Roman" w:hAnsi="Times New Roman"/>
          <w:sz w:val="21"/>
        </w:rPr>
        <w:t>tyre</w:t>
      </w:r>
      <w:proofErr w:type="spellEnd"/>
      <w:r w:rsidRPr="003F2BFF">
        <w:rPr>
          <w:rFonts w:ascii="Times New Roman" w:hAnsi="Times New Roman"/>
          <w:sz w:val="21"/>
        </w:rPr>
        <w:t xml:space="preserve"> wear and atmospheric deposition as important pathways, but source contributions are strongly context dependent. Hydrodynamics, particle density and morphology, biofouling, aggregation and resuspension redistribute particles among surface waters, the water column and sediments, making surface measurements an incomplete proxy for ecosystem exposure. Laboratory and field studies establish ingestion, retention and trophic transfer in diverse taxa and provide credible evidence for effects on feeding, energy balance, oxidative status, tissue responses, growth and reproduction under some conditions. Ecological risk, however, cannot be inferred from hazard demonstrations alone because many experiments use particle types and doses that differ from environmental mixtures, and effect thresholds vary among organisms and particle traits. Sorbed contaminants and additives can contribute to toxicity, but microplastics are not universally dominant chemical vectors relative to food and other environmental media. Seafood and drinking water provide plausible human exposure routes, and plastic particles have been detected in human tissues and fluids, but the fraction attributable to aquatic sources and the causal significance of internal exposure remain unresolved. Recent human observational evidence justifies stronger exposure assessment rather than definitive disease attribution. The most consequential research priorities are </w:t>
      </w:r>
      <w:proofErr w:type="spellStart"/>
      <w:r w:rsidRPr="003F2BFF">
        <w:rPr>
          <w:rFonts w:ascii="Times New Roman" w:hAnsi="Times New Roman"/>
          <w:sz w:val="21"/>
        </w:rPr>
        <w:t>harmonised</w:t>
      </w:r>
      <w:proofErr w:type="spellEnd"/>
      <w:r w:rsidRPr="003F2BFF">
        <w:rPr>
          <w:rFonts w:ascii="Times New Roman" w:hAnsi="Times New Roman"/>
          <w:sz w:val="21"/>
        </w:rPr>
        <w:t xml:space="preserve"> metrology, environmentally realistic mixtures, coupled field–laboratory designs, quantitative source-to-receptor models, longitudinal human studies and intervention evaluation.</w:t>
      </w:r>
    </w:p>
    <w:p w14:paraId="4E62CC43" w14:textId="77777777" w:rsidR="007868D8" w:rsidRPr="003F2BFF" w:rsidRDefault="00000000">
      <w:pPr>
        <w:pStyle w:val="BodyText"/>
        <w:spacing w:after="104" w:line="264" w:lineRule="auto"/>
        <w:jc w:val="both"/>
      </w:pPr>
      <w:r w:rsidRPr="003F2BFF">
        <w:rPr>
          <w:rFonts w:ascii="Times New Roman" w:hAnsi="Times New Roman"/>
          <w:b/>
          <w:bCs/>
          <w:sz w:val="20"/>
        </w:rPr>
        <w:t>Keywords:</w:t>
      </w:r>
      <w:r w:rsidRPr="003F2BFF">
        <w:rPr>
          <w:rFonts w:ascii="Times New Roman" w:hAnsi="Times New Roman"/>
          <w:sz w:val="20"/>
        </w:rPr>
        <w:t xml:space="preserve"> aquatic pollution; environmental fate; ecotoxicology; food-web transfer; human exposure; microplastics; risk assessment</w:t>
      </w:r>
    </w:p>
    <w:p w14:paraId="3F43135C" w14:textId="77777777" w:rsidR="007868D8" w:rsidRPr="003F2BFF" w:rsidRDefault="00000000">
      <w:pPr>
        <w:pStyle w:val="Heading1"/>
        <w:rPr>
          <w:color w:val="auto"/>
        </w:rPr>
      </w:pPr>
      <w:bookmarkStart w:id="2" w:name="introduction"/>
      <w:bookmarkEnd w:id="0"/>
      <w:bookmarkEnd w:id="1"/>
      <w:r w:rsidRPr="003F2BFF">
        <w:rPr>
          <w:rFonts w:ascii="Times New Roman" w:hAnsi="Times New Roman"/>
          <w:color w:val="auto"/>
        </w:rPr>
        <w:t>1. Introduction</w:t>
      </w:r>
    </w:p>
    <w:p w14:paraId="0B4A9547" w14:textId="77777777" w:rsidR="007868D8" w:rsidRPr="003F2BFF" w:rsidRDefault="00000000">
      <w:pPr>
        <w:pStyle w:val="FirstParagraph"/>
        <w:spacing w:after="104" w:line="264" w:lineRule="auto"/>
        <w:jc w:val="both"/>
      </w:pPr>
      <w:r w:rsidRPr="003F2BFF">
        <w:rPr>
          <w:rFonts w:ascii="Times New Roman" w:hAnsi="Times New Roman"/>
          <w:sz w:val="22"/>
        </w:rPr>
        <w:t xml:space="preserve">Plastic debris has become a persistent feature of aquatic environments because global production, use and disposal have expanded more rapidly than systems for material recovery and leakage prevention. The modern microplastics literature </w:t>
      </w:r>
      <w:proofErr w:type="spellStart"/>
      <w:r w:rsidRPr="003F2BFF">
        <w:rPr>
          <w:rFonts w:ascii="Times New Roman" w:hAnsi="Times New Roman"/>
          <w:sz w:val="22"/>
        </w:rPr>
        <w:t>crystallised</w:t>
      </w:r>
      <w:proofErr w:type="spellEnd"/>
      <w:r w:rsidRPr="003F2BFF">
        <w:rPr>
          <w:rFonts w:ascii="Times New Roman" w:hAnsi="Times New Roman"/>
          <w:sz w:val="22"/>
        </w:rPr>
        <w:t xml:space="preserve"> when small plastic fragments were documented in marine samples and </w:t>
      </w:r>
      <w:proofErr w:type="spellStart"/>
      <w:r w:rsidRPr="003F2BFF">
        <w:rPr>
          <w:rFonts w:ascii="Times New Roman" w:hAnsi="Times New Roman"/>
          <w:sz w:val="22"/>
        </w:rPr>
        <w:t>recognised</w:t>
      </w:r>
      <w:proofErr w:type="spellEnd"/>
      <w:r w:rsidRPr="003F2BFF">
        <w:rPr>
          <w:rFonts w:ascii="Times New Roman" w:hAnsi="Times New Roman"/>
          <w:sz w:val="22"/>
        </w:rPr>
        <w:t xml:space="preserve"> as an environmental contaminant class rather than merely as an aesthetic component of litter (Cole et al., 2011; Thompson et al., 2004). Subsequent work has shown that these particles occur in rivers, lakes, estuaries, coastal waters, the open ocean and sediments, while the total stock of discarded plastics continues to create a long-lived source of secondary particles through fragmentation (Geyer et al., 2017; Pal et al., 2025). The ubiquity of occurrence is scientifically important, but it is not itself a measure of ecological or human-health risk. Microplastic research spans environmental chemistry, hydrodynamics, ecotoxicology, food-web ecology, analytical science and exposure epidemiology, and conclusions often change when evidence from one domain is transferred uncritically to another.</w:t>
      </w:r>
    </w:p>
    <w:p w14:paraId="474D8B00" w14:textId="77777777" w:rsidR="007868D8" w:rsidRPr="003F2BFF" w:rsidRDefault="00000000">
      <w:pPr>
        <w:pStyle w:val="BodyText"/>
        <w:spacing w:after="104" w:line="264" w:lineRule="auto"/>
        <w:jc w:val="both"/>
      </w:pPr>
      <w:r w:rsidRPr="003F2BFF">
        <w:rPr>
          <w:rFonts w:ascii="Times New Roman" w:hAnsi="Times New Roman"/>
          <w:sz w:val="22"/>
        </w:rPr>
        <w:t xml:space="preserve">The term microplastic is commonly applied to plastic particles smaller than 5 mm, yet this operational boundary conceals substantial heterogeneity in size, morphology, polymer, density, additive content, weathering and surface condition. </w:t>
      </w:r>
      <w:proofErr w:type="spellStart"/>
      <w:r w:rsidRPr="003F2BFF">
        <w:rPr>
          <w:rFonts w:ascii="Times New Roman" w:hAnsi="Times New Roman"/>
          <w:sz w:val="22"/>
        </w:rPr>
        <w:t>Fibres</w:t>
      </w:r>
      <w:proofErr w:type="spellEnd"/>
      <w:r w:rsidRPr="003F2BFF">
        <w:rPr>
          <w:rFonts w:ascii="Times New Roman" w:hAnsi="Times New Roman"/>
          <w:sz w:val="22"/>
        </w:rPr>
        <w:t xml:space="preserve">, films, fragments, foams and spheres may differ in transport, biological encounter rates and toxicity, and the lower size boundary is strongly shaped by analytical capability.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terminology has therefore been advocated to avoid treating unlike materials as a single exposure (Hartmann et al., 2019). This problem is amplified by the coexistence of microplastics with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which are analytically more difficult to quantify and can have distinct uptake and translocation properties. The present review retains microplastics as its </w:t>
      </w:r>
      <w:proofErr w:type="spellStart"/>
      <w:r w:rsidRPr="003F2BFF">
        <w:rPr>
          <w:rFonts w:ascii="Times New Roman" w:hAnsi="Times New Roman"/>
          <w:sz w:val="22"/>
        </w:rPr>
        <w:t>organising</w:t>
      </w:r>
      <w:proofErr w:type="spellEnd"/>
      <w:r w:rsidRPr="003F2BFF">
        <w:rPr>
          <w:rFonts w:ascii="Times New Roman" w:hAnsi="Times New Roman"/>
          <w:sz w:val="22"/>
        </w:rPr>
        <w:t xml:space="preserve"> focus, but discusses smaller particles where they are inseparable from human-health or mechanistic </w:t>
      </w:r>
      <w:r w:rsidRPr="003F2BFF">
        <w:rPr>
          <w:rFonts w:ascii="Times New Roman" w:hAnsi="Times New Roman"/>
          <w:sz w:val="22"/>
        </w:rPr>
        <w:lastRenderedPageBreak/>
        <w:t xml:space="preserve">evidence. This boundary is important because toxicological findings for monodisperse nanoscale polystyrene cannot be assumed to represent the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of weathered environmental microplastic mixtures.</w:t>
      </w:r>
    </w:p>
    <w:p w14:paraId="04DA6069" w14:textId="77777777" w:rsidR="007868D8" w:rsidRPr="003F2BFF" w:rsidRDefault="00000000">
      <w:pPr>
        <w:pStyle w:val="BodyText"/>
        <w:spacing w:after="104" w:line="264" w:lineRule="auto"/>
        <w:jc w:val="both"/>
      </w:pPr>
      <w:r w:rsidRPr="003F2BFF">
        <w:rPr>
          <w:rFonts w:ascii="Times New Roman" w:hAnsi="Times New Roman"/>
          <w:sz w:val="22"/>
        </w:rPr>
        <w:t xml:space="preserve">A second difficulty is that environmental occurrence data are not directly comparable across studies. Earlier reviews of sampling and identification methods documented major variation in mesh size, digestion, density separation and polymer confirmation (Hidalgo-Ruz et al., 2012). Later appraisals showed that analytical quality in biota, freshwater and drinking-water studies remained uneven, with contamination control, recovery testing, size detection limits and spectroscopic confirmation frequently limiting confidence (Hermsen et al.,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Consequently, apparent differences among regions may partly reflect methodological detection windows rather than true contrasts in pollution. This is not a minor technical concern: risk assessment depends on matching environmental exposure distributions to toxicological dose distributions. If field studies miss the smallest particles while effect studies use narrow, highly </w:t>
      </w:r>
      <w:proofErr w:type="spellStart"/>
      <w:r w:rsidRPr="003F2BFF">
        <w:rPr>
          <w:rFonts w:ascii="Times New Roman" w:hAnsi="Times New Roman"/>
          <w:sz w:val="22"/>
        </w:rPr>
        <w:t>characterised</w:t>
      </w:r>
      <w:proofErr w:type="spellEnd"/>
      <w:r w:rsidRPr="003F2BFF">
        <w:rPr>
          <w:rFonts w:ascii="Times New Roman" w:hAnsi="Times New Roman"/>
          <w:sz w:val="22"/>
        </w:rPr>
        <w:t xml:space="preserve"> particle types, nominal concentration comparisons can create false precision.</w:t>
      </w:r>
    </w:p>
    <w:p w14:paraId="48B154B7" w14:textId="77777777" w:rsidR="007868D8" w:rsidRPr="003F2BFF" w:rsidRDefault="00000000">
      <w:pPr>
        <w:pStyle w:val="BodyText"/>
        <w:spacing w:after="104" w:line="264" w:lineRule="auto"/>
        <w:jc w:val="both"/>
      </w:pPr>
      <w:r w:rsidRPr="003F2BFF">
        <w:rPr>
          <w:rFonts w:ascii="Times New Roman" w:hAnsi="Times New Roman"/>
          <w:sz w:val="22"/>
        </w:rPr>
        <w:t xml:space="preserve">The ecotoxicological literature has also moved through distinct phases. Early experiments established ingestion and, in some organisms, translocation of small particles (Browne et al., 2008; Cole et al., 2013). Controlled exposures then demonstrated effects ranging from altered feeding and energy allocation to oxidative stress, tissue responses and reproductive impairment under particular particle and dose conditions (Lu et al., 2016; </w:t>
      </w:r>
      <w:proofErr w:type="spellStart"/>
      <w:r w:rsidRPr="003F2BFF">
        <w:rPr>
          <w:rFonts w:ascii="Times New Roman" w:hAnsi="Times New Roman"/>
          <w:sz w:val="22"/>
        </w:rPr>
        <w:t>Sussarellu</w:t>
      </w:r>
      <w:proofErr w:type="spellEnd"/>
      <w:r w:rsidRPr="003F2BFF">
        <w:rPr>
          <w:rFonts w:ascii="Times New Roman" w:hAnsi="Times New Roman"/>
          <w:sz w:val="22"/>
        </w:rPr>
        <w:t xml:space="preserve"> et al., 2016). Yet systematic and critical syntheses repeatedly identified a mismatch between laboratory test materials and environmental mixtures, as well as weak </w:t>
      </w:r>
      <w:proofErr w:type="spellStart"/>
      <w:r w:rsidRPr="003F2BFF">
        <w:rPr>
          <w:rFonts w:ascii="Times New Roman" w:hAnsi="Times New Roman"/>
          <w:sz w:val="22"/>
        </w:rPr>
        <w:t>standardisation</w:t>
      </w:r>
      <w:proofErr w:type="spellEnd"/>
      <w:r w:rsidRPr="003F2BFF">
        <w:rPr>
          <w:rFonts w:ascii="Times New Roman" w:hAnsi="Times New Roman"/>
          <w:sz w:val="22"/>
        </w:rPr>
        <w:t xml:space="preserve"> of exposure metrics and study quality (Burns &amp; Boxall, 2018; de Ruijter et al., 2020; Foley et al., 2018). A 2026 global meta-analysis strengthens the inference that particle traits such as size, shape and polymer identity modify toxicity in fish, but also underscores the limitation of describing exposure by concentration alone (Sacco et al., 2026). The field therefore requires a transition from demonstrating possible hazard to quantifying risk under realistic exposure regimes.</w:t>
      </w:r>
    </w:p>
    <w:p w14:paraId="560BCFA3" w14:textId="77777777" w:rsidR="007868D8" w:rsidRPr="003F2BFF" w:rsidRDefault="00000000">
      <w:pPr>
        <w:pStyle w:val="BodyText"/>
        <w:spacing w:after="104" w:line="264" w:lineRule="auto"/>
        <w:jc w:val="both"/>
      </w:pPr>
      <w:r w:rsidRPr="003F2BFF">
        <w:rPr>
          <w:rFonts w:ascii="Times New Roman" w:hAnsi="Times New Roman"/>
          <w:sz w:val="22"/>
        </w:rPr>
        <w:t xml:space="preserve">Human-health concern has expanded in parallel with evidence of dietary, drinking-water and inhalation exposure. Microplastics have been reported in edible aquatic tissues, drinking water and several human tissues or fluids (Daniel et al., 2021; Jenner et al., 2022; Leslie et al., 2022; Ragusa et al., 2021; Yang et al., 2024). These observations confirm that exposure occurs and that at least some particles can reach internal compartments, but they do not identify the dominant environmental source or demonstrate that aquatic microplastics cause specific diseases. Authoritative assessments have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major uncertainties in exposure measurement, </w:t>
      </w:r>
      <w:proofErr w:type="spellStart"/>
      <w:r w:rsidRPr="003F2BFF">
        <w:rPr>
          <w:rFonts w:ascii="Times New Roman" w:hAnsi="Times New Roman"/>
          <w:sz w:val="22"/>
        </w:rPr>
        <w:t>toxicokinetics</w:t>
      </w:r>
      <w:proofErr w:type="spellEnd"/>
      <w:r w:rsidRPr="003F2BFF">
        <w:rPr>
          <w:rFonts w:ascii="Times New Roman" w:hAnsi="Times New Roman"/>
          <w:sz w:val="22"/>
        </w:rPr>
        <w:t xml:space="preserve"> and hazard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(World Health Organization, 2019, 2022). More recent human evidence includes an observational association between micro- and </w:t>
      </w:r>
      <w:proofErr w:type="spellStart"/>
      <w:r w:rsidRPr="003F2BFF">
        <w:rPr>
          <w:rFonts w:ascii="Times New Roman" w:hAnsi="Times New Roman"/>
          <w:sz w:val="22"/>
        </w:rPr>
        <w:t>nanoplastic</w:t>
      </w:r>
      <w:proofErr w:type="spellEnd"/>
      <w:r w:rsidRPr="003F2BFF">
        <w:rPr>
          <w:rFonts w:ascii="Times New Roman" w:hAnsi="Times New Roman"/>
          <w:sz w:val="22"/>
        </w:rPr>
        <w:t xml:space="preserve"> detection in carotid </w:t>
      </w:r>
      <w:proofErr w:type="spellStart"/>
      <w:r w:rsidRPr="003F2BFF">
        <w:rPr>
          <w:rFonts w:ascii="Times New Roman" w:hAnsi="Times New Roman"/>
          <w:sz w:val="22"/>
        </w:rPr>
        <w:t>atheromas</w:t>
      </w:r>
      <w:proofErr w:type="spellEnd"/>
      <w:r w:rsidRPr="003F2BFF">
        <w:rPr>
          <w:rFonts w:ascii="Times New Roman" w:hAnsi="Times New Roman"/>
          <w:sz w:val="22"/>
        </w:rPr>
        <w:t xml:space="preserve"> and subsequent cardiovascular events, but that study cannot establish causality or source attribution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 A 2026 systematic review similarly concluded that in vivo human evidence is growing but remains constrained by heterogeneous methods, exposure assessment and confounding (Tran et al., 2026).</w:t>
      </w:r>
    </w:p>
    <w:p w14:paraId="1E299448" w14:textId="77777777" w:rsidR="007868D8" w:rsidRPr="003F2BFF" w:rsidRDefault="00000000">
      <w:pPr>
        <w:pStyle w:val="BodyText"/>
        <w:spacing w:after="104" w:line="264" w:lineRule="auto"/>
        <w:jc w:val="both"/>
      </w:pPr>
      <w:r w:rsidRPr="003F2BFF">
        <w:rPr>
          <w:rFonts w:ascii="Times New Roman" w:hAnsi="Times New Roman"/>
          <w:sz w:val="22"/>
        </w:rPr>
        <w:t>Recent reviews have addressed broad ecosystem occurrence, marine sources and sinks, coastal transport, freshwater fish toxicity, drinking-water exposure and human monitoring (Chanda et al., 2024; Ghosh et al., 2025; Jiang et al., 2024; Li &amp; Meng, 2025; Ruggieri et al., 2025; Yang et al., 2024). Their collective contribution is substantial, but rapid expansion of the field has created a need for an integrative critique that follows the evidence chain from source generation to transport, biological exposure, ecological effect and human-health interpretation. Such integration is especially important because uncertainty propagates across that chain: poorly constrained source terms affect transport models; sampling biases affect exposure estimates; unrealistic test particles weaken ecological extrapolation; and uncertain route attribution weakens translation from aquatic occurrence to human disease. A critical synthesis can therefore add value not by restating ubiquity, but by identifying which linkages are empirically secure and which remain inferential.</w:t>
      </w:r>
    </w:p>
    <w:p w14:paraId="3C2A4F7F" w14:textId="77777777" w:rsidR="007868D8" w:rsidRPr="003F2BFF" w:rsidRDefault="00000000">
      <w:pPr>
        <w:pStyle w:val="Heading2"/>
        <w:rPr>
          <w:color w:val="auto"/>
        </w:rPr>
      </w:pPr>
      <w:bookmarkStart w:id="3" w:name="scope-research-gap-and-objectives"/>
      <w:r w:rsidRPr="003F2BFF">
        <w:rPr>
          <w:rFonts w:ascii="Times New Roman" w:hAnsi="Times New Roman"/>
          <w:color w:val="auto"/>
        </w:rPr>
        <w:lastRenderedPageBreak/>
        <w:t>1.1 Scope, Research Gap and Objectives</w:t>
      </w:r>
    </w:p>
    <w:p w14:paraId="3E387D99" w14:textId="77777777" w:rsidR="007868D8" w:rsidRPr="003F2BFF" w:rsidRDefault="00000000">
      <w:pPr>
        <w:pStyle w:val="FirstParagraph"/>
        <w:spacing w:after="104" w:line="264" w:lineRule="auto"/>
        <w:jc w:val="both"/>
      </w:pPr>
      <w:r w:rsidRPr="003F2BFF">
        <w:rPr>
          <w:rFonts w:ascii="Times New Roman" w:hAnsi="Times New Roman"/>
          <w:sz w:val="22"/>
        </w:rPr>
        <w:t xml:space="preserve">This review examines microplastic pollution across freshwater, estuarine, coastal and marine ecosystems, with emphasis on four connected questions: how particles enter aquatic systems; how physical, chemical and biological processes govern their transport and persistence; when observed exposure produces ecotoxicological effects; and what aquatic contamination can legitimately imply for human health. The scope includes primary and secondary microplastics, diffuse and point-source pathways, water-column and sediment processes, trophic transfer, particle-associated chemicals, biofilms, seafood and drinking-water exposure, and relevant evidence of internal human exposure.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are considered only where they form a mechanistic continuum with microplastics or where contemporary human studies do not permit a clean separation.</w:t>
      </w:r>
    </w:p>
    <w:p w14:paraId="183734D8" w14:textId="77777777" w:rsidR="007868D8" w:rsidRPr="003F2BFF" w:rsidRDefault="00000000">
      <w:pPr>
        <w:pStyle w:val="BodyText"/>
        <w:spacing w:after="104" w:line="264" w:lineRule="auto"/>
        <w:jc w:val="both"/>
      </w:pPr>
      <w:r w:rsidRPr="003F2BFF">
        <w:rPr>
          <w:rFonts w:ascii="Times New Roman" w:hAnsi="Times New Roman"/>
          <w:sz w:val="22"/>
        </w:rPr>
        <w:t>The central research gap is not a lack of reports showing that microplastics are present. It is the absence of a sufficiently coherent framework for distinguishing occurrence from exposure, exposure from hazard, hazard from ecological risk, and human particle detection from source-specific causal health effects. The review therefore evaluates the comparability and realism of the evidence, identifies reasons for disagreement among studies, and separates robust conclusions from plausible but unresolved interpretations. Its intended contribution is a source-to-receptor synthesis that connects environmental fate to biological and human exposure while making analytical uncertainty explicit. Macroscopic litter impacts, occupational plastic exposure unrelated to the aquatic environment, and detailed engineering design of removal technologies fall outside the principal scope except where they directly illuminate microplastic source control or risk reduction.</w:t>
      </w:r>
    </w:p>
    <w:p w14:paraId="18F30947" w14:textId="77777777" w:rsidR="007868D8" w:rsidRPr="003F2BFF" w:rsidRDefault="00000000">
      <w:pPr>
        <w:pStyle w:val="Heading1"/>
        <w:rPr>
          <w:color w:val="auto"/>
        </w:rPr>
      </w:pPr>
      <w:bookmarkStart w:id="4" w:name="methods-for-literature-selection"/>
      <w:bookmarkEnd w:id="2"/>
      <w:bookmarkEnd w:id="3"/>
      <w:r w:rsidRPr="003F2BFF">
        <w:rPr>
          <w:rFonts w:ascii="Times New Roman" w:hAnsi="Times New Roman"/>
          <w:color w:val="auto"/>
        </w:rPr>
        <w:t>2. Methods for Literature Selection</w:t>
      </w:r>
    </w:p>
    <w:p w14:paraId="3EB7B538" w14:textId="77777777" w:rsidR="007868D8" w:rsidRPr="003F2BFF" w:rsidRDefault="00000000">
      <w:pPr>
        <w:pStyle w:val="Heading2"/>
        <w:rPr>
          <w:color w:val="auto"/>
        </w:rPr>
      </w:pPr>
      <w:bookmarkStart w:id="5" w:name="review-design-and-rationale"/>
      <w:r w:rsidRPr="003F2BFF">
        <w:rPr>
          <w:rFonts w:ascii="Times New Roman" w:hAnsi="Times New Roman"/>
          <w:color w:val="auto"/>
        </w:rPr>
        <w:t>2.1 Review Design and Rationale</w:t>
      </w:r>
    </w:p>
    <w:p w14:paraId="28B009AD" w14:textId="77777777" w:rsidR="007868D8" w:rsidRPr="003F2BFF" w:rsidRDefault="00000000">
      <w:pPr>
        <w:pStyle w:val="FirstParagraph"/>
        <w:spacing w:after="104" w:line="264" w:lineRule="auto"/>
        <w:jc w:val="both"/>
      </w:pPr>
      <w:r w:rsidRPr="003F2BFF">
        <w:rPr>
          <w:rFonts w:ascii="Times New Roman" w:hAnsi="Times New Roman"/>
          <w:sz w:val="22"/>
        </w:rPr>
        <w:t xml:space="preserve">A critical narrative review design was selected because the topic integrates heterogeneous evidence that cannot be reduced meaningfully to a single effect estimate. The relevant literature includes source inventories, transport models, environmental monitoring, laboratory ecotoxicology, field ecology, analytical-method studies, human biomonitoring, epidemiology and institutional risk assessments. A narrowly systematic question would be appropriate for a defined endpoint or taxon, but would not by itself resolve the conceptual links among source, fate, exposure and health interpretation. Narrative synthesis nevertheless requires transparent literature selection and explicit critical appraisal. The review was therefore structured around the quality domains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by SANRA, including justification of importance, statement of aims, description of literature searching, appropriate referencing, scientific reasoning and presentation of endpoint data (</w:t>
      </w:r>
      <w:proofErr w:type="spellStart"/>
      <w:r w:rsidRPr="003F2BFF">
        <w:rPr>
          <w:rFonts w:ascii="Times New Roman" w:hAnsi="Times New Roman"/>
          <w:sz w:val="22"/>
        </w:rPr>
        <w:t>Baethge</w:t>
      </w:r>
      <w:proofErr w:type="spellEnd"/>
      <w:r w:rsidRPr="003F2BFF">
        <w:rPr>
          <w:rFonts w:ascii="Times New Roman" w:hAnsi="Times New Roman"/>
          <w:sz w:val="22"/>
        </w:rPr>
        <w:t xml:space="preserve"> et al., 2019).</w:t>
      </w:r>
    </w:p>
    <w:p w14:paraId="046FEDA5" w14:textId="77777777" w:rsidR="007868D8" w:rsidRPr="003F2BFF" w:rsidRDefault="00000000">
      <w:pPr>
        <w:pStyle w:val="BodyText"/>
        <w:spacing w:after="104" w:line="264" w:lineRule="auto"/>
        <w:jc w:val="both"/>
      </w:pPr>
      <w:r w:rsidRPr="003F2BFF">
        <w:rPr>
          <w:rFonts w:ascii="Times New Roman" w:hAnsi="Times New Roman"/>
          <w:sz w:val="22"/>
        </w:rPr>
        <w:t xml:space="preserve">The synthesis was designed to be critical rather than </w:t>
      </w:r>
      <w:proofErr w:type="spellStart"/>
      <w:r w:rsidRPr="003F2BFF">
        <w:rPr>
          <w:rFonts w:ascii="Times New Roman" w:hAnsi="Times New Roman"/>
          <w:sz w:val="22"/>
        </w:rPr>
        <w:t>encyclopaedic</w:t>
      </w:r>
      <w:proofErr w:type="spellEnd"/>
      <w:r w:rsidRPr="003F2BFF">
        <w:rPr>
          <w:rFonts w:ascii="Times New Roman" w:hAnsi="Times New Roman"/>
          <w:sz w:val="22"/>
        </w:rPr>
        <w:t>. Greater evidentiary weight was given to studies with clear polymer identification, contamination control, environmentally interpretable exposure metrics, adequate controls, transparent statistical methods and direct relevance to the claim under discussion. Reviews and meta-analyses were used to map the field and identify recurring methodological concerns, while primary studies were retained where they established a mechanism, illustrated a major pathway, tested a contested hypothesis or supplied recent field evidence not adequately represented in older syntheses. This weighting approach avoids equating citation frequency with evidentiary strength.</w:t>
      </w:r>
    </w:p>
    <w:p w14:paraId="54FC8478" w14:textId="77777777" w:rsidR="007868D8" w:rsidRPr="003F2BFF" w:rsidRDefault="00000000">
      <w:pPr>
        <w:pStyle w:val="Heading2"/>
        <w:rPr>
          <w:color w:val="auto"/>
        </w:rPr>
      </w:pPr>
      <w:bookmarkStart w:id="6" w:name="information-sources"/>
      <w:bookmarkEnd w:id="5"/>
      <w:r w:rsidRPr="003F2BFF">
        <w:rPr>
          <w:rFonts w:ascii="Times New Roman" w:hAnsi="Times New Roman"/>
          <w:color w:val="auto"/>
        </w:rPr>
        <w:t>2.2 Information Sources</w:t>
      </w:r>
    </w:p>
    <w:p w14:paraId="7672CBE7" w14:textId="77777777" w:rsidR="007868D8" w:rsidRPr="003F2BFF" w:rsidRDefault="00000000">
      <w:pPr>
        <w:pStyle w:val="FirstParagraph"/>
        <w:spacing w:after="104" w:line="264" w:lineRule="auto"/>
        <w:jc w:val="both"/>
      </w:pPr>
      <w:r w:rsidRPr="003F2BFF">
        <w:rPr>
          <w:rFonts w:ascii="Times New Roman" w:hAnsi="Times New Roman"/>
          <w:sz w:val="22"/>
        </w:rPr>
        <w:t xml:space="preserve">Searches were undertaken in PubMed, Europe PMC, Semantic Scholar, </w:t>
      </w:r>
      <w:proofErr w:type="spellStart"/>
      <w:r w:rsidRPr="003F2BFF">
        <w:rPr>
          <w:rFonts w:ascii="Times New Roman" w:hAnsi="Times New Roman"/>
          <w:sz w:val="22"/>
        </w:rPr>
        <w:t>OpenAlex</w:t>
      </w:r>
      <w:proofErr w:type="spellEnd"/>
      <w:r w:rsidRPr="003F2BFF">
        <w:rPr>
          <w:rFonts w:ascii="Times New Roman" w:hAnsi="Times New Roman"/>
          <w:sz w:val="22"/>
        </w:rPr>
        <w:t xml:space="preserve">, DOAJ, CORE and </w:t>
      </w:r>
      <w:proofErr w:type="spellStart"/>
      <w:r w:rsidRPr="003F2BFF">
        <w:rPr>
          <w:rFonts w:ascii="Times New Roman" w:hAnsi="Times New Roman"/>
          <w:sz w:val="22"/>
        </w:rPr>
        <w:t>OpenAIRE</w:t>
      </w:r>
      <w:proofErr w:type="spellEnd"/>
      <w:r w:rsidRPr="003F2BFF">
        <w:rPr>
          <w:rFonts w:ascii="Times New Roman" w:hAnsi="Times New Roman"/>
          <w:sz w:val="22"/>
        </w:rPr>
        <w:t xml:space="preserve">. These sources were supplemented by targeted searches of the World Health Organization website for authoritative human-exposure assessments, backward reference searching from major reviews and methodological papers, forward citation searching for influential studies, and related-article searching around key source, transport, toxicology and human-health publications. Search results were cross-checked against DOI landing pages and journal </w:t>
      </w:r>
      <w:r w:rsidRPr="003F2BFF">
        <w:rPr>
          <w:rFonts w:ascii="Times New Roman" w:hAnsi="Times New Roman"/>
          <w:sz w:val="22"/>
        </w:rPr>
        <w:lastRenderedPageBreak/>
        <w:t>or index metadata to verify bibliographic identity. Correction, expression-of-concern and retraction information was checked before final inclusion; retracted evidence was excluded from the synthesis.</w:t>
      </w:r>
    </w:p>
    <w:p w14:paraId="2D0554BB" w14:textId="77777777" w:rsidR="007868D8" w:rsidRPr="003F2BFF" w:rsidRDefault="00000000">
      <w:pPr>
        <w:pStyle w:val="BodyText"/>
        <w:spacing w:after="104" w:line="264" w:lineRule="auto"/>
        <w:jc w:val="both"/>
      </w:pPr>
      <w:r w:rsidRPr="003F2BFF">
        <w:rPr>
          <w:rFonts w:ascii="Times New Roman" w:hAnsi="Times New Roman"/>
          <w:sz w:val="22"/>
        </w:rPr>
        <w:t xml:space="preserve">The source set was intentionally multidisciplinary. Environmental and ecological evidence was sought alongside toxicology and public-health literature because interpretation of microplastic risk depends on connections among disciplines. Searches were not described as coverage of subscription citation databases that were not directly searched. Where several publications addressed the same broad point, priority was given to methodologically stronger, more recent or conceptually influential evidence rather than </w:t>
      </w:r>
      <w:proofErr w:type="spellStart"/>
      <w:r w:rsidRPr="003F2BFF">
        <w:rPr>
          <w:rFonts w:ascii="Times New Roman" w:hAnsi="Times New Roman"/>
          <w:sz w:val="22"/>
        </w:rPr>
        <w:t>maximising</w:t>
      </w:r>
      <w:proofErr w:type="spellEnd"/>
      <w:r w:rsidRPr="003F2BFF">
        <w:rPr>
          <w:rFonts w:ascii="Times New Roman" w:hAnsi="Times New Roman"/>
          <w:sz w:val="22"/>
        </w:rPr>
        <w:t xml:space="preserve"> citation volume.</w:t>
      </w:r>
    </w:p>
    <w:p w14:paraId="40904E7E" w14:textId="77777777" w:rsidR="007868D8" w:rsidRPr="003F2BFF" w:rsidRDefault="00000000">
      <w:pPr>
        <w:pStyle w:val="Heading2"/>
        <w:rPr>
          <w:color w:val="auto"/>
        </w:rPr>
      </w:pPr>
      <w:bookmarkStart w:id="7" w:name="search-strategy-and-search-period"/>
      <w:bookmarkEnd w:id="6"/>
      <w:r w:rsidRPr="003F2BFF">
        <w:rPr>
          <w:rFonts w:ascii="Times New Roman" w:hAnsi="Times New Roman"/>
          <w:color w:val="auto"/>
        </w:rPr>
        <w:t>2.3 Search Strategy and Search Period</w:t>
      </w:r>
    </w:p>
    <w:p w14:paraId="7B201954" w14:textId="77777777" w:rsidR="007868D8" w:rsidRPr="003F2BFF" w:rsidRDefault="00000000">
      <w:pPr>
        <w:pStyle w:val="FirstParagraph"/>
        <w:spacing w:after="104" w:line="264" w:lineRule="auto"/>
        <w:jc w:val="both"/>
      </w:pPr>
      <w:r w:rsidRPr="003F2BFF">
        <w:rPr>
          <w:rFonts w:ascii="Times New Roman" w:hAnsi="Times New Roman"/>
          <w:sz w:val="22"/>
        </w:rPr>
        <w:t>The principal search period was 1 January 2004 to 19 July 2026. The starting year captures the emergence of the modern microplastics research field while allowing inclusion of subsequent analytical, ecological and risk-assessment developments. Representative search strings combined a particle block — (“microplastic*” OR “micro-plastic*” OR “plastic particle*” OR “microfiber*” OR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particle*”) — with an aquatic-system block — (freshwater OR river* OR lake* OR </w:t>
      </w:r>
      <w:proofErr w:type="spellStart"/>
      <w:r w:rsidRPr="003F2BFF">
        <w:rPr>
          <w:rFonts w:ascii="Times New Roman" w:hAnsi="Times New Roman"/>
          <w:sz w:val="22"/>
        </w:rPr>
        <w:t>estuar</w:t>
      </w:r>
      <w:proofErr w:type="spellEnd"/>
      <w:r w:rsidRPr="003F2BFF">
        <w:rPr>
          <w:rFonts w:ascii="Times New Roman" w:hAnsi="Times New Roman"/>
          <w:sz w:val="22"/>
        </w:rPr>
        <w:t xml:space="preserve">* OR coastal OR marine OR ocean* OR aquatic). Topic-specific blocks were then added for sources and pathways (source* OR emission* OR wastewater OR stormwater OR textile* OR </w:t>
      </w:r>
      <w:proofErr w:type="spellStart"/>
      <w:r w:rsidRPr="003F2BFF">
        <w:rPr>
          <w:rFonts w:ascii="Times New Roman" w:hAnsi="Times New Roman"/>
          <w:sz w:val="22"/>
        </w:rPr>
        <w:t>tyre</w:t>
      </w:r>
      <w:proofErr w:type="spellEnd"/>
      <w:r w:rsidRPr="003F2BFF">
        <w:rPr>
          <w:rFonts w:ascii="Times New Roman" w:hAnsi="Times New Roman"/>
          <w:sz w:val="22"/>
        </w:rPr>
        <w:t xml:space="preserve"> OR atmospheric), fate and transport (transport OR fate OR sediment* OR resuspension OR biofouling OR aggregation OR hydrodynamic*), ecotoxicology (ingestion OR toxicity OR ecotoxic* OR oxidative stress OR reproduction OR trophic transfer OR bioaccumulation), and human exposure (seafood OR drinking water OR exposure OR blood OR placenta OR lung OR cardiovascular OR health).</w:t>
      </w:r>
    </w:p>
    <w:p w14:paraId="19789864" w14:textId="77777777" w:rsidR="007868D8" w:rsidRPr="003F2BFF" w:rsidRDefault="00000000">
      <w:pPr>
        <w:pStyle w:val="BodyText"/>
        <w:spacing w:after="104" w:line="264" w:lineRule="auto"/>
        <w:jc w:val="both"/>
      </w:pPr>
      <w:r w:rsidRPr="003F2BFF">
        <w:rPr>
          <w:rFonts w:ascii="Times New Roman" w:hAnsi="Times New Roman"/>
          <w:sz w:val="22"/>
        </w:rPr>
        <w:t xml:space="preserve">Search terms were iteratively refined when relevant terminology was encountered, particularly for </w:t>
      </w:r>
      <w:proofErr w:type="spellStart"/>
      <w:r w:rsidRPr="003F2BFF">
        <w:rPr>
          <w:rFonts w:ascii="Times New Roman" w:hAnsi="Times New Roman"/>
          <w:sz w:val="22"/>
        </w:rPr>
        <w:t>fibres</w:t>
      </w:r>
      <w:proofErr w:type="spellEnd"/>
      <w:r w:rsidRPr="003F2BFF">
        <w:rPr>
          <w:rFonts w:ascii="Times New Roman" w:hAnsi="Times New Roman"/>
          <w:sz w:val="22"/>
        </w:rPr>
        <w:t xml:space="preserve">,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atmospheric deposition, environmental ageing, biofilm formation and trophic transfer. The search strategy also used known-author and DOI queries to verify influential studies and to resolve discrepancies in citation metadata. Citation searching was used to identify both confirmatory and conflicting work, rather than only papers supporting a prevailing interpretation. No numerical screening flow is reported because the review was not designed as a PRISMA-style systematic review with prospectively logged record counts.</w:t>
      </w:r>
    </w:p>
    <w:p w14:paraId="427AE4F5" w14:textId="77777777" w:rsidR="007868D8" w:rsidRPr="003F2BFF" w:rsidRDefault="00000000">
      <w:pPr>
        <w:pStyle w:val="Heading2"/>
        <w:rPr>
          <w:color w:val="auto"/>
        </w:rPr>
      </w:pPr>
      <w:bookmarkStart w:id="8" w:name="eligibility-criteria"/>
      <w:bookmarkEnd w:id="7"/>
      <w:r w:rsidRPr="003F2BFF">
        <w:rPr>
          <w:rFonts w:ascii="Times New Roman" w:hAnsi="Times New Roman"/>
          <w:color w:val="auto"/>
        </w:rPr>
        <w:t>2.4 Eligibility Criteria</w:t>
      </w:r>
    </w:p>
    <w:p w14:paraId="7FAE606B" w14:textId="77777777" w:rsidR="007868D8" w:rsidRPr="003F2BFF" w:rsidRDefault="00000000">
      <w:pPr>
        <w:pStyle w:val="FirstParagraph"/>
        <w:spacing w:after="104" w:line="264" w:lineRule="auto"/>
        <w:jc w:val="both"/>
      </w:pPr>
      <w:r w:rsidRPr="003F2BFF">
        <w:rPr>
          <w:rFonts w:ascii="Times New Roman" w:hAnsi="Times New Roman"/>
          <w:sz w:val="22"/>
        </w:rPr>
        <w:t xml:space="preserve">Eligible sources were peer-reviewed original studies, high-quality reviews, systematic reviews or meta-analyses, and authoritative institutional assessments directly relevant to aquatic microplastics. Studies were included when they contributed evidence on sources, environmental transport or transformation, biological exposure, ecotoxicological effects, food-web transfer, human exposure, analytical quality or risk interpretation. English-language literature predominated because full claim-level appraisal required accessible text and verifiable metadata. Seminal studies were retained when they established a field-defining method or mechanism, while recent evidence was </w:t>
      </w:r>
      <w:proofErr w:type="spellStart"/>
      <w:r w:rsidRPr="003F2BFF">
        <w:rPr>
          <w:rFonts w:ascii="Times New Roman" w:hAnsi="Times New Roman"/>
          <w:sz w:val="22"/>
        </w:rPr>
        <w:t>prioritised</w:t>
      </w:r>
      <w:proofErr w:type="spellEnd"/>
      <w:r w:rsidRPr="003F2BFF">
        <w:rPr>
          <w:rFonts w:ascii="Times New Roman" w:hAnsi="Times New Roman"/>
          <w:sz w:val="22"/>
        </w:rPr>
        <w:t xml:space="preserve"> for rapidly evolving areas such as human internal exposure and particle-trait toxicity.</w:t>
      </w:r>
    </w:p>
    <w:p w14:paraId="5FB5EBC5" w14:textId="77777777" w:rsidR="007868D8" w:rsidRPr="003F2BFF" w:rsidRDefault="00000000">
      <w:pPr>
        <w:pStyle w:val="BodyText"/>
        <w:spacing w:after="104" w:line="264" w:lineRule="auto"/>
        <w:jc w:val="both"/>
      </w:pPr>
      <w:r w:rsidRPr="003F2BFF">
        <w:rPr>
          <w:rFonts w:ascii="Times New Roman" w:hAnsi="Times New Roman"/>
          <w:sz w:val="22"/>
        </w:rPr>
        <w:t xml:space="preserve">Exclusion criteria included unverifiable records, retracted papers, non-scholarly opinion, trade or promotional material, papers whose metadata could not be reconciled, and studies that mentioned plastic pollution without contributing evidence relevant to microplastic pathways or effects. Conference abstracts without sufficient methodological detail and preprints were not used where peer-reviewed evidence was available. Studies based solely on visual particle identification were not automatically excluded when historically important, but their analytical limitations were considered explicitly. Evidence on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leakage was used only where it informed generation of secondary microplastics or riverine source control and was not treated as a direct measurement of microplastic flux.</w:t>
      </w:r>
    </w:p>
    <w:p w14:paraId="6122CAFE" w14:textId="77777777" w:rsidR="007868D8" w:rsidRPr="003F2BFF" w:rsidRDefault="00000000">
      <w:pPr>
        <w:pStyle w:val="Heading2"/>
        <w:rPr>
          <w:color w:val="auto"/>
        </w:rPr>
      </w:pPr>
      <w:bookmarkStart w:id="9" w:name="X7d2e9d0ecae87711c8cd031b02724f1a8226a19"/>
      <w:bookmarkEnd w:id="8"/>
      <w:r w:rsidRPr="003F2BFF">
        <w:rPr>
          <w:rFonts w:ascii="Times New Roman" w:hAnsi="Times New Roman"/>
          <w:color w:val="auto"/>
        </w:rPr>
        <w:t>2.5 Screening, Duplicate Handling and Study Selection</w:t>
      </w:r>
    </w:p>
    <w:p w14:paraId="0ED257BB" w14:textId="77777777" w:rsidR="007868D8" w:rsidRPr="003F2BFF" w:rsidRDefault="00000000">
      <w:pPr>
        <w:pStyle w:val="FirstParagraph"/>
        <w:spacing w:after="104" w:line="264" w:lineRule="auto"/>
        <w:jc w:val="both"/>
      </w:pPr>
      <w:r w:rsidRPr="003F2BFF">
        <w:rPr>
          <w:rFonts w:ascii="Times New Roman" w:hAnsi="Times New Roman"/>
          <w:sz w:val="22"/>
        </w:rPr>
        <w:t xml:space="preserve">Titles and abstracts were screened for direct relevance to the source-to-receptor framework, followed by assessment of full text or sufficiently detailed indexed records. Duplicate records were identified by DOI, title, author and year; </w:t>
      </w:r>
      <w:r w:rsidRPr="003F2BFF">
        <w:rPr>
          <w:rFonts w:ascii="Times New Roman" w:hAnsi="Times New Roman"/>
          <w:sz w:val="22"/>
        </w:rPr>
        <w:lastRenderedPageBreak/>
        <w:t>duplicate database appearances were consolidated to a single bibliographic record. Where a paper had an associated correction, the corrected publication record was used. Where a retraction notice was identified, the affected article was removed from the evidence base rather than cited as substantive evidence.</w:t>
      </w:r>
    </w:p>
    <w:p w14:paraId="367C522A" w14:textId="77777777" w:rsidR="007868D8" w:rsidRPr="003F2BFF" w:rsidRDefault="00000000">
      <w:pPr>
        <w:pStyle w:val="BodyText"/>
        <w:spacing w:after="104" w:line="264" w:lineRule="auto"/>
        <w:jc w:val="both"/>
      </w:pPr>
      <w:r w:rsidRPr="003F2BFF">
        <w:rPr>
          <w:rFonts w:ascii="Times New Roman" w:hAnsi="Times New Roman"/>
          <w:sz w:val="22"/>
        </w:rPr>
        <w:t>Selection was purposive within the transparent search framework rather than exhaustive. The aim was to represent the strongest and most informative evidence for each critical question, including negative or qualifying findings that challenge simple hazard narratives. Inaccessible sources were not used to support detailed claims unless reliable indexed metadata and sufficient abstract information established only the limited point for which they were cited. Sources with uncertain DOI or incomplete bibliographic identity were excluded from the final reference list.</w:t>
      </w:r>
    </w:p>
    <w:p w14:paraId="5A68D5B2" w14:textId="77777777" w:rsidR="007868D8" w:rsidRPr="003F2BFF" w:rsidRDefault="00000000">
      <w:pPr>
        <w:pStyle w:val="Heading2"/>
        <w:rPr>
          <w:color w:val="auto"/>
        </w:rPr>
      </w:pPr>
      <w:bookmarkStart w:id="10" w:name="Xc28834b6ce4066e280aa110dcd5d5fe36acafe5"/>
      <w:bookmarkEnd w:id="9"/>
      <w:r w:rsidRPr="003F2BFF">
        <w:rPr>
          <w:rFonts w:ascii="Times New Roman" w:hAnsi="Times New Roman"/>
          <w:color w:val="auto"/>
        </w:rPr>
        <w:t>2.6 Critical Appraisal and Evidence Synthesis</w:t>
      </w:r>
    </w:p>
    <w:p w14:paraId="02DAEF99" w14:textId="77777777" w:rsidR="007868D8" w:rsidRPr="003F2BFF" w:rsidRDefault="00000000">
      <w:pPr>
        <w:pStyle w:val="FirstParagraph"/>
        <w:spacing w:after="104" w:line="264" w:lineRule="auto"/>
        <w:jc w:val="both"/>
      </w:pPr>
      <w:r w:rsidRPr="003F2BFF">
        <w:rPr>
          <w:rFonts w:ascii="Times New Roman" w:hAnsi="Times New Roman"/>
          <w:sz w:val="22"/>
        </w:rPr>
        <w:t>Environmental monitoring studies were appraised for sampling representativeness, particle-size detection window, contamination control, recovery testing, polymer confirmation and reporting of particle morphology. These criteria reflect long-</w:t>
      </w:r>
      <w:proofErr w:type="spellStart"/>
      <w:r w:rsidRPr="003F2BFF">
        <w:rPr>
          <w:rFonts w:ascii="Times New Roman" w:hAnsi="Times New Roman"/>
          <w:sz w:val="22"/>
        </w:rPr>
        <w:t>recognised</w:t>
      </w:r>
      <w:proofErr w:type="spellEnd"/>
      <w:r w:rsidRPr="003F2BFF">
        <w:rPr>
          <w:rFonts w:ascii="Times New Roman" w:hAnsi="Times New Roman"/>
          <w:sz w:val="22"/>
        </w:rPr>
        <w:t xml:space="preserve"> sources of bias in microplastic measurement (Hermsen et al., 2018; Hidalgo-Ruz et al., 2012;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Ecotoxicological studies were assessed for particle </w:t>
      </w:r>
      <w:proofErr w:type="spellStart"/>
      <w:r w:rsidRPr="003F2BFF">
        <w:rPr>
          <w:rFonts w:ascii="Times New Roman" w:hAnsi="Times New Roman"/>
          <w:sz w:val="22"/>
        </w:rPr>
        <w:t>characterisation</w:t>
      </w:r>
      <w:proofErr w:type="spellEnd"/>
      <w:r w:rsidRPr="003F2BFF">
        <w:rPr>
          <w:rFonts w:ascii="Times New Roman" w:hAnsi="Times New Roman"/>
          <w:sz w:val="22"/>
        </w:rPr>
        <w:t>, environmental relevance of concentrations and size distributions, controls, replication, exposure duration, dose metrics, endpoint validity and whether particle effects were separated from chemical or nutritional confounding. Particular attention was given to evidence-quality concerns identified in formal critical reviews (de Ruijter et al., 2020). Human studies were appraised for analytical specificity, contamination control, participant selection, exposure measurement, temporal sequence, confounding, clinical endpoint definition and source attribution.</w:t>
      </w:r>
    </w:p>
    <w:p w14:paraId="24268392" w14:textId="77777777" w:rsidR="007868D8" w:rsidRPr="003F2BFF" w:rsidRDefault="00000000">
      <w:pPr>
        <w:pStyle w:val="BodyText"/>
        <w:spacing w:after="104" w:line="264" w:lineRule="auto"/>
        <w:jc w:val="both"/>
      </w:pPr>
      <w:r w:rsidRPr="003F2BFF">
        <w:rPr>
          <w:rFonts w:ascii="Times New Roman" w:hAnsi="Times New Roman"/>
          <w:sz w:val="22"/>
        </w:rPr>
        <w:t xml:space="preserve">Evidence was </w:t>
      </w:r>
      <w:proofErr w:type="spellStart"/>
      <w:r w:rsidRPr="003F2BFF">
        <w:rPr>
          <w:rFonts w:ascii="Times New Roman" w:hAnsi="Times New Roman"/>
          <w:sz w:val="22"/>
        </w:rPr>
        <w:t>synthesised</w:t>
      </w:r>
      <w:proofErr w:type="spellEnd"/>
      <w:r w:rsidRPr="003F2BFF">
        <w:rPr>
          <w:rFonts w:ascii="Times New Roman" w:hAnsi="Times New Roman"/>
          <w:sz w:val="22"/>
        </w:rPr>
        <w:t xml:space="preserve"> thematically around sources, transport and sinks, ecotoxicological mechanisms, human exposure and intervention leverage. Contradictory findings were interpreted in relation to organism biology, particle properties, dose, exposure duration, environmental matrix and analytical design rather than averaged conceptually into a false consensus. Confidence was treated as strongest when independent lines of evidence converged across field observation, mechanism and realistic exposure, and weakest when conclusions depended on highly simplified particles, nominal doses or unvalidated analytical methods. The review deliberately distinguishes biological plausibility from demonstrated population-level risk.</w:t>
      </w:r>
    </w:p>
    <w:p w14:paraId="74923A5A" w14:textId="77777777" w:rsidR="007868D8" w:rsidRPr="003F2BFF" w:rsidRDefault="00000000">
      <w:pPr>
        <w:pStyle w:val="Heading1"/>
        <w:rPr>
          <w:color w:val="auto"/>
        </w:rPr>
      </w:pPr>
      <w:bookmarkStart w:id="11" w:name="conceptual-and-analytical-foundations"/>
      <w:bookmarkEnd w:id="4"/>
      <w:bookmarkEnd w:id="10"/>
      <w:r w:rsidRPr="003F2BFF">
        <w:rPr>
          <w:rFonts w:ascii="Times New Roman" w:hAnsi="Times New Roman"/>
          <w:color w:val="auto"/>
        </w:rPr>
        <w:t>3. Conceptual and Analytical Foundations</w:t>
      </w:r>
    </w:p>
    <w:p w14:paraId="28D57606" w14:textId="77777777" w:rsidR="007868D8" w:rsidRPr="003F2BFF" w:rsidRDefault="00000000">
      <w:pPr>
        <w:pStyle w:val="Heading2"/>
        <w:rPr>
          <w:color w:val="auto"/>
        </w:rPr>
      </w:pPr>
      <w:bookmarkStart w:id="12" w:name="Xc42cd2ade5e8f0a038b06f4e2c8c571e84856cd"/>
      <w:r w:rsidRPr="003F2BFF">
        <w:rPr>
          <w:rFonts w:ascii="Times New Roman" w:hAnsi="Times New Roman"/>
          <w:color w:val="auto"/>
        </w:rPr>
        <w:t>3.1 Particle Diversity, Definitions and Dose Metrics</w:t>
      </w:r>
    </w:p>
    <w:p w14:paraId="201D8A3D" w14:textId="77777777" w:rsidR="007868D8" w:rsidRPr="003F2BFF" w:rsidRDefault="00000000">
      <w:pPr>
        <w:pStyle w:val="FirstParagraph"/>
        <w:spacing w:after="104" w:line="264" w:lineRule="auto"/>
        <w:jc w:val="both"/>
      </w:pPr>
      <w:r w:rsidRPr="003F2BFF">
        <w:rPr>
          <w:rFonts w:ascii="Times New Roman" w:hAnsi="Times New Roman"/>
          <w:sz w:val="22"/>
        </w:rPr>
        <w:t xml:space="preserve">Microplastics are often </w:t>
      </w:r>
      <w:proofErr w:type="spellStart"/>
      <w:r w:rsidRPr="003F2BFF">
        <w:rPr>
          <w:rFonts w:ascii="Times New Roman" w:hAnsi="Times New Roman"/>
          <w:sz w:val="22"/>
        </w:rPr>
        <w:t>operationalised</w:t>
      </w:r>
      <w:proofErr w:type="spellEnd"/>
      <w:r w:rsidRPr="003F2BFF">
        <w:rPr>
          <w:rFonts w:ascii="Times New Roman" w:hAnsi="Times New Roman"/>
          <w:sz w:val="22"/>
        </w:rPr>
        <w:t xml:space="preserve"> as plastic particles below 5 mm, but this threshold is a convention rather than a biological boundary. A 4 mm fragment and a 4 µm particle differ by orders of magnitude in number per unit mass, available surface area, transport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and potential for cellular interaction. Shape adds another layer: </w:t>
      </w:r>
      <w:proofErr w:type="spellStart"/>
      <w:r w:rsidRPr="003F2BFF">
        <w:rPr>
          <w:rFonts w:ascii="Times New Roman" w:hAnsi="Times New Roman"/>
          <w:sz w:val="22"/>
        </w:rPr>
        <w:t>fibres</w:t>
      </w:r>
      <w:proofErr w:type="spellEnd"/>
      <w:r w:rsidRPr="003F2BFF">
        <w:rPr>
          <w:rFonts w:ascii="Times New Roman" w:hAnsi="Times New Roman"/>
          <w:sz w:val="22"/>
        </w:rPr>
        <w:t xml:space="preserve"> may entangle or persist differently from compact fragments; films have high area-to-mass ratios; foams and low-density polymers may remain buoyant until fouling or aggregation changes their effective density. Polymer type also modifies density, mechanical properties, additive composition and affinity for hydrophobic chemicals. Hartmann and colleagues proposed a </w:t>
      </w:r>
      <w:proofErr w:type="spellStart"/>
      <w:r w:rsidRPr="003F2BFF">
        <w:rPr>
          <w:rFonts w:ascii="Times New Roman" w:hAnsi="Times New Roman"/>
          <w:sz w:val="22"/>
        </w:rPr>
        <w:t>categorisation</w:t>
      </w:r>
      <w:proofErr w:type="spellEnd"/>
      <w:r w:rsidRPr="003F2BFF">
        <w:rPr>
          <w:rFonts w:ascii="Times New Roman" w:hAnsi="Times New Roman"/>
          <w:sz w:val="22"/>
        </w:rPr>
        <w:t xml:space="preserve"> framework precisely because ambiguous terminology can obscure these distinctions (Hartmann et al., 2019).</w:t>
      </w:r>
    </w:p>
    <w:p w14:paraId="284D19A2" w14:textId="77777777" w:rsidR="007868D8" w:rsidRPr="003F2BFF" w:rsidRDefault="00000000">
      <w:pPr>
        <w:pStyle w:val="BodyText"/>
        <w:spacing w:after="104" w:line="264" w:lineRule="auto"/>
        <w:jc w:val="both"/>
      </w:pPr>
      <w:r w:rsidRPr="003F2BFF">
        <w:rPr>
          <w:rFonts w:ascii="Times New Roman" w:hAnsi="Times New Roman"/>
          <w:sz w:val="22"/>
        </w:rPr>
        <w:t xml:space="preserve">A central implication is that “concentration” is not a unique dose metric. Particle number is sensitive to the lower detection limit, mass gives greater weight to large particles, and surface area may better reflect adsorption or interface-driven processes. </w:t>
      </w:r>
      <w:proofErr w:type="spellStart"/>
      <w:r w:rsidRPr="003F2BFF">
        <w:rPr>
          <w:rFonts w:ascii="Times New Roman" w:hAnsi="Times New Roman"/>
          <w:sz w:val="22"/>
        </w:rPr>
        <w:t>Fibre</w:t>
      </w:r>
      <w:proofErr w:type="spellEnd"/>
      <w:r w:rsidRPr="003F2BFF">
        <w:rPr>
          <w:rFonts w:ascii="Times New Roman" w:hAnsi="Times New Roman"/>
          <w:sz w:val="22"/>
        </w:rPr>
        <w:t xml:space="preserve"> length and aspect ratio can matter biologically in ways that neither number nor mass captures. Toxicity studies that report only particles per </w:t>
      </w:r>
      <w:proofErr w:type="spellStart"/>
      <w:r w:rsidRPr="003F2BFF">
        <w:rPr>
          <w:rFonts w:ascii="Times New Roman" w:hAnsi="Times New Roman"/>
          <w:sz w:val="22"/>
        </w:rPr>
        <w:t>litre</w:t>
      </w:r>
      <w:proofErr w:type="spellEnd"/>
      <w:r w:rsidRPr="003F2BFF">
        <w:rPr>
          <w:rFonts w:ascii="Times New Roman" w:hAnsi="Times New Roman"/>
          <w:sz w:val="22"/>
        </w:rPr>
        <w:t xml:space="preserve"> or only mass per </w:t>
      </w:r>
      <w:proofErr w:type="spellStart"/>
      <w:r w:rsidRPr="003F2BFF">
        <w:rPr>
          <w:rFonts w:ascii="Times New Roman" w:hAnsi="Times New Roman"/>
          <w:sz w:val="22"/>
        </w:rPr>
        <w:t>litre</w:t>
      </w:r>
      <w:proofErr w:type="spellEnd"/>
      <w:r w:rsidRPr="003F2BFF">
        <w:rPr>
          <w:rFonts w:ascii="Times New Roman" w:hAnsi="Times New Roman"/>
          <w:sz w:val="22"/>
        </w:rPr>
        <w:t xml:space="preserve"> may therefore be difficult to compare, especially when particle size distributions differ. The 2026 fish meta-analysis showing trait-dependent effect variation reinforces this point: concentration alone cannot explain biological outcome when size, morphology </w:t>
      </w:r>
      <w:r w:rsidRPr="003F2BFF">
        <w:rPr>
          <w:rFonts w:ascii="Times New Roman" w:hAnsi="Times New Roman"/>
          <w:sz w:val="22"/>
        </w:rPr>
        <w:lastRenderedPageBreak/>
        <w:t xml:space="preserve">and polymer identity influence exposure and toxicity (Sacco et al., 2026). A mature risk framework should retain multiple dose descriptors and </w:t>
      </w:r>
      <w:proofErr w:type="spellStart"/>
      <w:r w:rsidRPr="003F2BFF">
        <w:rPr>
          <w:rFonts w:ascii="Times New Roman" w:hAnsi="Times New Roman"/>
          <w:sz w:val="22"/>
        </w:rPr>
        <w:t>characterise</w:t>
      </w:r>
      <w:proofErr w:type="spellEnd"/>
      <w:r w:rsidRPr="003F2BFF">
        <w:rPr>
          <w:rFonts w:ascii="Times New Roman" w:hAnsi="Times New Roman"/>
          <w:sz w:val="22"/>
        </w:rPr>
        <w:t xml:space="preserve"> the particle distribution rather than reducing exposure to a single scalar.</w:t>
      </w:r>
    </w:p>
    <w:p w14:paraId="30DD1CAA" w14:textId="77777777" w:rsidR="007868D8" w:rsidRPr="003F2BFF" w:rsidRDefault="00000000">
      <w:pPr>
        <w:pStyle w:val="BodyText"/>
        <w:spacing w:after="104" w:line="264" w:lineRule="auto"/>
        <w:jc w:val="both"/>
      </w:pPr>
      <w:r w:rsidRPr="003F2BFF">
        <w:rPr>
          <w:rFonts w:ascii="Times New Roman" w:hAnsi="Times New Roman"/>
          <w:sz w:val="22"/>
        </w:rPr>
        <w:t>Environmental ageing further undermines the assumption that polymer identity is a sufficient descriptor. Ultraviolet radiation, oxidation, abrasion and biofilm growth change surface chemistry, roughness, density and contaminant interactions. Weathered fragments can carry a complex mixture of manufacturing additives and environmental chemicals, whereas virgin laboratory spheres present a more controlled but less representative exposure. These differences are not merely aesthetic: surface oxidation can change sorption; biofilms influence aggregation and ingestion cues; and embrittlement alters size distributions. Reviews spanning environmental fate and biological effects consistently identify ageing state as an underreported variable (Chanda et al., 2024; Li &amp; Meng, 2025; Pal et al., 2025).</w:t>
      </w:r>
    </w:p>
    <w:p w14:paraId="2DA1842B" w14:textId="77777777" w:rsidR="007868D8" w:rsidRPr="003F2BFF" w:rsidRDefault="00000000">
      <w:pPr>
        <w:pStyle w:val="Heading2"/>
        <w:rPr>
          <w:color w:val="auto"/>
        </w:rPr>
      </w:pPr>
      <w:bookmarkStart w:id="13" w:name="Xb698654dd434e33c762e5f83c555e93762a3fdf"/>
      <w:bookmarkEnd w:id="12"/>
      <w:r w:rsidRPr="003F2BFF">
        <w:rPr>
          <w:rFonts w:ascii="Times New Roman" w:hAnsi="Times New Roman"/>
          <w:color w:val="auto"/>
        </w:rPr>
        <w:t>3.2 Analytical Detectability and Comparability</w:t>
      </w:r>
    </w:p>
    <w:p w14:paraId="28583A5E" w14:textId="77777777" w:rsidR="007868D8" w:rsidRPr="003F2BFF" w:rsidRDefault="00000000">
      <w:pPr>
        <w:pStyle w:val="FirstParagraph"/>
        <w:spacing w:after="104" w:line="264" w:lineRule="auto"/>
        <w:jc w:val="both"/>
      </w:pPr>
      <w:r w:rsidRPr="003F2BFF">
        <w:rPr>
          <w:rFonts w:ascii="Times New Roman" w:hAnsi="Times New Roman"/>
          <w:sz w:val="22"/>
        </w:rPr>
        <w:t xml:space="preserve">Sampling design defines what a study is capable of observing. Surface trawls are efficient for larger buoyant particles but under-sample small particles, </w:t>
      </w:r>
      <w:proofErr w:type="spellStart"/>
      <w:r w:rsidRPr="003F2BFF">
        <w:rPr>
          <w:rFonts w:ascii="Times New Roman" w:hAnsi="Times New Roman"/>
          <w:sz w:val="22"/>
        </w:rPr>
        <w:t>fibres</w:t>
      </w:r>
      <w:proofErr w:type="spellEnd"/>
      <w:r w:rsidRPr="003F2BFF">
        <w:rPr>
          <w:rFonts w:ascii="Times New Roman" w:hAnsi="Times New Roman"/>
          <w:sz w:val="22"/>
        </w:rPr>
        <w:t xml:space="preserve"> and material mixed below the surface by wind and turbulence. Bulk water sampling can access smaller sizes but usually covers less water volume and is more vulnerable to laboratory contamination. Sediment studies add uncertainties related to density separation and organic-matter digestion. Biological samples require digestion methods that recover polymers without introducing artefacts. Reviews of monitoring and biota analysis have shown that these choices can shift measured concentrations substantially (Hermsen et al., 2018; Hidalgo-Ruz et al., 2012). Cross-study comparisons are therefore most defensible when detection limits, sampled compartments and polymer-confirmation methods are aligned.</w:t>
      </w:r>
    </w:p>
    <w:p w14:paraId="5BC3EC55" w14:textId="77777777" w:rsidR="007868D8" w:rsidRPr="003F2BFF" w:rsidRDefault="00000000">
      <w:pPr>
        <w:pStyle w:val="BodyText"/>
        <w:spacing w:after="104" w:line="264" w:lineRule="auto"/>
        <w:jc w:val="both"/>
      </w:pPr>
      <w:r w:rsidRPr="003F2BFF">
        <w:rPr>
          <w:rFonts w:ascii="Times New Roman" w:hAnsi="Times New Roman"/>
          <w:sz w:val="22"/>
        </w:rPr>
        <w:t>Spectroscopic methods such as Fourier-transform infrared and Raman approaches strengthen polymer identification relative to visual classification, but their effective lower size limits, automation settings and spectral libraries differ. Thermal methods can quantify polymer mass at small size scales but sacrifice particle morphology. No single method fully captures number, size, shape and mass across the entire micro- to nanoscale continuum. Data quality review of freshwater and drinking-water studies showed that a small subset met all proposed quality criteria, illustrating how methodological uncertainty can dominate apparent environmental variability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This remains relevant when exposure estimates are used downstream in risk assessment.</w:t>
      </w:r>
    </w:p>
    <w:p w14:paraId="064E5DF6" w14:textId="77777777" w:rsidR="007868D8" w:rsidRPr="003F2BFF" w:rsidRDefault="00000000">
      <w:pPr>
        <w:pStyle w:val="BodyText"/>
        <w:spacing w:after="104" w:line="264" w:lineRule="auto"/>
        <w:jc w:val="both"/>
      </w:pPr>
      <w:r w:rsidRPr="003F2BFF">
        <w:rPr>
          <w:rFonts w:ascii="Times New Roman" w:hAnsi="Times New Roman"/>
          <w:sz w:val="22"/>
        </w:rPr>
        <w:t xml:space="preserve">Quality control must also address airborne </w:t>
      </w:r>
      <w:proofErr w:type="spellStart"/>
      <w:r w:rsidRPr="003F2BFF">
        <w:rPr>
          <w:rFonts w:ascii="Times New Roman" w:hAnsi="Times New Roman"/>
          <w:sz w:val="22"/>
        </w:rPr>
        <w:t>fibres</w:t>
      </w:r>
      <w:proofErr w:type="spellEnd"/>
      <w:r w:rsidRPr="003F2BFF">
        <w:rPr>
          <w:rFonts w:ascii="Times New Roman" w:hAnsi="Times New Roman"/>
          <w:sz w:val="22"/>
        </w:rPr>
        <w:t>, procedural blanks, laboratory clothing, filter contamination and recovery efficiency. Human-tissue work has even tighter requirements because low particle burdens and ubiquitous background contamination create a high risk of false attribution. Analytical advances have improved specificity, but detection of a polymer signature does not automatically establish particle integrity, route of entry, residence time or toxicological relevance. For both environmental and human studies, the evidentiary hierarchy should therefore begin with verified material identity and robust blanks before interpreting concentration differences or biological associations.</w:t>
      </w:r>
    </w:p>
    <w:p w14:paraId="07775B1F" w14:textId="77777777" w:rsidR="007868D8" w:rsidRPr="003F2BFF" w:rsidRDefault="00000000">
      <w:pPr>
        <w:pStyle w:val="Heading1"/>
        <w:rPr>
          <w:color w:val="auto"/>
        </w:rPr>
      </w:pPr>
      <w:bookmarkStart w:id="14" w:name="Xfeef2b2937c2cf60ae620a51f64083364ad967a"/>
      <w:bookmarkEnd w:id="11"/>
      <w:bookmarkEnd w:id="13"/>
      <w:r w:rsidRPr="003F2BFF">
        <w:rPr>
          <w:rFonts w:ascii="Times New Roman" w:hAnsi="Times New Roman"/>
          <w:color w:val="auto"/>
        </w:rPr>
        <w:t>4. Sources and Entry Pathways to Aquatic Ecosystems</w:t>
      </w:r>
    </w:p>
    <w:p w14:paraId="08EF62F2" w14:textId="77777777" w:rsidR="007868D8" w:rsidRPr="003F2BFF" w:rsidRDefault="00000000">
      <w:pPr>
        <w:pStyle w:val="Heading2"/>
        <w:rPr>
          <w:color w:val="auto"/>
        </w:rPr>
      </w:pPr>
      <w:bookmarkStart w:id="15" w:name="Xd8435e16159097c13734a4971aaadf39dabca29"/>
      <w:r w:rsidRPr="003F2BFF">
        <w:rPr>
          <w:rFonts w:ascii="Times New Roman" w:hAnsi="Times New Roman"/>
          <w:color w:val="auto"/>
        </w:rPr>
        <w:t>4.1 Land-Based Leakage and Secondary Fragmentation</w:t>
      </w:r>
    </w:p>
    <w:p w14:paraId="62B3979B" w14:textId="77777777" w:rsidR="007868D8" w:rsidRPr="003F2BFF" w:rsidRDefault="00000000">
      <w:pPr>
        <w:pStyle w:val="FirstParagraph"/>
        <w:spacing w:after="104" w:line="264" w:lineRule="auto"/>
        <w:jc w:val="both"/>
      </w:pPr>
      <w:r w:rsidRPr="003F2BFF">
        <w:rPr>
          <w:rFonts w:ascii="Times New Roman" w:hAnsi="Times New Roman"/>
          <w:sz w:val="22"/>
        </w:rPr>
        <w:t>A large fraction of aquatic plastic originates from land-based production, consumption and waste-management systems. Global analyses of plastic production and disposal show that accumulated waste creates a persistent reservoir from which larger items can fragment into smaller particles (Geyer et al., 2017). Coastal mismanaged plastic waste has been linked to marine inputs at global scale (</w:t>
      </w:r>
      <w:proofErr w:type="spellStart"/>
      <w:r w:rsidRPr="003F2BFF">
        <w:rPr>
          <w:rFonts w:ascii="Times New Roman" w:hAnsi="Times New Roman"/>
          <w:sz w:val="22"/>
        </w:rPr>
        <w:t>Jambeck</w:t>
      </w:r>
      <w:proofErr w:type="spellEnd"/>
      <w:r w:rsidRPr="003F2BFF">
        <w:rPr>
          <w:rFonts w:ascii="Times New Roman" w:hAnsi="Times New Roman"/>
          <w:sz w:val="22"/>
        </w:rPr>
        <w:t xml:space="preserve"> et al., 2015). These studies are often invoked as microplastic source estimates, but that extrapolation requires caution: they quantify broader plastic waste flows, not particle-resolved microplastic emissions. Their value for microplastic analysis lies in establishing the upstream </w:t>
      </w:r>
      <w:r w:rsidRPr="003F2BFF">
        <w:rPr>
          <w:rFonts w:ascii="Times New Roman" w:hAnsi="Times New Roman"/>
          <w:sz w:val="22"/>
        </w:rPr>
        <w:lastRenderedPageBreak/>
        <w:t xml:space="preserve">material pool and the geography of leakage, not in specifying how quickly </w:t>
      </w:r>
      <w:proofErr w:type="spellStart"/>
      <w:r w:rsidRPr="003F2BFF">
        <w:rPr>
          <w:rFonts w:ascii="Times New Roman" w:hAnsi="Times New Roman"/>
          <w:sz w:val="22"/>
        </w:rPr>
        <w:t>macroplastics</w:t>
      </w:r>
      <w:proofErr w:type="spellEnd"/>
      <w:r w:rsidRPr="003F2BFF">
        <w:rPr>
          <w:rFonts w:ascii="Times New Roman" w:hAnsi="Times New Roman"/>
          <w:sz w:val="22"/>
        </w:rPr>
        <w:t xml:space="preserve"> fragment or what size spectrum reaches aquatic receptors.</w:t>
      </w:r>
    </w:p>
    <w:p w14:paraId="1ECC1045" w14:textId="77777777" w:rsidR="007868D8" w:rsidRPr="003F2BFF" w:rsidRDefault="00000000">
      <w:pPr>
        <w:pStyle w:val="BodyText"/>
        <w:spacing w:after="104" w:line="264" w:lineRule="auto"/>
        <w:jc w:val="both"/>
      </w:pPr>
      <w:r w:rsidRPr="003F2BFF">
        <w:rPr>
          <w:rFonts w:ascii="Times New Roman" w:hAnsi="Times New Roman"/>
          <w:sz w:val="22"/>
        </w:rPr>
        <w:t xml:space="preserve">Secondary microplastic formation is governed by polymer chemistry, sunlight, mechanical abrasion, temperature and environmental residence. Fragmentation can occur on land, along shorelines, in rivers or after marine entry, so assigning particles to a single source after weathering is difficult. Morphology and polymer signatures can suggest origin, but many consumer and industrial uses share polymers. Source apportionment is therefore stronger for distinctive particles such as textile </w:t>
      </w:r>
      <w:proofErr w:type="spellStart"/>
      <w:r w:rsidRPr="003F2BFF">
        <w:rPr>
          <w:rFonts w:ascii="Times New Roman" w:hAnsi="Times New Roman"/>
          <w:sz w:val="22"/>
        </w:rPr>
        <w:t>fibres</w:t>
      </w:r>
      <w:proofErr w:type="spellEnd"/>
      <w:r w:rsidRPr="003F2BFF">
        <w:rPr>
          <w:rFonts w:ascii="Times New Roman" w:hAnsi="Times New Roman"/>
          <w:sz w:val="22"/>
        </w:rPr>
        <w:t xml:space="preserve"> or </w:t>
      </w:r>
      <w:proofErr w:type="spellStart"/>
      <w:r w:rsidRPr="003F2BFF">
        <w:rPr>
          <w:rFonts w:ascii="Times New Roman" w:hAnsi="Times New Roman"/>
          <w:sz w:val="22"/>
        </w:rPr>
        <w:t>tyre</w:t>
      </w:r>
      <w:proofErr w:type="spellEnd"/>
      <w:r w:rsidRPr="003F2BFF">
        <w:rPr>
          <w:rFonts w:ascii="Times New Roman" w:hAnsi="Times New Roman"/>
          <w:sz w:val="22"/>
        </w:rPr>
        <w:t>-derived material than for generic polyethylene or polypropylene fragments. Broad reviews consistently identify this source-attribution uncertainty as a barrier to intervention targeting (Chanda et al., 2024; Li &amp; Meng, 2025).</w:t>
      </w:r>
    </w:p>
    <w:p w14:paraId="1598DD51" w14:textId="77777777" w:rsidR="007868D8" w:rsidRPr="003F2BFF" w:rsidRDefault="00000000">
      <w:pPr>
        <w:pStyle w:val="BodyText"/>
        <w:spacing w:after="104" w:line="264" w:lineRule="auto"/>
        <w:jc w:val="both"/>
      </w:pPr>
      <w:r w:rsidRPr="003F2BFF">
        <w:rPr>
          <w:rFonts w:ascii="Times New Roman" w:hAnsi="Times New Roman"/>
          <w:sz w:val="22"/>
        </w:rPr>
        <w:t>River systems connect catchments to downstream estuaries and seas, but they are not passive pipes. Global modelling of plastic debris indicates that emissions are concentrated among populated and hydrologically connected catchments rather than being evenly distributed (Lebreton et al., 2017; Meijer et al., 2021; Schmidt et al., 2017). Newer river-emission models revise earlier assumptions by accounting more explicitly for spatial proximity of waste to rivers, hydrology and retention. Their results support geographically targeted prevention, but they should not be interpreted as direct microplastic inventories because models combine or are calibrated against broader plastic categories. Within rivers, dams, floodplains, bed sediments and vegetation can store particles temporarily and release them episodically during high flows.</w:t>
      </w:r>
    </w:p>
    <w:p w14:paraId="246F3363" w14:textId="77777777" w:rsidR="007868D8" w:rsidRPr="003F2BFF" w:rsidRDefault="00000000">
      <w:pPr>
        <w:pStyle w:val="Heading2"/>
        <w:rPr>
          <w:color w:val="auto"/>
        </w:rPr>
      </w:pPr>
      <w:bookmarkStart w:id="16" w:name="wastewater-textiles-and-urban-drainage"/>
      <w:bookmarkEnd w:id="15"/>
      <w:r w:rsidRPr="003F2BFF">
        <w:rPr>
          <w:rFonts w:ascii="Times New Roman" w:hAnsi="Times New Roman"/>
          <w:color w:val="auto"/>
        </w:rPr>
        <w:t>4.2 Wastewater, Textiles and Urban Drainage</w:t>
      </w:r>
    </w:p>
    <w:p w14:paraId="591310F7" w14:textId="77777777" w:rsidR="007868D8" w:rsidRPr="003F2BFF" w:rsidRDefault="00000000">
      <w:pPr>
        <w:pStyle w:val="FirstParagraph"/>
        <w:spacing w:after="104" w:line="264" w:lineRule="auto"/>
        <w:jc w:val="both"/>
      </w:pPr>
      <w:r w:rsidRPr="003F2BFF">
        <w:rPr>
          <w:rFonts w:ascii="Times New Roman" w:hAnsi="Times New Roman"/>
          <w:sz w:val="22"/>
        </w:rPr>
        <w:t xml:space="preserve">Municipal wastewater is a well-established point pathway because households and urban activities discharge </w:t>
      </w:r>
      <w:proofErr w:type="spellStart"/>
      <w:r w:rsidRPr="003F2BFF">
        <w:rPr>
          <w:rFonts w:ascii="Times New Roman" w:hAnsi="Times New Roman"/>
          <w:sz w:val="22"/>
        </w:rPr>
        <w:t>fibres</w:t>
      </w:r>
      <w:proofErr w:type="spellEnd"/>
      <w:r w:rsidRPr="003F2BFF">
        <w:rPr>
          <w:rFonts w:ascii="Times New Roman" w:hAnsi="Times New Roman"/>
          <w:sz w:val="22"/>
        </w:rPr>
        <w:t>, fragments and other particles to treatment works. Treatment can remove a high proportion of incoming particles, particularly through settling and solids separation, yet high percentage removal does not imply zero environmental release. Studies of wastewater treatment have shown that residual effluent can still carry substantial particle loads because influent volumes are large (Carr et al., 2016; Murphy et al., 2016). A second accounting issue is transfer: particles captured from water are concentrated in sludge. Their ultimate fate then depends on sludge treatment, land application, disposal and runoff, so a water-quality success can shift the exposure pathway rather than eliminate the plastic mass.</w:t>
      </w:r>
    </w:p>
    <w:p w14:paraId="4B7EAFD1" w14:textId="77777777" w:rsidR="007868D8" w:rsidRPr="003F2BFF" w:rsidRDefault="00000000">
      <w:pPr>
        <w:pStyle w:val="BodyText"/>
        <w:spacing w:after="104" w:line="264" w:lineRule="auto"/>
        <w:jc w:val="both"/>
      </w:pPr>
      <w:r w:rsidRPr="003F2BFF">
        <w:rPr>
          <w:rFonts w:ascii="Times New Roman" w:hAnsi="Times New Roman"/>
          <w:sz w:val="22"/>
        </w:rPr>
        <w:t xml:space="preserve">Textile washing is an identifiable source of synthetic </w:t>
      </w:r>
      <w:proofErr w:type="spellStart"/>
      <w:r w:rsidRPr="003F2BFF">
        <w:rPr>
          <w:rFonts w:ascii="Times New Roman" w:hAnsi="Times New Roman"/>
          <w:sz w:val="22"/>
        </w:rPr>
        <w:t>microfibres</w:t>
      </w:r>
      <w:proofErr w:type="spellEnd"/>
      <w:r w:rsidRPr="003F2BFF">
        <w:rPr>
          <w:rFonts w:ascii="Times New Roman" w:hAnsi="Times New Roman"/>
          <w:sz w:val="22"/>
        </w:rPr>
        <w:t xml:space="preserve">. Controlled laundering experiments demonstrate </w:t>
      </w:r>
      <w:proofErr w:type="spellStart"/>
      <w:r w:rsidRPr="003F2BFF">
        <w:rPr>
          <w:rFonts w:ascii="Times New Roman" w:hAnsi="Times New Roman"/>
          <w:sz w:val="22"/>
        </w:rPr>
        <w:t>fibre</w:t>
      </w:r>
      <w:proofErr w:type="spellEnd"/>
      <w:r w:rsidRPr="003F2BFF">
        <w:rPr>
          <w:rFonts w:ascii="Times New Roman" w:hAnsi="Times New Roman"/>
          <w:sz w:val="22"/>
        </w:rPr>
        <w:t xml:space="preserve"> release from fleece and other synthetic materials, although emission rates vary with textile construction, age, wash conditions and analytical method (Pirc et al., 2016). </w:t>
      </w:r>
      <w:proofErr w:type="spellStart"/>
      <w:r w:rsidRPr="003F2BFF">
        <w:rPr>
          <w:rFonts w:ascii="Times New Roman" w:hAnsi="Times New Roman"/>
          <w:sz w:val="22"/>
        </w:rPr>
        <w:t>Fibres</w:t>
      </w:r>
      <w:proofErr w:type="spellEnd"/>
      <w:r w:rsidRPr="003F2BFF">
        <w:rPr>
          <w:rFonts w:ascii="Times New Roman" w:hAnsi="Times New Roman"/>
          <w:sz w:val="22"/>
        </w:rPr>
        <w:t xml:space="preserve"> are also generated through wear during use and can enter wastewater or air. This dual pathway matters because </w:t>
      </w:r>
      <w:proofErr w:type="spellStart"/>
      <w:r w:rsidRPr="003F2BFF">
        <w:rPr>
          <w:rFonts w:ascii="Times New Roman" w:hAnsi="Times New Roman"/>
          <w:sz w:val="22"/>
        </w:rPr>
        <w:t>fibres</w:t>
      </w:r>
      <w:proofErr w:type="spellEnd"/>
      <w:r w:rsidRPr="003F2BFF">
        <w:rPr>
          <w:rFonts w:ascii="Times New Roman" w:hAnsi="Times New Roman"/>
          <w:sz w:val="22"/>
        </w:rPr>
        <w:t xml:space="preserve"> detected in aquatic systems need not have travelled solely through sewers. Wastewater control can reduce a portion of emissions, but product design, textile durability and capture nearer to the source may offer complementary leverage.</w:t>
      </w:r>
    </w:p>
    <w:p w14:paraId="562BC7D5" w14:textId="77777777" w:rsidR="007868D8" w:rsidRPr="003F2BFF" w:rsidRDefault="00000000">
      <w:pPr>
        <w:pStyle w:val="BodyText"/>
        <w:spacing w:after="104" w:line="264" w:lineRule="auto"/>
        <w:jc w:val="both"/>
      </w:pPr>
      <w:r w:rsidRPr="003F2BFF">
        <w:rPr>
          <w:rFonts w:ascii="Times New Roman" w:hAnsi="Times New Roman"/>
          <w:sz w:val="22"/>
        </w:rPr>
        <w:t xml:space="preserve">Urban drainage adds episodic inputs through road runoff, litter fragmentation and combined sewer overflows. Storm events can </w:t>
      </w:r>
      <w:proofErr w:type="spellStart"/>
      <w:r w:rsidRPr="003F2BFF">
        <w:rPr>
          <w:rFonts w:ascii="Times New Roman" w:hAnsi="Times New Roman"/>
          <w:sz w:val="22"/>
        </w:rPr>
        <w:t>mobilise</w:t>
      </w:r>
      <w:proofErr w:type="spellEnd"/>
      <w:r w:rsidRPr="003F2BFF">
        <w:rPr>
          <w:rFonts w:ascii="Times New Roman" w:hAnsi="Times New Roman"/>
          <w:sz w:val="22"/>
        </w:rPr>
        <w:t xml:space="preserve"> particles stored on impervious surfaces and in drains, producing short, high-flux pulses that routine dry-weather sampling may miss. Such event dependence is one reason annual source contributions remain uncertain even where particle concentrations have been measured locally. Microplastic monitoring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that sample at fixed calendar intervals but ignore hydrological events can systematically underrepresent urban pulses and weaken source models.</w:t>
      </w:r>
    </w:p>
    <w:p w14:paraId="689E0739" w14:textId="77777777" w:rsidR="007868D8" w:rsidRPr="003F2BFF" w:rsidRDefault="00000000">
      <w:pPr>
        <w:pStyle w:val="Heading2"/>
        <w:rPr>
          <w:color w:val="auto"/>
        </w:rPr>
      </w:pPr>
      <w:bookmarkStart w:id="17" w:name="tyre-wear-and-atmospheric-deposition"/>
      <w:bookmarkEnd w:id="16"/>
      <w:r w:rsidRPr="003F2BFF">
        <w:rPr>
          <w:rFonts w:ascii="Times New Roman" w:hAnsi="Times New Roman"/>
          <w:color w:val="auto"/>
        </w:rPr>
        <w:t xml:space="preserve">4.3 </w:t>
      </w:r>
      <w:proofErr w:type="spellStart"/>
      <w:r w:rsidRPr="003F2BFF">
        <w:rPr>
          <w:rFonts w:ascii="Times New Roman" w:hAnsi="Times New Roman"/>
          <w:color w:val="auto"/>
        </w:rPr>
        <w:t>Tyre</w:t>
      </w:r>
      <w:proofErr w:type="spellEnd"/>
      <w:r w:rsidRPr="003F2BFF">
        <w:rPr>
          <w:rFonts w:ascii="Times New Roman" w:hAnsi="Times New Roman"/>
          <w:color w:val="auto"/>
        </w:rPr>
        <w:t xml:space="preserve"> Wear and Atmospheric Deposition</w:t>
      </w:r>
    </w:p>
    <w:p w14:paraId="1188158A" w14:textId="77777777" w:rsidR="007868D8" w:rsidRPr="003F2BFF" w:rsidRDefault="00000000">
      <w:pPr>
        <w:pStyle w:val="FirstParagraph"/>
        <w:spacing w:after="104" w:line="264" w:lineRule="auto"/>
        <w:jc w:val="both"/>
      </w:pPr>
      <w:proofErr w:type="spellStart"/>
      <w:r w:rsidRPr="003F2BFF">
        <w:rPr>
          <w:rFonts w:ascii="Times New Roman" w:hAnsi="Times New Roman"/>
          <w:sz w:val="22"/>
        </w:rPr>
        <w:t>Tyre</w:t>
      </w:r>
      <w:proofErr w:type="spellEnd"/>
      <w:r w:rsidRPr="003F2BFF">
        <w:rPr>
          <w:rFonts w:ascii="Times New Roman" w:hAnsi="Times New Roman"/>
          <w:sz w:val="22"/>
        </w:rPr>
        <w:t xml:space="preserve"> and road wear particles are an important diffuse source linked to traffic. </w:t>
      </w:r>
      <w:proofErr w:type="spellStart"/>
      <w:r w:rsidRPr="003F2BFF">
        <w:rPr>
          <w:rFonts w:ascii="Times New Roman" w:hAnsi="Times New Roman"/>
          <w:sz w:val="22"/>
        </w:rPr>
        <w:t>Tyre</w:t>
      </w:r>
      <w:proofErr w:type="spellEnd"/>
      <w:r w:rsidRPr="003F2BFF">
        <w:rPr>
          <w:rFonts w:ascii="Times New Roman" w:hAnsi="Times New Roman"/>
          <w:sz w:val="22"/>
        </w:rPr>
        <w:t xml:space="preserve"> abrasion generates polymer-containing particles that can be transported by road runoff, wind or drainage systems. A widely cited source analysis identified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as potentially substantial but also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large uncertainties arising from emission factors, particle definitions and environmental fate (Kole et al., 2017). </w:t>
      </w:r>
      <w:proofErr w:type="spellStart"/>
      <w:r w:rsidRPr="003F2BFF">
        <w:rPr>
          <w:rFonts w:ascii="Times New Roman" w:hAnsi="Times New Roman"/>
          <w:sz w:val="22"/>
        </w:rPr>
        <w:t>Tyre</w:t>
      </w:r>
      <w:proofErr w:type="spellEnd"/>
      <w:r w:rsidRPr="003F2BFF">
        <w:rPr>
          <w:rFonts w:ascii="Times New Roman" w:hAnsi="Times New Roman"/>
          <w:sz w:val="22"/>
        </w:rPr>
        <w:t xml:space="preserve">-derived particles differ chemically and physically from many conventional plastic fragments because rubber formulations contain fillers and additives; </w:t>
      </w:r>
      <w:r w:rsidRPr="003F2BFF">
        <w:rPr>
          <w:rFonts w:ascii="Times New Roman" w:hAnsi="Times New Roman"/>
          <w:sz w:val="22"/>
        </w:rPr>
        <w:lastRenderedPageBreak/>
        <w:t xml:space="preserve">analytical identification is correspondingly difficult. Treating all black road dust as microplastic can overestimate </w:t>
      </w:r>
      <w:proofErr w:type="spellStart"/>
      <w:r w:rsidRPr="003F2BFF">
        <w:rPr>
          <w:rFonts w:ascii="Times New Roman" w:hAnsi="Times New Roman"/>
          <w:sz w:val="22"/>
        </w:rPr>
        <w:t>tyre</w:t>
      </w:r>
      <w:proofErr w:type="spellEnd"/>
      <w:r w:rsidRPr="003F2BFF">
        <w:rPr>
          <w:rFonts w:ascii="Times New Roman" w:hAnsi="Times New Roman"/>
          <w:sz w:val="22"/>
        </w:rPr>
        <w:t xml:space="preserve"> contributions, while conventional spectroscopic workflows may under-detect </w:t>
      </w:r>
      <w:proofErr w:type="spellStart"/>
      <w:r w:rsidRPr="003F2BFF">
        <w:rPr>
          <w:rFonts w:ascii="Times New Roman" w:hAnsi="Times New Roman"/>
          <w:sz w:val="22"/>
        </w:rPr>
        <w:t>tyre</w:t>
      </w:r>
      <w:proofErr w:type="spellEnd"/>
      <w:r w:rsidRPr="003F2BFF">
        <w:rPr>
          <w:rFonts w:ascii="Times New Roman" w:hAnsi="Times New Roman"/>
          <w:sz w:val="22"/>
        </w:rPr>
        <w:t xml:space="preserve"> material.</w:t>
      </w:r>
    </w:p>
    <w:p w14:paraId="2CAEFDF7" w14:textId="77777777" w:rsidR="007868D8" w:rsidRPr="003F2BFF" w:rsidRDefault="00000000">
      <w:pPr>
        <w:pStyle w:val="BodyText"/>
        <w:spacing w:after="104" w:line="264" w:lineRule="auto"/>
        <w:jc w:val="both"/>
      </w:pPr>
      <w:r w:rsidRPr="003F2BFF">
        <w:rPr>
          <w:rFonts w:ascii="Times New Roman" w:hAnsi="Times New Roman"/>
          <w:sz w:val="22"/>
        </w:rPr>
        <w:t>Atmospheric transport makes aquatic source accounting explicitly cross-compartmental. Deposition studies in remote mountain environments demonstrate that microplastics can be transported through the atmosphere far from obvious local sources (Allen et al., 2019). Modelling similarly supports long-range atmospheric transport as a pathway to remote regions (</w:t>
      </w:r>
      <w:proofErr w:type="spellStart"/>
      <w:r w:rsidRPr="003F2BFF">
        <w:rPr>
          <w:rFonts w:ascii="Times New Roman" w:hAnsi="Times New Roman"/>
          <w:sz w:val="22"/>
        </w:rPr>
        <w:t>Evangeliou</w:t>
      </w:r>
      <w:proofErr w:type="spellEnd"/>
      <w:r w:rsidRPr="003F2BFF">
        <w:rPr>
          <w:rFonts w:ascii="Times New Roman" w:hAnsi="Times New Roman"/>
          <w:sz w:val="22"/>
        </w:rPr>
        <w:t xml:space="preserve"> et al., 2020). These findings challenge source inventories based only on watersheds and point discharges. A lake or ocean surface can receive particles from air that originated outside its immediate catchment, while sea spray may later re-entrain particles into the atmosphere. The atmospheric–aquatic cycle remains less well quantified than riverine or wastewater pathways, particularly for very small particles and </w:t>
      </w:r>
      <w:proofErr w:type="spellStart"/>
      <w:r w:rsidRPr="003F2BFF">
        <w:rPr>
          <w:rFonts w:ascii="Times New Roman" w:hAnsi="Times New Roman"/>
          <w:sz w:val="22"/>
        </w:rPr>
        <w:t>fibres</w:t>
      </w:r>
      <w:proofErr w:type="spellEnd"/>
      <w:r w:rsidRPr="003F2BFF">
        <w:rPr>
          <w:rFonts w:ascii="Times New Roman" w:hAnsi="Times New Roman"/>
          <w:sz w:val="22"/>
        </w:rPr>
        <w:t>.</w:t>
      </w:r>
    </w:p>
    <w:p w14:paraId="5051B45C" w14:textId="77777777" w:rsidR="007868D8" w:rsidRPr="003F2BFF" w:rsidRDefault="00000000">
      <w:pPr>
        <w:pStyle w:val="Heading2"/>
        <w:rPr>
          <w:color w:val="auto"/>
        </w:rPr>
      </w:pPr>
      <w:bookmarkStart w:id="18" w:name="Xc0a4947811b13a707477cc17d675638c4407a2c"/>
      <w:bookmarkEnd w:id="17"/>
      <w:r w:rsidRPr="003F2BFF">
        <w:rPr>
          <w:rFonts w:ascii="Times New Roman" w:hAnsi="Times New Roman"/>
          <w:color w:val="auto"/>
        </w:rPr>
        <w:t>4.4 Ocean-Based Sources and the Limits of Source Attribution</w:t>
      </w:r>
    </w:p>
    <w:p w14:paraId="69812023" w14:textId="77777777" w:rsidR="007868D8" w:rsidRPr="003F2BFF" w:rsidRDefault="00000000">
      <w:pPr>
        <w:pStyle w:val="FirstParagraph"/>
        <w:spacing w:after="104" w:line="264" w:lineRule="auto"/>
        <w:jc w:val="both"/>
      </w:pPr>
      <w:r w:rsidRPr="003F2BFF">
        <w:rPr>
          <w:rFonts w:ascii="Times New Roman" w:hAnsi="Times New Roman"/>
          <w:sz w:val="22"/>
        </w:rPr>
        <w:t xml:space="preserve">Shipping, fishing and aquaculture can contribute plastic fragments, </w:t>
      </w:r>
      <w:proofErr w:type="spellStart"/>
      <w:r w:rsidRPr="003F2BFF">
        <w:rPr>
          <w:rFonts w:ascii="Times New Roman" w:hAnsi="Times New Roman"/>
          <w:sz w:val="22"/>
        </w:rPr>
        <w:t>fibres</w:t>
      </w:r>
      <w:proofErr w:type="spellEnd"/>
      <w:r w:rsidRPr="003F2BFF">
        <w:rPr>
          <w:rFonts w:ascii="Times New Roman" w:hAnsi="Times New Roman"/>
          <w:sz w:val="22"/>
        </w:rPr>
        <w:t>, ropes, coatings and other debris directly to marine systems. Their importance varies sharply by region and activity. Offshore particles may also originate from land and be redistributed over long distances, so proximity to a maritime activity does not establish source. The difficulty increases as fragments weather and lose diagnostic features. Recent marine syntheses therefore describe source portfolios rather than universal percentages (Li &amp; Meng, 2025).</w:t>
      </w:r>
    </w:p>
    <w:p w14:paraId="19BABC14" w14:textId="77777777" w:rsidR="007868D8" w:rsidRPr="003F2BFF" w:rsidRDefault="00000000">
      <w:pPr>
        <w:pStyle w:val="BodyText"/>
        <w:spacing w:after="104" w:line="264" w:lineRule="auto"/>
        <w:jc w:val="both"/>
      </w:pPr>
      <w:r w:rsidRPr="003F2BFF">
        <w:rPr>
          <w:rFonts w:ascii="Times New Roman" w:hAnsi="Times New Roman"/>
          <w:sz w:val="22"/>
        </w:rPr>
        <w:t xml:space="preserve">The most defensible source hierarchy is context specific. Wastewater may dominate in a river reach receiving major municipal effluent; </w:t>
      </w:r>
      <w:proofErr w:type="spellStart"/>
      <w:r w:rsidRPr="003F2BFF">
        <w:rPr>
          <w:rFonts w:ascii="Times New Roman" w:hAnsi="Times New Roman"/>
          <w:sz w:val="22"/>
        </w:rPr>
        <w:t>tyre</w:t>
      </w:r>
      <w:proofErr w:type="spellEnd"/>
      <w:r w:rsidRPr="003F2BFF">
        <w:rPr>
          <w:rFonts w:ascii="Times New Roman" w:hAnsi="Times New Roman"/>
          <w:sz w:val="22"/>
        </w:rPr>
        <w:t>-related runoff may be prominent in dense road networks; secondary fragments may dominate shorelines; and atmospheric deposition can matter in remote catchments. Global percentages can obscure this variability and may combine incompatible size classes. For intervention, the relevant question is not which source is globally largest in the abstract, but which controllable pathway contributes the particle types and exposure compartments of concern at a defined place and time.</w:t>
      </w:r>
    </w:p>
    <w:p w14:paraId="2BCE0B2E"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1 </w:t>
      </w:r>
      <w:proofErr w:type="spellStart"/>
      <w:r w:rsidRPr="003F2BFF">
        <w:rPr>
          <w:rFonts w:ascii="Times New Roman" w:hAnsi="Times New Roman"/>
          <w:sz w:val="22"/>
        </w:rPr>
        <w:t>synthesises</w:t>
      </w:r>
      <w:proofErr w:type="spellEnd"/>
      <w:r w:rsidRPr="003F2BFF">
        <w:rPr>
          <w:rFonts w:ascii="Times New Roman" w:hAnsi="Times New Roman"/>
          <w:sz w:val="22"/>
        </w:rPr>
        <w:t xml:space="preserve"> the major source pathways and highlights a recurring asymmetry in the evidence: the existence of most pathways is well established, whereas their relative contribution to a specific receiving water is often much less certain. Point sources such as wastewater are comparatively amenable to direct mass-balance study, while diffuse pathways such as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stormwater and atmospheric deposition require integrated spatial and event-based monitoring. Source-control decisions should therefore be based on local flux evidence rather than on generic global rankings.</w:t>
      </w:r>
    </w:p>
    <w:p w14:paraId="1A8FBB3B" w14:textId="77777777" w:rsidR="007868D8" w:rsidRPr="003F2BFF" w:rsidRDefault="00000000">
      <w:pPr>
        <w:pStyle w:val="BodyText"/>
        <w:keepNext/>
        <w:spacing w:before="100" w:after="60"/>
      </w:pPr>
      <w:r w:rsidRPr="003F2BFF">
        <w:rPr>
          <w:rFonts w:ascii="Times New Roman" w:hAnsi="Times New Roman"/>
          <w:b/>
          <w:bCs/>
          <w:sz w:val="19"/>
        </w:rPr>
        <w:t>Table 1. Major sources and entry pathways of microplastics to aquatic ecosystems</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350"/>
        <w:gridCol w:w="1716"/>
        <w:gridCol w:w="1730"/>
        <w:gridCol w:w="2126"/>
        <w:gridCol w:w="1584"/>
        <w:gridCol w:w="1906"/>
      </w:tblGrid>
      <w:tr w:rsidR="003F2BFF" w:rsidRPr="003F2BFF" w14:paraId="27D34C5C"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325" w:type="dxa"/>
            <w:shd w:val="clear" w:color="auto" w:fill="1F4E79"/>
            <w:tcMar>
              <w:top w:w="55" w:type="dxa"/>
              <w:left w:w="65" w:type="dxa"/>
              <w:bottom w:w="55" w:type="dxa"/>
              <w:right w:w="65" w:type="dxa"/>
            </w:tcMar>
            <w:vAlign w:val="center"/>
          </w:tcPr>
          <w:p w14:paraId="170E7FE8" w14:textId="77777777" w:rsidR="007868D8" w:rsidRPr="003F2BFF" w:rsidRDefault="00000000">
            <w:pPr>
              <w:pStyle w:val="Compact"/>
              <w:spacing w:before="0" w:after="0"/>
              <w:jc w:val="center"/>
            </w:pPr>
            <w:r w:rsidRPr="003F2BFF">
              <w:rPr>
                <w:rFonts w:ascii="Times New Roman" w:hAnsi="Times New Roman"/>
                <w:b/>
                <w:sz w:val="15"/>
              </w:rPr>
              <w:t>Source/pathway</w:t>
            </w:r>
          </w:p>
        </w:tc>
        <w:tc>
          <w:tcPr>
            <w:tcW w:w="1685" w:type="dxa"/>
            <w:shd w:val="clear" w:color="auto" w:fill="1F4E79"/>
            <w:tcMar>
              <w:top w:w="55" w:type="dxa"/>
              <w:left w:w="65" w:type="dxa"/>
              <w:bottom w:w="55" w:type="dxa"/>
              <w:right w:w="65" w:type="dxa"/>
            </w:tcMar>
            <w:vAlign w:val="center"/>
          </w:tcPr>
          <w:p w14:paraId="224DA6F9" w14:textId="77777777" w:rsidR="007868D8" w:rsidRPr="003F2BFF" w:rsidRDefault="00000000">
            <w:pPr>
              <w:pStyle w:val="Compact"/>
              <w:spacing w:before="0" w:after="0"/>
              <w:jc w:val="center"/>
            </w:pPr>
            <w:r w:rsidRPr="003F2BFF">
              <w:rPr>
                <w:rFonts w:ascii="Times New Roman" w:hAnsi="Times New Roman"/>
                <w:b/>
                <w:sz w:val="15"/>
              </w:rPr>
              <w:t>Typical particle characteristics</w:t>
            </w:r>
          </w:p>
        </w:tc>
        <w:tc>
          <w:tcPr>
            <w:tcW w:w="1699" w:type="dxa"/>
            <w:shd w:val="clear" w:color="auto" w:fill="1F4E79"/>
            <w:tcMar>
              <w:top w:w="55" w:type="dxa"/>
              <w:left w:w="65" w:type="dxa"/>
              <w:bottom w:w="55" w:type="dxa"/>
              <w:right w:w="65" w:type="dxa"/>
            </w:tcMar>
            <w:vAlign w:val="center"/>
          </w:tcPr>
          <w:p w14:paraId="180B6112" w14:textId="77777777" w:rsidR="007868D8" w:rsidRPr="003F2BFF" w:rsidRDefault="00000000">
            <w:pPr>
              <w:pStyle w:val="Compact"/>
              <w:spacing w:before="0" w:after="0"/>
              <w:jc w:val="center"/>
            </w:pPr>
            <w:r w:rsidRPr="003F2BFF">
              <w:rPr>
                <w:rFonts w:ascii="Times New Roman" w:hAnsi="Times New Roman"/>
                <w:b/>
                <w:sz w:val="15"/>
              </w:rPr>
              <w:t>Primary receiving compartment/process</w:t>
            </w:r>
          </w:p>
        </w:tc>
        <w:tc>
          <w:tcPr>
            <w:tcW w:w="2088" w:type="dxa"/>
            <w:shd w:val="clear" w:color="auto" w:fill="1F4E79"/>
            <w:tcMar>
              <w:top w:w="55" w:type="dxa"/>
              <w:left w:w="65" w:type="dxa"/>
              <w:bottom w:w="55" w:type="dxa"/>
              <w:right w:w="65" w:type="dxa"/>
            </w:tcMar>
            <w:vAlign w:val="center"/>
          </w:tcPr>
          <w:p w14:paraId="0797B560" w14:textId="77777777" w:rsidR="007868D8" w:rsidRPr="003F2BFF" w:rsidRDefault="00000000">
            <w:pPr>
              <w:pStyle w:val="Compact"/>
              <w:spacing w:before="0" w:after="0"/>
              <w:jc w:val="center"/>
            </w:pPr>
            <w:r w:rsidRPr="003F2BFF">
              <w:rPr>
                <w:rFonts w:ascii="Times New Roman" w:hAnsi="Times New Roman"/>
                <w:b/>
                <w:sz w:val="15"/>
              </w:rPr>
              <w:t>Evidence strength and limitations</w:t>
            </w:r>
          </w:p>
        </w:tc>
        <w:tc>
          <w:tcPr>
            <w:tcW w:w="1555" w:type="dxa"/>
            <w:shd w:val="clear" w:color="auto" w:fill="1F4E79"/>
            <w:tcMar>
              <w:top w:w="55" w:type="dxa"/>
              <w:left w:w="65" w:type="dxa"/>
              <w:bottom w:w="55" w:type="dxa"/>
              <w:right w:w="65" w:type="dxa"/>
            </w:tcMar>
            <w:vAlign w:val="center"/>
          </w:tcPr>
          <w:p w14:paraId="6215E270" w14:textId="77777777" w:rsidR="007868D8" w:rsidRPr="003F2BFF" w:rsidRDefault="00000000">
            <w:pPr>
              <w:pStyle w:val="Compact"/>
              <w:spacing w:before="0" w:after="0"/>
              <w:jc w:val="center"/>
            </w:pPr>
            <w:r w:rsidRPr="003F2BFF">
              <w:rPr>
                <w:rFonts w:ascii="Times New Roman" w:hAnsi="Times New Roman"/>
                <w:b/>
                <w:sz w:val="15"/>
              </w:rPr>
              <w:t>Control leverage</w:t>
            </w:r>
          </w:p>
        </w:tc>
        <w:tc>
          <w:tcPr>
            <w:tcW w:w="1872" w:type="dxa"/>
            <w:shd w:val="clear" w:color="auto" w:fill="1F4E79"/>
            <w:tcMar>
              <w:top w:w="55" w:type="dxa"/>
              <w:left w:w="65" w:type="dxa"/>
              <w:bottom w:w="55" w:type="dxa"/>
              <w:right w:w="65" w:type="dxa"/>
            </w:tcMar>
            <w:vAlign w:val="center"/>
          </w:tcPr>
          <w:p w14:paraId="7C9CD639"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3F2BFF" w14:paraId="0F2AE224" w14:textId="77777777" w:rsidTr="007868D8">
        <w:trPr>
          <w:jc w:val="center"/>
        </w:trPr>
        <w:tc>
          <w:tcPr>
            <w:tcW w:w="1325" w:type="dxa"/>
            <w:shd w:val="clear" w:color="auto" w:fill="FFFFFF"/>
            <w:tcMar>
              <w:top w:w="55" w:type="dxa"/>
              <w:left w:w="65" w:type="dxa"/>
              <w:bottom w:w="55" w:type="dxa"/>
              <w:right w:w="65" w:type="dxa"/>
            </w:tcMar>
            <w:vAlign w:val="center"/>
          </w:tcPr>
          <w:p w14:paraId="70251E71" w14:textId="77777777" w:rsidR="007868D8" w:rsidRPr="003F2BFF" w:rsidRDefault="00000000">
            <w:pPr>
              <w:pStyle w:val="Compact"/>
              <w:spacing w:before="0" w:after="30"/>
            </w:pPr>
            <w:r w:rsidRPr="003F2BFF">
              <w:rPr>
                <w:rFonts w:ascii="Times New Roman" w:hAnsi="Times New Roman"/>
                <w:sz w:val="15"/>
              </w:rPr>
              <w:t>Secondary fragmentation of mismanaged plastic</w:t>
            </w:r>
          </w:p>
        </w:tc>
        <w:tc>
          <w:tcPr>
            <w:tcW w:w="1685" w:type="dxa"/>
            <w:shd w:val="clear" w:color="auto" w:fill="FFFFFF"/>
            <w:tcMar>
              <w:top w:w="55" w:type="dxa"/>
              <w:left w:w="65" w:type="dxa"/>
              <w:bottom w:w="55" w:type="dxa"/>
              <w:right w:w="65" w:type="dxa"/>
            </w:tcMar>
            <w:vAlign w:val="center"/>
          </w:tcPr>
          <w:p w14:paraId="5B0DB7A8" w14:textId="77777777" w:rsidR="007868D8" w:rsidRPr="003F2BFF" w:rsidRDefault="00000000">
            <w:pPr>
              <w:pStyle w:val="Compact"/>
              <w:spacing w:before="0" w:after="30"/>
            </w:pPr>
            <w:r w:rsidRPr="003F2BFF">
              <w:rPr>
                <w:rFonts w:ascii="Times New Roman" w:hAnsi="Times New Roman"/>
                <w:sz w:val="15"/>
              </w:rPr>
              <w:t>Irregular fragments, films and foams; broad polymer and size distributions</w:t>
            </w:r>
          </w:p>
        </w:tc>
        <w:tc>
          <w:tcPr>
            <w:tcW w:w="1699" w:type="dxa"/>
            <w:shd w:val="clear" w:color="auto" w:fill="FFFFFF"/>
            <w:tcMar>
              <w:top w:w="55" w:type="dxa"/>
              <w:left w:w="65" w:type="dxa"/>
              <w:bottom w:w="55" w:type="dxa"/>
              <w:right w:w="65" w:type="dxa"/>
            </w:tcMar>
            <w:vAlign w:val="center"/>
          </w:tcPr>
          <w:p w14:paraId="384B835F" w14:textId="77777777" w:rsidR="007868D8" w:rsidRPr="003F2BFF" w:rsidRDefault="00000000">
            <w:pPr>
              <w:pStyle w:val="Compact"/>
              <w:spacing w:before="0" w:after="30"/>
            </w:pPr>
            <w:r w:rsidRPr="003F2BFF">
              <w:rPr>
                <w:rFonts w:ascii="Times New Roman" w:hAnsi="Times New Roman"/>
                <w:sz w:val="15"/>
              </w:rPr>
              <w:t>Terrestrial surfaces, rivers, coasts and open water; progressive weathering</w:t>
            </w:r>
          </w:p>
        </w:tc>
        <w:tc>
          <w:tcPr>
            <w:tcW w:w="2088" w:type="dxa"/>
            <w:shd w:val="clear" w:color="auto" w:fill="FFFFFF"/>
            <w:tcMar>
              <w:top w:w="55" w:type="dxa"/>
              <w:left w:w="65" w:type="dxa"/>
              <w:bottom w:w="55" w:type="dxa"/>
              <w:right w:w="65" w:type="dxa"/>
            </w:tcMar>
            <w:vAlign w:val="center"/>
          </w:tcPr>
          <w:p w14:paraId="43FB9719" w14:textId="77777777" w:rsidR="007868D8" w:rsidRPr="003F2BFF" w:rsidRDefault="00000000">
            <w:pPr>
              <w:pStyle w:val="Compact"/>
              <w:spacing w:before="0" w:after="30"/>
            </w:pPr>
            <w:r w:rsidRPr="003F2BFF">
              <w:rPr>
                <w:rFonts w:ascii="Times New Roman" w:hAnsi="Times New Roman"/>
                <w:sz w:val="15"/>
              </w:rPr>
              <w:t>Strong evidence for upstream plastic leakage; conversion rate to microplastics remains poorly constrained</w:t>
            </w:r>
          </w:p>
        </w:tc>
        <w:tc>
          <w:tcPr>
            <w:tcW w:w="1555" w:type="dxa"/>
            <w:shd w:val="clear" w:color="auto" w:fill="FFFFFF"/>
            <w:tcMar>
              <w:top w:w="55" w:type="dxa"/>
              <w:left w:w="65" w:type="dxa"/>
              <w:bottom w:w="55" w:type="dxa"/>
              <w:right w:w="65" w:type="dxa"/>
            </w:tcMar>
            <w:vAlign w:val="center"/>
          </w:tcPr>
          <w:p w14:paraId="25E06DC7" w14:textId="77777777" w:rsidR="007868D8" w:rsidRPr="003F2BFF" w:rsidRDefault="00000000">
            <w:pPr>
              <w:pStyle w:val="Compact"/>
              <w:spacing w:before="0" w:after="30"/>
            </w:pPr>
            <w:r w:rsidRPr="003F2BFF">
              <w:rPr>
                <w:rFonts w:ascii="Times New Roman" w:hAnsi="Times New Roman"/>
                <w:sz w:val="15"/>
              </w:rPr>
              <w:t>Waste prevention, collection, reuse and leakage control</w:t>
            </w:r>
          </w:p>
        </w:tc>
        <w:tc>
          <w:tcPr>
            <w:tcW w:w="1872" w:type="dxa"/>
            <w:shd w:val="clear" w:color="auto" w:fill="FFFFFF"/>
            <w:tcMar>
              <w:top w:w="55" w:type="dxa"/>
              <w:left w:w="65" w:type="dxa"/>
              <w:bottom w:w="55" w:type="dxa"/>
              <w:right w:w="65" w:type="dxa"/>
            </w:tcMar>
            <w:vAlign w:val="center"/>
          </w:tcPr>
          <w:p w14:paraId="2DE04103" w14:textId="77777777" w:rsidR="007868D8" w:rsidRPr="003F2BFF" w:rsidRDefault="00000000">
            <w:pPr>
              <w:pStyle w:val="Compact"/>
              <w:spacing w:before="0" w:after="30"/>
            </w:pPr>
            <w:r w:rsidRPr="003F2BFF">
              <w:rPr>
                <w:rFonts w:ascii="Times New Roman" w:hAnsi="Times New Roman"/>
                <w:sz w:val="15"/>
              </w:rPr>
              <w:t xml:space="preserve">(Geyer et al., 2017; </w:t>
            </w:r>
            <w:proofErr w:type="spellStart"/>
            <w:r w:rsidRPr="003F2BFF">
              <w:rPr>
                <w:rFonts w:ascii="Times New Roman" w:hAnsi="Times New Roman"/>
                <w:sz w:val="15"/>
              </w:rPr>
              <w:t>Jambeck</w:t>
            </w:r>
            <w:proofErr w:type="spellEnd"/>
            <w:r w:rsidRPr="003F2BFF">
              <w:rPr>
                <w:rFonts w:ascii="Times New Roman" w:hAnsi="Times New Roman"/>
                <w:sz w:val="15"/>
              </w:rPr>
              <w:t xml:space="preserve"> et al., 2015)</w:t>
            </w:r>
          </w:p>
        </w:tc>
      </w:tr>
      <w:tr w:rsidR="003F2BFF" w:rsidRPr="003F2BFF" w14:paraId="73E8674B" w14:textId="77777777" w:rsidTr="007868D8">
        <w:trPr>
          <w:jc w:val="center"/>
        </w:trPr>
        <w:tc>
          <w:tcPr>
            <w:tcW w:w="1325" w:type="dxa"/>
            <w:shd w:val="clear" w:color="auto" w:fill="FFFFFF"/>
            <w:tcMar>
              <w:top w:w="55" w:type="dxa"/>
              <w:left w:w="65" w:type="dxa"/>
              <w:bottom w:w="55" w:type="dxa"/>
              <w:right w:w="65" w:type="dxa"/>
            </w:tcMar>
            <w:vAlign w:val="center"/>
          </w:tcPr>
          <w:p w14:paraId="7B322E94" w14:textId="77777777" w:rsidR="007868D8" w:rsidRPr="003F2BFF" w:rsidRDefault="00000000">
            <w:pPr>
              <w:pStyle w:val="Compact"/>
              <w:spacing w:before="0" w:after="30"/>
            </w:pPr>
            <w:r w:rsidRPr="003F2BFF">
              <w:rPr>
                <w:rFonts w:ascii="Times New Roman" w:hAnsi="Times New Roman"/>
                <w:sz w:val="15"/>
              </w:rPr>
              <w:t>Municipal wastewater</w:t>
            </w:r>
          </w:p>
        </w:tc>
        <w:tc>
          <w:tcPr>
            <w:tcW w:w="1685" w:type="dxa"/>
            <w:shd w:val="clear" w:color="auto" w:fill="FFFFFF"/>
            <w:tcMar>
              <w:top w:w="55" w:type="dxa"/>
              <w:left w:w="65" w:type="dxa"/>
              <w:bottom w:w="55" w:type="dxa"/>
              <w:right w:w="65" w:type="dxa"/>
            </w:tcMar>
            <w:vAlign w:val="center"/>
          </w:tcPr>
          <w:p w14:paraId="4F31EA1D" w14:textId="77777777" w:rsidR="007868D8" w:rsidRPr="003F2BFF" w:rsidRDefault="00000000">
            <w:pPr>
              <w:pStyle w:val="Compact"/>
              <w:spacing w:before="0" w:after="30"/>
            </w:pPr>
            <w:proofErr w:type="spellStart"/>
            <w:r w:rsidRPr="003F2BFF">
              <w:rPr>
                <w:rFonts w:ascii="Times New Roman" w:hAnsi="Times New Roman"/>
                <w:sz w:val="15"/>
              </w:rPr>
              <w:t>Fibres</w:t>
            </w:r>
            <w:proofErr w:type="spellEnd"/>
            <w:r w:rsidRPr="003F2BFF">
              <w:rPr>
                <w:rFonts w:ascii="Times New Roman" w:hAnsi="Times New Roman"/>
                <w:sz w:val="15"/>
              </w:rPr>
              <w:t>, fragments, beads and small particles from households and urban activities</w:t>
            </w:r>
          </w:p>
        </w:tc>
        <w:tc>
          <w:tcPr>
            <w:tcW w:w="1699" w:type="dxa"/>
            <w:shd w:val="clear" w:color="auto" w:fill="FFFFFF"/>
            <w:tcMar>
              <w:top w:w="55" w:type="dxa"/>
              <w:left w:w="65" w:type="dxa"/>
              <w:bottom w:w="55" w:type="dxa"/>
              <w:right w:w="65" w:type="dxa"/>
            </w:tcMar>
            <w:vAlign w:val="center"/>
          </w:tcPr>
          <w:p w14:paraId="48EF283C" w14:textId="77777777" w:rsidR="007868D8" w:rsidRPr="003F2BFF" w:rsidRDefault="00000000">
            <w:pPr>
              <w:pStyle w:val="Compact"/>
              <w:spacing w:before="0" w:after="30"/>
            </w:pPr>
            <w:r w:rsidRPr="003F2BFF">
              <w:rPr>
                <w:rFonts w:ascii="Times New Roman" w:hAnsi="Times New Roman"/>
                <w:sz w:val="15"/>
              </w:rPr>
              <w:t>Treatment works and receiving waters; captured fraction transferred to sludge</w:t>
            </w:r>
          </w:p>
        </w:tc>
        <w:tc>
          <w:tcPr>
            <w:tcW w:w="2088" w:type="dxa"/>
            <w:shd w:val="clear" w:color="auto" w:fill="FFFFFF"/>
            <w:tcMar>
              <w:top w:w="55" w:type="dxa"/>
              <w:left w:w="65" w:type="dxa"/>
              <w:bottom w:w="55" w:type="dxa"/>
              <w:right w:w="65" w:type="dxa"/>
            </w:tcMar>
            <w:vAlign w:val="center"/>
          </w:tcPr>
          <w:p w14:paraId="19E76D80" w14:textId="77777777" w:rsidR="007868D8" w:rsidRPr="003F2BFF" w:rsidRDefault="00000000">
            <w:pPr>
              <w:pStyle w:val="Compact"/>
              <w:spacing w:before="0" w:after="30"/>
            </w:pPr>
            <w:r w:rsidRPr="003F2BFF">
              <w:rPr>
                <w:rFonts w:ascii="Times New Roman" w:hAnsi="Times New Roman"/>
                <w:sz w:val="15"/>
              </w:rPr>
              <w:t>Point pathway is well established; removal is plant- and size-dependent and does not equal zero flux</w:t>
            </w:r>
          </w:p>
        </w:tc>
        <w:tc>
          <w:tcPr>
            <w:tcW w:w="1555" w:type="dxa"/>
            <w:shd w:val="clear" w:color="auto" w:fill="FFFFFF"/>
            <w:tcMar>
              <w:top w:w="55" w:type="dxa"/>
              <w:left w:w="65" w:type="dxa"/>
              <w:bottom w:w="55" w:type="dxa"/>
              <w:right w:w="65" w:type="dxa"/>
            </w:tcMar>
            <w:vAlign w:val="center"/>
          </w:tcPr>
          <w:p w14:paraId="5E6089F6" w14:textId="77777777" w:rsidR="007868D8" w:rsidRPr="003F2BFF" w:rsidRDefault="00000000">
            <w:pPr>
              <w:pStyle w:val="Compact"/>
              <w:spacing w:before="0" w:after="30"/>
            </w:pPr>
            <w:r w:rsidRPr="003F2BFF">
              <w:rPr>
                <w:rFonts w:ascii="Times New Roman" w:hAnsi="Times New Roman"/>
                <w:sz w:val="15"/>
              </w:rPr>
              <w:t>Source reduction, tertiary capture and sludge management</w:t>
            </w:r>
          </w:p>
        </w:tc>
        <w:tc>
          <w:tcPr>
            <w:tcW w:w="1872" w:type="dxa"/>
            <w:shd w:val="clear" w:color="auto" w:fill="FFFFFF"/>
            <w:tcMar>
              <w:top w:w="55" w:type="dxa"/>
              <w:left w:w="65" w:type="dxa"/>
              <w:bottom w:w="55" w:type="dxa"/>
              <w:right w:w="65" w:type="dxa"/>
            </w:tcMar>
            <w:vAlign w:val="center"/>
          </w:tcPr>
          <w:p w14:paraId="389980A1" w14:textId="77777777" w:rsidR="007868D8" w:rsidRPr="003F2BFF" w:rsidRDefault="00000000">
            <w:pPr>
              <w:pStyle w:val="Compact"/>
              <w:spacing w:before="0" w:after="30"/>
            </w:pPr>
            <w:r w:rsidRPr="003F2BFF">
              <w:rPr>
                <w:rFonts w:ascii="Times New Roman" w:hAnsi="Times New Roman"/>
                <w:sz w:val="15"/>
              </w:rPr>
              <w:t>(Carr et al., 2016; Murphy et al., 2016)</w:t>
            </w:r>
          </w:p>
        </w:tc>
      </w:tr>
      <w:tr w:rsidR="003F2BFF" w:rsidRPr="003F2BFF" w14:paraId="44CD303C" w14:textId="77777777" w:rsidTr="007868D8">
        <w:trPr>
          <w:jc w:val="center"/>
        </w:trPr>
        <w:tc>
          <w:tcPr>
            <w:tcW w:w="1325" w:type="dxa"/>
            <w:shd w:val="clear" w:color="auto" w:fill="FFFFFF"/>
            <w:tcMar>
              <w:top w:w="55" w:type="dxa"/>
              <w:left w:w="65" w:type="dxa"/>
              <w:bottom w:w="55" w:type="dxa"/>
              <w:right w:w="65" w:type="dxa"/>
            </w:tcMar>
            <w:vAlign w:val="center"/>
          </w:tcPr>
          <w:p w14:paraId="35CF9B0A" w14:textId="77777777" w:rsidR="007868D8" w:rsidRPr="003F2BFF" w:rsidRDefault="00000000">
            <w:pPr>
              <w:pStyle w:val="Compact"/>
              <w:spacing w:before="0" w:after="30"/>
            </w:pPr>
            <w:r w:rsidRPr="003F2BFF">
              <w:rPr>
                <w:rFonts w:ascii="Times New Roman" w:hAnsi="Times New Roman"/>
                <w:sz w:val="15"/>
              </w:rPr>
              <w:t>Textile washing and wear</w:t>
            </w:r>
          </w:p>
        </w:tc>
        <w:tc>
          <w:tcPr>
            <w:tcW w:w="1685" w:type="dxa"/>
            <w:shd w:val="clear" w:color="auto" w:fill="FFFFFF"/>
            <w:tcMar>
              <w:top w:w="55" w:type="dxa"/>
              <w:left w:w="65" w:type="dxa"/>
              <w:bottom w:w="55" w:type="dxa"/>
              <w:right w:w="65" w:type="dxa"/>
            </w:tcMar>
            <w:vAlign w:val="center"/>
          </w:tcPr>
          <w:p w14:paraId="787B8C98" w14:textId="77777777" w:rsidR="007868D8" w:rsidRPr="003F2BFF" w:rsidRDefault="00000000">
            <w:pPr>
              <w:pStyle w:val="Compact"/>
              <w:spacing w:before="0" w:after="30"/>
            </w:pPr>
            <w:r w:rsidRPr="003F2BFF">
              <w:rPr>
                <w:rFonts w:ascii="Times New Roman" w:hAnsi="Times New Roman"/>
                <w:sz w:val="15"/>
              </w:rPr>
              <w:t xml:space="preserve">Predominantly synthetic </w:t>
            </w:r>
            <w:proofErr w:type="spellStart"/>
            <w:r w:rsidRPr="003F2BFF">
              <w:rPr>
                <w:rFonts w:ascii="Times New Roman" w:hAnsi="Times New Roman"/>
                <w:sz w:val="15"/>
              </w:rPr>
              <w:t>fibres</w:t>
            </w:r>
            <w:proofErr w:type="spellEnd"/>
            <w:r w:rsidRPr="003F2BFF">
              <w:rPr>
                <w:rFonts w:ascii="Times New Roman" w:hAnsi="Times New Roman"/>
                <w:sz w:val="15"/>
              </w:rPr>
              <w:t xml:space="preserve"> with variable length and polymer</w:t>
            </w:r>
          </w:p>
        </w:tc>
        <w:tc>
          <w:tcPr>
            <w:tcW w:w="1699" w:type="dxa"/>
            <w:shd w:val="clear" w:color="auto" w:fill="FFFFFF"/>
            <w:tcMar>
              <w:top w:w="55" w:type="dxa"/>
              <w:left w:w="65" w:type="dxa"/>
              <w:bottom w:w="55" w:type="dxa"/>
              <w:right w:w="65" w:type="dxa"/>
            </w:tcMar>
            <w:vAlign w:val="center"/>
          </w:tcPr>
          <w:p w14:paraId="36CDABBD" w14:textId="77777777" w:rsidR="007868D8" w:rsidRPr="003F2BFF" w:rsidRDefault="00000000">
            <w:pPr>
              <w:pStyle w:val="Compact"/>
              <w:spacing w:before="0" w:after="30"/>
            </w:pPr>
            <w:r w:rsidRPr="003F2BFF">
              <w:rPr>
                <w:rFonts w:ascii="Times New Roman" w:hAnsi="Times New Roman"/>
                <w:sz w:val="15"/>
              </w:rPr>
              <w:t>Sewers, wastewater, air and atmospheric deposition</w:t>
            </w:r>
          </w:p>
        </w:tc>
        <w:tc>
          <w:tcPr>
            <w:tcW w:w="2088" w:type="dxa"/>
            <w:shd w:val="clear" w:color="auto" w:fill="FFFFFF"/>
            <w:tcMar>
              <w:top w:w="55" w:type="dxa"/>
              <w:left w:w="65" w:type="dxa"/>
              <w:bottom w:w="55" w:type="dxa"/>
              <w:right w:w="65" w:type="dxa"/>
            </w:tcMar>
            <w:vAlign w:val="center"/>
          </w:tcPr>
          <w:p w14:paraId="0B4249B4" w14:textId="77777777" w:rsidR="007868D8" w:rsidRPr="003F2BFF" w:rsidRDefault="00000000">
            <w:pPr>
              <w:pStyle w:val="Compact"/>
              <w:spacing w:before="0" w:after="30"/>
            </w:pPr>
            <w:r w:rsidRPr="003F2BFF">
              <w:rPr>
                <w:rFonts w:ascii="Times New Roman" w:hAnsi="Times New Roman"/>
                <w:sz w:val="15"/>
              </w:rPr>
              <w:t>Controlled release is demonstrated; real-world emission varies by fabric and use</w:t>
            </w:r>
          </w:p>
        </w:tc>
        <w:tc>
          <w:tcPr>
            <w:tcW w:w="1555" w:type="dxa"/>
            <w:shd w:val="clear" w:color="auto" w:fill="FFFFFF"/>
            <w:tcMar>
              <w:top w:w="55" w:type="dxa"/>
              <w:left w:w="65" w:type="dxa"/>
              <w:bottom w:w="55" w:type="dxa"/>
              <w:right w:w="65" w:type="dxa"/>
            </w:tcMar>
            <w:vAlign w:val="center"/>
          </w:tcPr>
          <w:p w14:paraId="09124248" w14:textId="77777777" w:rsidR="007868D8" w:rsidRPr="003F2BFF" w:rsidRDefault="00000000">
            <w:pPr>
              <w:pStyle w:val="Compact"/>
              <w:spacing w:before="0" w:after="30"/>
            </w:pPr>
            <w:r w:rsidRPr="003F2BFF">
              <w:rPr>
                <w:rFonts w:ascii="Times New Roman" w:hAnsi="Times New Roman"/>
                <w:sz w:val="15"/>
              </w:rPr>
              <w:t>Textile design, laundering practices and near-source filtration</w:t>
            </w:r>
          </w:p>
        </w:tc>
        <w:tc>
          <w:tcPr>
            <w:tcW w:w="1872" w:type="dxa"/>
            <w:shd w:val="clear" w:color="auto" w:fill="FFFFFF"/>
            <w:tcMar>
              <w:top w:w="55" w:type="dxa"/>
              <w:left w:w="65" w:type="dxa"/>
              <w:bottom w:w="55" w:type="dxa"/>
              <w:right w:w="65" w:type="dxa"/>
            </w:tcMar>
            <w:vAlign w:val="center"/>
          </w:tcPr>
          <w:p w14:paraId="1C856700" w14:textId="77777777" w:rsidR="007868D8" w:rsidRPr="003F2BFF" w:rsidRDefault="00000000">
            <w:pPr>
              <w:pStyle w:val="Compact"/>
              <w:spacing w:before="0" w:after="30"/>
            </w:pPr>
            <w:r w:rsidRPr="003F2BFF">
              <w:rPr>
                <w:rFonts w:ascii="Times New Roman" w:hAnsi="Times New Roman"/>
                <w:sz w:val="15"/>
              </w:rPr>
              <w:t>(Pirc et al., 2016)</w:t>
            </w:r>
          </w:p>
        </w:tc>
      </w:tr>
      <w:tr w:rsidR="003F2BFF" w:rsidRPr="003F2BFF" w14:paraId="77C3B375" w14:textId="77777777" w:rsidTr="007868D8">
        <w:trPr>
          <w:jc w:val="center"/>
        </w:trPr>
        <w:tc>
          <w:tcPr>
            <w:tcW w:w="1325" w:type="dxa"/>
            <w:shd w:val="clear" w:color="auto" w:fill="FFFFFF"/>
            <w:tcMar>
              <w:top w:w="55" w:type="dxa"/>
              <w:left w:w="65" w:type="dxa"/>
              <w:bottom w:w="55" w:type="dxa"/>
              <w:right w:w="65" w:type="dxa"/>
            </w:tcMar>
            <w:vAlign w:val="center"/>
          </w:tcPr>
          <w:p w14:paraId="0EC04158" w14:textId="77777777" w:rsidR="007868D8" w:rsidRPr="003F2BFF" w:rsidRDefault="00000000">
            <w:pPr>
              <w:pStyle w:val="Compact"/>
              <w:spacing w:before="0" w:after="30"/>
            </w:pPr>
            <w:proofErr w:type="spellStart"/>
            <w:r w:rsidRPr="003F2BFF">
              <w:rPr>
                <w:rFonts w:ascii="Times New Roman" w:hAnsi="Times New Roman"/>
                <w:sz w:val="15"/>
              </w:rPr>
              <w:t>Tyre</w:t>
            </w:r>
            <w:proofErr w:type="spellEnd"/>
            <w:r w:rsidRPr="003F2BFF">
              <w:rPr>
                <w:rFonts w:ascii="Times New Roman" w:hAnsi="Times New Roman"/>
                <w:sz w:val="15"/>
              </w:rPr>
              <w:t xml:space="preserve"> and road wear</w:t>
            </w:r>
          </w:p>
        </w:tc>
        <w:tc>
          <w:tcPr>
            <w:tcW w:w="1685" w:type="dxa"/>
            <w:shd w:val="clear" w:color="auto" w:fill="FFFFFF"/>
            <w:tcMar>
              <w:top w:w="55" w:type="dxa"/>
              <w:left w:w="65" w:type="dxa"/>
              <w:bottom w:w="55" w:type="dxa"/>
              <w:right w:w="65" w:type="dxa"/>
            </w:tcMar>
            <w:vAlign w:val="center"/>
          </w:tcPr>
          <w:p w14:paraId="009794C1" w14:textId="77777777" w:rsidR="007868D8" w:rsidRPr="003F2BFF" w:rsidRDefault="00000000">
            <w:pPr>
              <w:pStyle w:val="Compact"/>
              <w:spacing w:before="0" w:after="30"/>
            </w:pPr>
            <w:r w:rsidRPr="003F2BFF">
              <w:rPr>
                <w:rFonts w:ascii="Times New Roman" w:hAnsi="Times New Roman"/>
                <w:sz w:val="15"/>
              </w:rPr>
              <w:t>Rubber/polymer-rich irregular particles with fillers and additives</w:t>
            </w:r>
          </w:p>
        </w:tc>
        <w:tc>
          <w:tcPr>
            <w:tcW w:w="1699" w:type="dxa"/>
            <w:shd w:val="clear" w:color="auto" w:fill="FFFFFF"/>
            <w:tcMar>
              <w:top w:w="55" w:type="dxa"/>
              <w:left w:w="65" w:type="dxa"/>
              <w:bottom w:w="55" w:type="dxa"/>
              <w:right w:w="65" w:type="dxa"/>
            </w:tcMar>
            <w:vAlign w:val="center"/>
          </w:tcPr>
          <w:p w14:paraId="5232640A" w14:textId="77777777" w:rsidR="007868D8" w:rsidRPr="003F2BFF" w:rsidRDefault="00000000">
            <w:pPr>
              <w:pStyle w:val="Compact"/>
              <w:spacing w:before="0" w:after="30"/>
            </w:pPr>
            <w:r w:rsidRPr="003F2BFF">
              <w:rPr>
                <w:rFonts w:ascii="Times New Roman" w:hAnsi="Times New Roman"/>
                <w:sz w:val="15"/>
              </w:rPr>
              <w:t>Road dust, stormwater, drainage, air and receiving waters</w:t>
            </w:r>
          </w:p>
        </w:tc>
        <w:tc>
          <w:tcPr>
            <w:tcW w:w="2088" w:type="dxa"/>
            <w:shd w:val="clear" w:color="auto" w:fill="FFFFFF"/>
            <w:tcMar>
              <w:top w:w="55" w:type="dxa"/>
              <w:left w:w="65" w:type="dxa"/>
              <w:bottom w:w="55" w:type="dxa"/>
              <w:right w:w="65" w:type="dxa"/>
            </w:tcMar>
            <w:vAlign w:val="center"/>
          </w:tcPr>
          <w:p w14:paraId="7234A8C0" w14:textId="77777777" w:rsidR="007868D8" w:rsidRPr="003F2BFF" w:rsidRDefault="00000000">
            <w:pPr>
              <w:pStyle w:val="Compact"/>
              <w:spacing w:before="0" w:after="30"/>
            </w:pPr>
            <w:r w:rsidRPr="003F2BFF">
              <w:rPr>
                <w:rFonts w:ascii="Times New Roman" w:hAnsi="Times New Roman"/>
                <w:sz w:val="15"/>
              </w:rPr>
              <w:t>Potentially important diffuse source; emission factors and analytical identification remain uncertain</w:t>
            </w:r>
          </w:p>
        </w:tc>
        <w:tc>
          <w:tcPr>
            <w:tcW w:w="1555" w:type="dxa"/>
            <w:shd w:val="clear" w:color="auto" w:fill="FFFFFF"/>
            <w:tcMar>
              <w:top w:w="55" w:type="dxa"/>
              <w:left w:w="65" w:type="dxa"/>
              <w:bottom w:w="55" w:type="dxa"/>
              <w:right w:w="65" w:type="dxa"/>
            </w:tcMar>
            <w:vAlign w:val="center"/>
          </w:tcPr>
          <w:p w14:paraId="693AC03D" w14:textId="77777777" w:rsidR="007868D8" w:rsidRPr="003F2BFF" w:rsidRDefault="00000000">
            <w:pPr>
              <w:pStyle w:val="Compact"/>
              <w:spacing w:before="0" w:after="30"/>
            </w:pPr>
            <w:proofErr w:type="spellStart"/>
            <w:r w:rsidRPr="003F2BFF">
              <w:rPr>
                <w:rFonts w:ascii="Times New Roman" w:hAnsi="Times New Roman"/>
                <w:sz w:val="15"/>
              </w:rPr>
              <w:t>Tyre</w:t>
            </w:r>
            <w:proofErr w:type="spellEnd"/>
            <w:r w:rsidRPr="003F2BFF">
              <w:rPr>
                <w:rFonts w:ascii="Times New Roman" w:hAnsi="Times New Roman"/>
                <w:sz w:val="15"/>
              </w:rPr>
              <w:t xml:space="preserve"> design, transport policy and runoff treatment</w:t>
            </w:r>
          </w:p>
        </w:tc>
        <w:tc>
          <w:tcPr>
            <w:tcW w:w="1872" w:type="dxa"/>
            <w:shd w:val="clear" w:color="auto" w:fill="FFFFFF"/>
            <w:tcMar>
              <w:top w:w="55" w:type="dxa"/>
              <w:left w:w="65" w:type="dxa"/>
              <w:bottom w:w="55" w:type="dxa"/>
              <w:right w:w="65" w:type="dxa"/>
            </w:tcMar>
            <w:vAlign w:val="center"/>
          </w:tcPr>
          <w:p w14:paraId="0DEDD2FC" w14:textId="77777777" w:rsidR="007868D8" w:rsidRPr="003F2BFF" w:rsidRDefault="00000000">
            <w:pPr>
              <w:pStyle w:val="Compact"/>
              <w:spacing w:before="0" w:after="30"/>
            </w:pPr>
            <w:r w:rsidRPr="003F2BFF">
              <w:rPr>
                <w:rFonts w:ascii="Times New Roman" w:hAnsi="Times New Roman"/>
                <w:sz w:val="15"/>
              </w:rPr>
              <w:t>(Kole et al., 2017)</w:t>
            </w:r>
          </w:p>
        </w:tc>
      </w:tr>
      <w:tr w:rsidR="003F2BFF" w:rsidRPr="003F2BFF" w14:paraId="44E0DCB9" w14:textId="77777777" w:rsidTr="007868D8">
        <w:trPr>
          <w:jc w:val="center"/>
        </w:trPr>
        <w:tc>
          <w:tcPr>
            <w:tcW w:w="1325" w:type="dxa"/>
            <w:shd w:val="clear" w:color="auto" w:fill="FFFFFF"/>
            <w:tcMar>
              <w:top w:w="55" w:type="dxa"/>
              <w:left w:w="65" w:type="dxa"/>
              <w:bottom w:w="55" w:type="dxa"/>
              <w:right w:w="65" w:type="dxa"/>
            </w:tcMar>
            <w:vAlign w:val="center"/>
          </w:tcPr>
          <w:p w14:paraId="29C88C43" w14:textId="77777777" w:rsidR="007868D8" w:rsidRPr="003F2BFF" w:rsidRDefault="00000000">
            <w:pPr>
              <w:pStyle w:val="Compact"/>
              <w:spacing w:before="0" w:after="30"/>
            </w:pPr>
            <w:r w:rsidRPr="003F2BFF">
              <w:rPr>
                <w:rFonts w:ascii="Times New Roman" w:hAnsi="Times New Roman"/>
                <w:sz w:val="15"/>
              </w:rPr>
              <w:t>Atmospheric deposition</w:t>
            </w:r>
          </w:p>
        </w:tc>
        <w:tc>
          <w:tcPr>
            <w:tcW w:w="1685" w:type="dxa"/>
            <w:shd w:val="clear" w:color="auto" w:fill="FFFFFF"/>
            <w:tcMar>
              <w:top w:w="55" w:type="dxa"/>
              <w:left w:w="65" w:type="dxa"/>
              <w:bottom w:w="55" w:type="dxa"/>
              <w:right w:w="65" w:type="dxa"/>
            </w:tcMar>
            <w:vAlign w:val="center"/>
          </w:tcPr>
          <w:p w14:paraId="0DB9AA74" w14:textId="77777777" w:rsidR="007868D8" w:rsidRPr="003F2BFF" w:rsidRDefault="00000000">
            <w:pPr>
              <w:pStyle w:val="Compact"/>
              <w:spacing w:before="0" w:after="30"/>
            </w:pPr>
            <w:proofErr w:type="spellStart"/>
            <w:r w:rsidRPr="003F2BFF">
              <w:rPr>
                <w:rFonts w:ascii="Times New Roman" w:hAnsi="Times New Roman"/>
                <w:sz w:val="15"/>
              </w:rPr>
              <w:t>Fibres</w:t>
            </w:r>
            <w:proofErr w:type="spellEnd"/>
            <w:r w:rsidRPr="003F2BFF">
              <w:rPr>
                <w:rFonts w:ascii="Times New Roman" w:hAnsi="Times New Roman"/>
                <w:sz w:val="15"/>
              </w:rPr>
              <w:t xml:space="preserve"> and small fragments capable of regional or long-range transport</w:t>
            </w:r>
          </w:p>
        </w:tc>
        <w:tc>
          <w:tcPr>
            <w:tcW w:w="1699" w:type="dxa"/>
            <w:shd w:val="clear" w:color="auto" w:fill="FFFFFF"/>
            <w:tcMar>
              <w:top w:w="55" w:type="dxa"/>
              <w:left w:w="65" w:type="dxa"/>
              <w:bottom w:w="55" w:type="dxa"/>
              <w:right w:w="65" w:type="dxa"/>
            </w:tcMar>
            <w:vAlign w:val="center"/>
          </w:tcPr>
          <w:p w14:paraId="26CCDBE4" w14:textId="77777777" w:rsidR="007868D8" w:rsidRPr="003F2BFF" w:rsidRDefault="00000000">
            <w:pPr>
              <w:pStyle w:val="Compact"/>
              <w:spacing w:before="0" w:after="30"/>
            </w:pPr>
            <w:r w:rsidRPr="003F2BFF">
              <w:rPr>
                <w:rFonts w:ascii="Times New Roman" w:hAnsi="Times New Roman"/>
                <w:sz w:val="15"/>
              </w:rPr>
              <w:t>Direct deposition to surface waters and remote catchments</w:t>
            </w:r>
          </w:p>
        </w:tc>
        <w:tc>
          <w:tcPr>
            <w:tcW w:w="2088" w:type="dxa"/>
            <w:shd w:val="clear" w:color="auto" w:fill="FFFFFF"/>
            <w:tcMar>
              <w:top w:w="55" w:type="dxa"/>
              <w:left w:w="65" w:type="dxa"/>
              <w:bottom w:w="55" w:type="dxa"/>
              <w:right w:w="65" w:type="dxa"/>
            </w:tcMar>
            <w:vAlign w:val="center"/>
          </w:tcPr>
          <w:p w14:paraId="1C1C72B4" w14:textId="77777777" w:rsidR="007868D8" w:rsidRPr="003F2BFF" w:rsidRDefault="00000000">
            <w:pPr>
              <w:pStyle w:val="Compact"/>
              <w:spacing w:before="0" w:after="30"/>
            </w:pPr>
            <w:r w:rsidRPr="003F2BFF">
              <w:rPr>
                <w:rFonts w:ascii="Times New Roman" w:hAnsi="Times New Roman"/>
                <w:sz w:val="15"/>
              </w:rPr>
              <w:t>Remote deposition is established; flux estimates depend on collection and size detection</w:t>
            </w:r>
          </w:p>
        </w:tc>
        <w:tc>
          <w:tcPr>
            <w:tcW w:w="1555" w:type="dxa"/>
            <w:shd w:val="clear" w:color="auto" w:fill="FFFFFF"/>
            <w:tcMar>
              <w:top w:w="55" w:type="dxa"/>
              <w:left w:w="65" w:type="dxa"/>
              <w:bottom w:w="55" w:type="dxa"/>
              <w:right w:w="65" w:type="dxa"/>
            </w:tcMar>
            <w:vAlign w:val="center"/>
          </w:tcPr>
          <w:p w14:paraId="0A6911B3" w14:textId="77777777" w:rsidR="007868D8" w:rsidRPr="003F2BFF" w:rsidRDefault="00000000">
            <w:pPr>
              <w:pStyle w:val="Compact"/>
              <w:spacing w:before="0" w:after="30"/>
            </w:pPr>
            <w:r w:rsidRPr="003F2BFF">
              <w:rPr>
                <w:rFonts w:ascii="Times New Roman" w:hAnsi="Times New Roman"/>
                <w:sz w:val="15"/>
              </w:rPr>
              <w:t>Airborne-emission reduction and cross-media monitoring</w:t>
            </w:r>
          </w:p>
        </w:tc>
        <w:tc>
          <w:tcPr>
            <w:tcW w:w="1872" w:type="dxa"/>
            <w:shd w:val="clear" w:color="auto" w:fill="FFFFFF"/>
            <w:tcMar>
              <w:top w:w="55" w:type="dxa"/>
              <w:left w:w="65" w:type="dxa"/>
              <w:bottom w:w="55" w:type="dxa"/>
              <w:right w:w="65" w:type="dxa"/>
            </w:tcMar>
            <w:vAlign w:val="center"/>
          </w:tcPr>
          <w:p w14:paraId="7BD8BD3E" w14:textId="77777777" w:rsidR="007868D8" w:rsidRPr="003F2BFF" w:rsidRDefault="00000000">
            <w:pPr>
              <w:pStyle w:val="Compact"/>
              <w:spacing w:before="0" w:after="30"/>
            </w:pPr>
            <w:r w:rsidRPr="003F2BFF">
              <w:rPr>
                <w:rFonts w:ascii="Times New Roman" w:hAnsi="Times New Roman"/>
                <w:sz w:val="15"/>
              </w:rPr>
              <w:t xml:space="preserve">(Allen et al., 2019; </w:t>
            </w:r>
            <w:proofErr w:type="spellStart"/>
            <w:r w:rsidRPr="003F2BFF">
              <w:rPr>
                <w:rFonts w:ascii="Times New Roman" w:hAnsi="Times New Roman"/>
                <w:sz w:val="15"/>
              </w:rPr>
              <w:t>Evangeliou</w:t>
            </w:r>
            <w:proofErr w:type="spellEnd"/>
            <w:r w:rsidRPr="003F2BFF">
              <w:rPr>
                <w:rFonts w:ascii="Times New Roman" w:hAnsi="Times New Roman"/>
                <w:sz w:val="15"/>
              </w:rPr>
              <w:t xml:space="preserve"> et al., 2020)</w:t>
            </w:r>
          </w:p>
        </w:tc>
      </w:tr>
      <w:tr w:rsidR="003F2BFF" w:rsidRPr="003F2BFF" w14:paraId="076A214C" w14:textId="77777777" w:rsidTr="007868D8">
        <w:trPr>
          <w:jc w:val="center"/>
        </w:trPr>
        <w:tc>
          <w:tcPr>
            <w:tcW w:w="1325" w:type="dxa"/>
            <w:shd w:val="clear" w:color="auto" w:fill="FFFFFF"/>
            <w:tcMar>
              <w:top w:w="55" w:type="dxa"/>
              <w:left w:w="65" w:type="dxa"/>
              <w:bottom w:w="55" w:type="dxa"/>
              <w:right w:w="65" w:type="dxa"/>
            </w:tcMar>
            <w:vAlign w:val="center"/>
          </w:tcPr>
          <w:p w14:paraId="01807FF3" w14:textId="77777777" w:rsidR="007868D8" w:rsidRPr="003F2BFF" w:rsidRDefault="00000000">
            <w:pPr>
              <w:pStyle w:val="Compact"/>
              <w:spacing w:before="0" w:after="30"/>
            </w:pPr>
            <w:r w:rsidRPr="003F2BFF">
              <w:rPr>
                <w:rFonts w:ascii="Times New Roman" w:hAnsi="Times New Roman"/>
                <w:sz w:val="15"/>
              </w:rPr>
              <w:lastRenderedPageBreak/>
              <w:t>Riverine export</w:t>
            </w:r>
          </w:p>
        </w:tc>
        <w:tc>
          <w:tcPr>
            <w:tcW w:w="1685" w:type="dxa"/>
            <w:shd w:val="clear" w:color="auto" w:fill="FFFFFF"/>
            <w:tcMar>
              <w:top w:w="55" w:type="dxa"/>
              <w:left w:w="65" w:type="dxa"/>
              <w:bottom w:w="55" w:type="dxa"/>
              <w:right w:w="65" w:type="dxa"/>
            </w:tcMar>
            <w:vAlign w:val="center"/>
          </w:tcPr>
          <w:p w14:paraId="39B93F7B" w14:textId="77777777" w:rsidR="007868D8" w:rsidRPr="003F2BFF" w:rsidRDefault="00000000">
            <w:pPr>
              <w:pStyle w:val="Compact"/>
              <w:spacing w:before="0" w:after="30"/>
            </w:pPr>
            <w:r w:rsidRPr="003F2BFF">
              <w:rPr>
                <w:rFonts w:ascii="Times New Roman" w:hAnsi="Times New Roman"/>
                <w:sz w:val="15"/>
              </w:rPr>
              <w:t>Mixed particles and larger debris from catchment leakage</w:t>
            </w:r>
          </w:p>
        </w:tc>
        <w:tc>
          <w:tcPr>
            <w:tcW w:w="1699" w:type="dxa"/>
            <w:shd w:val="clear" w:color="auto" w:fill="FFFFFF"/>
            <w:tcMar>
              <w:top w:w="55" w:type="dxa"/>
              <w:left w:w="65" w:type="dxa"/>
              <w:bottom w:w="55" w:type="dxa"/>
              <w:right w:w="65" w:type="dxa"/>
            </w:tcMar>
            <w:vAlign w:val="center"/>
          </w:tcPr>
          <w:p w14:paraId="12C51FFD" w14:textId="77777777" w:rsidR="007868D8" w:rsidRPr="003F2BFF" w:rsidRDefault="00000000">
            <w:pPr>
              <w:pStyle w:val="Compact"/>
              <w:spacing w:before="0" w:after="30"/>
            </w:pPr>
            <w:r w:rsidRPr="003F2BFF">
              <w:rPr>
                <w:rFonts w:ascii="Times New Roman" w:hAnsi="Times New Roman"/>
                <w:sz w:val="15"/>
              </w:rPr>
              <w:t>Rivers, estuaries and coastal seas; event-driven export</w:t>
            </w:r>
          </w:p>
        </w:tc>
        <w:tc>
          <w:tcPr>
            <w:tcW w:w="2088" w:type="dxa"/>
            <w:shd w:val="clear" w:color="auto" w:fill="FFFFFF"/>
            <w:tcMar>
              <w:top w:w="55" w:type="dxa"/>
              <w:left w:w="65" w:type="dxa"/>
              <w:bottom w:w="55" w:type="dxa"/>
              <w:right w:w="65" w:type="dxa"/>
            </w:tcMar>
            <w:vAlign w:val="center"/>
          </w:tcPr>
          <w:p w14:paraId="2F68E4BC" w14:textId="77777777" w:rsidR="007868D8" w:rsidRPr="003F2BFF" w:rsidRDefault="00000000">
            <w:pPr>
              <w:pStyle w:val="Compact"/>
              <w:spacing w:before="0" w:after="30"/>
            </w:pPr>
            <w:r w:rsidRPr="003F2BFF">
              <w:rPr>
                <w:rFonts w:ascii="Times New Roman" w:hAnsi="Times New Roman"/>
                <w:sz w:val="15"/>
              </w:rPr>
              <w:t>Hydrological connectivity is established; many global models quantify total plastic rather than microplastics specifically</w:t>
            </w:r>
          </w:p>
        </w:tc>
        <w:tc>
          <w:tcPr>
            <w:tcW w:w="1555" w:type="dxa"/>
            <w:shd w:val="clear" w:color="auto" w:fill="FFFFFF"/>
            <w:tcMar>
              <w:top w:w="55" w:type="dxa"/>
              <w:left w:w="65" w:type="dxa"/>
              <w:bottom w:w="55" w:type="dxa"/>
              <w:right w:w="65" w:type="dxa"/>
            </w:tcMar>
            <w:vAlign w:val="center"/>
          </w:tcPr>
          <w:p w14:paraId="661BC022" w14:textId="77777777" w:rsidR="007868D8" w:rsidRPr="003F2BFF" w:rsidRDefault="00000000">
            <w:pPr>
              <w:pStyle w:val="Compact"/>
              <w:spacing w:before="0" w:after="30"/>
            </w:pPr>
            <w:r w:rsidRPr="003F2BFF">
              <w:rPr>
                <w:rFonts w:ascii="Times New Roman" w:hAnsi="Times New Roman"/>
                <w:sz w:val="15"/>
              </w:rPr>
              <w:t>Catchment waste control, hotspot interception and stormwater management</w:t>
            </w:r>
          </w:p>
        </w:tc>
        <w:tc>
          <w:tcPr>
            <w:tcW w:w="1872" w:type="dxa"/>
            <w:shd w:val="clear" w:color="auto" w:fill="FFFFFF"/>
            <w:tcMar>
              <w:top w:w="55" w:type="dxa"/>
              <w:left w:w="65" w:type="dxa"/>
              <w:bottom w:w="55" w:type="dxa"/>
              <w:right w:w="65" w:type="dxa"/>
            </w:tcMar>
            <w:vAlign w:val="center"/>
          </w:tcPr>
          <w:p w14:paraId="51A6CF43" w14:textId="77777777" w:rsidR="007868D8" w:rsidRPr="003F2BFF" w:rsidRDefault="00000000">
            <w:pPr>
              <w:pStyle w:val="Compact"/>
              <w:spacing w:before="0" w:after="30"/>
            </w:pPr>
            <w:r w:rsidRPr="003F2BFF">
              <w:rPr>
                <w:rFonts w:ascii="Times New Roman" w:hAnsi="Times New Roman"/>
                <w:sz w:val="15"/>
              </w:rPr>
              <w:t>(Lebreton et al., 2017; Meijer et al., 2021; Schmidt et al., 2017)</w:t>
            </w:r>
          </w:p>
        </w:tc>
      </w:tr>
      <w:tr w:rsidR="003F2BFF" w:rsidRPr="003F2BFF" w14:paraId="3D0F76CC" w14:textId="77777777" w:rsidTr="007868D8">
        <w:trPr>
          <w:jc w:val="center"/>
        </w:trPr>
        <w:tc>
          <w:tcPr>
            <w:tcW w:w="1325" w:type="dxa"/>
            <w:shd w:val="clear" w:color="auto" w:fill="FFFFFF"/>
            <w:tcMar>
              <w:top w:w="55" w:type="dxa"/>
              <w:left w:w="65" w:type="dxa"/>
              <w:bottom w:w="55" w:type="dxa"/>
              <w:right w:w="65" w:type="dxa"/>
            </w:tcMar>
            <w:vAlign w:val="center"/>
          </w:tcPr>
          <w:p w14:paraId="0D8C1FED" w14:textId="77777777" w:rsidR="007868D8" w:rsidRPr="003F2BFF" w:rsidRDefault="00000000">
            <w:pPr>
              <w:pStyle w:val="Compact"/>
              <w:spacing w:before="0" w:after="30"/>
            </w:pPr>
            <w:r w:rsidRPr="003F2BFF">
              <w:rPr>
                <w:rFonts w:ascii="Times New Roman" w:hAnsi="Times New Roman"/>
                <w:sz w:val="15"/>
              </w:rPr>
              <w:t>Shipping, fishing and aquaculture</w:t>
            </w:r>
          </w:p>
        </w:tc>
        <w:tc>
          <w:tcPr>
            <w:tcW w:w="1685" w:type="dxa"/>
            <w:shd w:val="clear" w:color="auto" w:fill="FFFFFF"/>
            <w:tcMar>
              <w:top w:w="55" w:type="dxa"/>
              <w:left w:w="65" w:type="dxa"/>
              <w:bottom w:w="55" w:type="dxa"/>
              <w:right w:w="65" w:type="dxa"/>
            </w:tcMar>
            <w:vAlign w:val="center"/>
          </w:tcPr>
          <w:p w14:paraId="53B18D3B" w14:textId="77777777" w:rsidR="007868D8" w:rsidRPr="003F2BFF" w:rsidRDefault="00000000">
            <w:pPr>
              <w:pStyle w:val="Compact"/>
              <w:spacing w:before="0" w:after="30"/>
            </w:pPr>
            <w:r w:rsidRPr="003F2BFF">
              <w:rPr>
                <w:rFonts w:ascii="Times New Roman" w:hAnsi="Times New Roman"/>
                <w:sz w:val="15"/>
              </w:rPr>
              <w:t>Rope/</w:t>
            </w:r>
            <w:proofErr w:type="spellStart"/>
            <w:r w:rsidRPr="003F2BFF">
              <w:rPr>
                <w:rFonts w:ascii="Times New Roman" w:hAnsi="Times New Roman"/>
                <w:sz w:val="15"/>
              </w:rPr>
              <w:t>fibre</w:t>
            </w:r>
            <w:proofErr w:type="spellEnd"/>
            <w:r w:rsidRPr="003F2BFF">
              <w:rPr>
                <w:rFonts w:ascii="Times New Roman" w:hAnsi="Times New Roman"/>
                <w:sz w:val="15"/>
              </w:rPr>
              <w:t xml:space="preserve"> fragments, coatings and gear-derived plastics</w:t>
            </w:r>
          </w:p>
        </w:tc>
        <w:tc>
          <w:tcPr>
            <w:tcW w:w="1699" w:type="dxa"/>
            <w:shd w:val="clear" w:color="auto" w:fill="FFFFFF"/>
            <w:tcMar>
              <w:top w:w="55" w:type="dxa"/>
              <w:left w:w="65" w:type="dxa"/>
              <w:bottom w:w="55" w:type="dxa"/>
              <w:right w:w="65" w:type="dxa"/>
            </w:tcMar>
            <w:vAlign w:val="center"/>
          </w:tcPr>
          <w:p w14:paraId="5D83EADF" w14:textId="77777777" w:rsidR="007868D8" w:rsidRPr="003F2BFF" w:rsidRDefault="00000000">
            <w:pPr>
              <w:pStyle w:val="Compact"/>
              <w:spacing w:before="0" w:after="30"/>
            </w:pPr>
            <w:r w:rsidRPr="003F2BFF">
              <w:rPr>
                <w:rFonts w:ascii="Times New Roman" w:hAnsi="Times New Roman"/>
                <w:sz w:val="15"/>
              </w:rPr>
              <w:t>Coastal and offshore marine waters and sediments</w:t>
            </w:r>
          </w:p>
        </w:tc>
        <w:tc>
          <w:tcPr>
            <w:tcW w:w="2088" w:type="dxa"/>
            <w:shd w:val="clear" w:color="auto" w:fill="FFFFFF"/>
            <w:tcMar>
              <w:top w:w="55" w:type="dxa"/>
              <w:left w:w="65" w:type="dxa"/>
              <w:bottom w:w="55" w:type="dxa"/>
              <w:right w:w="65" w:type="dxa"/>
            </w:tcMar>
            <w:vAlign w:val="center"/>
          </w:tcPr>
          <w:p w14:paraId="28D65012" w14:textId="77777777" w:rsidR="007868D8" w:rsidRPr="003F2BFF" w:rsidRDefault="00000000">
            <w:pPr>
              <w:pStyle w:val="Compact"/>
              <w:spacing w:before="0" w:after="30"/>
            </w:pPr>
            <w:r w:rsidRPr="003F2BFF">
              <w:rPr>
                <w:rFonts w:ascii="Times New Roman" w:hAnsi="Times New Roman"/>
                <w:sz w:val="15"/>
              </w:rPr>
              <w:t>Direct source is credible but contribution is highly regional and source attribution degrades with weathering</w:t>
            </w:r>
          </w:p>
        </w:tc>
        <w:tc>
          <w:tcPr>
            <w:tcW w:w="1555" w:type="dxa"/>
            <w:shd w:val="clear" w:color="auto" w:fill="FFFFFF"/>
            <w:tcMar>
              <w:top w:w="55" w:type="dxa"/>
              <w:left w:w="65" w:type="dxa"/>
              <w:bottom w:w="55" w:type="dxa"/>
              <w:right w:w="65" w:type="dxa"/>
            </w:tcMar>
            <w:vAlign w:val="center"/>
          </w:tcPr>
          <w:p w14:paraId="40CA7AF6" w14:textId="77777777" w:rsidR="007868D8" w:rsidRPr="003F2BFF" w:rsidRDefault="00000000">
            <w:pPr>
              <w:pStyle w:val="Compact"/>
              <w:spacing w:before="0" w:after="30"/>
            </w:pPr>
            <w:r w:rsidRPr="003F2BFF">
              <w:rPr>
                <w:rFonts w:ascii="Times New Roman" w:hAnsi="Times New Roman"/>
                <w:sz w:val="15"/>
              </w:rPr>
              <w:t>Gear management, loss prevention, retrieval and port controls</w:t>
            </w:r>
          </w:p>
        </w:tc>
        <w:tc>
          <w:tcPr>
            <w:tcW w:w="1872" w:type="dxa"/>
            <w:shd w:val="clear" w:color="auto" w:fill="FFFFFF"/>
            <w:tcMar>
              <w:top w:w="55" w:type="dxa"/>
              <w:left w:w="65" w:type="dxa"/>
              <w:bottom w:w="55" w:type="dxa"/>
              <w:right w:w="65" w:type="dxa"/>
            </w:tcMar>
            <w:vAlign w:val="center"/>
          </w:tcPr>
          <w:p w14:paraId="32DC0097" w14:textId="77777777" w:rsidR="007868D8" w:rsidRPr="003F2BFF" w:rsidRDefault="00000000">
            <w:pPr>
              <w:pStyle w:val="Compact"/>
              <w:spacing w:before="0" w:after="30"/>
            </w:pPr>
            <w:r w:rsidRPr="003F2BFF">
              <w:rPr>
                <w:rFonts w:ascii="Times New Roman" w:hAnsi="Times New Roman"/>
                <w:sz w:val="15"/>
              </w:rPr>
              <w:t>(Li &amp; Meng, 2025)</w:t>
            </w:r>
          </w:p>
        </w:tc>
      </w:tr>
    </w:tbl>
    <w:p w14:paraId="154D5710"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Source contribution is context dependent; the table </w:t>
      </w:r>
      <w:proofErr w:type="spellStart"/>
      <w:r w:rsidRPr="003F2BFF">
        <w:rPr>
          <w:rFonts w:ascii="Times New Roman" w:hAnsi="Times New Roman"/>
          <w:i/>
          <w:sz w:val="17"/>
        </w:rPr>
        <w:t>summarises</w:t>
      </w:r>
      <w:proofErr w:type="spellEnd"/>
      <w:r w:rsidRPr="003F2BFF">
        <w:rPr>
          <w:rFonts w:ascii="Times New Roman" w:hAnsi="Times New Roman"/>
          <w:i/>
          <w:sz w:val="17"/>
        </w:rPr>
        <w:t xml:space="preserve"> representative pathways and should not be read as a global ranking.</w:t>
      </w:r>
    </w:p>
    <w:p w14:paraId="5311CA51" w14:textId="77777777" w:rsidR="007868D8" w:rsidRPr="003F2BFF" w:rsidRDefault="00000000">
      <w:pPr>
        <w:pStyle w:val="Heading1"/>
        <w:rPr>
          <w:color w:val="auto"/>
        </w:rPr>
      </w:pPr>
      <w:bookmarkStart w:id="19" w:name="X3ce381003040f4ffeba4123cb0cb1de486d819e"/>
      <w:bookmarkEnd w:id="14"/>
      <w:bookmarkEnd w:id="18"/>
      <w:r w:rsidRPr="003F2BFF">
        <w:rPr>
          <w:rFonts w:ascii="Times New Roman" w:hAnsi="Times New Roman"/>
          <w:color w:val="auto"/>
        </w:rPr>
        <w:t>5. Transport, Transformation and Environmental Sinks</w:t>
      </w:r>
    </w:p>
    <w:p w14:paraId="6C8B6688" w14:textId="77777777" w:rsidR="007868D8" w:rsidRPr="003F2BFF" w:rsidRDefault="00000000">
      <w:pPr>
        <w:pStyle w:val="Heading2"/>
        <w:rPr>
          <w:color w:val="auto"/>
        </w:rPr>
      </w:pPr>
      <w:bookmarkStart w:id="20" w:name="X138c2f338b86b157457704a32f39e786a50fb7a"/>
      <w:r w:rsidRPr="003F2BFF">
        <w:rPr>
          <w:rFonts w:ascii="Times New Roman" w:hAnsi="Times New Roman"/>
          <w:color w:val="auto"/>
        </w:rPr>
        <w:t>5.1 River-to-Sea Transfer and Catchment Controls</w:t>
      </w:r>
    </w:p>
    <w:p w14:paraId="3AE958D5" w14:textId="77777777" w:rsidR="007868D8" w:rsidRPr="003F2BFF" w:rsidRDefault="00000000">
      <w:pPr>
        <w:pStyle w:val="FirstParagraph"/>
        <w:spacing w:after="104" w:line="264" w:lineRule="auto"/>
        <w:jc w:val="both"/>
      </w:pPr>
      <w:r w:rsidRPr="003F2BFF">
        <w:rPr>
          <w:rFonts w:ascii="Times New Roman" w:hAnsi="Times New Roman"/>
          <w:sz w:val="22"/>
        </w:rPr>
        <w:t xml:space="preserve">Once particles enter fresh waters, their downstream transport reflects both hydrology and particle properties. River discharge increases </w:t>
      </w:r>
      <w:proofErr w:type="spellStart"/>
      <w:r w:rsidRPr="003F2BFF">
        <w:rPr>
          <w:rFonts w:ascii="Times New Roman" w:hAnsi="Times New Roman"/>
          <w:sz w:val="22"/>
        </w:rPr>
        <w:t>mobilisation</w:t>
      </w:r>
      <w:proofErr w:type="spellEnd"/>
      <w:r w:rsidRPr="003F2BFF">
        <w:rPr>
          <w:rFonts w:ascii="Times New Roman" w:hAnsi="Times New Roman"/>
          <w:sz w:val="22"/>
        </w:rPr>
        <w:t xml:space="preserve">, but storage in channel beds, floodplains, reservoirs and vegetation can interrupt transport. Global river models demonstrate that catchment population, waste leakage and hydrological connectivity strongly influence plastic export (Lebreton et al., 2017; Meijer et al., 2021; Schmidt et al., 2017). For microplastics, however, particle-specific transport can diverge from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because small particles remain suspended more readily and interact with fine sediments and organic matter. Extrapolating whole-plastic river models directly to microplastic flux therefore requires calibration against size-resolved measurements.</w:t>
      </w:r>
    </w:p>
    <w:p w14:paraId="2501ACBC" w14:textId="77777777" w:rsidR="007868D8" w:rsidRPr="003F2BFF" w:rsidRDefault="00000000">
      <w:pPr>
        <w:pStyle w:val="BodyText"/>
        <w:spacing w:after="104" w:line="264" w:lineRule="auto"/>
        <w:jc w:val="both"/>
      </w:pPr>
      <w:r w:rsidRPr="003F2BFF">
        <w:rPr>
          <w:rFonts w:ascii="Times New Roman" w:hAnsi="Times New Roman"/>
          <w:sz w:val="22"/>
        </w:rPr>
        <w:t xml:space="preserve">High-flow events can </w:t>
      </w:r>
      <w:proofErr w:type="spellStart"/>
      <w:r w:rsidRPr="003F2BFF">
        <w:rPr>
          <w:rFonts w:ascii="Times New Roman" w:hAnsi="Times New Roman"/>
          <w:sz w:val="22"/>
        </w:rPr>
        <w:t>remobilise</w:t>
      </w:r>
      <w:proofErr w:type="spellEnd"/>
      <w:r w:rsidRPr="003F2BFF">
        <w:rPr>
          <w:rFonts w:ascii="Times New Roman" w:hAnsi="Times New Roman"/>
          <w:sz w:val="22"/>
        </w:rPr>
        <w:t xml:space="preserve"> stored particles, making rivers temporally variable conveyors rather than steady sources. This has two consequences for monitoring. First, concentration snapshots may have little relationship to annual flux if they miss floods or combined sewer events. Second, apparent downstream “loss” during normal flow may represent temporary sediment storage rather than permanent removal. Mass-balance studies need coordinated water, sediment and hydrological measurements if they are to distinguish retention from transformation and export.</w:t>
      </w:r>
    </w:p>
    <w:p w14:paraId="4C4C7B78" w14:textId="77777777" w:rsidR="007868D8" w:rsidRPr="003F2BFF" w:rsidRDefault="00000000">
      <w:pPr>
        <w:pStyle w:val="Heading2"/>
        <w:rPr>
          <w:color w:val="auto"/>
        </w:rPr>
      </w:pPr>
      <w:bookmarkStart w:id="21" w:name="X2e21ab2e39c326a58430b3b495503a95887cb12"/>
      <w:bookmarkEnd w:id="20"/>
      <w:r w:rsidRPr="003F2BFF">
        <w:rPr>
          <w:rFonts w:ascii="Times New Roman" w:hAnsi="Times New Roman"/>
          <w:color w:val="auto"/>
        </w:rPr>
        <w:t>5.2 Buoyancy, Mixing and Vertical Distribution</w:t>
      </w:r>
    </w:p>
    <w:p w14:paraId="2D2975E6" w14:textId="77777777" w:rsidR="007868D8" w:rsidRPr="003F2BFF" w:rsidRDefault="00000000">
      <w:pPr>
        <w:pStyle w:val="FirstParagraph"/>
        <w:spacing w:after="104" w:line="264" w:lineRule="auto"/>
        <w:jc w:val="both"/>
      </w:pPr>
      <w:r w:rsidRPr="003F2BFF">
        <w:rPr>
          <w:rFonts w:ascii="Times New Roman" w:hAnsi="Times New Roman"/>
          <w:sz w:val="22"/>
        </w:rPr>
        <w:t>Polymer density provides an initial tendency for floating or sinking, but it does not determine long-term depth. Laboratory and field-informed modelling show that particle size, shape, wind-driven mixing and turbulence influence the vertical distribution of nominally buoyant plastics (Kooi et al., 2016). Surface trawls therefore sample a hydrodynamically selected subset. During energetic conditions, low-density particles can be mixed downward; when turbulence weakens, some resurface. Dense polymers can remain suspended when sufficiently small or attached to low-density material. Vertical position is consequently dynamic rather than a fixed property of polymer identity.</w:t>
      </w:r>
    </w:p>
    <w:p w14:paraId="2A9CC116" w14:textId="77777777" w:rsidR="007868D8" w:rsidRPr="003F2BFF" w:rsidRDefault="00000000">
      <w:pPr>
        <w:pStyle w:val="BodyText"/>
        <w:spacing w:after="104" w:line="264" w:lineRule="auto"/>
        <w:jc w:val="both"/>
      </w:pPr>
      <w:r w:rsidRPr="003F2BFF">
        <w:rPr>
          <w:rFonts w:ascii="Times New Roman" w:hAnsi="Times New Roman"/>
          <w:sz w:val="22"/>
        </w:rPr>
        <w:t xml:space="preserve">This dynamic has direct implications for ecological exposure. Surface-feeding organisms encounter a different particle spectrum from benthic feeders, and depth-integrated samples can yield different conclusions from surface surveys. Coastal fronts, estuarine salinity gradients and stratification can aggregate or disperse particles. Reviews of coastal transport </w:t>
      </w:r>
      <w:proofErr w:type="spellStart"/>
      <w:r w:rsidRPr="003F2BFF">
        <w:rPr>
          <w:rFonts w:ascii="Times New Roman" w:hAnsi="Times New Roman"/>
          <w:sz w:val="22"/>
        </w:rPr>
        <w:t>emphasise</w:t>
      </w:r>
      <w:proofErr w:type="spellEnd"/>
      <w:r w:rsidRPr="003F2BFF">
        <w:rPr>
          <w:rFonts w:ascii="Times New Roman" w:hAnsi="Times New Roman"/>
          <w:sz w:val="22"/>
        </w:rPr>
        <w:t xml:space="preserve"> that tides, waves, currents and shoreline morphology interact with particle properties, preventing simple prediction from density alone (Jiang et al., 2024). Consequently, surface abundance is an incomplete indicator of whole-ecosystem burden.</w:t>
      </w:r>
    </w:p>
    <w:p w14:paraId="5AA83C3C" w14:textId="77777777" w:rsidR="007868D8" w:rsidRPr="003F2BFF" w:rsidRDefault="00000000">
      <w:pPr>
        <w:pStyle w:val="Heading2"/>
        <w:rPr>
          <w:color w:val="auto"/>
        </w:rPr>
      </w:pPr>
      <w:bookmarkStart w:id="22" w:name="biofouling-aggregation-and-sedimentation"/>
      <w:bookmarkEnd w:id="21"/>
      <w:r w:rsidRPr="003F2BFF">
        <w:rPr>
          <w:rFonts w:ascii="Times New Roman" w:hAnsi="Times New Roman"/>
          <w:color w:val="auto"/>
        </w:rPr>
        <w:t>5.3 Biofouling, Aggregation and Sedimentation</w:t>
      </w:r>
    </w:p>
    <w:p w14:paraId="031BC26F" w14:textId="77777777" w:rsidR="007868D8" w:rsidRPr="003F2BFF" w:rsidRDefault="00000000">
      <w:pPr>
        <w:pStyle w:val="FirstParagraph"/>
        <w:spacing w:after="104" w:line="264" w:lineRule="auto"/>
        <w:jc w:val="both"/>
      </w:pPr>
      <w:r w:rsidRPr="003F2BFF">
        <w:rPr>
          <w:rFonts w:ascii="Times New Roman" w:hAnsi="Times New Roman"/>
          <w:sz w:val="22"/>
        </w:rPr>
        <w:t xml:space="preserve">Biological </w:t>
      </w:r>
      <w:proofErr w:type="spellStart"/>
      <w:r w:rsidRPr="003F2BFF">
        <w:rPr>
          <w:rFonts w:ascii="Times New Roman" w:hAnsi="Times New Roman"/>
          <w:sz w:val="22"/>
        </w:rPr>
        <w:t>colonisation</w:t>
      </w:r>
      <w:proofErr w:type="spellEnd"/>
      <w:r w:rsidRPr="003F2BFF">
        <w:rPr>
          <w:rFonts w:ascii="Times New Roman" w:hAnsi="Times New Roman"/>
          <w:sz w:val="22"/>
        </w:rPr>
        <w:t xml:space="preserve"> changes both particle density and interaction with natural particles. Experiments have shown rapid aggregation of biofilm-covered microplastics with marine biogenic material, providing a mechanism for downward transport of initially buoyant particles (Michels et al., 2018). Biofouling can also alter surface chemistry </w:t>
      </w:r>
      <w:r w:rsidRPr="003F2BFF">
        <w:rPr>
          <w:rFonts w:ascii="Times New Roman" w:hAnsi="Times New Roman"/>
          <w:sz w:val="22"/>
        </w:rPr>
        <w:lastRenderedPageBreak/>
        <w:t>and feeding cues. In the ocean, such processes contribute to the apparent discrepancy between expected buoyant plastic inputs and the smaller quantities observed at the surface.</w:t>
      </w:r>
    </w:p>
    <w:p w14:paraId="5AFEE0BC" w14:textId="77777777" w:rsidR="007868D8" w:rsidRPr="003F2BFF" w:rsidRDefault="00000000">
      <w:pPr>
        <w:pStyle w:val="BodyText"/>
        <w:spacing w:after="104" w:line="264" w:lineRule="auto"/>
        <w:jc w:val="both"/>
      </w:pPr>
      <w:r w:rsidRPr="003F2BFF">
        <w:rPr>
          <w:rFonts w:ascii="Times New Roman" w:hAnsi="Times New Roman"/>
          <w:sz w:val="22"/>
        </w:rPr>
        <w:t xml:space="preserve">Aggregation does not create a one-way sink. Biofilm growth, organic aggregates, </w:t>
      </w:r>
      <w:proofErr w:type="spellStart"/>
      <w:r w:rsidRPr="003F2BFF">
        <w:rPr>
          <w:rFonts w:ascii="Times New Roman" w:hAnsi="Times New Roman"/>
          <w:sz w:val="22"/>
        </w:rPr>
        <w:t>faecal</w:t>
      </w:r>
      <w:proofErr w:type="spellEnd"/>
      <w:r w:rsidRPr="003F2BFF">
        <w:rPr>
          <w:rFonts w:ascii="Times New Roman" w:hAnsi="Times New Roman"/>
          <w:sz w:val="22"/>
        </w:rPr>
        <w:t xml:space="preserve"> pellets and mineral association can carry particles downward, while degradation of the aggregate or grazing can release them again. Sediments may therefore operate as both reservoirs and secondary sources. In shallow systems, storms, dredging and benthic bioturbation can resuspend particles. The concept of a “sink” should be interpreted as residence-time extension rather than permanent sequestration unless burial rates and </w:t>
      </w:r>
      <w:proofErr w:type="spellStart"/>
      <w:r w:rsidRPr="003F2BFF">
        <w:rPr>
          <w:rFonts w:ascii="Times New Roman" w:hAnsi="Times New Roman"/>
          <w:sz w:val="22"/>
        </w:rPr>
        <w:t>remobilisation</w:t>
      </w:r>
      <w:proofErr w:type="spellEnd"/>
      <w:r w:rsidRPr="003F2BFF">
        <w:rPr>
          <w:rFonts w:ascii="Times New Roman" w:hAnsi="Times New Roman"/>
          <w:sz w:val="22"/>
        </w:rPr>
        <w:t xml:space="preserve"> are quantified. Recent ecosystem syntheses </w:t>
      </w:r>
      <w:proofErr w:type="spellStart"/>
      <w:r w:rsidRPr="003F2BFF">
        <w:rPr>
          <w:rFonts w:ascii="Times New Roman" w:hAnsi="Times New Roman"/>
          <w:sz w:val="22"/>
        </w:rPr>
        <w:t>emphasise</w:t>
      </w:r>
      <w:proofErr w:type="spellEnd"/>
      <w:r w:rsidRPr="003F2BFF">
        <w:rPr>
          <w:rFonts w:ascii="Times New Roman" w:hAnsi="Times New Roman"/>
          <w:sz w:val="22"/>
        </w:rPr>
        <w:t xml:space="preserve"> this reversible partitioning (Chanda et al., 2024; Li &amp; Meng, 2025).</w:t>
      </w:r>
    </w:p>
    <w:p w14:paraId="7F005FEA" w14:textId="77777777" w:rsidR="007868D8" w:rsidRPr="003F2BFF" w:rsidRDefault="00000000">
      <w:pPr>
        <w:pStyle w:val="Heading2"/>
        <w:rPr>
          <w:color w:val="auto"/>
        </w:rPr>
      </w:pPr>
      <w:bookmarkStart w:id="23" w:name="X0459f9e78a303c126bf0a20d9eb9d8ac7934cc8"/>
      <w:bookmarkEnd w:id="22"/>
      <w:r w:rsidRPr="003F2BFF">
        <w:rPr>
          <w:rFonts w:ascii="Times New Roman" w:hAnsi="Times New Roman"/>
          <w:color w:val="auto"/>
        </w:rPr>
        <w:t>5.4 Coastal Exchange, Sediment Storage and Weathering</w:t>
      </w:r>
    </w:p>
    <w:p w14:paraId="4C6CA020" w14:textId="77777777" w:rsidR="007868D8" w:rsidRPr="003F2BFF" w:rsidRDefault="00000000">
      <w:pPr>
        <w:pStyle w:val="FirstParagraph"/>
        <w:spacing w:after="104" w:line="264" w:lineRule="auto"/>
        <w:jc w:val="both"/>
      </w:pPr>
      <w:r w:rsidRPr="003F2BFF">
        <w:rPr>
          <w:rFonts w:ascii="Times New Roman" w:hAnsi="Times New Roman"/>
          <w:sz w:val="22"/>
        </w:rPr>
        <w:t>Coastal zones are especially complex because river discharge, tides, waves, shoreline trapping and resuspension operate on overlapping timescales. Beaches and intertidal sediments can retain particles and expose them to ultraviolet radiation and abrasion, accelerating fragmentation. Estuarine flocculation and salinity gradients may modify aggregation, while ports and urban shorelines add local sources. A review focused on coastal zones concluded that hydrodynamics, particle characteristics and biological processes jointly control transport, with substantial uncertainty in predictive modelling (Jiang et al., 2024).</w:t>
      </w:r>
    </w:p>
    <w:p w14:paraId="7E47B8DF" w14:textId="77777777" w:rsidR="007868D8" w:rsidRPr="003F2BFF" w:rsidRDefault="00000000">
      <w:pPr>
        <w:pStyle w:val="BodyText"/>
        <w:spacing w:after="104" w:line="264" w:lineRule="auto"/>
        <w:jc w:val="both"/>
      </w:pPr>
      <w:r w:rsidRPr="003F2BFF">
        <w:rPr>
          <w:rFonts w:ascii="Times New Roman" w:hAnsi="Times New Roman"/>
          <w:sz w:val="22"/>
        </w:rPr>
        <w:t xml:space="preserve">Sediment inventories often contain higher particle concentrations than overlying water, but cross-study comparison is hindered by inconsistent units and lower size cut-offs. Counts per kilogram dry sediment cannot be compared directly with particles per cubic </w:t>
      </w:r>
      <w:proofErr w:type="spellStart"/>
      <w:r w:rsidRPr="003F2BFF">
        <w:rPr>
          <w:rFonts w:ascii="Times New Roman" w:hAnsi="Times New Roman"/>
          <w:sz w:val="22"/>
        </w:rPr>
        <w:t>metre</w:t>
      </w:r>
      <w:proofErr w:type="spellEnd"/>
      <w:r w:rsidRPr="003F2BFF">
        <w:rPr>
          <w:rFonts w:ascii="Times New Roman" w:hAnsi="Times New Roman"/>
          <w:sz w:val="22"/>
        </w:rPr>
        <w:t xml:space="preserve"> of water without assumptions about residence, exchange and sampled size distribution. Sediment studies can nonetheless provide valuable temporal integration when depositional context is known. The most informative designs pair sediment and water sampling with hydrodynamic information and polymer-resolved size distributions.</w:t>
      </w:r>
    </w:p>
    <w:p w14:paraId="208C4DA2" w14:textId="77777777" w:rsidR="007868D8" w:rsidRPr="003F2BFF" w:rsidRDefault="00000000">
      <w:pPr>
        <w:pStyle w:val="Heading2"/>
        <w:rPr>
          <w:color w:val="auto"/>
        </w:rPr>
      </w:pPr>
      <w:bookmarkStart w:id="24" w:name="atmosphericaquatic-coupling"/>
      <w:bookmarkEnd w:id="23"/>
      <w:r w:rsidRPr="003F2BFF">
        <w:rPr>
          <w:rFonts w:ascii="Times New Roman" w:hAnsi="Times New Roman"/>
          <w:color w:val="auto"/>
        </w:rPr>
        <w:t>5.5 Atmospheric–Aquatic Coupling</w:t>
      </w:r>
    </w:p>
    <w:p w14:paraId="418AF4D3" w14:textId="77777777" w:rsidR="007868D8" w:rsidRPr="003F2BFF" w:rsidRDefault="00000000">
      <w:pPr>
        <w:pStyle w:val="FirstParagraph"/>
        <w:spacing w:after="104" w:line="264" w:lineRule="auto"/>
        <w:jc w:val="both"/>
      </w:pPr>
      <w:r w:rsidRPr="003F2BFF">
        <w:rPr>
          <w:rFonts w:ascii="Times New Roman" w:hAnsi="Times New Roman"/>
          <w:sz w:val="22"/>
        </w:rPr>
        <w:t>Atmospheric deposition extends transport beyond watershed boundaries and can deliver microplastics to remote lakes, snowfields and ocean surfaces. Evidence from remote catchments demonstrates that deposition occurs at locations lacking large local plastic sources (Allen et al., 2019), while atmospheric transport modelling supports regional to long-range movement (</w:t>
      </w:r>
      <w:proofErr w:type="spellStart"/>
      <w:r w:rsidRPr="003F2BFF">
        <w:rPr>
          <w:rFonts w:ascii="Times New Roman" w:hAnsi="Times New Roman"/>
          <w:sz w:val="22"/>
        </w:rPr>
        <w:t>Evangeliou</w:t>
      </w:r>
      <w:proofErr w:type="spellEnd"/>
      <w:r w:rsidRPr="003F2BFF">
        <w:rPr>
          <w:rFonts w:ascii="Times New Roman" w:hAnsi="Times New Roman"/>
          <w:sz w:val="22"/>
        </w:rPr>
        <w:t xml:space="preserve"> et al., 2020). </w:t>
      </w:r>
      <w:proofErr w:type="spellStart"/>
      <w:r w:rsidRPr="003F2BFF">
        <w:rPr>
          <w:rFonts w:ascii="Times New Roman" w:hAnsi="Times New Roman"/>
          <w:sz w:val="22"/>
        </w:rPr>
        <w:t>Fibres</w:t>
      </w:r>
      <w:proofErr w:type="spellEnd"/>
      <w:r w:rsidRPr="003F2BFF">
        <w:rPr>
          <w:rFonts w:ascii="Times New Roman" w:hAnsi="Times New Roman"/>
          <w:sz w:val="22"/>
        </w:rPr>
        <w:t xml:space="preserve"> may be particularly mobile because of low settling velocities relative to their length. Yet atmospheric measurement remains vulnerable to contamination and to inconsistent deposition collectors, and the smallest particles are difficult to identify.</w:t>
      </w:r>
    </w:p>
    <w:p w14:paraId="0ADF2C9B" w14:textId="77777777" w:rsidR="007868D8" w:rsidRPr="003F2BFF" w:rsidRDefault="00000000">
      <w:pPr>
        <w:pStyle w:val="BodyText"/>
        <w:spacing w:after="104" w:line="264" w:lineRule="auto"/>
        <w:jc w:val="both"/>
      </w:pPr>
      <w:r w:rsidRPr="003F2BFF">
        <w:rPr>
          <w:rFonts w:ascii="Times New Roman" w:hAnsi="Times New Roman"/>
          <w:sz w:val="22"/>
        </w:rPr>
        <w:t>Cross-compartment exchange also complicates intervention accounting. Reducing river inputs will not immediately eliminate atmospheric deposition, and decreasing local wastewater discharge may have limited influence on particles imported by air. Conversely, aquatic surfaces can potentially re-emit particles through spray or drying of shore deposits. Comprehensive fate models should therefore couple catchment, atmosphere, water column and sediment rather than assume a one-directional pathway. This requirement is technically demanding but necessary if source-control benefits are to be predicted accurately.</w:t>
      </w:r>
    </w:p>
    <w:p w14:paraId="2EBEE3A4"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2 </w:t>
      </w:r>
      <w:proofErr w:type="spellStart"/>
      <w:r w:rsidRPr="003F2BFF">
        <w:rPr>
          <w:rFonts w:ascii="Times New Roman" w:hAnsi="Times New Roman"/>
          <w:sz w:val="22"/>
        </w:rPr>
        <w:t>summarises</w:t>
      </w:r>
      <w:proofErr w:type="spellEnd"/>
      <w:r w:rsidRPr="003F2BFF">
        <w:rPr>
          <w:rFonts w:ascii="Times New Roman" w:hAnsi="Times New Roman"/>
          <w:sz w:val="22"/>
        </w:rPr>
        <w:t xml:space="preserve"> the principal processes that determine where microplastics are found after release. The key message is that apparent environmental compartments are connected by reversible processes. Because transport is particle-selective, monitoring one compartment or size range can misrepresent total exposure. Models and surveillance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should therefore link hydrodynamics with particle traits and biological transformation rather than treating density as a sufficient predictor.</w:t>
      </w:r>
    </w:p>
    <w:p w14:paraId="6C2FE04B" w14:textId="77777777" w:rsidR="007868D8" w:rsidRPr="003F2BFF" w:rsidRDefault="00000000">
      <w:pPr>
        <w:pStyle w:val="BodyText"/>
        <w:keepNext/>
        <w:spacing w:before="100" w:after="60"/>
      </w:pPr>
      <w:r w:rsidRPr="003F2BFF">
        <w:rPr>
          <w:rFonts w:ascii="Times New Roman" w:hAnsi="Times New Roman"/>
          <w:b/>
          <w:bCs/>
          <w:sz w:val="19"/>
        </w:rPr>
        <w:t>Table 2. Processes controlling transport, transformation and partitioning of microplastics</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261"/>
        <w:gridCol w:w="1877"/>
        <w:gridCol w:w="1877"/>
        <w:gridCol w:w="2097"/>
        <w:gridCol w:w="1540"/>
        <w:gridCol w:w="1760"/>
      </w:tblGrid>
      <w:tr w:rsidR="003F2BFF" w:rsidRPr="003F2BFF" w14:paraId="76C2159D"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238" w:type="dxa"/>
            <w:shd w:val="clear" w:color="auto" w:fill="1F4E79"/>
            <w:tcMar>
              <w:top w:w="55" w:type="dxa"/>
              <w:left w:w="65" w:type="dxa"/>
              <w:bottom w:w="55" w:type="dxa"/>
              <w:right w:w="65" w:type="dxa"/>
            </w:tcMar>
            <w:vAlign w:val="center"/>
          </w:tcPr>
          <w:p w14:paraId="03BC95A9" w14:textId="77777777" w:rsidR="007868D8" w:rsidRPr="003F2BFF" w:rsidRDefault="00000000">
            <w:pPr>
              <w:pStyle w:val="Compact"/>
              <w:spacing w:before="0" w:after="0"/>
              <w:jc w:val="center"/>
            </w:pPr>
            <w:r w:rsidRPr="003F2BFF">
              <w:rPr>
                <w:rFonts w:ascii="Times New Roman" w:hAnsi="Times New Roman"/>
                <w:b/>
                <w:sz w:val="15"/>
              </w:rPr>
              <w:t>Process</w:t>
            </w:r>
          </w:p>
        </w:tc>
        <w:tc>
          <w:tcPr>
            <w:tcW w:w="1843" w:type="dxa"/>
            <w:shd w:val="clear" w:color="auto" w:fill="1F4E79"/>
            <w:tcMar>
              <w:top w:w="55" w:type="dxa"/>
              <w:left w:w="65" w:type="dxa"/>
              <w:bottom w:w="55" w:type="dxa"/>
              <w:right w:w="65" w:type="dxa"/>
            </w:tcMar>
            <w:vAlign w:val="center"/>
          </w:tcPr>
          <w:p w14:paraId="74C623F9" w14:textId="77777777" w:rsidR="007868D8" w:rsidRPr="003F2BFF" w:rsidRDefault="00000000">
            <w:pPr>
              <w:pStyle w:val="Compact"/>
              <w:spacing w:before="0" w:after="0"/>
              <w:jc w:val="center"/>
            </w:pPr>
            <w:r w:rsidRPr="003F2BFF">
              <w:rPr>
                <w:rFonts w:ascii="Times New Roman" w:hAnsi="Times New Roman"/>
                <w:b/>
                <w:sz w:val="15"/>
              </w:rPr>
              <w:t>Mechanistic effect</w:t>
            </w:r>
          </w:p>
        </w:tc>
        <w:tc>
          <w:tcPr>
            <w:tcW w:w="1843" w:type="dxa"/>
            <w:shd w:val="clear" w:color="auto" w:fill="1F4E79"/>
            <w:tcMar>
              <w:top w:w="55" w:type="dxa"/>
              <w:left w:w="65" w:type="dxa"/>
              <w:bottom w:w="55" w:type="dxa"/>
              <w:right w:w="65" w:type="dxa"/>
            </w:tcMar>
            <w:vAlign w:val="center"/>
          </w:tcPr>
          <w:p w14:paraId="705EEE68" w14:textId="77777777" w:rsidR="007868D8" w:rsidRPr="003F2BFF" w:rsidRDefault="00000000">
            <w:pPr>
              <w:pStyle w:val="Compact"/>
              <w:spacing w:before="0" w:after="0"/>
              <w:jc w:val="center"/>
            </w:pPr>
            <w:r w:rsidRPr="003F2BFF">
              <w:rPr>
                <w:rFonts w:ascii="Times New Roman" w:hAnsi="Times New Roman"/>
                <w:b/>
                <w:sz w:val="15"/>
              </w:rPr>
              <w:t>Main controlling variables</w:t>
            </w:r>
          </w:p>
        </w:tc>
        <w:tc>
          <w:tcPr>
            <w:tcW w:w="2059" w:type="dxa"/>
            <w:shd w:val="clear" w:color="auto" w:fill="1F4E79"/>
            <w:tcMar>
              <w:top w:w="55" w:type="dxa"/>
              <w:left w:w="65" w:type="dxa"/>
              <w:bottom w:w="55" w:type="dxa"/>
              <w:right w:w="65" w:type="dxa"/>
            </w:tcMar>
            <w:vAlign w:val="center"/>
          </w:tcPr>
          <w:p w14:paraId="04ECFBCE" w14:textId="77777777" w:rsidR="007868D8" w:rsidRPr="003F2BFF" w:rsidRDefault="00000000">
            <w:pPr>
              <w:pStyle w:val="Compact"/>
              <w:spacing w:before="0" w:after="0"/>
              <w:jc w:val="center"/>
            </w:pPr>
            <w:r w:rsidRPr="003F2BFF">
              <w:rPr>
                <w:rFonts w:ascii="Times New Roman" w:hAnsi="Times New Roman"/>
                <w:b/>
                <w:sz w:val="15"/>
              </w:rPr>
              <w:t>Consequence for exposure or sampling</w:t>
            </w:r>
          </w:p>
        </w:tc>
        <w:tc>
          <w:tcPr>
            <w:tcW w:w="1512" w:type="dxa"/>
            <w:shd w:val="clear" w:color="auto" w:fill="1F4E79"/>
            <w:tcMar>
              <w:top w:w="55" w:type="dxa"/>
              <w:left w:w="65" w:type="dxa"/>
              <w:bottom w:w="55" w:type="dxa"/>
              <w:right w:w="65" w:type="dxa"/>
            </w:tcMar>
            <w:vAlign w:val="center"/>
          </w:tcPr>
          <w:p w14:paraId="1284B03B" w14:textId="77777777" w:rsidR="007868D8" w:rsidRPr="003F2BFF" w:rsidRDefault="00000000">
            <w:pPr>
              <w:pStyle w:val="Compact"/>
              <w:spacing w:before="0" w:after="0"/>
              <w:jc w:val="center"/>
            </w:pPr>
            <w:r w:rsidRPr="003F2BFF">
              <w:rPr>
                <w:rFonts w:ascii="Times New Roman" w:hAnsi="Times New Roman"/>
                <w:b/>
                <w:sz w:val="15"/>
              </w:rPr>
              <w:t>Key uncertainty</w:t>
            </w:r>
          </w:p>
        </w:tc>
        <w:tc>
          <w:tcPr>
            <w:tcW w:w="1728" w:type="dxa"/>
            <w:shd w:val="clear" w:color="auto" w:fill="1F4E79"/>
            <w:tcMar>
              <w:top w:w="55" w:type="dxa"/>
              <w:left w:w="65" w:type="dxa"/>
              <w:bottom w:w="55" w:type="dxa"/>
              <w:right w:w="65" w:type="dxa"/>
            </w:tcMar>
            <w:vAlign w:val="center"/>
          </w:tcPr>
          <w:p w14:paraId="07698939"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3F2BFF" w14:paraId="36661C6C" w14:textId="77777777" w:rsidTr="007868D8">
        <w:trPr>
          <w:jc w:val="center"/>
        </w:trPr>
        <w:tc>
          <w:tcPr>
            <w:tcW w:w="1238" w:type="dxa"/>
            <w:shd w:val="clear" w:color="auto" w:fill="FFFFFF"/>
            <w:tcMar>
              <w:top w:w="55" w:type="dxa"/>
              <w:left w:w="65" w:type="dxa"/>
              <w:bottom w:w="55" w:type="dxa"/>
              <w:right w:w="65" w:type="dxa"/>
            </w:tcMar>
            <w:vAlign w:val="center"/>
          </w:tcPr>
          <w:p w14:paraId="0EC413EF" w14:textId="77777777" w:rsidR="007868D8" w:rsidRPr="003F2BFF" w:rsidRDefault="00000000">
            <w:pPr>
              <w:pStyle w:val="Compact"/>
              <w:spacing w:before="0" w:after="30"/>
            </w:pPr>
            <w:r w:rsidRPr="003F2BFF">
              <w:rPr>
                <w:rFonts w:ascii="Times New Roman" w:hAnsi="Times New Roman"/>
                <w:sz w:val="15"/>
              </w:rPr>
              <w:t xml:space="preserve">Hydrodynamic advection and </w:t>
            </w:r>
            <w:r w:rsidRPr="003F2BFF">
              <w:rPr>
                <w:rFonts w:ascii="Times New Roman" w:hAnsi="Times New Roman"/>
                <w:sz w:val="15"/>
              </w:rPr>
              <w:lastRenderedPageBreak/>
              <w:t>river export</w:t>
            </w:r>
          </w:p>
        </w:tc>
        <w:tc>
          <w:tcPr>
            <w:tcW w:w="1843" w:type="dxa"/>
            <w:shd w:val="clear" w:color="auto" w:fill="FFFFFF"/>
            <w:tcMar>
              <w:top w:w="55" w:type="dxa"/>
              <w:left w:w="65" w:type="dxa"/>
              <w:bottom w:w="55" w:type="dxa"/>
              <w:right w:w="65" w:type="dxa"/>
            </w:tcMar>
            <w:vAlign w:val="center"/>
          </w:tcPr>
          <w:p w14:paraId="133D80E2" w14:textId="77777777" w:rsidR="007868D8" w:rsidRPr="003F2BFF" w:rsidRDefault="00000000">
            <w:pPr>
              <w:pStyle w:val="Compact"/>
              <w:spacing w:before="0" w:after="30"/>
            </w:pPr>
            <w:r w:rsidRPr="003F2BFF">
              <w:rPr>
                <w:rFonts w:ascii="Times New Roman" w:hAnsi="Times New Roman"/>
                <w:sz w:val="15"/>
              </w:rPr>
              <w:lastRenderedPageBreak/>
              <w:t xml:space="preserve">Moves particles downstream and between catchment and </w:t>
            </w:r>
            <w:r w:rsidRPr="003F2BFF">
              <w:rPr>
                <w:rFonts w:ascii="Times New Roman" w:hAnsi="Times New Roman"/>
                <w:sz w:val="15"/>
              </w:rPr>
              <w:lastRenderedPageBreak/>
              <w:t>coast</w:t>
            </w:r>
          </w:p>
        </w:tc>
        <w:tc>
          <w:tcPr>
            <w:tcW w:w="1843" w:type="dxa"/>
            <w:shd w:val="clear" w:color="auto" w:fill="FFFFFF"/>
            <w:tcMar>
              <w:top w:w="55" w:type="dxa"/>
              <w:left w:w="65" w:type="dxa"/>
              <w:bottom w:w="55" w:type="dxa"/>
              <w:right w:w="65" w:type="dxa"/>
            </w:tcMar>
            <w:vAlign w:val="center"/>
          </w:tcPr>
          <w:p w14:paraId="39861566" w14:textId="77777777" w:rsidR="007868D8" w:rsidRPr="003F2BFF" w:rsidRDefault="00000000">
            <w:pPr>
              <w:pStyle w:val="Compact"/>
              <w:spacing w:before="0" w:after="30"/>
            </w:pPr>
            <w:r w:rsidRPr="003F2BFF">
              <w:rPr>
                <w:rFonts w:ascii="Times New Roman" w:hAnsi="Times New Roman"/>
                <w:sz w:val="15"/>
              </w:rPr>
              <w:lastRenderedPageBreak/>
              <w:t xml:space="preserve">Discharge, connectivity, channel storage and event </w:t>
            </w:r>
            <w:r w:rsidRPr="003F2BFF">
              <w:rPr>
                <w:rFonts w:ascii="Times New Roman" w:hAnsi="Times New Roman"/>
                <w:sz w:val="15"/>
              </w:rPr>
              <w:lastRenderedPageBreak/>
              <w:t>magnitude</w:t>
            </w:r>
          </w:p>
        </w:tc>
        <w:tc>
          <w:tcPr>
            <w:tcW w:w="2059" w:type="dxa"/>
            <w:shd w:val="clear" w:color="auto" w:fill="FFFFFF"/>
            <w:tcMar>
              <w:top w:w="55" w:type="dxa"/>
              <w:left w:w="65" w:type="dxa"/>
              <w:bottom w:w="55" w:type="dxa"/>
              <w:right w:w="65" w:type="dxa"/>
            </w:tcMar>
            <w:vAlign w:val="center"/>
          </w:tcPr>
          <w:p w14:paraId="67EFC5D7" w14:textId="77777777" w:rsidR="007868D8" w:rsidRPr="003F2BFF" w:rsidRDefault="00000000">
            <w:pPr>
              <w:pStyle w:val="Compact"/>
              <w:spacing w:before="0" w:after="30"/>
            </w:pPr>
            <w:r w:rsidRPr="003F2BFF">
              <w:rPr>
                <w:rFonts w:ascii="Times New Roman" w:hAnsi="Times New Roman"/>
                <w:sz w:val="15"/>
              </w:rPr>
              <w:lastRenderedPageBreak/>
              <w:t>Snapshot concentrations may not represent annual flux</w:t>
            </w:r>
          </w:p>
        </w:tc>
        <w:tc>
          <w:tcPr>
            <w:tcW w:w="1512" w:type="dxa"/>
            <w:shd w:val="clear" w:color="auto" w:fill="FFFFFF"/>
            <w:tcMar>
              <w:top w:w="55" w:type="dxa"/>
              <w:left w:w="65" w:type="dxa"/>
              <w:bottom w:w="55" w:type="dxa"/>
              <w:right w:w="65" w:type="dxa"/>
            </w:tcMar>
            <w:vAlign w:val="center"/>
          </w:tcPr>
          <w:p w14:paraId="7485B67F" w14:textId="77777777" w:rsidR="007868D8" w:rsidRPr="003F2BFF" w:rsidRDefault="00000000">
            <w:pPr>
              <w:pStyle w:val="Compact"/>
              <w:spacing w:before="0" w:after="30"/>
            </w:pPr>
            <w:r w:rsidRPr="003F2BFF">
              <w:rPr>
                <w:rFonts w:ascii="Times New Roman" w:hAnsi="Times New Roman"/>
                <w:sz w:val="15"/>
              </w:rPr>
              <w:t xml:space="preserve">Size-resolved retention and </w:t>
            </w:r>
            <w:proofErr w:type="spellStart"/>
            <w:r w:rsidRPr="003F2BFF">
              <w:rPr>
                <w:rFonts w:ascii="Times New Roman" w:hAnsi="Times New Roman"/>
                <w:sz w:val="15"/>
              </w:rPr>
              <w:t>remobilisation</w:t>
            </w:r>
            <w:proofErr w:type="spellEnd"/>
            <w:r w:rsidRPr="003F2BFF">
              <w:rPr>
                <w:rFonts w:ascii="Times New Roman" w:hAnsi="Times New Roman"/>
                <w:sz w:val="15"/>
              </w:rPr>
              <w:t xml:space="preserve"> </w:t>
            </w:r>
            <w:r w:rsidRPr="003F2BFF">
              <w:rPr>
                <w:rFonts w:ascii="Times New Roman" w:hAnsi="Times New Roman"/>
                <w:sz w:val="15"/>
              </w:rPr>
              <w:lastRenderedPageBreak/>
              <w:t>rates</w:t>
            </w:r>
          </w:p>
        </w:tc>
        <w:tc>
          <w:tcPr>
            <w:tcW w:w="1728" w:type="dxa"/>
            <w:shd w:val="clear" w:color="auto" w:fill="FFFFFF"/>
            <w:tcMar>
              <w:top w:w="55" w:type="dxa"/>
              <w:left w:w="65" w:type="dxa"/>
              <w:bottom w:w="55" w:type="dxa"/>
              <w:right w:w="65" w:type="dxa"/>
            </w:tcMar>
            <w:vAlign w:val="center"/>
          </w:tcPr>
          <w:p w14:paraId="48B72DD5" w14:textId="77777777" w:rsidR="007868D8" w:rsidRPr="003F2BFF" w:rsidRDefault="00000000">
            <w:pPr>
              <w:pStyle w:val="Compact"/>
              <w:spacing w:before="0" w:after="30"/>
            </w:pPr>
            <w:r w:rsidRPr="003F2BFF">
              <w:rPr>
                <w:rFonts w:ascii="Times New Roman" w:hAnsi="Times New Roman"/>
                <w:sz w:val="15"/>
              </w:rPr>
              <w:lastRenderedPageBreak/>
              <w:t xml:space="preserve">(Lebreton et al., 2017; Meijer et al., 2021; </w:t>
            </w:r>
            <w:r w:rsidRPr="003F2BFF">
              <w:rPr>
                <w:rFonts w:ascii="Times New Roman" w:hAnsi="Times New Roman"/>
                <w:sz w:val="15"/>
              </w:rPr>
              <w:lastRenderedPageBreak/>
              <w:t>Schmidt et al., 2017)</w:t>
            </w:r>
          </w:p>
        </w:tc>
      </w:tr>
      <w:tr w:rsidR="003F2BFF" w:rsidRPr="003F2BFF" w14:paraId="5E2BB9D8" w14:textId="77777777" w:rsidTr="007868D8">
        <w:trPr>
          <w:jc w:val="center"/>
        </w:trPr>
        <w:tc>
          <w:tcPr>
            <w:tcW w:w="1238" w:type="dxa"/>
            <w:shd w:val="clear" w:color="auto" w:fill="FFFFFF"/>
            <w:tcMar>
              <w:top w:w="55" w:type="dxa"/>
              <w:left w:w="65" w:type="dxa"/>
              <w:bottom w:w="55" w:type="dxa"/>
              <w:right w:w="65" w:type="dxa"/>
            </w:tcMar>
            <w:vAlign w:val="center"/>
          </w:tcPr>
          <w:p w14:paraId="065D1F20" w14:textId="77777777" w:rsidR="007868D8" w:rsidRPr="003F2BFF" w:rsidRDefault="00000000">
            <w:pPr>
              <w:pStyle w:val="Compact"/>
              <w:spacing w:before="0" w:after="30"/>
            </w:pPr>
            <w:r w:rsidRPr="003F2BFF">
              <w:rPr>
                <w:rFonts w:ascii="Times New Roman" w:hAnsi="Times New Roman"/>
                <w:sz w:val="15"/>
              </w:rPr>
              <w:lastRenderedPageBreak/>
              <w:t>Vertical mixing and buoyancy</w:t>
            </w:r>
          </w:p>
        </w:tc>
        <w:tc>
          <w:tcPr>
            <w:tcW w:w="1843" w:type="dxa"/>
            <w:shd w:val="clear" w:color="auto" w:fill="FFFFFF"/>
            <w:tcMar>
              <w:top w:w="55" w:type="dxa"/>
              <w:left w:w="65" w:type="dxa"/>
              <w:bottom w:w="55" w:type="dxa"/>
              <w:right w:w="65" w:type="dxa"/>
            </w:tcMar>
            <w:vAlign w:val="center"/>
          </w:tcPr>
          <w:p w14:paraId="3D7FB178" w14:textId="77777777" w:rsidR="007868D8" w:rsidRPr="003F2BFF" w:rsidRDefault="00000000">
            <w:pPr>
              <w:pStyle w:val="Compact"/>
              <w:spacing w:before="0" w:after="30"/>
            </w:pPr>
            <w:r w:rsidRPr="003F2BFF">
              <w:rPr>
                <w:rFonts w:ascii="Times New Roman" w:hAnsi="Times New Roman"/>
                <w:sz w:val="15"/>
              </w:rPr>
              <w:t>Redistributes nominally floating particles below the surface</w:t>
            </w:r>
          </w:p>
        </w:tc>
        <w:tc>
          <w:tcPr>
            <w:tcW w:w="1843" w:type="dxa"/>
            <w:shd w:val="clear" w:color="auto" w:fill="FFFFFF"/>
            <w:tcMar>
              <w:top w:w="55" w:type="dxa"/>
              <w:left w:w="65" w:type="dxa"/>
              <w:bottom w:w="55" w:type="dxa"/>
              <w:right w:w="65" w:type="dxa"/>
            </w:tcMar>
            <w:vAlign w:val="center"/>
          </w:tcPr>
          <w:p w14:paraId="66C80DD3" w14:textId="77777777" w:rsidR="007868D8" w:rsidRPr="003F2BFF" w:rsidRDefault="00000000">
            <w:pPr>
              <w:pStyle w:val="Compact"/>
              <w:spacing w:before="0" w:after="30"/>
            </w:pPr>
            <w:r w:rsidRPr="003F2BFF">
              <w:rPr>
                <w:rFonts w:ascii="Times New Roman" w:hAnsi="Times New Roman"/>
                <w:sz w:val="15"/>
              </w:rPr>
              <w:t>Density, size, shape, wind, waves and turbulence</w:t>
            </w:r>
          </w:p>
        </w:tc>
        <w:tc>
          <w:tcPr>
            <w:tcW w:w="2059" w:type="dxa"/>
            <w:shd w:val="clear" w:color="auto" w:fill="FFFFFF"/>
            <w:tcMar>
              <w:top w:w="55" w:type="dxa"/>
              <w:left w:w="65" w:type="dxa"/>
              <w:bottom w:w="55" w:type="dxa"/>
              <w:right w:w="65" w:type="dxa"/>
            </w:tcMar>
            <w:vAlign w:val="center"/>
          </w:tcPr>
          <w:p w14:paraId="23C75190" w14:textId="77777777" w:rsidR="007868D8" w:rsidRPr="003F2BFF" w:rsidRDefault="00000000">
            <w:pPr>
              <w:pStyle w:val="Compact"/>
              <w:spacing w:before="0" w:after="30"/>
            </w:pPr>
            <w:r w:rsidRPr="003F2BFF">
              <w:rPr>
                <w:rFonts w:ascii="Times New Roman" w:hAnsi="Times New Roman"/>
                <w:sz w:val="15"/>
              </w:rPr>
              <w:t>Surface trawls can under-sample mixed particles</w:t>
            </w:r>
          </w:p>
        </w:tc>
        <w:tc>
          <w:tcPr>
            <w:tcW w:w="1512" w:type="dxa"/>
            <w:shd w:val="clear" w:color="auto" w:fill="FFFFFF"/>
            <w:tcMar>
              <w:top w:w="55" w:type="dxa"/>
              <w:left w:w="65" w:type="dxa"/>
              <w:bottom w:w="55" w:type="dxa"/>
              <w:right w:w="65" w:type="dxa"/>
            </w:tcMar>
            <w:vAlign w:val="center"/>
          </w:tcPr>
          <w:p w14:paraId="3090C918" w14:textId="77777777" w:rsidR="007868D8" w:rsidRPr="003F2BFF" w:rsidRDefault="00000000">
            <w:pPr>
              <w:pStyle w:val="Compact"/>
              <w:spacing w:before="0" w:after="30"/>
            </w:pPr>
            <w:r w:rsidRPr="003F2BFF">
              <w:rPr>
                <w:rFonts w:ascii="Times New Roman" w:hAnsi="Times New Roman"/>
                <w:sz w:val="15"/>
              </w:rPr>
              <w:t xml:space="preserve">Depth profiles for small </w:t>
            </w:r>
            <w:proofErr w:type="spellStart"/>
            <w:r w:rsidRPr="003F2BFF">
              <w:rPr>
                <w:rFonts w:ascii="Times New Roman" w:hAnsi="Times New Roman"/>
                <w:sz w:val="15"/>
              </w:rPr>
              <w:t>fibres</w:t>
            </w:r>
            <w:proofErr w:type="spellEnd"/>
            <w:r w:rsidRPr="003F2BFF">
              <w:rPr>
                <w:rFonts w:ascii="Times New Roman" w:hAnsi="Times New Roman"/>
                <w:sz w:val="15"/>
              </w:rPr>
              <w:t xml:space="preserve"> and weathered particles</w:t>
            </w:r>
          </w:p>
        </w:tc>
        <w:tc>
          <w:tcPr>
            <w:tcW w:w="1728" w:type="dxa"/>
            <w:shd w:val="clear" w:color="auto" w:fill="FFFFFF"/>
            <w:tcMar>
              <w:top w:w="55" w:type="dxa"/>
              <w:left w:w="65" w:type="dxa"/>
              <w:bottom w:w="55" w:type="dxa"/>
              <w:right w:w="65" w:type="dxa"/>
            </w:tcMar>
            <w:vAlign w:val="center"/>
          </w:tcPr>
          <w:p w14:paraId="3D7F7802" w14:textId="77777777" w:rsidR="007868D8" w:rsidRPr="003F2BFF" w:rsidRDefault="00000000">
            <w:pPr>
              <w:pStyle w:val="Compact"/>
              <w:spacing w:before="0" w:after="30"/>
            </w:pPr>
            <w:r w:rsidRPr="003F2BFF">
              <w:rPr>
                <w:rFonts w:ascii="Times New Roman" w:hAnsi="Times New Roman"/>
                <w:sz w:val="15"/>
              </w:rPr>
              <w:t>(Kooi et al., 2016)</w:t>
            </w:r>
          </w:p>
        </w:tc>
      </w:tr>
      <w:tr w:rsidR="003F2BFF" w:rsidRPr="003F2BFF" w14:paraId="1F46505A" w14:textId="77777777" w:rsidTr="007868D8">
        <w:trPr>
          <w:jc w:val="center"/>
        </w:trPr>
        <w:tc>
          <w:tcPr>
            <w:tcW w:w="1238" w:type="dxa"/>
            <w:shd w:val="clear" w:color="auto" w:fill="FFFFFF"/>
            <w:tcMar>
              <w:top w:w="55" w:type="dxa"/>
              <w:left w:w="65" w:type="dxa"/>
              <w:bottom w:w="55" w:type="dxa"/>
              <w:right w:w="65" w:type="dxa"/>
            </w:tcMar>
            <w:vAlign w:val="center"/>
          </w:tcPr>
          <w:p w14:paraId="4E857A7F" w14:textId="77777777" w:rsidR="007868D8" w:rsidRPr="003F2BFF" w:rsidRDefault="00000000">
            <w:pPr>
              <w:pStyle w:val="Compact"/>
              <w:spacing w:before="0" w:after="30"/>
            </w:pPr>
            <w:r w:rsidRPr="003F2BFF">
              <w:rPr>
                <w:rFonts w:ascii="Times New Roman" w:hAnsi="Times New Roman"/>
                <w:sz w:val="15"/>
              </w:rPr>
              <w:t>Biofouling</w:t>
            </w:r>
          </w:p>
        </w:tc>
        <w:tc>
          <w:tcPr>
            <w:tcW w:w="1843" w:type="dxa"/>
            <w:shd w:val="clear" w:color="auto" w:fill="FFFFFF"/>
            <w:tcMar>
              <w:top w:w="55" w:type="dxa"/>
              <w:left w:w="65" w:type="dxa"/>
              <w:bottom w:w="55" w:type="dxa"/>
              <w:right w:w="65" w:type="dxa"/>
            </w:tcMar>
            <w:vAlign w:val="center"/>
          </w:tcPr>
          <w:p w14:paraId="71B92A9B" w14:textId="77777777" w:rsidR="007868D8" w:rsidRPr="003F2BFF" w:rsidRDefault="00000000">
            <w:pPr>
              <w:pStyle w:val="Compact"/>
              <w:spacing w:before="0" w:after="30"/>
            </w:pPr>
            <w:r w:rsidRPr="003F2BFF">
              <w:rPr>
                <w:rFonts w:ascii="Times New Roman" w:hAnsi="Times New Roman"/>
                <w:sz w:val="15"/>
              </w:rPr>
              <w:t>Changes density, surface chemistry and biological recognition</w:t>
            </w:r>
          </w:p>
        </w:tc>
        <w:tc>
          <w:tcPr>
            <w:tcW w:w="1843" w:type="dxa"/>
            <w:shd w:val="clear" w:color="auto" w:fill="FFFFFF"/>
            <w:tcMar>
              <w:top w:w="55" w:type="dxa"/>
              <w:left w:w="65" w:type="dxa"/>
              <w:bottom w:w="55" w:type="dxa"/>
              <w:right w:w="65" w:type="dxa"/>
            </w:tcMar>
            <w:vAlign w:val="center"/>
          </w:tcPr>
          <w:p w14:paraId="67A47FA8" w14:textId="77777777" w:rsidR="007868D8" w:rsidRPr="003F2BFF" w:rsidRDefault="00000000">
            <w:pPr>
              <w:pStyle w:val="Compact"/>
              <w:spacing w:before="0" w:after="30"/>
            </w:pPr>
            <w:r w:rsidRPr="003F2BFF">
              <w:rPr>
                <w:rFonts w:ascii="Times New Roman" w:hAnsi="Times New Roman"/>
                <w:sz w:val="15"/>
              </w:rPr>
              <w:t>Biofilm growth, nutrient regime, temperature and polymer surface</w:t>
            </w:r>
          </w:p>
        </w:tc>
        <w:tc>
          <w:tcPr>
            <w:tcW w:w="2059" w:type="dxa"/>
            <w:shd w:val="clear" w:color="auto" w:fill="FFFFFF"/>
            <w:tcMar>
              <w:top w:w="55" w:type="dxa"/>
              <w:left w:w="65" w:type="dxa"/>
              <w:bottom w:w="55" w:type="dxa"/>
              <w:right w:w="65" w:type="dxa"/>
            </w:tcMar>
            <w:vAlign w:val="center"/>
          </w:tcPr>
          <w:p w14:paraId="2CC239E8" w14:textId="77777777" w:rsidR="007868D8" w:rsidRPr="003F2BFF" w:rsidRDefault="00000000">
            <w:pPr>
              <w:pStyle w:val="Compact"/>
              <w:spacing w:before="0" w:after="30"/>
            </w:pPr>
            <w:r w:rsidRPr="003F2BFF">
              <w:rPr>
                <w:rFonts w:ascii="Times New Roman" w:hAnsi="Times New Roman"/>
                <w:sz w:val="15"/>
              </w:rPr>
              <w:t>Can promote sinking and alter ingestion cues</w:t>
            </w:r>
          </w:p>
        </w:tc>
        <w:tc>
          <w:tcPr>
            <w:tcW w:w="1512" w:type="dxa"/>
            <w:shd w:val="clear" w:color="auto" w:fill="FFFFFF"/>
            <w:tcMar>
              <w:top w:w="55" w:type="dxa"/>
              <w:left w:w="65" w:type="dxa"/>
              <w:bottom w:w="55" w:type="dxa"/>
              <w:right w:w="65" w:type="dxa"/>
            </w:tcMar>
            <w:vAlign w:val="center"/>
          </w:tcPr>
          <w:p w14:paraId="32344602" w14:textId="77777777" w:rsidR="007868D8" w:rsidRPr="003F2BFF" w:rsidRDefault="00000000">
            <w:pPr>
              <w:pStyle w:val="Compact"/>
              <w:spacing w:before="0" w:after="30"/>
            </w:pPr>
            <w:r w:rsidRPr="003F2BFF">
              <w:rPr>
                <w:rFonts w:ascii="Times New Roman" w:hAnsi="Times New Roman"/>
                <w:sz w:val="15"/>
              </w:rPr>
              <w:t>Temporal variability and reversibility of fouling</w:t>
            </w:r>
          </w:p>
        </w:tc>
        <w:tc>
          <w:tcPr>
            <w:tcW w:w="1728" w:type="dxa"/>
            <w:shd w:val="clear" w:color="auto" w:fill="FFFFFF"/>
            <w:tcMar>
              <w:top w:w="55" w:type="dxa"/>
              <w:left w:w="65" w:type="dxa"/>
              <w:bottom w:w="55" w:type="dxa"/>
              <w:right w:w="65" w:type="dxa"/>
            </w:tcMar>
            <w:vAlign w:val="center"/>
          </w:tcPr>
          <w:p w14:paraId="1A6E9491" w14:textId="77777777" w:rsidR="007868D8" w:rsidRPr="003F2BFF" w:rsidRDefault="00000000">
            <w:pPr>
              <w:pStyle w:val="Compact"/>
              <w:spacing w:before="0" w:after="30"/>
            </w:pPr>
            <w:r w:rsidRPr="003F2BFF">
              <w:rPr>
                <w:rFonts w:ascii="Times New Roman" w:hAnsi="Times New Roman"/>
                <w:sz w:val="15"/>
              </w:rPr>
              <w:t>(Michels et al., 2018)</w:t>
            </w:r>
          </w:p>
        </w:tc>
      </w:tr>
      <w:tr w:rsidR="003F2BFF" w:rsidRPr="003F2BFF" w14:paraId="13A5DBD2" w14:textId="77777777" w:rsidTr="007868D8">
        <w:trPr>
          <w:jc w:val="center"/>
        </w:trPr>
        <w:tc>
          <w:tcPr>
            <w:tcW w:w="1238" w:type="dxa"/>
            <w:shd w:val="clear" w:color="auto" w:fill="FFFFFF"/>
            <w:tcMar>
              <w:top w:w="55" w:type="dxa"/>
              <w:left w:w="65" w:type="dxa"/>
              <w:bottom w:w="55" w:type="dxa"/>
              <w:right w:w="65" w:type="dxa"/>
            </w:tcMar>
            <w:vAlign w:val="center"/>
          </w:tcPr>
          <w:p w14:paraId="67853FB8" w14:textId="77777777" w:rsidR="007868D8" w:rsidRPr="003F2BFF" w:rsidRDefault="00000000">
            <w:pPr>
              <w:pStyle w:val="Compact"/>
              <w:spacing w:before="0" w:after="30"/>
            </w:pPr>
            <w:r w:rsidRPr="003F2BFF">
              <w:rPr>
                <w:rFonts w:ascii="Times New Roman" w:hAnsi="Times New Roman"/>
                <w:sz w:val="15"/>
              </w:rPr>
              <w:t>Aggregation with biogenic/mineral matter</w:t>
            </w:r>
          </w:p>
        </w:tc>
        <w:tc>
          <w:tcPr>
            <w:tcW w:w="1843" w:type="dxa"/>
            <w:shd w:val="clear" w:color="auto" w:fill="FFFFFF"/>
            <w:tcMar>
              <w:top w:w="55" w:type="dxa"/>
              <w:left w:w="65" w:type="dxa"/>
              <w:bottom w:w="55" w:type="dxa"/>
              <w:right w:w="65" w:type="dxa"/>
            </w:tcMar>
            <w:vAlign w:val="center"/>
          </w:tcPr>
          <w:p w14:paraId="7DEA6A6E" w14:textId="77777777" w:rsidR="007868D8" w:rsidRPr="003F2BFF" w:rsidRDefault="00000000">
            <w:pPr>
              <w:pStyle w:val="Compact"/>
              <w:spacing w:before="0" w:after="30"/>
            </w:pPr>
            <w:r w:rsidRPr="003F2BFF">
              <w:rPr>
                <w:rFonts w:ascii="Times New Roman" w:hAnsi="Times New Roman"/>
                <w:sz w:val="15"/>
              </w:rPr>
              <w:t>Forms denser aggregates and enhances downward transport</w:t>
            </w:r>
          </w:p>
        </w:tc>
        <w:tc>
          <w:tcPr>
            <w:tcW w:w="1843" w:type="dxa"/>
            <w:shd w:val="clear" w:color="auto" w:fill="FFFFFF"/>
            <w:tcMar>
              <w:top w:w="55" w:type="dxa"/>
              <w:left w:w="65" w:type="dxa"/>
              <w:bottom w:w="55" w:type="dxa"/>
              <w:right w:w="65" w:type="dxa"/>
            </w:tcMar>
            <w:vAlign w:val="center"/>
          </w:tcPr>
          <w:p w14:paraId="2501F014" w14:textId="77777777" w:rsidR="007868D8" w:rsidRPr="003F2BFF" w:rsidRDefault="00000000">
            <w:pPr>
              <w:pStyle w:val="Compact"/>
              <w:spacing w:before="0" w:after="30"/>
            </w:pPr>
            <w:r w:rsidRPr="003F2BFF">
              <w:rPr>
                <w:rFonts w:ascii="Times New Roman" w:hAnsi="Times New Roman"/>
                <w:sz w:val="15"/>
              </w:rPr>
              <w:t>Organic particles, minerals, extracellular polymers and turbulence</w:t>
            </w:r>
          </w:p>
        </w:tc>
        <w:tc>
          <w:tcPr>
            <w:tcW w:w="2059" w:type="dxa"/>
            <w:shd w:val="clear" w:color="auto" w:fill="FFFFFF"/>
            <w:tcMar>
              <w:top w:w="55" w:type="dxa"/>
              <w:left w:w="65" w:type="dxa"/>
              <w:bottom w:w="55" w:type="dxa"/>
              <w:right w:w="65" w:type="dxa"/>
            </w:tcMar>
            <w:vAlign w:val="center"/>
          </w:tcPr>
          <w:p w14:paraId="5663FB51" w14:textId="77777777" w:rsidR="007868D8" w:rsidRPr="003F2BFF" w:rsidRDefault="00000000">
            <w:pPr>
              <w:pStyle w:val="Compact"/>
              <w:spacing w:before="0" w:after="30"/>
            </w:pPr>
            <w:r w:rsidRPr="003F2BFF">
              <w:rPr>
                <w:rFonts w:ascii="Times New Roman" w:hAnsi="Times New Roman"/>
                <w:sz w:val="15"/>
              </w:rPr>
              <w:t>Transfers particles toward sediments and benthic exposure</w:t>
            </w:r>
          </w:p>
        </w:tc>
        <w:tc>
          <w:tcPr>
            <w:tcW w:w="1512" w:type="dxa"/>
            <w:shd w:val="clear" w:color="auto" w:fill="FFFFFF"/>
            <w:tcMar>
              <w:top w:w="55" w:type="dxa"/>
              <w:left w:w="65" w:type="dxa"/>
              <w:bottom w:w="55" w:type="dxa"/>
              <w:right w:w="65" w:type="dxa"/>
            </w:tcMar>
            <w:vAlign w:val="center"/>
          </w:tcPr>
          <w:p w14:paraId="54AD3A47" w14:textId="77777777" w:rsidR="007868D8" w:rsidRPr="003F2BFF" w:rsidRDefault="00000000">
            <w:pPr>
              <w:pStyle w:val="Compact"/>
              <w:spacing w:before="0" w:after="30"/>
            </w:pPr>
            <w:r w:rsidRPr="003F2BFF">
              <w:rPr>
                <w:rFonts w:ascii="Times New Roman" w:hAnsi="Times New Roman"/>
                <w:sz w:val="15"/>
              </w:rPr>
              <w:t>Aggregate break-up and particle release rates</w:t>
            </w:r>
          </w:p>
        </w:tc>
        <w:tc>
          <w:tcPr>
            <w:tcW w:w="1728" w:type="dxa"/>
            <w:shd w:val="clear" w:color="auto" w:fill="FFFFFF"/>
            <w:tcMar>
              <w:top w:w="55" w:type="dxa"/>
              <w:left w:w="65" w:type="dxa"/>
              <w:bottom w:w="55" w:type="dxa"/>
              <w:right w:w="65" w:type="dxa"/>
            </w:tcMar>
            <w:vAlign w:val="center"/>
          </w:tcPr>
          <w:p w14:paraId="14A18632" w14:textId="77777777" w:rsidR="007868D8" w:rsidRPr="003F2BFF" w:rsidRDefault="00000000">
            <w:pPr>
              <w:pStyle w:val="Compact"/>
              <w:spacing w:before="0" w:after="30"/>
            </w:pPr>
            <w:r w:rsidRPr="003F2BFF">
              <w:rPr>
                <w:rFonts w:ascii="Times New Roman" w:hAnsi="Times New Roman"/>
                <w:sz w:val="15"/>
              </w:rPr>
              <w:t>(Michels et al., 2018)</w:t>
            </w:r>
          </w:p>
        </w:tc>
      </w:tr>
      <w:tr w:rsidR="003F2BFF" w:rsidRPr="003F2BFF" w14:paraId="486FAEC8" w14:textId="77777777" w:rsidTr="007868D8">
        <w:trPr>
          <w:jc w:val="center"/>
        </w:trPr>
        <w:tc>
          <w:tcPr>
            <w:tcW w:w="1238" w:type="dxa"/>
            <w:shd w:val="clear" w:color="auto" w:fill="FFFFFF"/>
            <w:tcMar>
              <w:top w:w="55" w:type="dxa"/>
              <w:left w:w="65" w:type="dxa"/>
              <w:bottom w:w="55" w:type="dxa"/>
              <w:right w:w="65" w:type="dxa"/>
            </w:tcMar>
            <w:vAlign w:val="center"/>
          </w:tcPr>
          <w:p w14:paraId="5CEECED8" w14:textId="77777777" w:rsidR="007868D8" w:rsidRPr="003F2BFF" w:rsidRDefault="00000000">
            <w:pPr>
              <w:pStyle w:val="Compact"/>
              <w:spacing w:before="0" w:after="30"/>
            </w:pPr>
            <w:r w:rsidRPr="003F2BFF">
              <w:rPr>
                <w:rFonts w:ascii="Times New Roman" w:hAnsi="Times New Roman"/>
                <w:sz w:val="15"/>
              </w:rPr>
              <w:t>Sedimentation and resuspension</w:t>
            </w:r>
          </w:p>
        </w:tc>
        <w:tc>
          <w:tcPr>
            <w:tcW w:w="1843" w:type="dxa"/>
            <w:shd w:val="clear" w:color="auto" w:fill="FFFFFF"/>
            <w:tcMar>
              <w:top w:w="55" w:type="dxa"/>
              <w:left w:w="65" w:type="dxa"/>
              <w:bottom w:w="55" w:type="dxa"/>
              <w:right w:w="65" w:type="dxa"/>
            </w:tcMar>
            <w:vAlign w:val="center"/>
          </w:tcPr>
          <w:p w14:paraId="50822037" w14:textId="77777777" w:rsidR="007868D8" w:rsidRPr="003F2BFF" w:rsidRDefault="00000000">
            <w:pPr>
              <w:pStyle w:val="Compact"/>
              <w:spacing w:before="0" w:after="30"/>
            </w:pPr>
            <w:r w:rsidRPr="003F2BFF">
              <w:rPr>
                <w:rFonts w:ascii="Times New Roman" w:hAnsi="Times New Roman"/>
                <w:sz w:val="15"/>
              </w:rPr>
              <w:t>Stores particles temporarily and returns them to the water column</w:t>
            </w:r>
          </w:p>
        </w:tc>
        <w:tc>
          <w:tcPr>
            <w:tcW w:w="1843" w:type="dxa"/>
            <w:shd w:val="clear" w:color="auto" w:fill="FFFFFF"/>
            <w:tcMar>
              <w:top w:w="55" w:type="dxa"/>
              <w:left w:w="65" w:type="dxa"/>
              <w:bottom w:w="55" w:type="dxa"/>
              <w:right w:w="65" w:type="dxa"/>
            </w:tcMar>
            <w:vAlign w:val="center"/>
          </w:tcPr>
          <w:p w14:paraId="2B1ABF77" w14:textId="77777777" w:rsidR="007868D8" w:rsidRPr="003F2BFF" w:rsidRDefault="00000000">
            <w:pPr>
              <w:pStyle w:val="Compact"/>
              <w:spacing w:before="0" w:after="30"/>
            </w:pPr>
            <w:r w:rsidRPr="003F2BFF">
              <w:rPr>
                <w:rFonts w:ascii="Times New Roman" w:hAnsi="Times New Roman"/>
                <w:sz w:val="15"/>
              </w:rPr>
              <w:t>Density, bed shear stress, storms, dredging and bioturbation</w:t>
            </w:r>
          </w:p>
        </w:tc>
        <w:tc>
          <w:tcPr>
            <w:tcW w:w="2059" w:type="dxa"/>
            <w:shd w:val="clear" w:color="auto" w:fill="FFFFFF"/>
            <w:tcMar>
              <w:top w:w="55" w:type="dxa"/>
              <w:left w:w="65" w:type="dxa"/>
              <w:bottom w:w="55" w:type="dxa"/>
              <w:right w:w="65" w:type="dxa"/>
            </w:tcMar>
            <w:vAlign w:val="center"/>
          </w:tcPr>
          <w:p w14:paraId="3C2FF7C5" w14:textId="77777777" w:rsidR="007868D8" w:rsidRPr="003F2BFF" w:rsidRDefault="00000000">
            <w:pPr>
              <w:pStyle w:val="Compact"/>
              <w:spacing w:before="0" w:after="30"/>
            </w:pPr>
            <w:r w:rsidRPr="003F2BFF">
              <w:rPr>
                <w:rFonts w:ascii="Times New Roman" w:hAnsi="Times New Roman"/>
                <w:sz w:val="15"/>
              </w:rPr>
              <w:t>Sediments integrate exposure but are not necessarily permanent sinks</w:t>
            </w:r>
          </w:p>
        </w:tc>
        <w:tc>
          <w:tcPr>
            <w:tcW w:w="1512" w:type="dxa"/>
            <w:shd w:val="clear" w:color="auto" w:fill="FFFFFF"/>
            <w:tcMar>
              <w:top w:w="55" w:type="dxa"/>
              <w:left w:w="65" w:type="dxa"/>
              <w:bottom w:w="55" w:type="dxa"/>
              <w:right w:w="65" w:type="dxa"/>
            </w:tcMar>
            <w:vAlign w:val="center"/>
          </w:tcPr>
          <w:p w14:paraId="17411B9B" w14:textId="77777777" w:rsidR="007868D8" w:rsidRPr="003F2BFF" w:rsidRDefault="00000000">
            <w:pPr>
              <w:pStyle w:val="Compact"/>
              <w:spacing w:before="0" w:after="30"/>
            </w:pPr>
            <w:r w:rsidRPr="003F2BFF">
              <w:rPr>
                <w:rFonts w:ascii="Times New Roman" w:hAnsi="Times New Roman"/>
                <w:sz w:val="15"/>
              </w:rPr>
              <w:t xml:space="preserve">Burial versus repeated </w:t>
            </w:r>
            <w:proofErr w:type="spellStart"/>
            <w:r w:rsidRPr="003F2BFF">
              <w:rPr>
                <w:rFonts w:ascii="Times New Roman" w:hAnsi="Times New Roman"/>
                <w:sz w:val="15"/>
              </w:rPr>
              <w:t>remobilisation</w:t>
            </w:r>
            <w:proofErr w:type="spellEnd"/>
          </w:p>
        </w:tc>
        <w:tc>
          <w:tcPr>
            <w:tcW w:w="1728" w:type="dxa"/>
            <w:shd w:val="clear" w:color="auto" w:fill="FFFFFF"/>
            <w:tcMar>
              <w:top w:w="55" w:type="dxa"/>
              <w:left w:w="65" w:type="dxa"/>
              <w:bottom w:w="55" w:type="dxa"/>
              <w:right w:w="65" w:type="dxa"/>
            </w:tcMar>
            <w:vAlign w:val="center"/>
          </w:tcPr>
          <w:p w14:paraId="37CCD762" w14:textId="77777777" w:rsidR="007868D8" w:rsidRPr="003F2BFF" w:rsidRDefault="00000000">
            <w:pPr>
              <w:pStyle w:val="Compact"/>
              <w:spacing w:before="0" w:after="30"/>
            </w:pPr>
            <w:r w:rsidRPr="003F2BFF">
              <w:rPr>
                <w:rFonts w:ascii="Times New Roman" w:hAnsi="Times New Roman"/>
                <w:sz w:val="15"/>
              </w:rPr>
              <w:t>(Chanda et al., 2024; Jiang et al., 2024)</w:t>
            </w:r>
          </w:p>
        </w:tc>
      </w:tr>
      <w:tr w:rsidR="003F2BFF" w:rsidRPr="003F2BFF" w14:paraId="10B7E8A3" w14:textId="77777777" w:rsidTr="007868D8">
        <w:trPr>
          <w:jc w:val="center"/>
        </w:trPr>
        <w:tc>
          <w:tcPr>
            <w:tcW w:w="1238" w:type="dxa"/>
            <w:shd w:val="clear" w:color="auto" w:fill="FFFFFF"/>
            <w:tcMar>
              <w:top w:w="55" w:type="dxa"/>
              <w:left w:w="65" w:type="dxa"/>
              <w:bottom w:w="55" w:type="dxa"/>
              <w:right w:w="65" w:type="dxa"/>
            </w:tcMar>
            <w:vAlign w:val="center"/>
          </w:tcPr>
          <w:p w14:paraId="7F9102DF" w14:textId="77777777" w:rsidR="007868D8" w:rsidRPr="003F2BFF" w:rsidRDefault="00000000">
            <w:pPr>
              <w:pStyle w:val="Compact"/>
              <w:spacing w:before="0" w:after="30"/>
            </w:pPr>
            <w:r w:rsidRPr="003F2BFF">
              <w:rPr>
                <w:rFonts w:ascii="Times New Roman" w:hAnsi="Times New Roman"/>
                <w:sz w:val="15"/>
              </w:rPr>
              <w:t>Weathering and fragmentation</w:t>
            </w:r>
          </w:p>
        </w:tc>
        <w:tc>
          <w:tcPr>
            <w:tcW w:w="1843" w:type="dxa"/>
            <w:shd w:val="clear" w:color="auto" w:fill="FFFFFF"/>
            <w:tcMar>
              <w:top w:w="55" w:type="dxa"/>
              <w:left w:w="65" w:type="dxa"/>
              <w:bottom w:w="55" w:type="dxa"/>
              <w:right w:w="65" w:type="dxa"/>
            </w:tcMar>
            <w:vAlign w:val="center"/>
          </w:tcPr>
          <w:p w14:paraId="79282B81" w14:textId="77777777" w:rsidR="007868D8" w:rsidRPr="003F2BFF" w:rsidRDefault="00000000">
            <w:pPr>
              <w:pStyle w:val="Compact"/>
              <w:spacing w:before="0" w:after="30"/>
            </w:pPr>
            <w:r w:rsidRPr="003F2BFF">
              <w:rPr>
                <w:rFonts w:ascii="Times New Roman" w:hAnsi="Times New Roman"/>
                <w:sz w:val="15"/>
              </w:rPr>
              <w:t>Alters size, roughness and surface chemistry</w:t>
            </w:r>
          </w:p>
        </w:tc>
        <w:tc>
          <w:tcPr>
            <w:tcW w:w="1843" w:type="dxa"/>
            <w:shd w:val="clear" w:color="auto" w:fill="FFFFFF"/>
            <w:tcMar>
              <w:top w:w="55" w:type="dxa"/>
              <w:left w:w="65" w:type="dxa"/>
              <w:bottom w:w="55" w:type="dxa"/>
              <w:right w:w="65" w:type="dxa"/>
            </w:tcMar>
            <w:vAlign w:val="center"/>
          </w:tcPr>
          <w:p w14:paraId="1519F5DE" w14:textId="77777777" w:rsidR="007868D8" w:rsidRPr="003F2BFF" w:rsidRDefault="00000000">
            <w:pPr>
              <w:pStyle w:val="Compact"/>
              <w:spacing w:before="0" w:after="30"/>
            </w:pPr>
            <w:r w:rsidRPr="003F2BFF">
              <w:rPr>
                <w:rFonts w:ascii="Times New Roman" w:hAnsi="Times New Roman"/>
                <w:sz w:val="15"/>
              </w:rPr>
              <w:t>UV radiation, oxidation, abrasion, temperature and residence time</w:t>
            </w:r>
          </w:p>
        </w:tc>
        <w:tc>
          <w:tcPr>
            <w:tcW w:w="2059" w:type="dxa"/>
            <w:shd w:val="clear" w:color="auto" w:fill="FFFFFF"/>
            <w:tcMar>
              <w:top w:w="55" w:type="dxa"/>
              <w:left w:w="65" w:type="dxa"/>
              <w:bottom w:w="55" w:type="dxa"/>
              <w:right w:w="65" w:type="dxa"/>
            </w:tcMar>
            <w:vAlign w:val="center"/>
          </w:tcPr>
          <w:p w14:paraId="1FF9FED2" w14:textId="77777777" w:rsidR="007868D8" w:rsidRPr="003F2BFF" w:rsidRDefault="00000000">
            <w:pPr>
              <w:pStyle w:val="Compact"/>
              <w:spacing w:before="0" w:after="30"/>
            </w:pPr>
            <w:r w:rsidRPr="003F2BFF">
              <w:rPr>
                <w:rFonts w:ascii="Times New Roman" w:hAnsi="Times New Roman"/>
                <w:sz w:val="15"/>
              </w:rPr>
              <w:t>Changes detectability, transport and biological interaction</w:t>
            </w:r>
          </w:p>
        </w:tc>
        <w:tc>
          <w:tcPr>
            <w:tcW w:w="1512" w:type="dxa"/>
            <w:shd w:val="clear" w:color="auto" w:fill="FFFFFF"/>
            <w:tcMar>
              <w:top w:w="55" w:type="dxa"/>
              <w:left w:w="65" w:type="dxa"/>
              <w:bottom w:w="55" w:type="dxa"/>
              <w:right w:w="65" w:type="dxa"/>
            </w:tcMar>
            <w:vAlign w:val="center"/>
          </w:tcPr>
          <w:p w14:paraId="54B18878" w14:textId="77777777" w:rsidR="007868D8" w:rsidRPr="003F2BFF" w:rsidRDefault="00000000">
            <w:pPr>
              <w:pStyle w:val="Compact"/>
              <w:spacing w:before="0" w:after="30"/>
            </w:pPr>
            <w:r w:rsidRPr="003F2BFF">
              <w:rPr>
                <w:rFonts w:ascii="Times New Roman" w:hAnsi="Times New Roman"/>
                <w:sz w:val="15"/>
              </w:rPr>
              <w:t>Field rates across polymers and climates</w:t>
            </w:r>
          </w:p>
        </w:tc>
        <w:tc>
          <w:tcPr>
            <w:tcW w:w="1728" w:type="dxa"/>
            <w:shd w:val="clear" w:color="auto" w:fill="FFFFFF"/>
            <w:tcMar>
              <w:top w:w="55" w:type="dxa"/>
              <w:left w:w="65" w:type="dxa"/>
              <w:bottom w:w="55" w:type="dxa"/>
              <w:right w:w="65" w:type="dxa"/>
            </w:tcMar>
            <w:vAlign w:val="center"/>
          </w:tcPr>
          <w:p w14:paraId="39CD36B1" w14:textId="77777777" w:rsidR="007868D8" w:rsidRPr="003F2BFF" w:rsidRDefault="00000000">
            <w:pPr>
              <w:pStyle w:val="Compact"/>
              <w:spacing w:before="0" w:after="30"/>
            </w:pPr>
            <w:r w:rsidRPr="003F2BFF">
              <w:rPr>
                <w:rFonts w:ascii="Times New Roman" w:hAnsi="Times New Roman"/>
                <w:sz w:val="15"/>
              </w:rPr>
              <w:t>(Chanda et al., 2024; Li &amp; Meng, 2025)</w:t>
            </w:r>
          </w:p>
        </w:tc>
      </w:tr>
      <w:tr w:rsidR="003F2BFF" w:rsidRPr="003F2BFF" w14:paraId="4070445F" w14:textId="77777777" w:rsidTr="007868D8">
        <w:trPr>
          <w:jc w:val="center"/>
        </w:trPr>
        <w:tc>
          <w:tcPr>
            <w:tcW w:w="1238" w:type="dxa"/>
            <w:shd w:val="clear" w:color="auto" w:fill="FFFFFF"/>
            <w:tcMar>
              <w:top w:w="55" w:type="dxa"/>
              <w:left w:w="65" w:type="dxa"/>
              <w:bottom w:w="55" w:type="dxa"/>
              <w:right w:w="65" w:type="dxa"/>
            </w:tcMar>
            <w:vAlign w:val="center"/>
          </w:tcPr>
          <w:p w14:paraId="7A6481DD" w14:textId="77777777" w:rsidR="007868D8" w:rsidRPr="003F2BFF" w:rsidRDefault="00000000">
            <w:pPr>
              <w:pStyle w:val="Compact"/>
              <w:spacing w:before="0" w:after="30"/>
            </w:pPr>
            <w:r w:rsidRPr="003F2BFF">
              <w:rPr>
                <w:rFonts w:ascii="Times New Roman" w:hAnsi="Times New Roman"/>
                <w:sz w:val="15"/>
              </w:rPr>
              <w:t>Atmospheric deposition</w:t>
            </w:r>
          </w:p>
        </w:tc>
        <w:tc>
          <w:tcPr>
            <w:tcW w:w="1843" w:type="dxa"/>
            <w:shd w:val="clear" w:color="auto" w:fill="FFFFFF"/>
            <w:tcMar>
              <w:top w:w="55" w:type="dxa"/>
              <w:left w:w="65" w:type="dxa"/>
              <w:bottom w:w="55" w:type="dxa"/>
              <w:right w:w="65" w:type="dxa"/>
            </w:tcMar>
            <w:vAlign w:val="center"/>
          </w:tcPr>
          <w:p w14:paraId="7CD6F484" w14:textId="77777777" w:rsidR="007868D8" w:rsidRPr="003F2BFF" w:rsidRDefault="00000000">
            <w:pPr>
              <w:pStyle w:val="Compact"/>
              <w:spacing w:before="0" w:after="30"/>
            </w:pPr>
            <w:r w:rsidRPr="003F2BFF">
              <w:rPr>
                <w:rFonts w:ascii="Times New Roman" w:hAnsi="Times New Roman"/>
                <w:sz w:val="15"/>
              </w:rPr>
              <w:t>Transfers particles beyond watershed boundaries</w:t>
            </w:r>
          </w:p>
        </w:tc>
        <w:tc>
          <w:tcPr>
            <w:tcW w:w="1843" w:type="dxa"/>
            <w:shd w:val="clear" w:color="auto" w:fill="FFFFFF"/>
            <w:tcMar>
              <w:top w:w="55" w:type="dxa"/>
              <w:left w:w="65" w:type="dxa"/>
              <w:bottom w:w="55" w:type="dxa"/>
              <w:right w:w="65" w:type="dxa"/>
            </w:tcMar>
            <w:vAlign w:val="center"/>
          </w:tcPr>
          <w:p w14:paraId="5D6F6842" w14:textId="77777777" w:rsidR="007868D8" w:rsidRPr="003F2BFF" w:rsidRDefault="00000000">
            <w:pPr>
              <w:pStyle w:val="Compact"/>
              <w:spacing w:before="0" w:after="30"/>
            </w:pPr>
            <w:r w:rsidRPr="003F2BFF">
              <w:rPr>
                <w:rFonts w:ascii="Times New Roman" w:hAnsi="Times New Roman"/>
                <w:sz w:val="15"/>
              </w:rPr>
              <w:t>Wind, particle aerodynamics, precipitation and source geography</w:t>
            </w:r>
          </w:p>
        </w:tc>
        <w:tc>
          <w:tcPr>
            <w:tcW w:w="2059" w:type="dxa"/>
            <w:shd w:val="clear" w:color="auto" w:fill="FFFFFF"/>
            <w:tcMar>
              <w:top w:w="55" w:type="dxa"/>
              <w:left w:w="65" w:type="dxa"/>
              <w:bottom w:w="55" w:type="dxa"/>
              <w:right w:w="65" w:type="dxa"/>
            </w:tcMar>
            <w:vAlign w:val="center"/>
          </w:tcPr>
          <w:p w14:paraId="15FF9301" w14:textId="77777777" w:rsidR="007868D8" w:rsidRPr="003F2BFF" w:rsidRDefault="00000000">
            <w:pPr>
              <w:pStyle w:val="Compact"/>
              <w:spacing w:before="0" w:after="30"/>
            </w:pPr>
            <w:r w:rsidRPr="003F2BFF">
              <w:rPr>
                <w:rFonts w:ascii="Times New Roman" w:hAnsi="Times New Roman"/>
                <w:sz w:val="15"/>
              </w:rPr>
              <w:t>Remote waters can receive non-local particles</w:t>
            </w:r>
          </w:p>
        </w:tc>
        <w:tc>
          <w:tcPr>
            <w:tcW w:w="1512" w:type="dxa"/>
            <w:shd w:val="clear" w:color="auto" w:fill="FFFFFF"/>
            <w:tcMar>
              <w:top w:w="55" w:type="dxa"/>
              <w:left w:w="65" w:type="dxa"/>
              <w:bottom w:w="55" w:type="dxa"/>
              <w:right w:w="65" w:type="dxa"/>
            </w:tcMar>
            <w:vAlign w:val="center"/>
          </w:tcPr>
          <w:p w14:paraId="08B75DD7" w14:textId="77777777" w:rsidR="007868D8" w:rsidRPr="003F2BFF" w:rsidRDefault="00000000">
            <w:pPr>
              <w:pStyle w:val="Compact"/>
              <w:spacing w:before="0" w:after="30"/>
            </w:pPr>
            <w:r w:rsidRPr="003F2BFF">
              <w:rPr>
                <w:rFonts w:ascii="Times New Roman" w:hAnsi="Times New Roman"/>
                <w:sz w:val="15"/>
              </w:rPr>
              <w:t>Magnitude of bidirectional air–water exchange</w:t>
            </w:r>
          </w:p>
        </w:tc>
        <w:tc>
          <w:tcPr>
            <w:tcW w:w="1728" w:type="dxa"/>
            <w:shd w:val="clear" w:color="auto" w:fill="FFFFFF"/>
            <w:tcMar>
              <w:top w:w="55" w:type="dxa"/>
              <w:left w:w="65" w:type="dxa"/>
              <w:bottom w:w="55" w:type="dxa"/>
              <w:right w:w="65" w:type="dxa"/>
            </w:tcMar>
            <w:vAlign w:val="center"/>
          </w:tcPr>
          <w:p w14:paraId="7D97B7BA" w14:textId="77777777" w:rsidR="007868D8" w:rsidRPr="003F2BFF" w:rsidRDefault="00000000">
            <w:pPr>
              <w:pStyle w:val="Compact"/>
              <w:spacing w:before="0" w:after="30"/>
            </w:pPr>
            <w:r w:rsidRPr="003F2BFF">
              <w:rPr>
                <w:rFonts w:ascii="Times New Roman" w:hAnsi="Times New Roman"/>
                <w:sz w:val="15"/>
              </w:rPr>
              <w:t xml:space="preserve">(Allen et al., 2019; </w:t>
            </w:r>
            <w:proofErr w:type="spellStart"/>
            <w:r w:rsidRPr="003F2BFF">
              <w:rPr>
                <w:rFonts w:ascii="Times New Roman" w:hAnsi="Times New Roman"/>
                <w:sz w:val="15"/>
              </w:rPr>
              <w:t>Evangeliou</w:t>
            </w:r>
            <w:proofErr w:type="spellEnd"/>
            <w:r w:rsidRPr="003F2BFF">
              <w:rPr>
                <w:rFonts w:ascii="Times New Roman" w:hAnsi="Times New Roman"/>
                <w:sz w:val="15"/>
              </w:rPr>
              <w:t xml:space="preserve"> et al., 2020)</w:t>
            </w:r>
          </w:p>
        </w:tc>
      </w:tr>
    </w:tbl>
    <w:p w14:paraId="2DFBB645"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Transport processes are reversible and particle-selective; no single compartment provides a complete estimate of aquatic exposure.</w:t>
      </w:r>
    </w:p>
    <w:p w14:paraId="2C8C5307" w14:textId="77777777" w:rsidR="007868D8" w:rsidRPr="003F2BFF" w:rsidRDefault="00000000">
      <w:pPr>
        <w:pStyle w:val="Heading1"/>
        <w:rPr>
          <w:color w:val="auto"/>
        </w:rPr>
      </w:pPr>
      <w:bookmarkStart w:id="25" w:name="X7150f83b74b0d423a918e893328442475538614"/>
      <w:bookmarkEnd w:id="19"/>
      <w:bookmarkEnd w:id="24"/>
      <w:r w:rsidRPr="003F2BFF">
        <w:rPr>
          <w:rFonts w:ascii="Times New Roman" w:hAnsi="Times New Roman"/>
          <w:color w:val="auto"/>
        </w:rPr>
        <w:t>6. Ecotoxicological Impacts and Mechanistic Interpretation</w:t>
      </w:r>
    </w:p>
    <w:p w14:paraId="1E5A04D8" w14:textId="77777777" w:rsidR="007868D8" w:rsidRPr="003F2BFF" w:rsidRDefault="00000000">
      <w:pPr>
        <w:pStyle w:val="Heading2"/>
        <w:rPr>
          <w:color w:val="auto"/>
        </w:rPr>
      </w:pPr>
      <w:bookmarkStart w:id="26" w:name="ingestion-retention-and-translocation"/>
      <w:r w:rsidRPr="003F2BFF">
        <w:rPr>
          <w:rFonts w:ascii="Times New Roman" w:hAnsi="Times New Roman"/>
          <w:color w:val="auto"/>
        </w:rPr>
        <w:t>6.1 Ingestion, Retention and Translocation</w:t>
      </w:r>
    </w:p>
    <w:p w14:paraId="7E788903" w14:textId="77777777" w:rsidR="007868D8" w:rsidRPr="003F2BFF" w:rsidRDefault="00000000">
      <w:pPr>
        <w:pStyle w:val="FirstParagraph"/>
        <w:spacing w:after="104" w:line="264" w:lineRule="auto"/>
        <w:jc w:val="both"/>
      </w:pPr>
      <w:r w:rsidRPr="003F2BFF">
        <w:rPr>
          <w:rFonts w:ascii="Times New Roman" w:hAnsi="Times New Roman"/>
          <w:sz w:val="22"/>
        </w:rPr>
        <w:t>Ingestion is among the most robust biological observations in the microplastics literature. Zooplankton, bivalves, crustaceans and fish can ingest particles that overlap with the size of natural food or suspended material (Browne et al., 2008; Cole et al., 2013). In mussels, early experimental work demonstrated movement of ingested microscopic plastic beyond the digestive tract into circulatory compartments (Browne et al., 2008). Such findings established biological accessibility but should not be conflated with chronic tissue accumulation. Retention depends on particle size, shape, gut passage, feeding strategy and depuration, and many ingested particles are egested.</w:t>
      </w:r>
    </w:p>
    <w:p w14:paraId="712D4148" w14:textId="77777777" w:rsidR="007868D8" w:rsidRPr="003F2BFF" w:rsidRDefault="00000000">
      <w:pPr>
        <w:pStyle w:val="BodyText"/>
        <w:spacing w:after="104" w:line="264" w:lineRule="auto"/>
        <w:jc w:val="both"/>
      </w:pPr>
      <w:r w:rsidRPr="003F2BFF">
        <w:rPr>
          <w:rFonts w:ascii="Times New Roman" w:hAnsi="Times New Roman"/>
          <w:sz w:val="22"/>
        </w:rPr>
        <w:t xml:space="preserve">Encounter probability is also selective. Filter feeders process large volumes of water and may accumulate particles on feeding structures, while deposit feeders interact strongly with sediment-associated material. Visual predators can ingest particles indirectly through prey. Small particles may cross epithelial barriers more readily than large fragments, but the analytical challenge increases as size decreases. Consequently, reports of tissue translocation carry greater evidentiary weight when polymer identity and </w:t>
      </w:r>
      <w:proofErr w:type="spellStart"/>
      <w:r w:rsidRPr="003F2BFF">
        <w:rPr>
          <w:rFonts w:ascii="Times New Roman" w:hAnsi="Times New Roman"/>
          <w:sz w:val="22"/>
        </w:rPr>
        <w:t>localisation</w:t>
      </w:r>
      <w:proofErr w:type="spellEnd"/>
      <w:r w:rsidRPr="003F2BFF">
        <w:rPr>
          <w:rFonts w:ascii="Times New Roman" w:hAnsi="Times New Roman"/>
          <w:sz w:val="22"/>
        </w:rPr>
        <w:t xml:space="preserve"> are confirmed rather than inferred from fluorescence alone.</w:t>
      </w:r>
    </w:p>
    <w:p w14:paraId="702E5779" w14:textId="77777777" w:rsidR="007868D8" w:rsidRPr="003F2BFF" w:rsidRDefault="00000000">
      <w:pPr>
        <w:pStyle w:val="BodyText"/>
        <w:spacing w:after="104" w:line="264" w:lineRule="auto"/>
        <w:jc w:val="both"/>
      </w:pPr>
      <w:r w:rsidRPr="003F2BFF">
        <w:rPr>
          <w:rFonts w:ascii="Times New Roman" w:hAnsi="Times New Roman"/>
          <w:sz w:val="22"/>
        </w:rPr>
        <w:t xml:space="preserve">The relationship between ingestion and effective dose is therefore organism specific. A particle passing rapidly through the gut may contribute a different exposure from a </w:t>
      </w:r>
      <w:proofErr w:type="spellStart"/>
      <w:r w:rsidRPr="003F2BFF">
        <w:rPr>
          <w:rFonts w:ascii="Times New Roman" w:hAnsi="Times New Roman"/>
          <w:sz w:val="22"/>
        </w:rPr>
        <w:t>fibre</w:t>
      </w:r>
      <w:proofErr w:type="spellEnd"/>
      <w:r w:rsidRPr="003F2BFF">
        <w:rPr>
          <w:rFonts w:ascii="Times New Roman" w:hAnsi="Times New Roman"/>
          <w:sz w:val="22"/>
        </w:rPr>
        <w:t xml:space="preserve"> retained on a feeding structure or a small particle translocated into tissue. Exposure studies should ideally report depuration and residence time, not merely the number of particles recovered immediately after exposure. The same distinction is essential in field surveys, where gut contents can reflect recent feeding rather than persistent accumulation. Without this temporal information, apparent interspecific differences in “burden” may simply reflect recent encounter rates.</w:t>
      </w:r>
    </w:p>
    <w:p w14:paraId="3CDEA196" w14:textId="77777777" w:rsidR="007868D8" w:rsidRPr="003F2BFF" w:rsidRDefault="00000000">
      <w:pPr>
        <w:pStyle w:val="Heading2"/>
        <w:rPr>
          <w:color w:val="auto"/>
        </w:rPr>
      </w:pPr>
      <w:bookmarkStart w:id="27" w:name="Xdee07f4fc8ee65a04eb36f83f6ea41a9cab0ad1"/>
      <w:bookmarkEnd w:id="26"/>
      <w:r w:rsidRPr="003F2BFF">
        <w:rPr>
          <w:rFonts w:ascii="Times New Roman" w:hAnsi="Times New Roman"/>
          <w:color w:val="auto"/>
        </w:rPr>
        <w:t>6.2 Feeding, Energy Balance, Growth and Reproduction</w:t>
      </w:r>
    </w:p>
    <w:p w14:paraId="43E9CF3C" w14:textId="77777777" w:rsidR="007868D8" w:rsidRPr="003F2BFF" w:rsidRDefault="00000000">
      <w:pPr>
        <w:pStyle w:val="FirstParagraph"/>
        <w:spacing w:after="104" w:line="264" w:lineRule="auto"/>
        <w:jc w:val="both"/>
      </w:pPr>
      <w:r w:rsidRPr="003F2BFF">
        <w:rPr>
          <w:rFonts w:ascii="Times New Roman" w:hAnsi="Times New Roman"/>
          <w:sz w:val="22"/>
        </w:rPr>
        <w:t xml:space="preserve">Microplastics can affect organisms through physical interference with feeding, false satiation, altered gut function and energetic costs, but effect magnitude varies substantially. Controlled studies have reported reduced feeding or altered energy allocation in some invertebrates and fish, while other experiments find limited responses at comparable or lower environmental concentrations. Meta-analytic synthesis across fish and aquatic invertebrates has </w:t>
      </w:r>
      <w:r w:rsidRPr="003F2BFF">
        <w:rPr>
          <w:rFonts w:ascii="Times New Roman" w:hAnsi="Times New Roman"/>
          <w:sz w:val="22"/>
        </w:rPr>
        <w:lastRenderedPageBreak/>
        <w:t>supported effects on several biological endpoints but also revealed strong heterogeneity among studies (Foley et al., 2018). The heterogeneity is scientifically informative: it suggests that biological response depends on particle properties and organismal ecology rather than on the presence of plastic alone.</w:t>
      </w:r>
    </w:p>
    <w:p w14:paraId="7BBFFF2B" w14:textId="77777777" w:rsidR="007868D8" w:rsidRPr="003F2BFF" w:rsidRDefault="00000000">
      <w:pPr>
        <w:pStyle w:val="BodyText"/>
        <w:spacing w:after="104" w:line="264" w:lineRule="auto"/>
        <w:jc w:val="both"/>
      </w:pPr>
      <w:r w:rsidRPr="003F2BFF">
        <w:rPr>
          <w:rFonts w:ascii="Times New Roman" w:hAnsi="Times New Roman"/>
          <w:sz w:val="22"/>
        </w:rPr>
        <w:t>Reproduction provides a useful example of both evidence strength and extrapolation limits. Long-term exposure of Pacific oysters to small polystyrene microplastics produced measurable reproductive and physiological changes under controlled conditions (</w:t>
      </w:r>
      <w:proofErr w:type="spellStart"/>
      <w:r w:rsidRPr="003F2BFF">
        <w:rPr>
          <w:rFonts w:ascii="Times New Roman" w:hAnsi="Times New Roman"/>
          <w:sz w:val="22"/>
        </w:rPr>
        <w:t>Sussarellu</w:t>
      </w:r>
      <w:proofErr w:type="spellEnd"/>
      <w:r w:rsidRPr="003F2BFF">
        <w:rPr>
          <w:rFonts w:ascii="Times New Roman" w:hAnsi="Times New Roman"/>
          <w:sz w:val="22"/>
        </w:rPr>
        <w:t xml:space="preserve"> et al., 2016). The experiment is important because it links particle exposure to a fitness-relevant endpoint, but </w:t>
      </w:r>
      <w:proofErr w:type="gramStart"/>
      <w:r w:rsidRPr="003F2BFF">
        <w:rPr>
          <w:rFonts w:ascii="Times New Roman" w:hAnsi="Times New Roman"/>
          <w:sz w:val="22"/>
        </w:rPr>
        <w:t>its</w:t>
      </w:r>
      <w:proofErr w:type="gramEnd"/>
      <w:r w:rsidRPr="003F2BFF">
        <w:rPr>
          <w:rFonts w:ascii="Times New Roman" w:hAnsi="Times New Roman"/>
          <w:sz w:val="22"/>
        </w:rPr>
        <w:t xml:space="preserve"> monodisperse material and controlled exposure cannot represent the full diversity of environmental particles. A risk assessment should therefore ask whether comparable particle sizes, concentrations and exposure durations occur in the relevant habitat, rather than treating the demonstrated hazard as universal.</w:t>
      </w:r>
    </w:p>
    <w:p w14:paraId="0FAD14AD" w14:textId="77777777" w:rsidR="007868D8" w:rsidRPr="003F2BFF" w:rsidRDefault="00000000">
      <w:pPr>
        <w:pStyle w:val="BodyText"/>
        <w:spacing w:after="104" w:line="264" w:lineRule="auto"/>
        <w:jc w:val="both"/>
      </w:pPr>
      <w:r w:rsidRPr="003F2BFF">
        <w:rPr>
          <w:rFonts w:ascii="Times New Roman" w:hAnsi="Times New Roman"/>
          <w:sz w:val="22"/>
        </w:rPr>
        <w:t>For fish, laboratory exposure to polystyrene microplastics in zebrafish (</w:t>
      </w:r>
      <w:r w:rsidRPr="003F2BFF">
        <w:rPr>
          <w:rFonts w:ascii="Times New Roman" w:hAnsi="Times New Roman"/>
          <w:i/>
          <w:iCs/>
          <w:sz w:val="22"/>
        </w:rPr>
        <w:t>Danio rerio</w:t>
      </w:r>
      <w:r w:rsidRPr="003F2BFF">
        <w:rPr>
          <w:rFonts w:ascii="Times New Roman" w:hAnsi="Times New Roman"/>
          <w:sz w:val="22"/>
        </w:rPr>
        <w:t xml:space="preserve">) has demonstrated uptake together with hepatic oxidative and metabolic responses (Lu et al., 2016). Such studies support mechanistic plausibility for organ-level effects, yet their relevance depends on test-particle realism and dose. Recent review of freshwater fish evidence notes recurring findings involving oxidative stress, inflammation, metabolism and </w:t>
      </w:r>
      <w:proofErr w:type="spellStart"/>
      <w:r w:rsidRPr="003F2BFF">
        <w:rPr>
          <w:rFonts w:ascii="Times New Roman" w:hAnsi="Times New Roman"/>
          <w:sz w:val="22"/>
        </w:rPr>
        <w:t>behaviour</w:t>
      </w:r>
      <w:proofErr w:type="spellEnd"/>
      <w:r w:rsidRPr="003F2BFF">
        <w:rPr>
          <w:rFonts w:ascii="Times New Roman" w:hAnsi="Times New Roman"/>
          <w:sz w:val="22"/>
        </w:rPr>
        <w:t>, but also major variation in species, polymer, particle size and experimental concentration (Ghosh et al., 2025). The weight of evidence therefore supports conditional biological effects rather than a single concentration–response relationship applicable to all ecosystems.</w:t>
      </w:r>
    </w:p>
    <w:p w14:paraId="7DFEF4A8" w14:textId="77777777" w:rsidR="007868D8" w:rsidRPr="003F2BFF" w:rsidRDefault="00000000">
      <w:pPr>
        <w:pStyle w:val="BodyText"/>
        <w:spacing w:after="104" w:line="264" w:lineRule="auto"/>
        <w:jc w:val="both"/>
      </w:pPr>
      <w:r w:rsidRPr="003F2BFF">
        <w:rPr>
          <w:rFonts w:ascii="Times New Roman" w:hAnsi="Times New Roman"/>
          <w:sz w:val="22"/>
        </w:rPr>
        <w:t>Sublethal biomarkers deserve careful interpretation. Oxidative stress or altered enzyme activity may precede organism-level impairment, but biomarkers can also represent adaptive responses that do not translate into reduced survival or reproduction. Strong ecological inference requires evidence that molecular or cellular changes propagate to endpoints affecting fitness, population growth or community function. Conversely, absence of mortality in short experiments should not be taken as absence of chronic ecological effect. Life-stage sensitivity, reproductive timing and cumulative exposure can matter at concentrations below those producing acute toxicity.</w:t>
      </w:r>
    </w:p>
    <w:p w14:paraId="38FCB9A2" w14:textId="77777777" w:rsidR="007868D8" w:rsidRPr="003F2BFF" w:rsidRDefault="00000000">
      <w:pPr>
        <w:pStyle w:val="Heading2"/>
        <w:rPr>
          <w:color w:val="auto"/>
        </w:rPr>
      </w:pPr>
      <w:bookmarkStart w:id="28" w:name="X52293db801fbd2801daaedffb43e18a64d320e2"/>
      <w:bookmarkEnd w:id="27"/>
      <w:r w:rsidRPr="003F2BFF">
        <w:rPr>
          <w:rFonts w:ascii="Times New Roman" w:hAnsi="Times New Roman"/>
          <w:color w:val="auto"/>
        </w:rPr>
        <w:t>6.3 Particle Traits, Dose and Experimental Realism</w:t>
      </w:r>
    </w:p>
    <w:p w14:paraId="526A4535" w14:textId="77777777" w:rsidR="007868D8" w:rsidRPr="003F2BFF" w:rsidRDefault="00000000">
      <w:pPr>
        <w:pStyle w:val="FirstParagraph"/>
        <w:spacing w:after="104" w:line="264" w:lineRule="auto"/>
        <w:jc w:val="both"/>
      </w:pPr>
      <w:r w:rsidRPr="003F2BFF">
        <w:rPr>
          <w:rFonts w:ascii="Times New Roman" w:hAnsi="Times New Roman"/>
          <w:sz w:val="22"/>
        </w:rPr>
        <w:t>Experimental realism remains the central limitation of microplastic ecotoxicology. Many studies use pristine polystyrene spheres because they are commercially available, size-</w:t>
      </w:r>
      <w:proofErr w:type="spellStart"/>
      <w:r w:rsidRPr="003F2BFF">
        <w:rPr>
          <w:rFonts w:ascii="Times New Roman" w:hAnsi="Times New Roman"/>
          <w:sz w:val="22"/>
        </w:rPr>
        <w:t>standardised</w:t>
      </w:r>
      <w:proofErr w:type="spellEnd"/>
      <w:r w:rsidRPr="003F2BFF">
        <w:rPr>
          <w:rFonts w:ascii="Times New Roman" w:hAnsi="Times New Roman"/>
          <w:sz w:val="22"/>
        </w:rPr>
        <w:t xml:space="preserve"> and readily fluorescently labelled. Environmental particles, by contrast, are often irregular fragments and </w:t>
      </w:r>
      <w:proofErr w:type="spellStart"/>
      <w:r w:rsidRPr="003F2BFF">
        <w:rPr>
          <w:rFonts w:ascii="Times New Roman" w:hAnsi="Times New Roman"/>
          <w:sz w:val="22"/>
        </w:rPr>
        <w:t>fibres</w:t>
      </w:r>
      <w:proofErr w:type="spellEnd"/>
      <w:r w:rsidRPr="003F2BFF">
        <w:rPr>
          <w:rFonts w:ascii="Times New Roman" w:hAnsi="Times New Roman"/>
          <w:sz w:val="22"/>
        </w:rPr>
        <w:t xml:space="preserve"> composed of multiple polymers and aged surfaces. Critical appraisal found substantial deficiencies in microplastic effect studies relevant to risk assessment, including incomplete particle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and weak correspondence between experimental and environmental exposure (de Ruijter et al., 2020). Earlier synthesis likewise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that many adverse-effect concentrations were above those commonly reported in the environment, although environmental measurements themselves may miss small particles (Burns &amp; Boxall, 2018).</w:t>
      </w:r>
    </w:p>
    <w:p w14:paraId="51EDD56C" w14:textId="77777777" w:rsidR="007868D8" w:rsidRPr="003F2BFF" w:rsidRDefault="00000000">
      <w:pPr>
        <w:pStyle w:val="BodyText"/>
        <w:spacing w:after="104" w:line="264" w:lineRule="auto"/>
        <w:jc w:val="both"/>
      </w:pPr>
      <w:r w:rsidRPr="003F2BFF">
        <w:rPr>
          <w:rFonts w:ascii="Times New Roman" w:hAnsi="Times New Roman"/>
          <w:sz w:val="22"/>
        </w:rPr>
        <w:t xml:space="preserve">The 2026 fish meta-analysis provides a useful advance because it explicitly examines how particle traits shape toxicity rather than treating concentration as the sole explanatory variable (Sacco et al., 2026). Its conclusion that traits matter is consistent with mechanism: smaller particles can increase particle number and potentially tissue access at a given mass; </w:t>
      </w:r>
      <w:proofErr w:type="spellStart"/>
      <w:r w:rsidRPr="003F2BFF">
        <w:rPr>
          <w:rFonts w:ascii="Times New Roman" w:hAnsi="Times New Roman"/>
          <w:sz w:val="22"/>
        </w:rPr>
        <w:t>fibres</w:t>
      </w:r>
      <w:proofErr w:type="spellEnd"/>
      <w:r w:rsidRPr="003F2BFF">
        <w:rPr>
          <w:rFonts w:ascii="Times New Roman" w:hAnsi="Times New Roman"/>
          <w:sz w:val="22"/>
        </w:rPr>
        <w:t xml:space="preserve"> differ in retention from spheres; and polymer or surface chemistry can influence additive release and cellular interactions. Yet meta-analysis cannot fully repair weaknesses in the underlying literature. Heterogeneous endpoint definitions, exposure durations and analytical descriptions can generate residual confounding between particle characteristics and study design. The practical implication is that future experiments should report a multidimensional exposure distribution and include environmentally sampled or realistically aged materials alongside reference particles.</w:t>
      </w:r>
    </w:p>
    <w:p w14:paraId="2C2181E7" w14:textId="77777777" w:rsidR="007868D8" w:rsidRPr="003F2BFF" w:rsidRDefault="00000000">
      <w:pPr>
        <w:pStyle w:val="BodyText"/>
        <w:spacing w:after="104" w:line="264" w:lineRule="auto"/>
        <w:jc w:val="both"/>
      </w:pPr>
      <w:r w:rsidRPr="003F2BFF">
        <w:rPr>
          <w:rFonts w:ascii="Times New Roman" w:hAnsi="Times New Roman"/>
          <w:sz w:val="22"/>
        </w:rPr>
        <w:t xml:space="preserve">Dose realism is not equivalent to choosing a single “environmental concentration”. Aquatic exposure varies spatially, temporally and by compartment, while organisms can experience local hotspots in sediments, wastewater plumes, biofilms or food items. Stronger designs should use distributions informed by the habitat and taxon of interest, including pulsed exposure where field hydrology creates pulses. They should also distinguish nominal from </w:t>
      </w:r>
      <w:r w:rsidRPr="003F2BFF">
        <w:rPr>
          <w:rFonts w:ascii="Times New Roman" w:hAnsi="Times New Roman"/>
          <w:sz w:val="22"/>
        </w:rPr>
        <w:lastRenderedPageBreak/>
        <w:t>measured concentration and account for settling, aggregation and particle loss during the experiment. Without such verification, the actual organism dose can differ substantially from the prepared dose.</w:t>
      </w:r>
    </w:p>
    <w:p w14:paraId="1C814373" w14:textId="77777777" w:rsidR="007868D8" w:rsidRPr="003F2BFF" w:rsidRDefault="00000000">
      <w:pPr>
        <w:pStyle w:val="BodyText"/>
        <w:spacing w:after="104" w:line="264" w:lineRule="auto"/>
        <w:jc w:val="both"/>
      </w:pPr>
      <w:r w:rsidRPr="003F2BFF">
        <w:rPr>
          <w:rFonts w:ascii="Times New Roman" w:hAnsi="Times New Roman"/>
          <w:sz w:val="22"/>
        </w:rPr>
        <w:t>A further problem is covariance among particle properties. A study comparing a small polystyrene sphere with a large polyethylene fragment simultaneously changes size, shape, polymer, surface area and often concentration on a particle-number basis. Attributing the observed effect to one trait is therefore unsafe unless factorial or otherwise controlled designs separate those variables. The field needs reference panels in which one property changes at a time, paired with complex environmental mixtures that test external validity. This combination can preserve mechanistic interpretability without sacrificing environmental realism.</w:t>
      </w:r>
    </w:p>
    <w:p w14:paraId="26056606" w14:textId="77777777" w:rsidR="007868D8" w:rsidRPr="003F2BFF" w:rsidRDefault="00000000">
      <w:pPr>
        <w:pStyle w:val="Heading2"/>
        <w:rPr>
          <w:color w:val="auto"/>
        </w:rPr>
      </w:pPr>
      <w:bookmarkStart w:id="29" w:name="X29cc491489dfed3bc9e64371834531e025cd8d1"/>
      <w:bookmarkEnd w:id="28"/>
      <w:r w:rsidRPr="003F2BFF">
        <w:rPr>
          <w:rFonts w:ascii="Times New Roman" w:hAnsi="Times New Roman"/>
          <w:color w:val="auto"/>
        </w:rPr>
        <w:t>6.4 Trophic Transfer, Bioaccumulation and Biomagnification</w:t>
      </w:r>
    </w:p>
    <w:p w14:paraId="3827C674" w14:textId="77777777" w:rsidR="007868D8" w:rsidRPr="003F2BFF" w:rsidRDefault="00000000">
      <w:pPr>
        <w:pStyle w:val="FirstParagraph"/>
        <w:spacing w:after="104" w:line="264" w:lineRule="auto"/>
        <w:jc w:val="both"/>
      </w:pPr>
      <w:r w:rsidRPr="003F2BFF">
        <w:rPr>
          <w:rFonts w:ascii="Times New Roman" w:hAnsi="Times New Roman"/>
          <w:sz w:val="22"/>
        </w:rPr>
        <w:t>Trophic transfer is experimentally established: microplastics ingested by prey can be detected after predator consumption. Laboratory studies have demonstrated transfer from mussels to crabs and within planktonic food-web settings (Farrell &amp; Nelson, 2013; Setälä et al., 2014). Field observations also increasingly show microplastics across multiple trophic levels. A 2026 study in an oceanic food web reported patterns consistent with trophic transfer and higher burdens in some predators (Nikhil et al., 2026). These findings establish a route of exposure, but they do not by themselves prove biomagnification.</w:t>
      </w:r>
    </w:p>
    <w:p w14:paraId="68F5148C" w14:textId="77777777" w:rsidR="007868D8" w:rsidRPr="003F2BFF" w:rsidRDefault="00000000">
      <w:pPr>
        <w:pStyle w:val="BodyText"/>
        <w:spacing w:after="104" w:line="264" w:lineRule="auto"/>
        <w:jc w:val="both"/>
      </w:pPr>
      <w:r w:rsidRPr="003F2BFF">
        <w:rPr>
          <w:rFonts w:ascii="Times New Roman" w:hAnsi="Times New Roman"/>
          <w:sz w:val="22"/>
        </w:rPr>
        <w:t xml:space="preserve">The distinction matters. Bioaccumulation implies uptake exceeding elimination over time within an organism, whereas biomagnification requires increasing concentration with trophic level under a defined and comparable metric. Comparing particle counts among species with different body sizes, gut contents, habitats and feeding strategies can generate apparent trophic patterns without demonstrating concentration increase attributable to trophic position. Gut-retained particles may also dominate counts in whole-organism analyses. Robust biomagnification tests therefore require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tissue compartments, body-size </w:t>
      </w:r>
      <w:proofErr w:type="spellStart"/>
      <w:r w:rsidRPr="003F2BFF">
        <w:rPr>
          <w:rFonts w:ascii="Times New Roman" w:hAnsi="Times New Roman"/>
          <w:sz w:val="22"/>
        </w:rPr>
        <w:t>normalisation</w:t>
      </w:r>
      <w:proofErr w:type="spellEnd"/>
      <w:r w:rsidRPr="003F2BFF">
        <w:rPr>
          <w:rFonts w:ascii="Times New Roman" w:hAnsi="Times New Roman"/>
          <w:sz w:val="22"/>
        </w:rPr>
        <w:t xml:space="preserve"> or an explicitly justified dose metric, depuration where appropriate, and statistical analysis against trophic position. Current evidence is stronger for ingestion and trophic transfer than for universal biomagnification.</w:t>
      </w:r>
    </w:p>
    <w:p w14:paraId="1D2238D8" w14:textId="77777777" w:rsidR="007868D8" w:rsidRPr="003F2BFF" w:rsidRDefault="00000000">
      <w:pPr>
        <w:pStyle w:val="BodyText"/>
        <w:spacing w:after="104" w:line="264" w:lineRule="auto"/>
        <w:jc w:val="both"/>
      </w:pPr>
      <w:r w:rsidRPr="003F2BFF">
        <w:rPr>
          <w:rFonts w:ascii="Times New Roman" w:hAnsi="Times New Roman"/>
          <w:sz w:val="22"/>
        </w:rPr>
        <w:t xml:space="preserve">Food-web exposure can nevertheless amplify ecological relevance without formal biomagnification. Predators may receive repeated doses through prey even when particles are efficiently egested, and prey condition may be altered before consumption. Thus, particle effects can propagate indirectly through changes in prey quality, feeding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or energy transfer. These pathways are poorly represented by simple measurements of predator particle burden and merit explicit testing in multispecies systems.</w:t>
      </w:r>
    </w:p>
    <w:p w14:paraId="44EB8538" w14:textId="77777777" w:rsidR="007868D8" w:rsidRPr="003F2BFF" w:rsidRDefault="00000000">
      <w:pPr>
        <w:pStyle w:val="Heading2"/>
        <w:rPr>
          <w:color w:val="auto"/>
        </w:rPr>
      </w:pPr>
      <w:bookmarkStart w:id="30" w:name="Xefb5ea8cee2bdaccbcb05fcab25fc23e603d9e0"/>
      <w:bookmarkEnd w:id="29"/>
      <w:r w:rsidRPr="003F2BFF">
        <w:rPr>
          <w:rFonts w:ascii="Times New Roman" w:hAnsi="Times New Roman"/>
          <w:color w:val="auto"/>
        </w:rPr>
        <w:t>6.5 Chemicals, Additives and the “Vector” Hypothesis</w:t>
      </w:r>
    </w:p>
    <w:p w14:paraId="1A628B84" w14:textId="77777777" w:rsidR="007868D8" w:rsidRPr="003F2BFF" w:rsidRDefault="00000000">
      <w:pPr>
        <w:pStyle w:val="FirstParagraph"/>
        <w:spacing w:after="104" w:line="264" w:lineRule="auto"/>
        <w:jc w:val="both"/>
      </w:pPr>
      <w:r w:rsidRPr="003F2BFF">
        <w:rPr>
          <w:rFonts w:ascii="Times New Roman" w:hAnsi="Times New Roman"/>
          <w:sz w:val="22"/>
        </w:rPr>
        <w:t>Microplastics can sorb hydrophobic environmental contaminants and contain manufacturing additives. Experimental work has shown desorption of persistent organic pollutants from plastic under simulated physiological conditions (Bakir et al., 2014), and field-conditioned plastic has been associated with chemical transfer and hepatic stress in fish (Rochman et al., 2013). These observations establish that chemical exchange is possible. They do not establish that plastic is normally the dominant route by which aquatic organisms receive those chemicals.</w:t>
      </w:r>
    </w:p>
    <w:p w14:paraId="518EF615" w14:textId="77777777" w:rsidR="007868D8" w:rsidRPr="003F2BFF" w:rsidRDefault="00000000">
      <w:pPr>
        <w:pStyle w:val="BodyText"/>
        <w:spacing w:after="104" w:line="264" w:lineRule="auto"/>
        <w:jc w:val="both"/>
      </w:pPr>
      <w:r w:rsidRPr="003F2BFF">
        <w:rPr>
          <w:rFonts w:ascii="Times New Roman" w:hAnsi="Times New Roman"/>
          <w:sz w:val="22"/>
        </w:rPr>
        <w:t>Model-supported reinterpretation of empirical studies concluded that, in many settings, chemical flux from ingested microplastic is small relative to exposure from natural food, water or sediment, and can even reduce uptake when plastic acts as a sink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2016). The net direction and magnitude depend on contaminant fugacity gradients, polymer properties, exposure history and residence time in the gut. The phrase “microplastics are vectors for pollutants” is therefore too categorical. A more defensible statement is that plastic can participate in contaminant transport and exchange, but its contribution to organism dose must be quantified relative to competing environmental media.</w:t>
      </w:r>
    </w:p>
    <w:p w14:paraId="74836721" w14:textId="77777777" w:rsidR="007868D8" w:rsidRPr="003F2BFF" w:rsidRDefault="00000000">
      <w:pPr>
        <w:pStyle w:val="BodyText"/>
        <w:spacing w:after="104" w:line="264" w:lineRule="auto"/>
        <w:jc w:val="both"/>
      </w:pPr>
      <w:r w:rsidRPr="003F2BFF">
        <w:rPr>
          <w:rFonts w:ascii="Times New Roman" w:hAnsi="Times New Roman"/>
          <w:sz w:val="22"/>
        </w:rPr>
        <w:t xml:space="preserve">Additives deserve separate treatment because they originate within the plastic matrix rather than being sorbed from the environment. Their release depends on formulation, ageing, surface area and chemical properties. Environmental </w:t>
      </w:r>
      <w:r w:rsidRPr="003F2BFF">
        <w:rPr>
          <w:rFonts w:ascii="Times New Roman" w:hAnsi="Times New Roman"/>
          <w:sz w:val="22"/>
        </w:rPr>
        <w:lastRenderedPageBreak/>
        <w:t>mixtures can therefore expose organisms simultaneously to particle stress, plastic-associated chemicals and background contaminants. Experiments that use virgin polymers without relevant additives may underestimate one mechanism, while studies with field plastics may struggle to separate particle and chemical effects. Factorial designs that compare cleaned, spiked, virgin and environmentally aged particles can help resolve these pathways.</w:t>
      </w:r>
    </w:p>
    <w:p w14:paraId="70186594" w14:textId="77777777" w:rsidR="007868D8" w:rsidRPr="003F2BFF" w:rsidRDefault="00000000">
      <w:pPr>
        <w:pStyle w:val="BodyText"/>
        <w:spacing w:after="104" w:line="264" w:lineRule="auto"/>
        <w:jc w:val="both"/>
      </w:pPr>
      <w:r w:rsidRPr="003F2BFF">
        <w:rPr>
          <w:rFonts w:ascii="Times New Roman" w:hAnsi="Times New Roman"/>
          <w:sz w:val="22"/>
        </w:rPr>
        <w:t>The vector debate also illustrates why mechanism and risk must be separated. Sorption capacity is a physicochemical property, whereas increased organism dose is a net flux outcome. Demonstrating the former is insufficient to infer the latter. Risk assessment should quantify whether the plastic pathway materially changes internal contaminant exposure relative to what would occur from diet, water or sediment in the same environment.</w:t>
      </w:r>
    </w:p>
    <w:p w14:paraId="72FDE40F" w14:textId="77777777" w:rsidR="007868D8" w:rsidRPr="003F2BFF" w:rsidRDefault="00000000">
      <w:pPr>
        <w:pStyle w:val="Heading2"/>
        <w:rPr>
          <w:color w:val="auto"/>
        </w:rPr>
      </w:pPr>
      <w:bookmarkStart w:id="31" w:name="Xca400205b9c2b0f8f489c295bbb396050e9ea8f"/>
      <w:bookmarkEnd w:id="30"/>
      <w:r w:rsidRPr="003F2BFF">
        <w:rPr>
          <w:rFonts w:ascii="Times New Roman" w:hAnsi="Times New Roman"/>
          <w:color w:val="auto"/>
        </w:rPr>
        <w:t>6.6 The Plastisphere and Microbial Interactions</w:t>
      </w:r>
    </w:p>
    <w:p w14:paraId="1123190D" w14:textId="77777777" w:rsidR="007868D8" w:rsidRPr="003F2BFF" w:rsidRDefault="00000000">
      <w:pPr>
        <w:pStyle w:val="FirstParagraph"/>
        <w:spacing w:after="104" w:line="264" w:lineRule="auto"/>
        <w:jc w:val="both"/>
      </w:pPr>
      <w:r w:rsidRPr="003F2BFF">
        <w:rPr>
          <w:rFonts w:ascii="Times New Roman" w:hAnsi="Times New Roman"/>
          <w:sz w:val="22"/>
        </w:rPr>
        <w:t xml:space="preserve">Plastic surfaces are rapidly </w:t>
      </w:r>
      <w:proofErr w:type="spellStart"/>
      <w:r w:rsidRPr="003F2BFF">
        <w:rPr>
          <w:rFonts w:ascii="Times New Roman" w:hAnsi="Times New Roman"/>
          <w:sz w:val="22"/>
        </w:rPr>
        <w:t>colonised</w:t>
      </w:r>
      <w:proofErr w:type="spellEnd"/>
      <w:r w:rsidRPr="003F2BFF">
        <w:rPr>
          <w:rFonts w:ascii="Times New Roman" w:hAnsi="Times New Roman"/>
          <w:sz w:val="22"/>
        </w:rPr>
        <w:t xml:space="preserve"> by microorganisms, forming communities often referred to as the plastisphere. Early marine work demonstrated distinct microbial assemblages on plastic debris (Zettler et al., 2013), and subsequent synthesis has shown that plastic provides a persistent mobile surface with ecological properties that differ from surrounding planktonic habitats (Amaral-Zettler et al., 2020). Biofilms modify particle density, aggregation and palatability, linking microbial ecology directly to transport and ingestion.</w:t>
      </w:r>
    </w:p>
    <w:p w14:paraId="0A84B61B" w14:textId="77777777" w:rsidR="007868D8" w:rsidRPr="003F2BFF" w:rsidRDefault="00000000">
      <w:pPr>
        <w:pStyle w:val="BodyText"/>
        <w:spacing w:after="104" w:line="264" w:lineRule="auto"/>
        <w:jc w:val="both"/>
      </w:pPr>
      <w:r w:rsidRPr="003F2BFF">
        <w:rPr>
          <w:rFonts w:ascii="Times New Roman" w:hAnsi="Times New Roman"/>
          <w:sz w:val="22"/>
        </w:rPr>
        <w:t xml:space="preserve">Claims that microplastics broadly disseminate pathogens or antimicrobial resistance require more caution. Detection of potentially pathogenic taxa or resistance genes on plastic establishes carriage, not enhanced transmission, infectivity or disease burden. Plastic may enrich some organisms relative to surrounding water under specific conditions, but the ecological significance depends on survival, dispersal, host encounter and competition with other particles. The strongest current conclusion is that microplastics create microbial habitat and can alter particle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w:t>
      </w:r>
      <w:proofErr w:type="spellStart"/>
      <w:r w:rsidRPr="003F2BFF">
        <w:rPr>
          <w:rFonts w:ascii="Times New Roman" w:hAnsi="Times New Roman"/>
          <w:sz w:val="22"/>
        </w:rPr>
        <w:t>generalised</w:t>
      </w:r>
      <w:proofErr w:type="spellEnd"/>
      <w:r w:rsidRPr="003F2BFF">
        <w:rPr>
          <w:rFonts w:ascii="Times New Roman" w:hAnsi="Times New Roman"/>
          <w:sz w:val="22"/>
        </w:rPr>
        <w:t xml:space="preserve"> public-health consequences remain less certain.</w:t>
      </w:r>
    </w:p>
    <w:p w14:paraId="204AEDFF" w14:textId="77777777" w:rsidR="007868D8" w:rsidRPr="003F2BFF" w:rsidRDefault="00000000">
      <w:pPr>
        <w:pStyle w:val="BodyText"/>
        <w:spacing w:after="104" w:line="264" w:lineRule="auto"/>
        <w:jc w:val="both"/>
      </w:pPr>
      <w:r w:rsidRPr="003F2BFF">
        <w:rPr>
          <w:rFonts w:ascii="Times New Roman" w:hAnsi="Times New Roman"/>
          <w:sz w:val="22"/>
        </w:rPr>
        <w:t xml:space="preserve">Microbial </w:t>
      </w:r>
      <w:proofErr w:type="spellStart"/>
      <w:r w:rsidRPr="003F2BFF">
        <w:rPr>
          <w:rFonts w:ascii="Times New Roman" w:hAnsi="Times New Roman"/>
          <w:sz w:val="22"/>
        </w:rPr>
        <w:t>colonisation</w:t>
      </w:r>
      <w:proofErr w:type="spellEnd"/>
      <w:r w:rsidRPr="003F2BFF">
        <w:rPr>
          <w:rFonts w:ascii="Times New Roman" w:hAnsi="Times New Roman"/>
          <w:sz w:val="22"/>
        </w:rPr>
        <w:t xml:space="preserve"> can also accelerate or retard environmental transformation. Biofilms increase roughness and effective density, encourage aggregation and may alter sorption of chemicals. Conversely, grazing or biofilm sloughing may return particles to suspension. These feedbacks connect the plastisphere to fate models and mean that “biological” and “physical” transport processes cannot always be separated cleanly.</w:t>
      </w:r>
    </w:p>
    <w:p w14:paraId="75990E59" w14:textId="77777777" w:rsidR="007868D8" w:rsidRPr="003F2BFF" w:rsidRDefault="00000000">
      <w:pPr>
        <w:pStyle w:val="Heading2"/>
        <w:rPr>
          <w:color w:val="auto"/>
        </w:rPr>
      </w:pPr>
      <w:bookmarkStart w:id="32" w:name="X4b395bbdc71799f3a40a0d53aa9ad88983fbdc5"/>
      <w:bookmarkEnd w:id="31"/>
      <w:r w:rsidRPr="003F2BFF">
        <w:rPr>
          <w:rFonts w:ascii="Times New Roman" w:hAnsi="Times New Roman"/>
          <w:color w:val="auto"/>
        </w:rPr>
        <w:t>6.7 From Hazard Demonstration to Ecological Risk</w:t>
      </w:r>
    </w:p>
    <w:p w14:paraId="0BC86DD0" w14:textId="77777777" w:rsidR="007868D8" w:rsidRPr="003F2BFF" w:rsidRDefault="00000000">
      <w:pPr>
        <w:pStyle w:val="FirstParagraph"/>
        <w:spacing w:after="104" w:line="264" w:lineRule="auto"/>
        <w:jc w:val="both"/>
      </w:pPr>
      <w:r w:rsidRPr="003F2BFF">
        <w:rPr>
          <w:rFonts w:ascii="Times New Roman" w:hAnsi="Times New Roman"/>
          <w:sz w:val="22"/>
        </w:rPr>
        <w:t xml:space="preserve">Ecological risk requires overlap between exposure and effect, not merely evidence that an effect can occur. This distinction is central because early microplastic toxicology often demonstrated hazard at concentrations or with particles that were difficult to reconcile with field exposure (Burns &amp; Boxall,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2017). Risk-oriented reviews have developed approaches to compare environmental distributions with effect thresholds, but the analysis is complicated by inconsistent particle metrics and limited quality of both exposure and effect data (</w:t>
      </w:r>
      <w:proofErr w:type="spellStart"/>
      <w:r w:rsidRPr="003F2BFF">
        <w:rPr>
          <w:rFonts w:ascii="Times New Roman" w:hAnsi="Times New Roman"/>
          <w:sz w:val="22"/>
        </w:rPr>
        <w:t>Besseling</w:t>
      </w:r>
      <w:proofErr w:type="spellEnd"/>
      <w:r w:rsidRPr="003F2BFF">
        <w:rPr>
          <w:rFonts w:ascii="Times New Roman" w:hAnsi="Times New Roman"/>
          <w:sz w:val="22"/>
        </w:rPr>
        <w:t xml:space="preserve"> et al., 2019).</w:t>
      </w:r>
    </w:p>
    <w:p w14:paraId="2329733F" w14:textId="77777777" w:rsidR="007868D8" w:rsidRPr="003F2BFF" w:rsidRDefault="00000000">
      <w:pPr>
        <w:pStyle w:val="BodyText"/>
        <w:spacing w:after="104" w:line="264" w:lineRule="auto"/>
        <w:jc w:val="both"/>
      </w:pPr>
      <w:r w:rsidRPr="003F2BFF">
        <w:rPr>
          <w:rFonts w:ascii="Times New Roman" w:hAnsi="Times New Roman"/>
          <w:sz w:val="22"/>
        </w:rPr>
        <w:t>Freshwater benthic experiments illustrate why taxon- and compartment-specific thresholds matter. Tests across macroinvertebrates found limited effects for several endpoints and species, with sensitivity depending on exposure conditions and organism biology (Redondo-</w:t>
      </w:r>
      <w:proofErr w:type="spellStart"/>
      <w:r w:rsidRPr="003F2BFF">
        <w:rPr>
          <w:rFonts w:ascii="Times New Roman" w:hAnsi="Times New Roman"/>
          <w:sz w:val="22"/>
        </w:rPr>
        <w:t>Hasselerharm</w:t>
      </w:r>
      <w:proofErr w:type="spellEnd"/>
      <w:r w:rsidRPr="003F2BFF">
        <w:rPr>
          <w:rFonts w:ascii="Times New Roman" w:hAnsi="Times New Roman"/>
          <w:sz w:val="22"/>
        </w:rPr>
        <w:t xml:space="preserve"> et al., 2018). Such findings do not imply that sediments are risk free; rather, they show that response cannot be </w:t>
      </w:r>
      <w:proofErr w:type="spellStart"/>
      <w:r w:rsidRPr="003F2BFF">
        <w:rPr>
          <w:rFonts w:ascii="Times New Roman" w:hAnsi="Times New Roman"/>
          <w:sz w:val="22"/>
        </w:rPr>
        <w:t>generalised</w:t>
      </w:r>
      <w:proofErr w:type="spellEnd"/>
      <w:r w:rsidRPr="003F2BFF">
        <w:rPr>
          <w:rFonts w:ascii="Times New Roman" w:hAnsi="Times New Roman"/>
          <w:sz w:val="22"/>
        </w:rPr>
        <w:t xml:space="preserve"> from one model species or endpoint. Chronic community-level consequences may differ from short-term individual responses, especially when particles interact with other stressors such as temperature, hypoxia, contaminants or food limitation.</w:t>
      </w:r>
    </w:p>
    <w:p w14:paraId="0836F196" w14:textId="77777777" w:rsidR="007868D8" w:rsidRPr="003F2BFF" w:rsidRDefault="00000000">
      <w:pPr>
        <w:pStyle w:val="BodyText"/>
        <w:spacing w:after="104" w:line="264" w:lineRule="auto"/>
        <w:jc w:val="both"/>
      </w:pPr>
      <w:r w:rsidRPr="003F2BFF">
        <w:rPr>
          <w:rFonts w:ascii="Times New Roman" w:hAnsi="Times New Roman"/>
          <w:sz w:val="22"/>
        </w:rPr>
        <w:t xml:space="preserve">A weight-of-evidence interpretation therefore places highest confidence on conclusions supported simultaneously by realistic exposure, verified particle identity, biologically meaningful endpoints and replication across taxa or settings. Evidence is strong that organisms ingest microplastics and that adverse effects are possible. Confidence is lower when translating those hazards into population-level risk across diverse ecosystems because exposure realism and methodological heterogeneity remain limiting. Reviews spanning aquatic toxicology reach a similar conclusion: </w:t>
      </w:r>
      <w:r w:rsidRPr="003F2BFF">
        <w:rPr>
          <w:rFonts w:ascii="Times New Roman" w:hAnsi="Times New Roman"/>
          <w:sz w:val="22"/>
        </w:rPr>
        <w:lastRenderedPageBreak/>
        <w:t xml:space="preserve">the problem is credible and requires prevention and better risk assessment, but hazard evidence should not be translated into universal ecosystem damage without exposure context (de Sá et al., 2018; </w:t>
      </w:r>
      <w:proofErr w:type="spellStart"/>
      <w:r w:rsidRPr="003F2BFF">
        <w:rPr>
          <w:rFonts w:ascii="Times New Roman" w:hAnsi="Times New Roman"/>
          <w:sz w:val="22"/>
        </w:rPr>
        <w:t>Habumugisha</w:t>
      </w:r>
      <w:proofErr w:type="spellEnd"/>
      <w:r w:rsidRPr="003F2BFF">
        <w:rPr>
          <w:rFonts w:ascii="Times New Roman" w:hAnsi="Times New Roman"/>
          <w:sz w:val="22"/>
        </w:rPr>
        <w:t xml:space="preserve"> et al., 2024).</w:t>
      </w:r>
    </w:p>
    <w:p w14:paraId="3EDEB5B9" w14:textId="77777777" w:rsidR="007868D8" w:rsidRPr="003F2BFF" w:rsidRDefault="00000000">
      <w:pPr>
        <w:pStyle w:val="BodyText"/>
        <w:spacing w:after="104" w:line="264" w:lineRule="auto"/>
        <w:jc w:val="both"/>
      </w:pPr>
      <w:r w:rsidRPr="003F2BFF">
        <w:rPr>
          <w:rFonts w:ascii="Times New Roman" w:hAnsi="Times New Roman"/>
          <w:sz w:val="22"/>
        </w:rPr>
        <w:t xml:space="preserve">Ecological risk is also likely to be spatially uneven. Wastewater plumes, urban sediments, enclosed basins and depositional zones can generate exposure substantially above open-water averages. Conversely, high-energy systems may disperse particles and reduce local residence. Monitoring designed around mean concentration alone can therefore miss both hotspots and refugia. Spatially explicit risk assessment should combine particle </w:t>
      </w:r>
      <w:proofErr w:type="gramStart"/>
      <w:r w:rsidRPr="003F2BFF">
        <w:rPr>
          <w:rFonts w:ascii="Times New Roman" w:hAnsi="Times New Roman"/>
          <w:sz w:val="22"/>
        </w:rPr>
        <w:t>distributions,</w:t>
      </w:r>
      <w:proofErr w:type="gramEnd"/>
      <w:r w:rsidRPr="003F2BFF">
        <w:rPr>
          <w:rFonts w:ascii="Times New Roman" w:hAnsi="Times New Roman"/>
          <w:sz w:val="22"/>
        </w:rPr>
        <w:t xml:space="preserve"> habitat use and taxon sensitivity rather than extrapolating from a single regional concentration.</w:t>
      </w:r>
    </w:p>
    <w:p w14:paraId="00EE56D3"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3 </w:t>
      </w:r>
      <w:proofErr w:type="spellStart"/>
      <w:r w:rsidRPr="003F2BFF">
        <w:rPr>
          <w:rFonts w:ascii="Times New Roman" w:hAnsi="Times New Roman"/>
          <w:sz w:val="22"/>
        </w:rPr>
        <w:t>organises</w:t>
      </w:r>
      <w:proofErr w:type="spellEnd"/>
      <w:r w:rsidRPr="003F2BFF">
        <w:rPr>
          <w:rFonts w:ascii="Times New Roman" w:hAnsi="Times New Roman"/>
          <w:sz w:val="22"/>
        </w:rPr>
        <w:t xml:space="preserve"> the ecotoxicological evidence by mechanism and level of biological </w:t>
      </w:r>
      <w:proofErr w:type="spellStart"/>
      <w:r w:rsidRPr="003F2BFF">
        <w:rPr>
          <w:rFonts w:ascii="Times New Roman" w:hAnsi="Times New Roman"/>
          <w:sz w:val="22"/>
        </w:rPr>
        <w:t>organisation</w:t>
      </w:r>
      <w:proofErr w:type="spellEnd"/>
      <w:r w:rsidRPr="003F2BFF">
        <w:rPr>
          <w:rFonts w:ascii="Times New Roman" w:hAnsi="Times New Roman"/>
          <w:sz w:val="22"/>
        </w:rPr>
        <w:t>. It shows that mechanistic certainty is highest for ingestion and particle–organism interaction, while confidence declines when moving toward population- and ecosystem-level risk because field exposure, compensatory biology and multiple stressors become more important. The table also separates chemical exchange from particle effects and distinguishes trophic transfer from biomagnification, two areas where terminology can otherwise overstate inference.</w:t>
      </w:r>
    </w:p>
    <w:p w14:paraId="52857D3F" w14:textId="77777777" w:rsidR="007868D8" w:rsidRPr="003F2BFF" w:rsidRDefault="00000000">
      <w:pPr>
        <w:pStyle w:val="BodyText"/>
        <w:keepNext/>
        <w:spacing w:before="100" w:after="60"/>
      </w:pPr>
      <w:r w:rsidRPr="003F2BFF">
        <w:rPr>
          <w:rFonts w:ascii="Times New Roman" w:hAnsi="Times New Roman"/>
          <w:b/>
          <w:bCs/>
          <w:sz w:val="19"/>
        </w:rPr>
        <w:t xml:space="preserve">Table 3. Ecotoxicological evidence by mechanism and level of biological </w:t>
      </w:r>
      <w:proofErr w:type="spellStart"/>
      <w:r w:rsidRPr="003F2BFF">
        <w:rPr>
          <w:rFonts w:ascii="Times New Roman" w:hAnsi="Times New Roman"/>
          <w:b/>
          <w:bCs/>
          <w:sz w:val="19"/>
        </w:rPr>
        <w:t>organisation</w:t>
      </w:r>
      <w:proofErr w:type="spellEnd"/>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555"/>
        <w:gridCol w:w="1994"/>
        <w:gridCol w:w="1349"/>
        <w:gridCol w:w="1877"/>
        <w:gridCol w:w="1804"/>
        <w:gridCol w:w="1833"/>
      </w:tblGrid>
      <w:tr w:rsidR="003F2BFF" w:rsidRPr="003F2BFF" w14:paraId="118EF32E"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526" w:type="dxa"/>
            <w:shd w:val="clear" w:color="auto" w:fill="1F4E79"/>
            <w:tcMar>
              <w:top w:w="55" w:type="dxa"/>
              <w:left w:w="65" w:type="dxa"/>
              <w:bottom w:w="55" w:type="dxa"/>
              <w:right w:w="65" w:type="dxa"/>
            </w:tcMar>
            <w:vAlign w:val="center"/>
          </w:tcPr>
          <w:p w14:paraId="6622B440" w14:textId="77777777" w:rsidR="007868D8" w:rsidRPr="003F2BFF" w:rsidRDefault="00000000">
            <w:pPr>
              <w:pStyle w:val="Compact"/>
              <w:spacing w:before="0" w:after="0"/>
              <w:jc w:val="center"/>
            </w:pPr>
            <w:r w:rsidRPr="003F2BFF">
              <w:rPr>
                <w:rFonts w:ascii="Times New Roman" w:hAnsi="Times New Roman"/>
                <w:b/>
                <w:sz w:val="15"/>
              </w:rPr>
              <w:t>Mechanism or endpoint</w:t>
            </w:r>
          </w:p>
        </w:tc>
        <w:tc>
          <w:tcPr>
            <w:tcW w:w="1958" w:type="dxa"/>
            <w:shd w:val="clear" w:color="auto" w:fill="1F4E79"/>
            <w:tcMar>
              <w:top w:w="55" w:type="dxa"/>
              <w:left w:w="65" w:type="dxa"/>
              <w:bottom w:w="55" w:type="dxa"/>
              <w:right w:w="65" w:type="dxa"/>
            </w:tcMar>
            <w:vAlign w:val="center"/>
          </w:tcPr>
          <w:p w14:paraId="5C69E2CD" w14:textId="77777777" w:rsidR="007868D8" w:rsidRPr="003F2BFF" w:rsidRDefault="00000000">
            <w:pPr>
              <w:pStyle w:val="Compact"/>
              <w:spacing w:before="0" w:after="0"/>
              <w:jc w:val="center"/>
            </w:pPr>
            <w:r w:rsidRPr="003F2BFF">
              <w:rPr>
                <w:rFonts w:ascii="Times New Roman" w:hAnsi="Times New Roman"/>
                <w:b/>
                <w:sz w:val="15"/>
              </w:rPr>
              <w:t>Representative taxa/evidence</w:t>
            </w:r>
          </w:p>
        </w:tc>
        <w:tc>
          <w:tcPr>
            <w:tcW w:w="1325" w:type="dxa"/>
            <w:shd w:val="clear" w:color="auto" w:fill="1F4E79"/>
            <w:tcMar>
              <w:top w:w="55" w:type="dxa"/>
              <w:left w:w="65" w:type="dxa"/>
              <w:bottom w:w="55" w:type="dxa"/>
              <w:right w:w="65" w:type="dxa"/>
            </w:tcMar>
            <w:vAlign w:val="center"/>
          </w:tcPr>
          <w:p w14:paraId="652EAD5C" w14:textId="77777777" w:rsidR="007868D8" w:rsidRPr="003F2BFF" w:rsidRDefault="00000000">
            <w:pPr>
              <w:pStyle w:val="Compact"/>
              <w:spacing w:before="0" w:after="0"/>
              <w:jc w:val="center"/>
            </w:pPr>
            <w:r w:rsidRPr="003F2BFF">
              <w:rPr>
                <w:rFonts w:ascii="Times New Roman" w:hAnsi="Times New Roman"/>
                <w:b/>
                <w:sz w:val="15"/>
              </w:rPr>
              <w:t>Strength of evidence</w:t>
            </w:r>
          </w:p>
        </w:tc>
        <w:tc>
          <w:tcPr>
            <w:tcW w:w="1843" w:type="dxa"/>
            <w:shd w:val="clear" w:color="auto" w:fill="1F4E79"/>
            <w:tcMar>
              <w:top w:w="55" w:type="dxa"/>
              <w:left w:w="65" w:type="dxa"/>
              <w:bottom w:w="55" w:type="dxa"/>
              <w:right w:w="65" w:type="dxa"/>
            </w:tcMar>
            <w:vAlign w:val="center"/>
          </w:tcPr>
          <w:p w14:paraId="4ABD88EC" w14:textId="77777777" w:rsidR="007868D8" w:rsidRPr="003F2BFF" w:rsidRDefault="00000000">
            <w:pPr>
              <w:pStyle w:val="Compact"/>
              <w:spacing w:before="0" w:after="0"/>
              <w:jc w:val="center"/>
            </w:pPr>
            <w:r w:rsidRPr="003F2BFF">
              <w:rPr>
                <w:rFonts w:ascii="Times New Roman" w:hAnsi="Times New Roman"/>
                <w:b/>
                <w:sz w:val="15"/>
              </w:rPr>
              <w:t>Main limitations</w:t>
            </w:r>
          </w:p>
        </w:tc>
        <w:tc>
          <w:tcPr>
            <w:tcW w:w="1771" w:type="dxa"/>
            <w:shd w:val="clear" w:color="auto" w:fill="1F4E79"/>
            <w:tcMar>
              <w:top w:w="55" w:type="dxa"/>
              <w:left w:w="65" w:type="dxa"/>
              <w:bottom w:w="55" w:type="dxa"/>
              <w:right w:w="65" w:type="dxa"/>
            </w:tcMar>
            <w:vAlign w:val="center"/>
          </w:tcPr>
          <w:p w14:paraId="643AB227" w14:textId="77777777" w:rsidR="007868D8" w:rsidRPr="003F2BFF" w:rsidRDefault="00000000">
            <w:pPr>
              <w:pStyle w:val="Compact"/>
              <w:spacing w:before="0" w:after="0"/>
              <w:jc w:val="center"/>
            </w:pPr>
            <w:r w:rsidRPr="003F2BFF">
              <w:rPr>
                <w:rFonts w:ascii="Times New Roman" w:hAnsi="Times New Roman"/>
                <w:b/>
                <w:sz w:val="15"/>
              </w:rPr>
              <w:t>Risk interpretation</w:t>
            </w:r>
          </w:p>
        </w:tc>
        <w:tc>
          <w:tcPr>
            <w:tcW w:w="1800" w:type="dxa"/>
            <w:shd w:val="clear" w:color="auto" w:fill="1F4E79"/>
            <w:tcMar>
              <w:top w:w="55" w:type="dxa"/>
              <w:left w:w="65" w:type="dxa"/>
              <w:bottom w:w="55" w:type="dxa"/>
              <w:right w:w="65" w:type="dxa"/>
            </w:tcMar>
            <w:vAlign w:val="center"/>
          </w:tcPr>
          <w:p w14:paraId="3AD17C01"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3F2BFF" w14:paraId="75953DC2" w14:textId="77777777" w:rsidTr="007868D8">
        <w:trPr>
          <w:jc w:val="center"/>
        </w:trPr>
        <w:tc>
          <w:tcPr>
            <w:tcW w:w="1526" w:type="dxa"/>
            <w:shd w:val="clear" w:color="auto" w:fill="FFFFFF"/>
            <w:tcMar>
              <w:top w:w="55" w:type="dxa"/>
              <w:left w:w="65" w:type="dxa"/>
              <w:bottom w:w="55" w:type="dxa"/>
              <w:right w:w="65" w:type="dxa"/>
            </w:tcMar>
            <w:vAlign w:val="center"/>
          </w:tcPr>
          <w:p w14:paraId="3413E3C2" w14:textId="77777777" w:rsidR="007868D8" w:rsidRPr="003F2BFF" w:rsidRDefault="00000000">
            <w:pPr>
              <w:pStyle w:val="Compact"/>
              <w:spacing w:before="0" w:after="30"/>
            </w:pPr>
            <w:r w:rsidRPr="003F2BFF">
              <w:rPr>
                <w:rFonts w:ascii="Times New Roman" w:hAnsi="Times New Roman"/>
                <w:sz w:val="15"/>
              </w:rPr>
              <w:t>Ingestion and gut interaction</w:t>
            </w:r>
          </w:p>
        </w:tc>
        <w:tc>
          <w:tcPr>
            <w:tcW w:w="1958" w:type="dxa"/>
            <w:shd w:val="clear" w:color="auto" w:fill="FFFFFF"/>
            <w:tcMar>
              <w:top w:w="55" w:type="dxa"/>
              <w:left w:w="65" w:type="dxa"/>
              <w:bottom w:w="55" w:type="dxa"/>
              <w:right w:w="65" w:type="dxa"/>
            </w:tcMar>
            <w:vAlign w:val="center"/>
          </w:tcPr>
          <w:p w14:paraId="7A155E38" w14:textId="77777777" w:rsidR="007868D8" w:rsidRPr="003F2BFF" w:rsidRDefault="00000000">
            <w:pPr>
              <w:pStyle w:val="Compact"/>
              <w:spacing w:before="0" w:after="30"/>
            </w:pPr>
            <w:r w:rsidRPr="003F2BFF">
              <w:rPr>
                <w:rFonts w:ascii="Times New Roman" w:hAnsi="Times New Roman"/>
                <w:sz w:val="15"/>
              </w:rPr>
              <w:t>Zooplankton, bivalves, crustaceans and fish ingest particles overlapping with food size</w:t>
            </w:r>
          </w:p>
        </w:tc>
        <w:tc>
          <w:tcPr>
            <w:tcW w:w="1325" w:type="dxa"/>
            <w:shd w:val="clear" w:color="auto" w:fill="FFFFFF"/>
            <w:tcMar>
              <w:top w:w="55" w:type="dxa"/>
              <w:left w:w="65" w:type="dxa"/>
              <w:bottom w:w="55" w:type="dxa"/>
              <w:right w:w="65" w:type="dxa"/>
            </w:tcMar>
            <w:vAlign w:val="center"/>
          </w:tcPr>
          <w:p w14:paraId="20CC74E5" w14:textId="77777777" w:rsidR="007868D8" w:rsidRPr="003F2BFF" w:rsidRDefault="00000000">
            <w:pPr>
              <w:pStyle w:val="Compact"/>
              <w:spacing w:before="0" w:after="30"/>
            </w:pPr>
            <w:r w:rsidRPr="003F2BFF">
              <w:rPr>
                <w:rFonts w:ascii="Times New Roman" w:hAnsi="Times New Roman"/>
                <w:sz w:val="15"/>
              </w:rPr>
              <w:t>High for occurrence of ingestion</w:t>
            </w:r>
          </w:p>
        </w:tc>
        <w:tc>
          <w:tcPr>
            <w:tcW w:w="1843" w:type="dxa"/>
            <w:shd w:val="clear" w:color="auto" w:fill="FFFFFF"/>
            <w:tcMar>
              <w:top w:w="55" w:type="dxa"/>
              <w:left w:w="65" w:type="dxa"/>
              <w:bottom w:w="55" w:type="dxa"/>
              <w:right w:w="65" w:type="dxa"/>
            </w:tcMar>
            <w:vAlign w:val="center"/>
          </w:tcPr>
          <w:p w14:paraId="5EAD340E" w14:textId="77777777" w:rsidR="007868D8" w:rsidRPr="003F2BFF" w:rsidRDefault="00000000">
            <w:pPr>
              <w:pStyle w:val="Compact"/>
              <w:spacing w:before="0" w:after="30"/>
            </w:pPr>
            <w:r w:rsidRPr="003F2BFF">
              <w:rPr>
                <w:rFonts w:ascii="Times New Roman" w:hAnsi="Times New Roman"/>
                <w:sz w:val="15"/>
              </w:rPr>
              <w:t>Retention and depuration vary; detection methods differ</w:t>
            </w:r>
          </w:p>
        </w:tc>
        <w:tc>
          <w:tcPr>
            <w:tcW w:w="1771" w:type="dxa"/>
            <w:shd w:val="clear" w:color="auto" w:fill="FFFFFF"/>
            <w:tcMar>
              <w:top w:w="55" w:type="dxa"/>
              <w:left w:w="65" w:type="dxa"/>
              <w:bottom w:w="55" w:type="dxa"/>
              <w:right w:w="65" w:type="dxa"/>
            </w:tcMar>
            <w:vAlign w:val="center"/>
          </w:tcPr>
          <w:p w14:paraId="35B2E623" w14:textId="77777777" w:rsidR="007868D8" w:rsidRPr="003F2BFF" w:rsidRDefault="00000000">
            <w:pPr>
              <w:pStyle w:val="Compact"/>
              <w:spacing w:before="0" w:after="30"/>
            </w:pPr>
            <w:r w:rsidRPr="003F2BFF">
              <w:rPr>
                <w:rFonts w:ascii="Times New Roman" w:hAnsi="Times New Roman"/>
                <w:sz w:val="15"/>
              </w:rPr>
              <w:t>Establishes exposure, not necessarily adverse effect</w:t>
            </w:r>
          </w:p>
        </w:tc>
        <w:tc>
          <w:tcPr>
            <w:tcW w:w="1800" w:type="dxa"/>
            <w:shd w:val="clear" w:color="auto" w:fill="FFFFFF"/>
            <w:tcMar>
              <w:top w:w="55" w:type="dxa"/>
              <w:left w:w="65" w:type="dxa"/>
              <w:bottom w:w="55" w:type="dxa"/>
              <w:right w:w="65" w:type="dxa"/>
            </w:tcMar>
            <w:vAlign w:val="center"/>
          </w:tcPr>
          <w:p w14:paraId="2B339985" w14:textId="77777777" w:rsidR="007868D8" w:rsidRPr="003F2BFF" w:rsidRDefault="00000000">
            <w:pPr>
              <w:pStyle w:val="Compact"/>
              <w:spacing w:before="0" w:after="30"/>
            </w:pPr>
            <w:r w:rsidRPr="003F2BFF">
              <w:rPr>
                <w:rFonts w:ascii="Times New Roman" w:hAnsi="Times New Roman"/>
                <w:sz w:val="15"/>
              </w:rPr>
              <w:t>(Browne et al., 2008; Cole et al., 2013)</w:t>
            </w:r>
          </w:p>
        </w:tc>
      </w:tr>
      <w:tr w:rsidR="003F2BFF" w:rsidRPr="003F2BFF" w14:paraId="074F3D30" w14:textId="77777777" w:rsidTr="007868D8">
        <w:trPr>
          <w:jc w:val="center"/>
        </w:trPr>
        <w:tc>
          <w:tcPr>
            <w:tcW w:w="1526" w:type="dxa"/>
            <w:shd w:val="clear" w:color="auto" w:fill="FFFFFF"/>
            <w:tcMar>
              <w:top w:w="55" w:type="dxa"/>
              <w:left w:w="65" w:type="dxa"/>
              <w:bottom w:w="55" w:type="dxa"/>
              <w:right w:w="65" w:type="dxa"/>
            </w:tcMar>
            <w:vAlign w:val="center"/>
          </w:tcPr>
          <w:p w14:paraId="796F2F63" w14:textId="77777777" w:rsidR="007868D8" w:rsidRPr="003F2BFF" w:rsidRDefault="00000000">
            <w:pPr>
              <w:pStyle w:val="Compact"/>
              <w:spacing w:before="0" w:after="30"/>
            </w:pPr>
            <w:r w:rsidRPr="003F2BFF">
              <w:rPr>
                <w:rFonts w:ascii="Times New Roman" w:hAnsi="Times New Roman"/>
                <w:sz w:val="15"/>
              </w:rPr>
              <w:t>Translocation beyond gut</w:t>
            </w:r>
          </w:p>
        </w:tc>
        <w:tc>
          <w:tcPr>
            <w:tcW w:w="1958" w:type="dxa"/>
            <w:shd w:val="clear" w:color="auto" w:fill="FFFFFF"/>
            <w:tcMar>
              <w:top w:w="55" w:type="dxa"/>
              <w:left w:w="65" w:type="dxa"/>
              <w:bottom w:w="55" w:type="dxa"/>
              <w:right w:w="65" w:type="dxa"/>
            </w:tcMar>
            <w:vAlign w:val="center"/>
          </w:tcPr>
          <w:p w14:paraId="3979E92B" w14:textId="77777777" w:rsidR="007868D8" w:rsidRPr="003F2BFF" w:rsidRDefault="00000000">
            <w:pPr>
              <w:pStyle w:val="Compact"/>
              <w:spacing w:before="0" w:after="30"/>
            </w:pPr>
            <w:r w:rsidRPr="003F2BFF">
              <w:rPr>
                <w:rFonts w:ascii="Times New Roman" w:hAnsi="Times New Roman"/>
                <w:sz w:val="15"/>
              </w:rPr>
              <w:t>Demonstrated experimentally in mussels and reported in fish studies</w:t>
            </w:r>
          </w:p>
        </w:tc>
        <w:tc>
          <w:tcPr>
            <w:tcW w:w="1325" w:type="dxa"/>
            <w:shd w:val="clear" w:color="auto" w:fill="FFFFFF"/>
            <w:tcMar>
              <w:top w:w="55" w:type="dxa"/>
              <w:left w:w="65" w:type="dxa"/>
              <w:bottom w:w="55" w:type="dxa"/>
              <w:right w:w="65" w:type="dxa"/>
            </w:tcMar>
            <w:vAlign w:val="center"/>
          </w:tcPr>
          <w:p w14:paraId="14F2E85F" w14:textId="77777777" w:rsidR="007868D8" w:rsidRPr="003F2BFF" w:rsidRDefault="00000000">
            <w:pPr>
              <w:pStyle w:val="Compact"/>
              <w:spacing w:before="0" w:after="30"/>
            </w:pPr>
            <w:r w:rsidRPr="003F2BFF">
              <w:rPr>
                <w:rFonts w:ascii="Times New Roman" w:hAnsi="Times New Roman"/>
                <w:sz w:val="15"/>
              </w:rPr>
              <w:t>Moderate for small particles under some conditions</w:t>
            </w:r>
          </w:p>
        </w:tc>
        <w:tc>
          <w:tcPr>
            <w:tcW w:w="1843" w:type="dxa"/>
            <w:shd w:val="clear" w:color="auto" w:fill="FFFFFF"/>
            <w:tcMar>
              <w:top w:w="55" w:type="dxa"/>
              <w:left w:w="65" w:type="dxa"/>
              <w:bottom w:w="55" w:type="dxa"/>
              <w:right w:w="65" w:type="dxa"/>
            </w:tcMar>
            <w:vAlign w:val="center"/>
          </w:tcPr>
          <w:p w14:paraId="45C93E82" w14:textId="77777777" w:rsidR="007868D8" w:rsidRPr="003F2BFF" w:rsidRDefault="00000000">
            <w:pPr>
              <w:pStyle w:val="Compact"/>
              <w:spacing w:before="0" w:after="30"/>
            </w:pPr>
            <w:r w:rsidRPr="003F2BFF">
              <w:rPr>
                <w:rFonts w:ascii="Times New Roman" w:hAnsi="Times New Roman"/>
                <w:sz w:val="15"/>
              </w:rPr>
              <w:t xml:space="preserve">Particle size, </w:t>
            </w:r>
            <w:proofErr w:type="spellStart"/>
            <w:r w:rsidRPr="003F2BFF">
              <w:rPr>
                <w:rFonts w:ascii="Times New Roman" w:hAnsi="Times New Roman"/>
                <w:sz w:val="15"/>
              </w:rPr>
              <w:t>localisation</w:t>
            </w:r>
            <w:proofErr w:type="spellEnd"/>
            <w:r w:rsidRPr="003F2BFF">
              <w:rPr>
                <w:rFonts w:ascii="Times New Roman" w:hAnsi="Times New Roman"/>
                <w:sz w:val="15"/>
              </w:rPr>
              <w:t xml:space="preserve"> methods and exposure realism constrain </w:t>
            </w:r>
            <w:proofErr w:type="spellStart"/>
            <w:r w:rsidRPr="003F2BFF">
              <w:rPr>
                <w:rFonts w:ascii="Times New Roman" w:hAnsi="Times New Roman"/>
                <w:sz w:val="15"/>
              </w:rPr>
              <w:t>generalisation</w:t>
            </w:r>
            <w:proofErr w:type="spellEnd"/>
          </w:p>
        </w:tc>
        <w:tc>
          <w:tcPr>
            <w:tcW w:w="1771" w:type="dxa"/>
            <w:shd w:val="clear" w:color="auto" w:fill="FFFFFF"/>
            <w:tcMar>
              <w:top w:w="55" w:type="dxa"/>
              <w:left w:w="65" w:type="dxa"/>
              <w:bottom w:w="55" w:type="dxa"/>
              <w:right w:w="65" w:type="dxa"/>
            </w:tcMar>
            <w:vAlign w:val="center"/>
          </w:tcPr>
          <w:p w14:paraId="546FCB54" w14:textId="77777777" w:rsidR="007868D8" w:rsidRPr="003F2BFF" w:rsidRDefault="00000000">
            <w:pPr>
              <w:pStyle w:val="Compact"/>
              <w:spacing w:before="0" w:after="30"/>
            </w:pPr>
            <w:r w:rsidRPr="003F2BFF">
              <w:rPr>
                <w:rFonts w:ascii="Times New Roman" w:hAnsi="Times New Roman"/>
                <w:sz w:val="15"/>
              </w:rPr>
              <w:t>Supports systemic-access plausibility but not universal bioaccumulation</w:t>
            </w:r>
          </w:p>
        </w:tc>
        <w:tc>
          <w:tcPr>
            <w:tcW w:w="1800" w:type="dxa"/>
            <w:shd w:val="clear" w:color="auto" w:fill="FFFFFF"/>
            <w:tcMar>
              <w:top w:w="55" w:type="dxa"/>
              <w:left w:w="65" w:type="dxa"/>
              <w:bottom w:w="55" w:type="dxa"/>
              <w:right w:w="65" w:type="dxa"/>
            </w:tcMar>
            <w:vAlign w:val="center"/>
          </w:tcPr>
          <w:p w14:paraId="5FD84801" w14:textId="77777777" w:rsidR="007868D8" w:rsidRPr="003F2BFF" w:rsidRDefault="00000000">
            <w:pPr>
              <w:pStyle w:val="Compact"/>
              <w:spacing w:before="0" w:after="30"/>
            </w:pPr>
            <w:r w:rsidRPr="003F2BFF">
              <w:rPr>
                <w:rFonts w:ascii="Times New Roman" w:hAnsi="Times New Roman"/>
                <w:sz w:val="15"/>
              </w:rPr>
              <w:t>(Browne et al., 2008; Lu et al., 2016)</w:t>
            </w:r>
          </w:p>
        </w:tc>
      </w:tr>
      <w:tr w:rsidR="003F2BFF" w:rsidRPr="003F2BFF" w14:paraId="69B4E466" w14:textId="77777777" w:rsidTr="007868D8">
        <w:trPr>
          <w:jc w:val="center"/>
        </w:trPr>
        <w:tc>
          <w:tcPr>
            <w:tcW w:w="1526" w:type="dxa"/>
            <w:shd w:val="clear" w:color="auto" w:fill="FFFFFF"/>
            <w:tcMar>
              <w:top w:w="55" w:type="dxa"/>
              <w:left w:w="65" w:type="dxa"/>
              <w:bottom w:w="55" w:type="dxa"/>
              <w:right w:w="65" w:type="dxa"/>
            </w:tcMar>
            <w:vAlign w:val="center"/>
          </w:tcPr>
          <w:p w14:paraId="05EB005B" w14:textId="77777777" w:rsidR="007868D8" w:rsidRPr="003F2BFF" w:rsidRDefault="00000000">
            <w:pPr>
              <w:pStyle w:val="Compact"/>
              <w:spacing w:before="0" w:after="30"/>
            </w:pPr>
            <w:r w:rsidRPr="003F2BFF">
              <w:rPr>
                <w:rFonts w:ascii="Times New Roman" w:hAnsi="Times New Roman"/>
                <w:sz w:val="15"/>
              </w:rPr>
              <w:t>Feeding, metabolism and oxidative/tissue responses</w:t>
            </w:r>
          </w:p>
        </w:tc>
        <w:tc>
          <w:tcPr>
            <w:tcW w:w="1958" w:type="dxa"/>
            <w:shd w:val="clear" w:color="auto" w:fill="FFFFFF"/>
            <w:tcMar>
              <w:top w:w="55" w:type="dxa"/>
              <w:left w:w="65" w:type="dxa"/>
              <w:bottom w:w="55" w:type="dxa"/>
              <w:right w:w="65" w:type="dxa"/>
            </w:tcMar>
            <w:vAlign w:val="center"/>
          </w:tcPr>
          <w:p w14:paraId="23795317" w14:textId="77777777" w:rsidR="007868D8" w:rsidRPr="003F2BFF" w:rsidRDefault="00000000">
            <w:pPr>
              <w:pStyle w:val="Compact"/>
              <w:spacing w:before="0" w:after="30"/>
            </w:pPr>
            <w:r w:rsidRPr="003F2BFF">
              <w:rPr>
                <w:rFonts w:ascii="Times New Roman" w:hAnsi="Times New Roman"/>
                <w:sz w:val="15"/>
              </w:rPr>
              <w:t>Laboratory fish and invertebrate studies; synthesis across taxa</w:t>
            </w:r>
          </w:p>
        </w:tc>
        <w:tc>
          <w:tcPr>
            <w:tcW w:w="1325" w:type="dxa"/>
            <w:shd w:val="clear" w:color="auto" w:fill="FFFFFF"/>
            <w:tcMar>
              <w:top w:w="55" w:type="dxa"/>
              <w:left w:w="65" w:type="dxa"/>
              <w:bottom w:w="55" w:type="dxa"/>
              <w:right w:w="65" w:type="dxa"/>
            </w:tcMar>
            <w:vAlign w:val="center"/>
          </w:tcPr>
          <w:p w14:paraId="00755D65" w14:textId="77777777" w:rsidR="007868D8" w:rsidRPr="003F2BFF" w:rsidRDefault="00000000">
            <w:pPr>
              <w:pStyle w:val="Compact"/>
              <w:spacing w:before="0" w:after="30"/>
            </w:pPr>
            <w:r w:rsidRPr="003F2BFF">
              <w:rPr>
                <w:rFonts w:ascii="Times New Roman" w:hAnsi="Times New Roman"/>
                <w:sz w:val="15"/>
              </w:rPr>
              <w:t>Moderate, with consistent mechanisms but high heterogeneity</w:t>
            </w:r>
          </w:p>
        </w:tc>
        <w:tc>
          <w:tcPr>
            <w:tcW w:w="1843" w:type="dxa"/>
            <w:shd w:val="clear" w:color="auto" w:fill="FFFFFF"/>
            <w:tcMar>
              <w:top w:w="55" w:type="dxa"/>
              <w:left w:w="65" w:type="dxa"/>
              <w:bottom w:w="55" w:type="dxa"/>
              <w:right w:w="65" w:type="dxa"/>
            </w:tcMar>
            <w:vAlign w:val="center"/>
          </w:tcPr>
          <w:p w14:paraId="318C9C79" w14:textId="77777777" w:rsidR="007868D8" w:rsidRPr="003F2BFF" w:rsidRDefault="00000000">
            <w:pPr>
              <w:pStyle w:val="Compact"/>
              <w:spacing w:before="0" w:after="30"/>
            </w:pPr>
            <w:r w:rsidRPr="003F2BFF">
              <w:rPr>
                <w:rFonts w:ascii="Times New Roman" w:hAnsi="Times New Roman"/>
                <w:sz w:val="15"/>
              </w:rPr>
              <w:t>Pristine particles and high or poorly verified doses remain common</w:t>
            </w:r>
          </w:p>
        </w:tc>
        <w:tc>
          <w:tcPr>
            <w:tcW w:w="1771" w:type="dxa"/>
            <w:shd w:val="clear" w:color="auto" w:fill="FFFFFF"/>
            <w:tcMar>
              <w:top w:w="55" w:type="dxa"/>
              <w:left w:w="65" w:type="dxa"/>
              <w:bottom w:w="55" w:type="dxa"/>
              <w:right w:w="65" w:type="dxa"/>
            </w:tcMar>
            <w:vAlign w:val="center"/>
          </w:tcPr>
          <w:p w14:paraId="7A5B8AF2" w14:textId="77777777" w:rsidR="007868D8" w:rsidRPr="003F2BFF" w:rsidRDefault="00000000">
            <w:pPr>
              <w:pStyle w:val="Compact"/>
              <w:spacing w:before="0" w:after="30"/>
            </w:pPr>
            <w:r w:rsidRPr="003F2BFF">
              <w:rPr>
                <w:rFonts w:ascii="Times New Roman" w:hAnsi="Times New Roman"/>
                <w:sz w:val="15"/>
              </w:rPr>
              <w:t>Hazard is credible; field risk is context specific</w:t>
            </w:r>
          </w:p>
        </w:tc>
        <w:tc>
          <w:tcPr>
            <w:tcW w:w="1800" w:type="dxa"/>
            <w:shd w:val="clear" w:color="auto" w:fill="FFFFFF"/>
            <w:tcMar>
              <w:top w:w="55" w:type="dxa"/>
              <w:left w:w="65" w:type="dxa"/>
              <w:bottom w:w="55" w:type="dxa"/>
              <w:right w:w="65" w:type="dxa"/>
            </w:tcMar>
            <w:vAlign w:val="center"/>
          </w:tcPr>
          <w:p w14:paraId="24EE6C13" w14:textId="77777777" w:rsidR="007868D8" w:rsidRPr="003F2BFF" w:rsidRDefault="00000000">
            <w:pPr>
              <w:pStyle w:val="Compact"/>
              <w:spacing w:before="0" w:after="30"/>
            </w:pPr>
            <w:r w:rsidRPr="003F2BFF">
              <w:rPr>
                <w:rFonts w:ascii="Times New Roman" w:hAnsi="Times New Roman"/>
                <w:sz w:val="15"/>
              </w:rPr>
              <w:t>(Foley et al., 2018; Ghosh et al., 2025; Lu et al., 2016)</w:t>
            </w:r>
          </w:p>
        </w:tc>
      </w:tr>
      <w:tr w:rsidR="003F2BFF" w:rsidRPr="003F2BFF" w14:paraId="32012D9B" w14:textId="77777777" w:rsidTr="007868D8">
        <w:trPr>
          <w:jc w:val="center"/>
        </w:trPr>
        <w:tc>
          <w:tcPr>
            <w:tcW w:w="1526" w:type="dxa"/>
            <w:shd w:val="clear" w:color="auto" w:fill="FFFFFF"/>
            <w:tcMar>
              <w:top w:w="55" w:type="dxa"/>
              <w:left w:w="65" w:type="dxa"/>
              <w:bottom w:w="55" w:type="dxa"/>
              <w:right w:w="65" w:type="dxa"/>
            </w:tcMar>
            <w:vAlign w:val="center"/>
          </w:tcPr>
          <w:p w14:paraId="5BAB128A" w14:textId="77777777" w:rsidR="007868D8" w:rsidRPr="003F2BFF" w:rsidRDefault="00000000">
            <w:pPr>
              <w:pStyle w:val="Compact"/>
              <w:spacing w:before="0" w:after="30"/>
            </w:pPr>
            <w:r w:rsidRPr="003F2BFF">
              <w:rPr>
                <w:rFonts w:ascii="Times New Roman" w:hAnsi="Times New Roman"/>
                <w:sz w:val="15"/>
              </w:rPr>
              <w:t>Growth and reproduction</w:t>
            </w:r>
          </w:p>
        </w:tc>
        <w:tc>
          <w:tcPr>
            <w:tcW w:w="1958" w:type="dxa"/>
            <w:shd w:val="clear" w:color="auto" w:fill="FFFFFF"/>
            <w:tcMar>
              <w:top w:w="55" w:type="dxa"/>
              <w:left w:w="65" w:type="dxa"/>
              <w:bottom w:w="55" w:type="dxa"/>
              <w:right w:w="65" w:type="dxa"/>
            </w:tcMar>
            <w:vAlign w:val="center"/>
          </w:tcPr>
          <w:p w14:paraId="4CF33124" w14:textId="77777777" w:rsidR="007868D8" w:rsidRPr="003F2BFF" w:rsidRDefault="00000000">
            <w:pPr>
              <w:pStyle w:val="Compact"/>
              <w:spacing w:before="0" w:after="30"/>
            </w:pPr>
            <w:r w:rsidRPr="003F2BFF">
              <w:rPr>
                <w:rFonts w:ascii="Times New Roman" w:hAnsi="Times New Roman"/>
                <w:sz w:val="15"/>
              </w:rPr>
              <w:t>Reproductive impairment in controlled oyster exposure; variable responses elsewhere</w:t>
            </w:r>
          </w:p>
        </w:tc>
        <w:tc>
          <w:tcPr>
            <w:tcW w:w="1325" w:type="dxa"/>
            <w:shd w:val="clear" w:color="auto" w:fill="FFFFFF"/>
            <w:tcMar>
              <w:top w:w="55" w:type="dxa"/>
              <w:left w:w="65" w:type="dxa"/>
              <w:bottom w:w="55" w:type="dxa"/>
              <w:right w:w="65" w:type="dxa"/>
            </w:tcMar>
            <w:vAlign w:val="center"/>
          </w:tcPr>
          <w:p w14:paraId="28B11955" w14:textId="77777777" w:rsidR="007868D8" w:rsidRPr="003F2BFF" w:rsidRDefault="00000000">
            <w:pPr>
              <w:pStyle w:val="Compact"/>
              <w:spacing w:before="0" w:after="30"/>
            </w:pPr>
            <w:r w:rsidRPr="003F2BFF">
              <w:rPr>
                <w:rFonts w:ascii="Times New Roman" w:hAnsi="Times New Roman"/>
                <w:sz w:val="15"/>
              </w:rPr>
              <w:t>Moderate for selected species and conditions</w:t>
            </w:r>
          </w:p>
        </w:tc>
        <w:tc>
          <w:tcPr>
            <w:tcW w:w="1843" w:type="dxa"/>
            <w:shd w:val="clear" w:color="auto" w:fill="FFFFFF"/>
            <w:tcMar>
              <w:top w:w="55" w:type="dxa"/>
              <w:left w:w="65" w:type="dxa"/>
              <w:bottom w:w="55" w:type="dxa"/>
              <w:right w:w="65" w:type="dxa"/>
            </w:tcMar>
            <w:vAlign w:val="center"/>
          </w:tcPr>
          <w:p w14:paraId="2D2590E5" w14:textId="77777777" w:rsidR="007868D8" w:rsidRPr="003F2BFF" w:rsidRDefault="00000000">
            <w:pPr>
              <w:pStyle w:val="Compact"/>
              <w:spacing w:before="0" w:after="30"/>
            </w:pPr>
            <w:r w:rsidRPr="003F2BFF">
              <w:rPr>
                <w:rFonts w:ascii="Times New Roman" w:hAnsi="Times New Roman"/>
                <w:sz w:val="15"/>
              </w:rPr>
              <w:t>Long-term field confirmation is limited; particle mixtures are often simplified</w:t>
            </w:r>
          </w:p>
        </w:tc>
        <w:tc>
          <w:tcPr>
            <w:tcW w:w="1771" w:type="dxa"/>
            <w:shd w:val="clear" w:color="auto" w:fill="FFFFFF"/>
            <w:tcMar>
              <w:top w:w="55" w:type="dxa"/>
              <w:left w:w="65" w:type="dxa"/>
              <w:bottom w:w="55" w:type="dxa"/>
              <w:right w:w="65" w:type="dxa"/>
            </w:tcMar>
            <w:vAlign w:val="center"/>
          </w:tcPr>
          <w:p w14:paraId="153471D1" w14:textId="77777777" w:rsidR="007868D8" w:rsidRPr="003F2BFF" w:rsidRDefault="00000000">
            <w:pPr>
              <w:pStyle w:val="Compact"/>
              <w:spacing w:before="0" w:after="30"/>
            </w:pPr>
            <w:r w:rsidRPr="003F2BFF">
              <w:rPr>
                <w:rFonts w:ascii="Times New Roman" w:hAnsi="Times New Roman"/>
                <w:sz w:val="15"/>
              </w:rPr>
              <w:t>Fitness-relevant effects are possible where exposure overlaps effect levels</w:t>
            </w:r>
          </w:p>
        </w:tc>
        <w:tc>
          <w:tcPr>
            <w:tcW w:w="1800" w:type="dxa"/>
            <w:shd w:val="clear" w:color="auto" w:fill="FFFFFF"/>
            <w:tcMar>
              <w:top w:w="55" w:type="dxa"/>
              <w:left w:w="65" w:type="dxa"/>
              <w:bottom w:w="55" w:type="dxa"/>
              <w:right w:w="65" w:type="dxa"/>
            </w:tcMar>
            <w:vAlign w:val="center"/>
          </w:tcPr>
          <w:p w14:paraId="17FF237D" w14:textId="77777777" w:rsidR="007868D8" w:rsidRPr="003F2BFF" w:rsidRDefault="00000000">
            <w:pPr>
              <w:pStyle w:val="Compact"/>
              <w:spacing w:before="0" w:after="30"/>
            </w:pPr>
            <w:r w:rsidRPr="003F2BFF">
              <w:rPr>
                <w:rFonts w:ascii="Times New Roman" w:hAnsi="Times New Roman"/>
                <w:sz w:val="15"/>
              </w:rPr>
              <w:t xml:space="preserve">(de Sá et al., 2018; </w:t>
            </w:r>
            <w:proofErr w:type="spellStart"/>
            <w:r w:rsidRPr="003F2BFF">
              <w:rPr>
                <w:rFonts w:ascii="Times New Roman" w:hAnsi="Times New Roman"/>
                <w:sz w:val="15"/>
              </w:rPr>
              <w:t>Sussarellu</w:t>
            </w:r>
            <w:proofErr w:type="spellEnd"/>
            <w:r w:rsidRPr="003F2BFF">
              <w:rPr>
                <w:rFonts w:ascii="Times New Roman" w:hAnsi="Times New Roman"/>
                <w:sz w:val="15"/>
              </w:rPr>
              <w:t xml:space="preserve"> et al., 2016)</w:t>
            </w:r>
          </w:p>
        </w:tc>
      </w:tr>
      <w:tr w:rsidR="003F2BFF" w:rsidRPr="003F2BFF" w14:paraId="4E87E91B" w14:textId="77777777" w:rsidTr="007868D8">
        <w:trPr>
          <w:jc w:val="center"/>
        </w:trPr>
        <w:tc>
          <w:tcPr>
            <w:tcW w:w="1526" w:type="dxa"/>
            <w:shd w:val="clear" w:color="auto" w:fill="FFFFFF"/>
            <w:tcMar>
              <w:top w:w="55" w:type="dxa"/>
              <w:left w:w="65" w:type="dxa"/>
              <w:bottom w:w="55" w:type="dxa"/>
              <w:right w:w="65" w:type="dxa"/>
            </w:tcMar>
            <w:vAlign w:val="center"/>
          </w:tcPr>
          <w:p w14:paraId="723F59D0" w14:textId="77777777" w:rsidR="007868D8" w:rsidRPr="003F2BFF" w:rsidRDefault="00000000">
            <w:pPr>
              <w:pStyle w:val="Compact"/>
              <w:spacing w:before="0" w:after="30"/>
            </w:pPr>
            <w:r w:rsidRPr="003F2BFF">
              <w:rPr>
                <w:rFonts w:ascii="Times New Roman" w:hAnsi="Times New Roman"/>
                <w:sz w:val="15"/>
              </w:rPr>
              <w:t>Trophic transfer</w:t>
            </w:r>
          </w:p>
        </w:tc>
        <w:tc>
          <w:tcPr>
            <w:tcW w:w="1958" w:type="dxa"/>
            <w:shd w:val="clear" w:color="auto" w:fill="FFFFFF"/>
            <w:tcMar>
              <w:top w:w="55" w:type="dxa"/>
              <w:left w:w="65" w:type="dxa"/>
              <w:bottom w:w="55" w:type="dxa"/>
              <w:right w:w="65" w:type="dxa"/>
            </w:tcMar>
            <w:vAlign w:val="center"/>
          </w:tcPr>
          <w:p w14:paraId="03657DD9" w14:textId="77777777" w:rsidR="007868D8" w:rsidRPr="003F2BFF" w:rsidRDefault="00000000">
            <w:pPr>
              <w:pStyle w:val="Compact"/>
              <w:spacing w:before="0" w:after="30"/>
            </w:pPr>
            <w:r w:rsidRPr="003F2BFF">
              <w:rPr>
                <w:rFonts w:ascii="Times New Roman" w:hAnsi="Times New Roman"/>
                <w:sz w:val="15"/>
              </w:rPr>
              <w:t>Laboratory prey–predator and planktonic transfer; field food-web evidence</w:t>
            </w:r>
          </w:p>
        </w:tc>
        <w:tc>
          <w:tcPr>
            <w:tcW w:w="1325" w:type="dxa"/>
            <w:shd w:val="clear" w:color="auto" w:fill="FFFFFF"/>
            <w:tcMar>
              <w:top w:w="55" w:type="dxa"/>
              <w:left w:w="65" w:type="dxa"/>
              <w:bottom w:w="55" w:type="dxa"/>
              <w:right w:w="65" w:type="dxa"/>
            </w:tcMar>
            <w:vAlign w:val="center"/>
          </w:tcPr>
          <w:p w14:paraId="679995EB" w14:textId="77777777" w:rsidR="007868D8" w:rsidRPr="003F2BFF" w:rsidRDefault="00000000">
            <w:pPr>
              <w:pStyle w:val="Compact"/>
              <w:spacing w:before="0" w:after="30"/>
            </w:pPr>
            <w:r w:rsidRPr="003F2BFF">
              <w:rPr>
                <w:rFonts w:ascii="Times New Roman" w:hAnsi="Times New Roman"/>
                <w:sz w:val="15"/>
              </w:rPr>
              <w:t>High for transfer as a process</w:t>
            </w:r>
          </w:p>
        </w:tc>
        <w:tc>
          <w:tcPr>
            <w:tcW w:w="1843" w:type="dxa"/>
            <w:shd w:val="clear" w:color="auto" w:fill="FFFFFF"/>
            <w:tcMar>
              <w:top w:w="55" w:type="dxa"/>
              <w:left w:w="65" w:type="dxa"/>
              <w:bottom w:w="55" w:type="dxa"/>
              <w:right w:w="65" w:type="dxa"/>
            </w:tcMar>
            <w:vAlign w:val="center"/>
          </w:tcPr>
          <w:p w14:paraId="0A193908" w14:textId="77777777" w:rsidR="007868D8" w:rsidRPr="003F2BFF" w:rsidRDefault="00000000">
            <w:pPr>
              <w:pStyle w:val="Compact"/>
              <w:spacing w:before="0" w:after="30"/>
            </w:pPr>
            <w:r w:rsidRPr="003F2BFF">
              <w:rPr>
                <w:rFonts w:ascii="Times New Roman" w:hAnsi="Times New Roman"/>
                <w:sz w:val="15"/>
              </w:rPr>
              <w:t>Whole-body counts and gut contents complicate comparisons</w:t>
            </w:r>
          </w:p>
        </w:tc>
        <w:tc>
          <w:tcPr>
            <w:tcW w:w="1771" w:type="dxa"/>
            <w:shd w:val="clear" w:color="auto" w:fill="FFFFFF"/>
            <w:tcMar>
              <w:top w:w="55" w:type="dxa"/>
              <w:left w:w="65" w:type="dxa"/>
              <w:bottom w:w="55" w:type="dxa"/>
              <w:right w:w="65" w:type="dxa"/>
            </w:tcMar>
            <w:vAlign w:val="center"/>
          </w:tcPr>
          <w:p w14:paraId="04ADA786" w14:textId="77777777" w:rsidR="007868D8" w:rsidRPr="003F2BFF" w:rsidRDefault="00000000">
            <w:pPr>
              <w:pStyle w:val="Compact"/>
              <w:spacing w:before="0" w:after="30"/>
            </w:pPr>
            <w:r w:rsidRPr="003F2BFF">
              <w:rPr>
                <w:rFonts w:ascii="Times New Roman" w:hAnsi="Times New Roman"/>
                <w:sz w:val="15"/>
              </w:rPr>
              <w:t>Transfer should not be equated automatically with biomagnification</w:t>
            </w:r>
          </w:p>
        </w:tc>
        <w:tc>
          <w:tcPr>
            <w:tcW w:w="1800" w:type="dxa"/>
            <w:shd w:val="clear" w:color="auto" w:fill="FFFFFF"/>
            <w:tcMar>
              <w:top w:w="55" w:type="dxa"/>
              <w:left w:w="65" w:type="dxa"/>
              <w:bottom w:w="55" w:type="dxa"/>
              <w:right w:w="65" w:type="dxa"/>
            </w:tcMar>
            <w:vAlign w:val="center"/>
          </w:tcPr>
          <w:p w14:paraId="15007B53" w14:textId="77777777" w:rsidR="007868D8" w:rsidRPr="003F2BFF" w:rsidRDefault="00000000">
            <w:pPr>
              <w:pStyle w:val="Compact"/>
              <w:spacing w:before="0" w:after="30"/>
            </w:pPr>
            <w:r w:rsidRPr="003F2BFF">
              <w:rPr>
                <w:rFonts w:ascii="Times New Roman" w:hAnsi="Times New Roman"/>
                <w:sz w:val="15"/>
              </w:rPr>
              <w:t>(Farrell &amp; Nelson, 2013; Nikhil et al., 2026; Setälä et al., 2014)</w:t>
            </w:r>
          </w:p>
        </w:tc>
      </w:tr>
      <w:tr w:rsidR="003F2BFF" w:rsidRPr="003F2BFF" w14:paraId="33393270" w14:textId="77777777" w:rsidTr="007868D8">
        <w:trPr>
          <w:jc w:val="center"/>
        </w:trPr>
        <w:tc>
          <w:tcPr>
            <w:tcW w:w="1526" w:type="dxa"/>
            <w:shd w:val="clear" w:color="auto" w:fill="FFFFFF"/>
            <w:tcMar>
              <w:top w:w="55" w:type="dxa"/>
              <w:left w:w="65" w:type="dxa"/>
              <w:bottom w:w="55" w:type="dxa"/>
              <w:right w:w="65" w:type="dxa"/>
            </w:tcMar>
            <w:vAlign w:val="center"/>
          </w:tcPr>
          <w:p w14:paraId="4F06955D" w14:textId="77777777" w:rsidR="007868D8" w:rsidRPr="003F2BFF" w:rsidRDefault="00000000">
            <w:pPr>
              <w:pStyle w:val="Compact"/>
              <w:spacing w:before="0" w:after="30"/>
            </w:pPr>
            <w:r w:rsidRPr="003F2BFF">
              <w:rPr>
                <w:rFonts w:ascii="Times New Roman" w:hAnsi="Times New Roman"/>
                <w:sz w:val="15"/>
              </w:rPr>
              <w:t>Chemical exchange/additive contribution</w:t>
            </w:r>
          </w:p>
        </w:tc>
        <w:tc>
          <w:tcPr>
            <w:tcW w:w="1958" w:type="dxa"/>
            <w:shd w:val="clear" w:color="auto" w:fill="FFFFFF"/>
            <w:tcMar>
              <w:top w:w="55" w:type="dxa"/>
              <w:left w:w="65" w:type="dxa"/>
              <w:bottom w:w="55" w:type="dxa"/>
              <w:right w:w="65" w:type="dxa"/>
            </w:tcMar>
            <w:vAlign w:val="center"/>
          </w:tcPr>
          <w:p w14:paraId="4A9CE17C" w14:textId="77777777" w:rsidR="007868D8" w:rsidRPr="003F2BFF" w:rsidRDefault="00000000">
            <w:pPr>
              <w:pStyle w:val="Compact"/>
              <w:spacing w:before="0" w:after="30"/>
            </w:pPr>
            <w:r w:rsidRPr="003F2BFF">
              <w:rPr>
                <w:rFonts w:ascii="Times New Roman" w:hAnsi="Times New Roman"/>
                <w:sz w:val="15"/>
              </w:rPr>
              <w:t>Sorption, desorption and field-conditioned plastic studies</w:t>
            </w:r>
          </w:p>
        </w:tc>
        <w:tc>
          <w:tcPr>
            <w:tcW w:w="1325" w:type="dxa"/>
            <w:shd w:val="clear" w:color="auto" w:fill="FFFFFF"/>
            <w:tcMar>
              <w:top w:w="55" w:type="dxa"/>
              <w:left w:w="65" w:type="dxa"/>
              <w:bottom w:w="55" w:type="dxa"/>
              <w:right w:w="65" w:type="dxa"/>
            </w:tcMar>
            <w:vAlign w:val="center"/>
          </w:tcPr>
          <w:p w14:paraId="7F831D92" w14:textId="77777777" w:rsidR="007868D8" w:rsidRPr="003F2BFF" w:rsidRDefault="00000000">
            <w:pPr>
              <w:pStyle w:val="Compact"/>
              <w:spacing w:before="0" w:after="30"/>
            </w:pPr>
            <w:r w:rsidRPr="003F2BFF">
              <w:rPr>
                <w:rFonts w:ascii="Times New Roman" w:hAnsi="Times New Roman"/>
                <w:sz w:val="15"/>
              </w:rPr>
              <w:t>High for capacity to exchange chemicals; variable for net dose contribution</w:t>
            </w:r>
          </w:p>
        </w:tc>
        <w:tc>
          <w:tcPr>
            <w:tcW w:w="1843" w:type="dxa"/>
            <w:shd w:val="clear" w:color="auto" w:fill="FFFFFF"/>
            <w:tcMar>
              <w:top w:w="55" w:type="dxa"/>
              <w:left w:w="65" w:type="dxa"/>
              <w:bottom w:w="55" w:type="dxa"/>
              <w:right w:w="65" w:type="dxa"/>
            </w:tcMar>
            <w:vAlign w:val="center"/>
          </w:tcPr>
          <w:p w14:paraId="64126DD6" w14:textId="77777777" w:rsidR="007868D8" w:rsidRPr="003F2BFF" w:rsidRDefault="00000000">
            <w:pPr>
              <w:pStyle w:val="Compact"/>
              <w:spacing w:before="0" w:after="30"/>
            </w:pPr>
            <w:r w:rsidRPr="003F2BFF">
              <w:rPr>
                <w:rFonts w:ascii="Times New Roman" w:hAnsi="Times New Roman"/>
                <w:sz w:val="15"/>
              </w:rPr>
              <w:t>Competing exposure from food, water and sediment; plastic history matters</w:t>
            </w:r>
          </w:p>
        </w:tc>
        <w:tc>
          <w:tcPr>
            <w:tcW w:w="1771" w:type="dxa"/>
            <w:shd w:val="clear" w:color="auto" w:fill="FFFFFF"/>
            <w:tcMar>
              <w:top w:w="55" w:type="dxa"/>
              <w:left w:w="65" w:type="dxa"/>
              <w:bottom w:w="55" w:type="dxa"/>
              <w:right w:w="65" w:type="dxa"/>
            </w:tcMar>
            <w:vAlign w:val="center"/>
          </w:tcPr>
          <w:p w14:paraId="320C9810" w14:textId="77777777" w:rsidR="007868D8" w:rsidRPr="003F2BFF" w:rsidRDefault="00000000">
            <w:pPr>
              <w:pStyle w:val="Compact"/>
              <w:spacing w:before="0" w:after="30"/>
            </w:pPr>
            <w:r w:rsidRPr="003F2BFF">
              <w:rPr>
                <w:rFonts w:ascii="Times New Roman" w:hAnsi="Times New Roman"/>
                <w:sz w:val="15"/>
              </w:rPr>
              <w:t>Vector importance must be quantified relative to other media</w:t>
            </w:r>
          </w:p>
        </w:tc>
        <w:tc>
          <w:tcPr>
            <w:tcW w:w="1800" w:type="dxa"/>
            <w:shd w:val="clear" w:color="auto" w:fill="FFFFFF"/>
            <w:tcMar>
              <w:top w:w="55" w:type="dxa"/>
              <w:left w:w="65" w:type="dxa"/>
              <w:bottom w:w="55" w:type="dxa"/>
              <w:right w:w="65" w:type="dxa"/>
            </w:tcMar>
            <w:vAlign w:val="center"/>
          </w:tcPr>
          <w:p w14:paraId="2832782E" w14:textId="77777777" w:rsidR="007868D8" w:rsidRPr="003F2BFF" w:rsidRDefault="00000000">
            <w:pPr>
              <w:pStyle w:val="Compact"/>
              <w:spacing w:before="0" w:after="30"/>
            </w:pPr>
            <w:r w:rsidRPr="003F2BFF">
              <w:rPr>
                <w:rFonts w:ascii="Times New Roman" w:hAnsi="Times New Roman"/>
                <w:sz w:val="15"/>
              </w:rPr>
              <w:t xml:space="preserve">(Bakir et al., 2014; </w:t>
            </w:r>
            <w:proofErr w:type="spellStart"/>
            <w:r w:rsidRPr="003F2BFF">
              <w:rPr>
                <w:rFonts w:ascii="Times New Roman" w:hAnsi="Times New Roman"/>
                <w:sz w:val="15"/>
              </w:rPr>
              <w:t>Koelmans</w:t>
            </w:r>
            <w:proofErr w:type="spellEnd"/>
            <w:r w:rsidRPr="003F2BFF">
              <w:rPr>
                <w:rFonts w:ascii="Times New Roman" w:hAnsi="Times New Roman"/>
                <w:sz w:val="15"/>
              </w:rPr>
              <w:t xml:space="preserve"> et al., 2016; Rochman et al., 2013)</w:t>
            </w:r>
          </w:p>
        </w:tc>
      </w:tr>
      <w:tr w:rsidR="003F2BFF" w:rsidRPr="003F2BFF" w14:paraId="47563509" w14:textId="77777777" w:rsidTr="007868D8">
        <w:trPr>
          <w:jc w:val="center"/>
        </w:trPr>
        <w:tc>
          <w:tcPr>
            <w:tcW w:w="1526" w:type="dxa"/>
            <w:shd w:val="clear" w:color="auto" w:fill="FFFFFF"/>
            <w:tcMar>
              <w:top w:w="55" w:type="dxa"/>
              <w:left w:w="65" w:type="dxa"/>
              <w:bottom w:w="55" w:type="dxa"/>
              <w:right w:w="65" w:type="dxa"/>
            </w:tcMar>
            <w:vAlign w:val="center"/>
          </w:tcPr>
          <w:p w14:paraId="3450AF3B" w14:textId="77777777" w:rsidR="007868D8" w:rsidRPr="003F2BFF" w:rsidRDefault="00000000">
            <w:pPr>
              <w:pStyle w:val="Compact"/>
              <w:spacing w:before="0" w:after="30"/>
            </w:pPr>
            <w:r w:rsidRPr="003F2BFF">
              <w:rPr>
                <w:rFonts w:ascii="Times New Roman" w:hAnsi="Times New Roman"/>
                <w:sz w:val="15"/>
              </w:rPr>
              <w:t>Plastisphere interactions</w:t>
            </w:r>
          </w:p>
        </w:tc>
        <w:tc>
          <w:tcPr>
            <w:tcW w:w="1958" w:type="dxa"/>
            <w:shd w:val="clear" w:color="auto" w:fill="FFFFFF"/>
            <w:tcMar>
              <w:top w:w="55" w:type="dxa"/>
              <w:left w:w="65" w:type="dxa"/>
              <w:bottom w:w="55" w:type="dxa"/>
              <w:right w:w="65" w:type="dxa"/>
            </w:tcMar>
            <w:vAlign w:val="center"/>
          </w:tcPr>
          <w:p w14:paraId="165F3B49" w14:textId="77777777" w:rsidR="007868D8" w:rsidRPr="003F2BFF" w:rsidRDefault="00000000">
            <w:pPr>
              <w:pStyle w:val="Compact"/>
              <w:spacing w:before="0" w:after="30"/>
            </w:pPr>
            <w:r w:rsidRPr="003F2BFF">
              <w:rPr>
                <w:rFonts w:ascii="Times New Roman" w:hAnsi="Times New Roman"/>
                <w:sz w:val="15"/>
              </w:rPr>
              <w:t>Distinct microbial communities and biofilms on plastic surfaces</w:t>
            </w:r>
          </w:p>
        </w:tc>
        <w:tc>
          <w:tcPr>
            <w:tcW w:w="1325" w:type="dxa"/>
            <w:shd w:val="clear" w:color="auto" w:fill="FFFFFF"/>
            <w:tcMar>
              <w:top w:w="55" w:type="dxa"/>
              <w:left w:w="65" w:type="dxa"/>
              <w:bottom w:w="55" w:type="dxa"/>
              <w:right w:w="65" w:type="dxa"/>
            </w:tcMar>
            <w:vAlign w:val="center"/>
          </w:tcPr>
          <w:p w14:paraId="5E72129E" w14:textId="77777777" w:rsidR="007868D8" w:rsidRPr="003F2BFF" w:rsidRDefault="00000000">
            <w:pPr>
              <w:pStyle w:val="Compact"/>
              <w:spacing w:before="0" w:after="30"/>
            </w:pPr>
            <w:r w:rsidRPr="003F2BFF">
              <w:rPr>
                <w:rFonts w:ascii="Times New Roman" w:hAnsi="Times New Roman"/>
                <w:sz w:val="15"/>
              </w:rPr>
              <w:t xml:space="preserve">High for </w:t>
            </w:r>
            <w:proofErr w:type="spellStart"/>
            <w:r w:rsidRPr="003F2BFF">
              <w:rPr>
                <w:rFonts w:ascii="Times New Roman" w:hAnsi="Times New Roman"/>
                <w:sz w:val="15"/>
              </w:rPr>
              <w:t>colonisation</w:t>
            </w:r>
            <w:proofErr w:type="spellEnd"/>
            <w:r w:rsidRPr="003F2BFF">
              <w:rPr>
                <w:rFonts w:ascii="Times New Roman" w:hAnsi="Times New Roman"/>
                <w:sz w:val="15"/>
              </w:rPr>
              <w:t>; lower for disease consequences</w:t>
            </w:r>
          </w:p>
        </w:tc>
        <w:tc>
          <w:tcPr>
            <w:tcW w:w="1843" w:type="dxa"/>
            <w:shd w:val="clear" w:color="auto" w:fill="FFFFFF"/>
            <w:tcMar>
              <w:top w:w="55" w:type="dxa"/>
              <w:left w:w="65" w:type="dxa"/>
              <w:bottom w:w="55" w:type="dxa"/>
              <w:right w:w="65" w:type="dxa"/>
            </w:tcMar>
            <w:vAlign w:val="center"/>
          </w:tcPr>
          <w:p w14:paraId="594132F4" w14:textId="77777777" w:rsidR="007868D8" w:rsidRPr="003F2BFF" w:rsidRDefault="00000000">
            <w:pPr>
              <w:pStyle w:val="Compact"/>
              <w:spacing w:before="0" w:after="30"/>
            </w:pPr>
            <w:r w:rsidRPr="003F2BFF">
              <w:rPr>
                <w:rFonts w:ascii="Times New Roman" w:hAnsi="Times New Roman"/>
                <w:sz w:val="15"/>
              </w:rPr>
              <w:t>Carriage does not establish transmission or infectivity</w:t>
            </w:r>
          </w:p>
        </w:tc>
        <w:tc>
          <w:tcPr>
            <w:tcW w:w="1771" w:type="dxa"/>
            <w:shd w:val="clear" w:color="auto" w:fill="FFFFFF"/>
            <w:tcMar>
              <w:top w:w="55" w:type="dxa"/>
              <w:left w:w="65" w:type="dxa"/>
              <w:bottom w:w="55" w:type="dxa"/>
              <w:right w:w="65" w:type="dxa"/>
            </w:tcMar>
            <w:vAlign w:val="center"/>
          </w:tcPr>
          <w:p w14:paraId="354CA8A3" w14:textId="77777777" w:rsidR="007868D8" w:rsidRPr="003F2BFF" w:rsidRDefault="00000000">
            <w:pPr>
              <w:pStyle w:val="Compact"/>
              <w:spacing w:before="0" w:after="30"/>
            </w:pPr>
            <w:r w:rsidRPr="003F2BFF">
              <w:rPr>
                <w:rFonts w:ascii="Times New Roman" w:hAnsi="Times New Roman"/>
                <w:sz w:val="15"/>
              </w:rPr>
              <w:t>Ecological habitat effect is established; health implications remain conditional</w:t>
            </w:r>
          </w:p>
        </w:tc>
        <w:tc>
          <w:tcPr>
            <w:tcW w:w="1800" w:type="dxa"/>
            <w:shd w:val="clear" w:color="auto" w:fill="FFFFFF"/>
            <w:tcMar>
              <w:top w:w="55" w:type="dxa"/>
              <w:left w:w="65" w:type="dxa"/>
              <w:bottom w:w="55" w:type="dxa"/>
              <w:right w:w="65" w:type="dxa"/>
            </w:tcMar>
            <w:vAlign w:val="center"/>
          </w:tcPr>
          <w:p w14:paraId="58EE4191" w14:textId="77777777" w:rsidR="007868D8" w:rsidRPr="003F2BFF" w:rsidRDefault="00000000">
            <w:pPr>
              <w:pStyle w:val="Compact"/>
              <w:spacing w:before="0" w:after="30"/>
            </w:pPr>
            <w:r w:rsidRPr="003F2BFF">
              <w:rPr>
                <w:rFonts w:ascii="Times New Roman" w:hAnsi="Times New Roman"/>
                <w:sz w:val="15"/>
              </w:rPr>
              <w:t>(Amaral-Zettler et al., 2020; Zettler et al., 2013)</w:t>
            </w:r>
          </w:p>
        </w:tc>
      </w:tr>
      <w:tr w:rsidR="003F2BFF" w:rsidRPr="003F2BFF" w14:paraId="7B2AB89E" w14:textId="77777777" w:rsidTr="007868D8">
        <w:trPr>
          <w:jc w:val="center"/>
        </w:trPr>
        <w:tc>
          <w:tcPr>
            <w:tcW w:w="1526" w:type="dxa"/>
            <w:shd w:val="clear" w:color="auto" w:fill="FFFFFF"/>
            <w:tcMar>
              <w:top w:w="55" w:type="dxa"/>
              <w:left w:w="65" w:type="dxa"/>
              <w:bottom w:w="55" w:type="dxa"/>
              <w:right w:w="65" w:type="dxa"/>
            </w:tcMar>
            <w:vAlign w:val="center"/>
          </w:tcPr>
          <w:p w14:paraId="513D808C" w14:textId="77777777" w:rsidR="007868D8" w:rsidRPr="003F2BFF" w:rsidRDefault="00000000">
            <w:pPr>
              <w:pStyle w:val="Compact"/>
              <w:spacing w:before="0" w:after="30"/>
            </w:pPr>
            <w:r w:rsidRPr="003F2BFF">
              <w:rPr>
                <w:rFonts w:ascii="Times New Roman" w:hAnsi="Times New Roman"/>
                <w:sz w:val="15"/>
              </w:rPr>
              <w:t>Population/ecosystem risk</w:t>
            </w:r>
          </w:p>
        </w:tc>
        <w:tc>
          <w:tcPr>
            <w:tcW w:w="1958" w:type="dxa"/>
            <w:shd w:val="clear" w:color="auto" w:fill="FFFFFF"/>
            <w:tcMar>
              <w:top w:w="55" w:type="dxa"/>
              <w:left w:w="65" w:type="dxa"/>
              <w:bottom w:w="55" w:type="dxa"/>
              <w:right w:w="65" w:type="dxa"/>
            </w:tcMar>
            <w:vAlign w:val="center"/>
          </w:tcPr>
          <w:p w14:paraId="3F795260" w14:textId="77777777" w:rsidR="007868D8" w:rsidRPr="003F2BFF" w:rsidRDefault="00000000">
            <w:pPr>
              <w:pStyle w:val="Compact"/>
              <w:spacing w:before="0" w:after="30"/>
            </w:pPr>
            <w:r w:rsidRPr="003F2BFF">
              <w:rPr>
                <w:rFonts w:ascii="Times New Roman" w:hAnsi="Times New Roman"/>
                <w:sz w:val="15"/>
              </w:rPr>
              <w:t>Threshold and risk-framework studies integrate exposure and effects</w:t>
            </w:r>
          </w:p>
        </w:tc>
        <w:tc>
          <w:tcPr>
            <w:tcW w:w="1325" w:type="dxa"/>
            <w:shd w:val="clear" w:color="auto" w:fill="FFFFFF"/>
            <w:tcMar>
              <w:top w:w="55" w:type="dxa"/>
              <w:left w:w="65" w:type="dxa"/>
              <w:bottom w:w="55" w:type="dxa"/>
              <w:right w:w="65" w:type="dxa"/>
            </w:tcMar>
            <w:vAlign w:val="center"/>
          </w:tcPr>
          <w:p w14:paraId="2C5A0CB6" w14:textId="77777777" w:rsidR="007868D8" w:rsidRPr="003F2BFF" w:rsidRDefault="00000000">
            <w:pPr>
              <w:pStyle w:val="Compact"/>
              <w:spacing w:before="0" w:after="30"/>
            </w:pPr>
            <w:r w:rsidRPr="003F2BFF">
              <w:rPr>
                <w:rFonts w:ascii="Times New Roman" w:hAnsi="Times New Roman"/>
                <w:sz w:val="15"/>
              </w:rPr>
              <w:t>Low to moderate; improving</w:t>
            </w:r>
          </w:p>
        </w:tc>
        <w:tc>
          <w:tcPr>
            <w:tcW w:w="1843" w:type="dxa"/>
            <w:shd w:val="clear" w:color="auto" w:fill="FFFFFF"/>
            <w:tcMar>
              <w:top w:w="55" w:type="dxa"/>
              <w:left w:w="65" w:type="dxa"/>
              <w:bottom w:w="55" w:type="dxa"/>
              <w:right w:w="65" w:type="dxa"/>
            </w:tcMar>
            <w:vAlign w:val="center"/>
          </w:tcPr>
          <w:p w14:paraId="15A661CF" w14:textId="77777777" w:rsidR="007868D8" w:rsidRPr="003F2BFF" w:rsidRDefault="00000000">
            <w:pPr>
              <w:pStyle w:val="Compact"/>
              <w:spacing w:before="0" w:after="30"/>
            </w:pPr>
            <w:r w:rsidRPr="003F2BFF">
              <w:rPr>
                <w:rFonts w:ascii="Times New Roman" w:hAnsi="Times New Roman"/>
                <w:sz w:val="15"/>
              </w:rPr>
              <w:t>Exposure metrics, small-particle data and community-level endpoints remain limited</w:t>
            </w:r>
          </w:p>
        </w:tc>
        <w:tc>
          <w:tcPr>
            <w:tcW w:w="1771" w:type="dxa"/>
            <w:shd w:val="clear" w:color="auto" w:fill="FFFFFF"/>
            <w:tcMar>
              <w:top w:w="55" w:type="dxa"/>
              <w:left w:w="65" w:type="dxa"/>
              <w:bottom w:w="55" w:type="dxa"/>
              <w:right w:w="65" w:type="dxa"/>
            </w:tcMar>
            <w:vAlign w:val="center"/>
          </w:tcPr>
          <w:p w14:paraId="2B0304D0" w14:textId="77777777" w:rsidR="007868D8" w:rsidRPr="003F2BFF" w:rsidRDefault="00000000">
            <w:pPr>
              <w:pStyle w:val="Compact"/>
              <w:spacing w:before="0" w:after="30"/>
            </w:pPr>
            <w:r w:rsidRPr="003F2BFF">
              <w:rPr>
                <w:rFonts w:ascii="Times New Roman" w:hAnsi="Times New Roman"/>
                <w:sz w:val="15"/>
              </w:rPr>
              <w:t>Risk cannot be inferred from hazard demonstrations alone</w:t>
            </w:r>
          </w:p>
        </w:tc>
        <w:tc>
          <w:tcPr>
            <w:tcW w:w="1800" w:type="dxa"/>
            <w:shd w:val="clear" w:color="auto" w:fill="FFFFFF"/>
            <w:tcMar>
              <w:top w:w="55" w:type="dxa"/>
              <w:left w:w="65" w:type="dxa"/>
              <w:bottom w:w="55" w:type="dxa"/>
              <w:right w:w="65" w:type="dxa"/>
            </w:tcMar>
            <w:vAlign w:val="center"/>
          </w:tcPr>
          <w:p w14:paraId="2DDC6566" w14:textId="77777777" w:rsidR="007868D8" w:rsidRPr="003F2BFF" w:rsidRDefault="00000000">
            <w:pPr>
              <w:pStyle w:val="Compact"/>
              <w:spacing w:before="0" w:after="30"/>
            </w:pPr>
            <w:r w:rsidRPr="003F2BFF">
              <w:rPr>
                <w:rFonts w:ascii="Times New Roman" w:hAnsi="Times New Roman"/>
                <w:sz w:val="15"/>
              </w:rPr>
              <w:t>(</w:t>
            </w:r>
            <w:proofErr w:type="spellStart"/>
            <w:r w:rsidRPr="003F2BFF">
              <w:rPr>
                <w:rFonts w:ascii="Times New Roman" w:hAnsi="Times New Roman"/>
                <w:sz w:val="15"/>
              </w:rPr>
              <w:t>Besseling</w:t>
            </w:r>
            <w:proofErr w:type="spellEnd"/>
            <w:r w:rsidRPr="003F2BFF">
              <w:rPr>
                <w:rFonts w:ascii="Times New Roman" w:hAnsi="Times New Roman"/>
                <w:sz w:val="15"/>
              </w:rPr>
              <w:t xml:space="preserve"> et al., 2019; Redondo-</w:t>
            </w:r>
            <w:proofErr w:type="spellStart"/>
            <w:r w:rsidRPr="003F2BFF">
              <w:rPr>
                <w:rFonts w:ascii="Times New Roman" w:hAnsi="Times New Roman"/>
                <w:sz w:val="15"/>
              </w:rPr>
              <w:t>Hasselerharm</w:t>
            </w:r>
            <w:proofErr w:type="spellEnd"/>
            <w:r w:rsidRPr="003F2BFF">
              <w:rPr>
                <w:rFonts w:ascii="Times New Roman" w:hAnsi="Times New Roman"/>
                <w:sz w:val="15"/>
              </w:rPr>
              <w:t xml:space="preserve"> et al., 2018)</w:t>
            </w:r>
          </w:p>
        </w:tc>
      </w:tr>
    </w:tbl>
    <w:p w14:paraId="30F978F0"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Evidence strength refers to the specific inference stated, not to a universal judgement about all microplastics. Particle properties, dose and environmental context remain central modifiers.</w:t>
      </w:r>
    </w:p>
    <w:p w14:paraId="6DA16C9F" w14:textId="77777777" w:rsidR="007868D8" w:rsidRPr="003F2BFF" w:rsidRDefault="00000000">
      <w:pPr>
        <w:pStyle w:val="Heading1"/>
        <w:rPr>
          <w:color w:val="auto"/>
        </w:rPr>
      </w:pPr>
      <w:bookmarkStart w:id="33" w:name="human-exposure-and-health-implications"/>
      <w:bookmarkEnd w:id="25"/>
      <w:bookmarkEnd w:id="32"/>
      <w:r w:rsidRPr="003F2BFF">
        <w:rPr>
          <w:rFonts w:ascii="Times New Roman" w:hAnsi="Times New Roman"/>
          <w:color w:val="auto"/>
        </w:rPr>
        <w:t>7. Human Exposure and Health Implications</w:t>
      </w:r>
    </w:p>
    <w:p w14:paraId="64D0FD01" w14:textId="77777777" w:rsidR="007868D8" w:rsidRPr="003F2BFF" w:rsidRDefault="00000000">
      <w:pPr>
        <w:pStyle w:val="Heading2"/>
        <w:rPr>
          <w:color w:val="auto"/>
        </w:rPr>
      </w:pPr>
      <w:bookmarkStart w:id="34" w:name="aquatic-food-and-drinking-water-exposure"/>
      <w:r w:rsidRPr="003F2BFF">
        <w:rPr>
          <w:rFonts w:ascii="Times New Roman" w:hAnsi="Times New Roman"/>
          <w:color w:val="auto"/>
        </w:rPr>
        <w:t>7.1 Aquatic Food and Drinking-Water Exposure</w:t>
      </w:r>
    </w:p>
    <w:p w14:paraId="40870946" w14:textId="77777777" w:rsidR="007868D8" w:rsidRPr="003F2BFF" w:rsidRDefault="00000000">
      <w:pPr>
        <w:pStyle w:val="FirstParagraph"/>
        <w:spacing w:after="104" w:line="264" w:lineRule="auto"/>
        <w:jc w:val="both"/>
      </w:pPr>
      <w:r w:rsidRPr="003F2BFF">
        <w:rPr>
          <w:rFonts w:ascii="Times New Roman" w:hAnsi="Times New Roman"/>
          <w:sz w:val="22"/>
        </w:rPr>
        <w:t xml:space="preserve">Aquatic contamination creates plausible human exposure through seafood and drinking water, but exposure magnitude depends strongly on what is consumed and how it is processed. Bivalves and small fish eaten whole can </w:t>
      </w:r>
      <w:r w:rsidRPr="003F2BFF">
        <w:rPr>
          <w:rFonts w:ascii="Times New Roman" w:hAnsi="Times New Roman"/>
          <w:sz w:val="22"/>
        </w:rPr>
        <w:lastRenderedPageBreak/>
        <w:t xml:space="preserve">retain digestive-tract particles that would be removed from larger fish before consumption. Microplastics have been reported in edible shellfish tissues sold for human consumption, including studies from India (Daniel et al., 2021). Such findings confirm route plausibility but are not globally representative, and analytical lower-size limits can materially alter estimated intake. Cooking and food preparation may also change particle burden, yet these processes are not consistently </w:t>
      </w:r>
      <w:proofErr w:type="spellStart"/>
      <w:r w:rsidRPr="003F2BFF">
        <w:rPr>
          <w:rFonts w:ascii="Times New Roman" w:hAnsi="Times New Roman"/>
          <w:sz w:val="22"/>
        </w:rPr>
        <w:t>characterised</w:t>
      </w:r>
      <w:proofErr w:type="spellEnd"/>
      <w:r w:rsidRPr="003F2BFF">
        <w:rPr>
          <w:rFonts w:ascii="Times New Roman" w:hAnsi="Times New Roman"/>
          <w:sz w:val="22"/>
        </w:rPr>
        <w:t>.</w:t>
      </w:r>
    </w:p>
    <w:p w14:paraId="177B8A37" w14:textId="77777777" w:rsidR="007868D8" w:rsidRPr="003F2BFF" w:rsidRDefault="00000000">
      <w:pPr>
        <w:pStyle w:val="BodyText"/>
        <w:spacing w:after="104" w:line="264" w:lineRule="auto"/>
        <w:jc w:val="both"/>
      </w:pPr>
      <w:r w:rsidRPr="003F2BFF">
        <w:rPr>
          <w:rFonts w:ascii="Times New Roman" w:hAnsi="Times New Roman"/>
          <w:sz w:val="22"/>
        </w:rPr>
        <w:t>Drinking-water studies report microplastics in source water, treated water and bottled or packaged products, but cross-study concentrations vary partly because methods differ in sampling volume, minimum particle size and polymer confirmation. Critical data-quality assessment has shown that comparability is limited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and a more recent review reached similar conclusions while documenting continued detection across drinking-water systems (Yang et al., 2024). Conventional treatment can remove substantial proportions of larger particles, but the smallest microplastics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present greater analytical and treatment uncertainty. The relevant public-health question is therefore not whether particles can be detected, but how much exposure occurs across size classes and how this compares with food and inhalation.</w:t>
      </w:r>
    </w:p>
    <w:p w14:paraId="797213E7" w14:textId="77777777" w:rsidR="007868D8" w:rsidRPr="003F2BFF" w:rsidRDefault="00000000">
      <w:pPr>
        <w:pStyle w:val="BodyText"/>
        <w:spacing w:after="104" w:line="264" w:lineRule="auto"/>
        <w:jc w:val="both"/>
      </w:pPr>
      <w:r w:rsidRPr="003F2BFF">
        <w:rPr>
          <w:rFonts w:ascii="Times New Roman" w:hAnsi="Times New Roman"/>
          <w:sz w:val="22"/>
        </w:rPr>
        <w:t xml:space="preserve">World Health Organization assessments concluded that available evidence did not support confident quantitative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of health risk from microplastics in drinking water and broader dietary or inhalation exposure, while identifying important data gaps in exposure and toxicology (World Health Organization, 2019, 2022). These assessments should not be interpreted as proof of safety. They reflect limited evidence and uncertainty. Equally, the precautionary existence of uncertainty should not be represented as proof of substantial disease burden. The scientifically defensible position is to improve exposure measurement while reducing avoidable environmental release.</w:t>
      </w:r>
    </w:p>
    <w:p w14:paraId="28728067" w14:textId="77777777" w:rsidR="007868D8" w:rsidRPr="003F2BFF" w:rsidRDefault="00000000">
      <w:pPr>
        <w:pStyle w:val="BodyText"/>
        <w:spacing w:after="104" w:line="264" w:lineRule="auto"/>
        <w:jc w:val="both"/>
      </w:pPr>
      <w:r w:rsidRPr="003F2BFF">
        <w:rPr>
          <w:rFonts w:ascii="Times New Roman" w:hAnsi="Times New Roman"/>
          <w:sz w:val="22"/>
        </w:rPr>
        <w:t xml:space="preserve">Exposure estimates based on seafood require particular care because ecological occurrence is not equivalent to consumed dose. Gut removal substantially changes exposure from large fish, whereas whole-body consumption of bivalves, small fish and some crustaceans </w:t>
      </w:r>
      <w:proofErr w:type="gramStart"/>
      <w:r w:rsidRPr="003F2BFF">
        <w:rPr>
          <w:rFonts w:ascii="Times New Roman" w:hAnsi="Times New Roman"/>
          <w:sz w:val="22"/>
        </w:rPr>
        <w:t>preserves</w:t>
      </w:r>
      <w:proofErr w:type="gramEnd"/>
      <w:r w:rsidRPr="003F2BFF">
        <w:rPr>
          <w:rFonts w:ascii="Times New Roman" w:hAnsi="Times New Roman"/>
          <w:sz w:val="22"/>
        </w:rPr>
        <w:t xml:space="preserve"> more of the organismal particle load. Market handling, depuration, cooking and contamination from food packaging can further modify the particles measured at consumption. Reliable dietary exposure therefore requires sampling at the point of consumption and explicit accounting for preparation practices rather than multiplying environmental tissue concentrations by generic consumption rates.</w:t>
      </w:r>
    </w:p>
    <w:p w14:paraId="4BB4B015" w14:textId="77777777" w:rsidR="007868D8" w:rsidRPr="003F2BFF" w:rsidRDefault="00000000">
      <w:pPr>
        <w:pStyle w:val="Heading2"/>
        <w:rPr>
          <w:color w:val="auto"/>
        </w:rPr>
      </w:pPr>
      <w:bookmarkStart w:id="35" w:name="internal-human-exposure-evidence"/>
      <w:bookmarkEnd w:id="34"/>
      <w:r w:rsidRPr="003F2BFF">
        <w:rPr>
          <w:rFonts w:ascii="Times New Roman" w:hAnsi="Times New Roman"/>
          <w:color w:val="auto"/>
        </w:rPr>
        <w:t>7.2 Internal Human Exposure Evidence</w:t>
      </w:r>
    </w:p>
    <w:p w14:paraId="6DD3E619" w14:textId="77777777" w:rsidR="007868D8" w:rsidRPr="003F2BFF" w:rsidRDefault="00000000">
      <w:pPr>
        <w:pStyle w:val="FirstParagraph"/>
        <w:spacing w:after="104" w:line="264" w:lineRule="auto"/>
        <w:jc w:val="both"/>
      </w:pPr>
      <w:r w:rsidRPr="003F2BFF">
        <w:rPr>
          <w:rFonts w:ascii="Times New Roman" w:hAnsi="Times New Roman"/>
          <w:sz w:val="22"/>
        </w:rPr>
        <w:t xml:space="preserve">Reports of plastic particles in human blood, placenta and lung tissue have shifted the discussion from external exposure to internal dosimetry (Jenner et al., 2022; Leslie et al., 2022; Ragusa et al., 2021). These studies are important because they demonstrate that at least some particles or polymeric material can be detected within the human body. They are also analytically demanding. Small samples, ubiquitous environmental contamination, differences in digestion and spectroscopy, and uncertainty about particle size distributions make replication and </w:t>
      </w:r>
      <w:proofErr w:type="spellStart"/>
      <w:r w:rsidRPr="003F2BFF">
        <w:rPr>
          <w:rFonts w:ascii="Times New Roman" w:hAnsi="Times New Roman"/>
          <w:sz w:val="22"/>
        </w:rPr>
        <w:t>standardisation</w:t>
      </w:r>
      <w:proofErr w:type="spellEnd"/>
      <w:r w:rsidRPr="003F2BFF">
        <w:rPr>
          <w:rFonts w:ascii="Times New Roman" w:hAnsi="Times New Roman"/>
          <w:sz w:val="22"/>
        </w:rPr>
        <w:t xml:space="preserve"> essential. Tissue detection alone does not identify route of entry, duration of residence or biological effect.</w:t>
      </w:r>
    </w:p>
    <w:p w14:paraId="752F506E" w14:textId="77777777" w:rsidR="007868D8" w:rsidRPr="003F2BFF" w:rsidRDefault="00000000">
      <w:pPr>
        <w:pStyle w:val="BodyText"/>
        <w:spacing w:after="104" w:line="264" w:lineRule="auto"/>
        <w:jc w:val="both"/>
      </w:pPr>
      <w:r w:rsidRPr="003F2BFF">
        <w:rPr>
          <w:rFonts w:ascii="Times New Roman" w:hAnsi="Times New Roman"/>
          <w:sz w:val="22"/>
        </w:rPr>
        <w:t>The route-attribution problem is particularly important for an aquatic review. A particle detected in blood or tissue could have originated from food, drinking water, inhaled dust, occupational exposure or another source. Even when seafood consumption contributes to ingestion, the proportion of internal burden attributable to aquatic microplastics is unknown. Human biomonitoring therefore cannot currently be used to estimate the health burden of aquatic pollution without parallel source and exposure data. Stable polymer fingerprints or additive signatures may eventually improve source attribution, but shared polymers across consumer products limit specificity.</w:t>
      </w:r>
    </w:p>
    <w:p w14:paraId="332D75D6" w14:textId="77777777" w:rsidR="007868D8" w:rsidRPr="003F2BFF" w:rsidRDefault="00000000">
      <w:pPr>
        <w:pStyle w:val="BodyText"/>
        <w:spacing w:after="104" w:line="264" w:lineRule="auto"/>
        <w:jc w:val="both"/>
      </w:pPr>
      <w:r w:rsidRPr="003F2BFF">
        <w:rPr>
          <w:rFonts w:ascii="Times New Roman" w:hAnsi="Times New Roman"/>
          <w:sz w:val="22"/>
        </w:rPr>
        <w:t xml:space="preserve">Internal detection also raises toxicokinetic questions that environmental monitoring cannot answer. The probability that an ingested particle crosses the gastrointestinal barrier is likely to depend strongly on size, shape, surface coating and biological state. Once </w:t>
      </w:r>
      <w:proofErr w:type="spellStart"/>
      <w:r w:rsidRPr="003F2BFF">
        <w:rPr>
          <w:rFonts w:ascii="Times New Roman" w:hAnsi="Times New Roman"/>
          <w:sz w:val="22"/>
        </w:rPr>
        <w:t>internalised</w:t>
      </w:r>
      <w:proofErr w:type="spellEnd"/>
      <w:r w:rsidRPr="003F2BFF">
        <w:rPr>
          <w:rFonts w:ascii="Times New Roman" w:hAnsi="Times New Roman"/>
          <w:sz w:val="22"/>
        </w:rPr>
        <w:t>, clearance may differ among blood, lung, liver, placenta or vascular tissue. Cross-sectional detection cannot distinguish transient passage from persistent accumulation. Repeated-</w:t>
      </w:r>
      <w:r w:rsidRPr="003F2BFF">
        <w:rPr>
          <w:rFonts w:ascii="Times New Roman" w:hAnsi="Times New Roman"/>
          <w:sz w:val="22"/>
        </w:rPr>
        <w:lastRenderedPageBreak/>
        <w:t>sample designs, validated reference materials and orthogonal analytical methods are therefore needed before tissue concentration can serve as a reliable exposure biomarker.</w:t>
      </w:r>
    </w:p>
    <w:p w14:paraId="720E5F8A" w14:textId="77777777" w:rsidR="007868D8" w:rsidRPr="003F2BFF" w:rsidRDefault="00000000">
      <w:pPr>
        <w:pStyle w:val="Heading2"/>
        <w:rPr>
          <w:color w:val="auto"/>
        </w:rPr>
      </w:pPr>
      <w:bookmarkStart w:id="36" w:name="X4af05616eb814f93e1c99485baa68edabba955d"/>
      <w:bookmarkEnd w:id="35"/>
      <w:r w:rsidRPr="003F2BFF">
        <w:rPr>
          <w:rFonts w:ascii="Times New Roman" w:hAnsi="Times New Roman"/>
          <w:color w:val="auto"/>
        </w:rPr>
        <w:t>7.3 Mechanistic Plausibility and Human Clinical Evidence</w:t>
      </w:r>
    </w:p>
    <w:p w14:paraId="2C74384E" w14:textId="77777777" w:rsidR="007868D8" w:rsidRPr="003F2BFF" w:rsidRDefault="00000000">
      <w:pPr>
        <w:pStyle w:val="FirstParagraph"/>
        <w:spacing w:after="104" w:line="264" w:lineRule="auto"/>
        <w:jc w:val="both"/>
      </w:pPr>
      <w:r w:rsidRPr="003F2BFF">
        <w:rPr>
          <w:rFonts w:ascii="Times New Roman" w:hAnsi="Times New Roman"/>
          <w:sz w:val="22"/>
        </w:rPr>
        <w:t xml:space="preserve">Experimental toxicology provides plausible mechanisms through which sufficiently small plastic particles or associated chemicals could influence inflammation, oxidative stress, endothelial function, immune </w:t>
      </w:r>
      <w:proofErr w:type="spellStart"/>
      <w:r w:rsidRPr="003F2BFF">
        <w:rPr>
          <w:rFonts w:ascii="Times New Roman" w:hAnsi="Times New Roman"/>
          <w:sz w:val="22"/>
        </w:rPr>
        <w:t>signalling</w:t>
      </w:r>
      <w:proofErr w:type="spellEnd"/>
      <w:r w:rsidRPr="003F2BFF">
        <w:rPr>
          <w:rFonts w:ascii="Times New Roman" w:hAnsi="Times New Roman"/>
          <w:sz w:val="22"/>
        </w:rPr>
        <w:t xml:space="preserve"> or tissue homeostasis. The difficulty is translating these mechanisms to real human doses and particle mixtures. In vitro studies often use particles and concentrations selected for mechanistic clarity rather than environmental realism, while animal studies may not reproduce human exposure routes or chronic dose. The human-health evidence must therefore be evaluated on its own terms rather than inferred directly from aquatic organism toxicology.</w:t>
      </w:r>
    </w:p>
    <w:p w14:paraId="01A0D5E4" w14:textId="77777777" w:rsidR="007868D8" w:rsidRPr="003F2BFF" w:rsidRDefault="00000000">
      <w:pPr>
        <w:pStyle w:val="BodyText"/>
        <w:spacing w:after="104" w:line="264" w:lineRule="auto"/>
        <w:jc w:val="both"/>
      </w:pPr>
      <w:r w:rsidRPr="003F2BFF">
        <w:rPr>
          <w:rFonts w:ascii="Times New Roman" w:hAnsi="Times New Roman"/>
          <w:sz w:val="22"/>
        </w:rPr>
        <w:t xml:space="preserve">A prospective observational study reported micro-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in carotid atheromatous plaques and found an association between their presence and subsequent cardiovascular events in the studied clinical population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 This is notable because it links internal particle detection with a clinically meaningful outcome and temporal follow-up. Yet the design remains observational, the participants were a selected group undergoing carotid endarterectomy, and residual confounding or correlated exposures cannot be eliminated. Crucially, the study does not demonstrate that the detected particles came from aquatic sources. It should therefore be treated as a signal warranting causal investigation, not as proof that microplastics cause cardiovascular disease.</w:t>
      </w:r>
    </w:p>
    <w:p w14:paraId="123A3F3B" w14:textId="77777777" w:rsidR="007868D8" w:rsidRPr="003F2BFF" w:rsidRDefault="00000000">
      <w:pPr>
        <w:pStyle w:val="BodyText"/>
        <w:spacing w:after="104" w:line="264" w:lineRule="auto"/>
        <w:jc w:val="both"/>
      </w:pPr>
      <w:r w:rsidRPr="003F2BFF">
        <w:rPr>
          <w:rFonts w:ascii="Times New Roman" w:hAnsi="Times New Roman"/>
          <w:sz w:val="22"/>
        </w:rPr>
        <w:t>A 2026 systematic review of in vivo human evidence found that the literature had expanded across multiple organ systems but remained heterogeneous and vulnerable to exposure-measurement limitations and confounding (Tran et al., 2026). This assessment is consistent with reviews of food-to-human evidence that describe increasing monitoring but substantial uncertainty in dose–response relationships and health significance (Ruggieri et al., 2025). The evidence base has thus progressed beyond simple plausibility, yet it remains insufficient for route-specific causal risk estimates. The appropriate research response is stronger prospective exposure assessment, not categorical reassurance or alarm.</w:t>
      </w:r>
    </w:p>
    <w:p w14:paraId="5F988523" w14:textId="77777777" w:rsidR="007868D8" w:rsidRPr="003F2BFF" w:rsidRDefault="00000000">
      <w:pPr>
        <w:pStyle w:val="BodyText"/>
        <w:spacing w:after="104" w:line="264" w:lineRule="auto"/>
        <w:jc w:val="both"/>
      </w:pPr>
      <w:r w:rsidRPr="003F2BFF">
        <w:rPr>
          <w:rFonts w:ascii="Times New Roman" w:hAnsi="Times New Roman"/>
          <w:sz w:val="22"/>
        </w:rPr>
        <w:t>The emerging human evidence also exposes an important scale mismatch. Clinical studies typically measure internal particles after years of mixed environmental and consumer exposure, whereas mechanistic studies often use short-term, relatively uniform exposures. Linking the two requires biomarkers that integrate chronic dose and models of absorption and clearance. Without that bridge, even a reproducible association between tissue particles and disease may leave unresolved whether the particles are causal agents, markers of another exposure, consequences of disease-related physiology, or some combination of these possibilities.</w:t>
      </w:r>
    </w:p>
    <w:p w14:paraId="793878B9" w14:textId="77777777" w:rsidR="007868D8" w:rsidRPr="003F2BFF" w:rsidRDefault="00000000">
      <w:pPr>
        <w:pStyle w:val="Heading2"/>
        <w:rPr>
          <w:color w:val="auto"/>
        </w:rPr>
      </w:pPr>
      <w:bookmarkStart w:id="37" w:name="Xad3cbf88a5a1820483477365c4748a1ca86259d"/>
      <w:bookmarkEnd w:id="36"/>
      <w:r w:rsidRPr="003F2BFF">
        <w:rPr>
          <w:rFonts w:ascii="Times New Roman" w:hAnsi="Times New Roman"/>
          <w:color w:val="auto"/>
        </w:rPr>
        <w:t>7.4 One-Health Interpretation and Risk Communication</w:t>
      </w:r>
    </w:p>
    <w:p w14:paraId="067C5409" w14:textId="77777777" w:rsidR="007868D8" w:rsidRPr="003F2BFF" w:rsidRDefault="00000000">
      <w:pPr>
        <w:pStyle w:val="FirstParagraph"/>
        <w:spacing w:after="104" w:line="264" w:lineRule="auto"/>
        <w:jc w:val="both"/>
      </w:pPr>
      <w:r w:rsidRPr="003F2BFF">
        <w:rPr>
          <w:rFonts w:ascii="Times New Roman" w:hAnsi="Times New Roman"/>
          <w:sz w:val="22"/>
        </w:rPr>
        <w:t>Aquatic microplastics sit within a One-Health continuum because the same material flows affect ecosystems, food systems and human exposure. Nevertheless, evidence should not be flattened across levels. Demonstrating ingestion in zooplankton supports food-web exposure; reproductive effects in oysters demonstrate organismal hazard under specified conditions; particle detection in seafood supports a dietary route; and detection in human tissues supports internal exposure. None of these steps alone proves a causal chain from aquatic pollution to human disease. A credible synthesis preserves each evidentiary link and its uncertainty.</w:t>
      </w:r>
    </w:p>
    <w:p w14:paraId="6AB09670" w14:textId="77777777" w:rsidR="007868D8" w:rsidRPr="003F2BFF" w:rsidRDefault="00000000">
      <w:pPr>
        <w:pStyle w:val="BodyText"/>
        <w:spacing w:after="104" w:line="264" w:lineRule="auto"/>
        <w:jc w:val="both"/>
      </w:pPr>
      <w:r w:rsidRPr="003F2BFF">
        <w:rPr>
          <w:rFonts w:ascii="Times New Roman" w:hAnsi="Times New Roman"/>
          <w:sz w:val="22"/>
        </w:rPr>
        <w:t xml:space="preserve">Risk communication should therefore avoid two symmetric errors. The first is to equate ubiquitous detection with inevitable harm. The second is to equate incomplete causal evidence with absence of concern. Microplastic release is persistent, exposure is widespread, and some hazards are biologically credible, so source reduction has environmental justification even before precise human disease burdens are known. At the same time, public-health claims should distinguish measured exposure from modelled intake, microplastics from </w:t>
      </w:r>
      <w:proofErr w:type="spellStart"/>
      <w:r w:rsidRPr="003F2BFF">
        <w:rPr>
          <w:rFonts w:ascii="Times New Roman" w:hAnsi="Times New Roman"/>
          <w:sz w:val="22"/>
        </w:rPr>
        <w:t>nanoplastics</w:t>
      </w:r>
      <w:proofErr w:type="spellEnd"/>
      <w:r w:rsidRPr="003F2BFF">
        <w:rPr>
          <w:rFonts w:ascii="Times New Roman" w:hAnsi="Times New Roman"/>
          <w:sz w:val="22"/>
        </w:rPr>
        <w:t>, and observational association from causation. This calibrated framing is consistent with both international assessments and recent human evidence (Tran et al., 2026; World Health Organization, 2022).</w:t>
      </w:r>
    </w:p>
    <w:p w14:paraId="1388373C" w14:textId="77777777" w:rsidR="007868D8" w:rsidRPr="003F2BFF" w:rsidRDefault="00000000">
      <w:pPr>
        <w:pStyle w:val="BodyText"/>
        <w:keepNext/>
        <w:spacing w:after="104" w:line="264" w:lineRule="auto"/>
        <w:jc w:val="both"/>
      </w:pPr>
      <w:r w:rsidRPr="003F2BFF">
        <w:rPr>
          <w:rFonts w:ascii="Times New Roman" w:hAnsi="Times New Roman"/>
          <w:sz w:val="22"/>
        </w:rPr>
        <w:lastRenderedPageBreak/>
        <w:t xml:space="preserve">Table 4 </w:t>
      </w:r>
      <w:proofErr w:type="spellStart"/>
      <w:r w:rsidRPr="003F2BFF">
        <w:rPr>
          <w:rFonts w:ascii="Times New Roman" w:hAnsi="Times New Roman"/>
          <w:sz w:val="22"/>
        </w:rPr>
        <w:t>summarises</w:t>
      </w:r>
      <w:proofErr w:type="spellEnd"/>
      <w:r w:rsidRPr="003F2BFF">
        <w:rPr>
          <w:rFonts w:ascii="Times New Roman" w:hAnsi="Times New Roman"/>
          <w:sz w:val="22"/>
        </w:rPr>
        <w:t xml:space="preserve"> the human evidence most relevant to aquatic microplastics. The pattern is one of increasing certainty from environmental occurrence to route plausibility and internal detection, followed by a sharp increase in uncertainty at the step of causal clinical effect and source attribution. That pattern argues for paired environmental and human exposure studies rather than further isolated detection reports.</w:t>
      </w:r>
    </w:p>
    <w:p w14:paraId="6BBBA587" w14:textId="77777777" w:rsidR="007868D8" w:rsidRPr="003F2BFF" w:rsidRDefault="00000000">
      <w:pPr>
        <w:pStyle w:val="BodyText"/>
        <w:keepNext/>
        <w:spacing w:before="100" w:after="60"/>
      </w:pPr>
      <w:r w:rsidRPr="003F2BFF">
        <w:rPr>
          <w:rFonts w:ascii="Times New Roman" w:hAnsi="Times New Roman"/>
          <w:b/>
          <w:bCs/>
          <w:sz w:val="19"/>
        </w:rPr>
        <w:t>Table 4. Human-exposure and health evidence relevant to aquatic microplastics</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511"/>
        <w:gridCol w:w="1877"/>
        <w:gridCol w:w="1877"/>
        <w:gridCol w:w="2009"/>
        <w:gridCol w:w="1408"/>
        <w:gridCol w:w="1730"/>
      </w:tblGrid>
      <w:tr w:rsidR="003F2BFF" w:rsidRPr="003F2BFF" w14:paraId="0FFC1E12"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483" w:type="dxa"/>
            <w:shd w:val="clear" w:color="auto" w:fill="1F4E79"/>
            <w:tcMar>
              <w:top w:w="55" w:type="dxa"/>
              <w:left w:w="65" w:type="dxa"/>
              <w:bottom w:w="55" w:type="dxa"/>
              <w:right w:w="65" w:type="dxa"/>
            </w:tcMar>
            <w:vAlign w:val="center"/>
          </w:tcPr>
          <w:p w14:paraId="18CA16BE" w14:textId="77777777" w:rsidR="007868D8" w:rsidRPr="003F2BFF" w:rsidRDefault="00000000">
            <w:pPr>
              <w:pStyle w:val="Compact"/>
              <w:spacing w:before="0" w:after="0"/>
              <w:jc w:val="center"/>
            </w:pPr>
            <w:r w:rsidRPr="003F2BFF">
              <w:rPr>
                <w:rFonts w:ascii="Times New Roman" w:hAnsi="Times New Roman"/>
                <w:b/>
                <w:sz w:val="15"/>
              </w:rPr>
              <w:t>Evidence domain</w:t>
            </w:r>
          </w:p>
        </w:tc>
        <w:tc>
          <w:tcPr>
            <w:tcW w:w="1843" w:type="dxa"/>
            <w:shd w:val="clear" w:color="auto" w:fill="1F4E79"/>
            <w:tcMar>
              <w:top w:w="55" w:type="dxa"/>
              <w:left w:w="65" w:type="dxa"/>
              <w:bottom w:w="55" w:type="dxa"/>
              <w:right w:w="65" w:type="dxa"/>
            </w:tcMar>
            <w:vAlign w:val="center"/>
          </w:tcPr>
          <w:p w14:paraId="1BD743AD" w14:textId="77777777" w:rsidR="007868D8" w:rsidRPr="003F2BFF" w:rsidRDefault="00000000">
            <w:pPr>
              <w:pStyle w:val="Compact"/>
              <w:spacing w:before="0" w:after="0"/>
              <w:jc w:val="center"/>
            </w:pPr>
            <w:r w:rsidRPr="003F2BFF">
              <w:rPr>
                <w:rFonts w:ascii="Times New Roman" w:hAnsi="Times New Roman"/>
                <w:b/>
                <w:sz w:val="15"/>
              </w:rPr>
              <w:t>What is established</w:t>
            </w:r>
          </w:p>
        </w:tc>
        <w:tc>
          <w:tcPr>
            <w:tcW w:w="1843" w:type="dxa"/>
            <w:shd w:val="clear" w:color="auto" w:fill="1F4E79"/>
            <w:tcMar>
              <w:top w:w="55" w:type="dxa"/>
              <w:left w:w="65" w:type="dxa"/>
              <w:bottom w:w="55" w:type="dxa"/>
              <w:right w:w="65" w:type="dxa"/>
            </w:tcMar>
            <w:vAlign w:val="center"/>
          </w:tcPr>
          <w:p w14:paraId="2C4C16B8" w14:textId="77777777" w:rsidR="007868D8" w:rsidRPr="003F2BFF" w:rsidRDefault="00000000">
            <w:pPr>
              <w:pStyle w:val="Compact"/>
              <w:spacing w:before="0" w:after="0"/>
              <w:jc w:val="center"/>
            </w:pPr>
            <w:r w:rsidRPr="003F2BFF">
              <w:rPr>
                <w:rFonts w:ascii="Times New Roman" w:hAnsi="Times New Roman"/>
                <w:b/>
                <w:sz w:val="15"/>
              </w:rPr>
              <w:t>What is not established</w:t>
            </w:r>
          </w:p>
        </w:tc>
        <w:tc>
          <w:tcPr>
            <w:tcW w:w="1973" w:type="dxa"/>
            <w:shd w:val="clear" w:color="auto" w:fill="1F4E79"/>
            <w:tcMar>
              <w:top w:w="55" w:type="dxa"/>
              <w:left w:w="65" w:type="dxa"/>
              <w:bottom w:w="55" w:type="dxa"/>
              <w:right w:w="65" w:type="dxa"/>
            </w:tcMar>
            <w:vAlign w:val="center"/>
          </w:tcPr>
          <w:p w14:paraId="7E1066A2" w14:textId="77777777" w:rsidR="007868D8" w:rsidRPr="003F2BFF" w:rsidRDefault="00000000">
            <w:pPr>
              <w:pStyle w:val="Compact"/>
              <w:spacing w:before="0" w:after="0"/>
              <w:jc w:val="center"/>
            </w:pPr>
            <w:r w:rsidRPr="003F2BFF">
              <w:rPr>
                <w:rFonts w:ascii="Times New Roman" w:hAnsi="Times New Roman"/>
                <w:b/>
                <w:sz w:val="15"/>
              </w:rPr>
              <w:t>Methodological constraints</w:t>
            </w:r>
          </w:p>
        </w:tc>
        <w:tc>
          <w:tcPr>
            <w:tcW w:w="1382" w:type="dxa"/>
            <w:shd w:val="clear" w:color="auto" w:fill="1F4E79"/>
            <w:tcMar>
              <w:top w:w="55" w:type="dxa"/>
              <w:left w:w="65" w:type="dxa"/>
              <w:bottom w:w="55" w:type="dxa"/>
              <w:right w:w="65" w:type="dxa"/>
            </w:tcMar>
            <w:vAlign w:val="center"/>
          </w:tcPr>
          <w:p w14:paraId="563E543B" w14:textId="77777777" w:rsidR="007868D8" w:rsidRPr="003F2BFF" w:rsidRDefault="00000000">
            <w:pPr>
              <w:pStyle w:val="Compact"/>
              <w:spacing w:before="0" w:after="0"/>
              <w:jc w:val="center"/>
            </w:pPr>
            <w:r w:rsidRPr="003F2BFF">
              <w:rPr>
                <w:rFonts w:ascii="Times New Roman" w:hAnsi="Times New Roman"/>
                <w:b/>
                <w:sz w:val="15"/>
              </w:rPr>
              <w:t>Implication</w:t>
            </w:r>
          </w:p>
        </w:tc>
        <w:tc>
          <w:tcPr>
            <w:tcW w:w="1699" w:type="dxa"/>
            <w:shd w:val="clear" w:color="auto" w:fill="1F4E79"/>
            <w:tcMar>
              <w:top w:w="55" w:type="dxa"/>
              <w:left w:w="65" w:type="dxa"/>
              <w:bottom w:w="55" w:type="dxa"/>
              <w:right w:w="65" w:type="dxa"/>
            </w:tcMar>
            <w:vAlign w:val="center"/>
          </w:tcPr>
          <w:p w14:paraId="30322D2F"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3F2BFF" w14:paraId="52B66348" w14:textId="77777777" w:rsidTr="007868D8">
        <w:trPr>
          <w:jc w:val="center"/>
        </w:trPr>
        <w:tc>
          <w:tcPr>
            <w:tcW w:w="1483" w:type="dxa"/>
            <w:shd w:val="clear" w:color="auto" w:fill="FFFFFF"/>
            <w:tcMar>
              <w:top w:w="55" w:type="dxa"/>
              <w:left w:w="65" w:type="dxa"/>
              <w:bottom w:w="55" w:type="dxa"/>
              <w:right w:w="65" w:type="dxa"/>
            </w:tcMar>
            <w:vAlign w:val="center"/>
          </w:tcPr>
          <w:p w14:paraId="561A62A4" w14:textId="77777777" w:rsidR="007868D8" w:rsidRPr="003F2BFF" w:rsidRDefault="00000000">
            <w:pPr>
              <w:pStyle w:val="Compact"/>
              <w:spacing w:before="0" w:after="30"/>
            </w:pPr>
            <w:r w:rsidRPr="003F2BFF">
              <w:rPr>
                <w:rFonts w:ascii="Times New Roman" w:hAnsi="Times New Roman"/>
                <w:sz w:val="15"/>
              </w:rPr>
              <w:t>Seafood exposure</w:t>
            </w:r>
          </w:p>
        </w:tc>
        <w:tc>
          <w:tcPr>
            <w:tcW w:w="1843" w:type="dxa"/>
            <w:shd w:val="clear" w:color="auto" w:fill="FFFFFF"/>
            <w:tcMar>
              <w:top w:w="55" w:type="dxa"/>
              <w:left w:w="65" w:type="dxa"/>
              <w:bottom w:w="55" w:type="dxa"/>
              <w:right w:w="65" w:type="dxa"/>
            </w:tcMar>
            <w:vAlign w:val="center"/>
          </w:tcPr>
          <w:p w14:paraId="4D472011" w14:textId="77777777" w:rsidR="007868D8" w:rsidRPr="003F2BFF" w:rsidRDefault="00000000">
            <w:pPr>
              <w:pStyle w:val="Compact"/>
              <w:spacing w:before="0" w:after="30"/>
            </w:pPr>
            <w:r w:rsidRPr="003F2BFF">
              <w:rPr>
                <w:rFonts w:ascii="Times New Roman" w:hAnsi="Times New Roman"/>
                <w:sz w:val="15"/>
              </w:rPr>
              <w:t>Microplastics are detected in edible aquatic organisms and tissues</w:t>
            </w:r>
          </w:p>
        </w:tc>
        <w:tc>
          <w:tcPr>
            <w:tcW w:w="1843" w:type="dxa"/>
            <w:shd w:val="clear" w:color="auto" w:fill="FFFFFF"/>
            <w:tcMar>
              <w:top w:w="55" w:type="dxa"/>
              <w:left w:w="65" w:type="dxa"/>
              <w:bottom w:w="55" w:type="dxa"/>
              <w:right w:w="65" w:type="dxa"/>
            </w:tcMar>
            <w:vAlign w:val="center"/>
          </w:tcPr>
          <w:p w14:paraId="3CA61AFF" w14:textId="77777777" w:rsidR="007868D8" w:rsidRPr="003F2BFF" w:rsidRDefault="00000000">
            <w:pPr>
              <w:pStyle w:val="Compact"/>
              <w:spacing w:before="0" w:after="30"/>
            </w:pPr>
            <w:r w:rsidRPr="003F2BFF">
              <w:rPr>
                <w:rFonts w:ascii="Times New Roman" w:hAnsi="Times New Roman"/>
                <w:sz w:val="15"/>
              </w:rPr>
              <w:t>Global intake and absorbed dose attributable to seafood</w:t>
            </w:r>
          </w:p>
        </w:tc>
        <w:tc>
          <w:tcPr>
            <w:tcW w:w="1973" w:type="dxa"/>
            <w:shd w:val="clear" w:color="auto" w:fill="FFFFFF"/>
            <w:tcMar>
              <w:top w:w="55" w:type="dxa"/>
              <w:left w:w="65" w:type="dxa"/>
              <w:bottom w:w="55" w:type="dxa"/>
              <w:right w:w="65" w:type="dxa"/>
            </w:tcMar>
            <w:vAlign w:val="center"/>
          </w:tcPr>
          <w:p w14:paraId="4B6674EA" w14:textId="77777777" w:rsidR="007868D8" w:rsidRPr="003F2BFF" w:rsidRDefault="00000000">
            <w:pPr>
              <w:pStyle w:val="Compact"/>
              <w:spacing w:before="0" w:after="30"/>
            </w:pPr>
            <w:r w:rsidRPr="003F2BFF">
              <w:rPr>
                <w:rFonts w:ascii="Times New Roman" w:hAnsi="Times New Roman"/>
                <w:sz w:val="15"/>
              </w:rPr>
              <w:t>Species, preparation, gut removal and lower size limit strongly affect estimates</w:t>
            </w:r>
          </w:p>
        </w:tc>
        <w:tc>
          <w:tcPr>
            <w:tcW w:w="1382" w:type="dxa"/>
            <w:shd w:val="clear" w:color="auto" w:fill="FFFFFF"/>
            <w:tcMar>
              <w:top w:w="55" w:type="dxa"/>
              <w:left w:w="65" w:type="dxa"/>
              <w:bottom w:w="55" w:type="dxa"/>
              <w:right w:w="65" w:type="dxa"/>
            </w:tcMar>
            <w:vAlign w:val="center"/>
          </w:tcPr>
          <w:p w14:paraId="34A00B67" w14:textId="77777777" w:rsidR="007868D8" w:rsidRPr="003F2BFF" w:rsidRDefault="00000000">
            <w:pPr>
              <w:pStyle w:val="Compact"/>
              <w:spacing w:before="0" w:after="30"/>
            </w:pPr>
            <w:r w:rsidRPr="003F2BFF">
              <w:rPr>
                <w:rFonts w:ascii="Times New Roman" w:hAnsi="Times New Roman"/>
                <w:sz w:val="15"/>
              </w:rPr>
              <w:t>Aquatic food is a plausible route; exposure magnitude is uncertain</w:t>
            </w:r>
          </w:p>
        </w:tc>
        <w:tc>
          <w:tcPr>
            <w:tcW w:w="1699" w:type="dxa"/>
            <w:shd w:val="clear" w:color="auto" w:fill="FFFFFF"/>
            <w:tcMar>
              <w:top w:w="55" w:type="dxa"/>
              <w:left w:w="65" w:type="dxa"/>
              <w:bottom w:w="55" w:type="dxa"/>
              <w:right w:w="65" w:type="dxa"/>
            </w:tcMar>
            <w:vAlign w:val="center"/>
          </w:tcPr>
          <w:p w14:paraId="7AE23273" w14:textId="77777777" w:rsidR="007868D8" w:rsidRPr="003F2BFF" w:rsidRDefault="00000000">
            <w:pPr>
              <w:pStyle w:val="Compact"/>
              <w:spacing w:before="0" w:after="30"/>
            </w:pPr>
            <w:r w:rsidRPr="003F2BFF">
              <w:rPr>
                <w:rFonts w:ascii="Times New Roman" w:hAnsi="Times New Roman"/>
                <w:sz w:val="15"/>
              </w:rPr>
              <w:t>(Daniel et al., 2021; Ruggieri et al., 2025)</w:t>
            </w:r>
          </w:p>
        </w:tc>
      </w:tr>
      <w:tr w:rsidR="003F2BFF" w:rsidRPr="003F2BFF" w14:paraId="0D0BBF20" w14:textId="77777777" w:rsidTr="007868D8">
        <w:trPr>
          <w:jc w:val="center"/>
        </w:trPr>
        <w:tc>
          <w:tcPr>
            <w:tcW w:w="1483" w:type="dxa"/>
            <w:shd w:val="clear" w:color="auto" w:fill="FFFFFF"/>
            <w:tcMar>
              <w:top w:w="55" w:type="dxa"/>
              <w:left w:w="65" w:type="dxa"/>
              <w:bottom w:w="55" w:type="dxa"/>
              <w:right w:w="65" w:type="dxa"/>
            </w:tcMar>
            <w:vAlign w:val="center"/>
          </w:tcPr>
          <w:p w14:paraId="3A0BA496" w14:textId="77777777" w:rsidR="007868D8" w:rsidRPr="003F2BFF" w:rsidRDefault="00000000">
            <w:pPr>
              <w:pStyle w:val="Compact"/>
              <w:spacing w:before="0" w:after="30"/>
            </w:pPr>
            <w:r w:rsidRPr="003F2BFF">
              <w:rPr>
                <w:rFonts w:ascii="Times New Roman" w:hAnsi="Times New Roman"/>
                <w:sz w:val="15"/>
              </w:rPr>
              <w:t>Drinking water</w:t>
            </w:r>
          </w:p>
        </w:tc>
        <w:tc>
          <w:tcPr>
            <w:tcW w:w="1843" w:type="dxa"/>
            <w:shd w:val="clear" w:color="auto" w:fill="FFFFFF"/>
            <w:tcMar>
              <w:top w:w="55" w:type="dxa"/>
              <w:left w:w="65" w:type="dxa"/>
              <w:bottom w:w="55" w:type="dxa"/>
              <w:right w:w="65" w:type="dxa"/>
            </w:tcMar>
            <w:vAlign w:val="center"/>
          </w:tcPr>
          <w:p w14:paraId="6BB5E9C1" w14:textId="77777777" w:rsidR="007868D8" w:rsidRPr="003F2BFF" w:rsidRDefault="00000000">
            <w:pPr>
              <w:pStyle w:val="Compact"/>
              <w:spacing w:before="0" w:after="30"/>
            </w:pPr>
            <w:r w:rsidRPr="003F2BFF">
              <w:rPr>
                <w:rFonts w:ascii="Times New Roman" w:hAnsi="Times New Roman"/>
                <w:sz w:val="15"/>
              </w:rPr>
              <w:t>Particles are detected in source and drinking waters</w:t>
            </w:r>
          </w:p>
        </w:tc>
        <w:tc>
          <w:tcPr>
            <w:tcW w:w="1843" w:type="dxa"/>
            <w:shd w:val="clear" w:color="auto" w:fill="FFFFFF"/>
            <w:tcMar>
              <w:top w:w="55" w:type="dxa"/>
              <w:left w:w="65" w:type="dxa"/>
              <w:bottom w:w="55" w:type="dxa"/>
              <w:right w:w="65" w:type="dxa"/>
            </w:tcMar>
            <w:vAlign w:val="center"/>
          </w:tcPr>
          <w:p w14:paraId="3CD57418" w14:textId="77777777" w:rsidR="007868D8" w:rsidRPr="003F2BFF" w:rsidRDefault="00000000">
            <w:pPr>
              <w:pStyle w:val="Compact"/>
              <w:spacing w:before="0" w:after="30"/>
            </w:pPr>
            <w:r w:rsidRPr="003F2BFF">
              <w:rPr>
                <w:rFonts w:ascii="Times New Roman" w:hAnsi="Times New Roman"/>
                <w:sz w:val="15"/>
              </w:rPr>
              <w:t>Reliable cross-study concentration distribution for the smallest particles</w:t>
            </w:r>
          </w:p>
        </w:tc>
        <w:tc>
          <w:tcPr>
            <w:tcW w:w="1973" w:type="dxa"/>
            <w:shd w:val="clear" w:color="auto" w:fill="FFFFFF"/>
            <w:tcMar>
              <w:top w:w="55" w:type="dxa"/>
              <w:left w:w="65" w:type="dxa"/>
              <w:bottom w:w="55" w:type="dxa"/>
              <w:right w:w="65" w:type="dxa"/>
            </w:tcMar>
            <w:vAlign w:val="center"/>
          </w:tcPr>
          <w:p w14:paraId="63D3949C" w14:textId="77777777" w:rsidR="007868D8" w:rsidRPr="003F2BFF" w:rsidRDefault="00000000">
            <w:pPr>
              <w:pStyle w:val="Compact"/>
              <w:spacing w:before="0" w:after="30"/>
            </w:pPr>
            <w:r w:rsidRPr="003F2BFF">
              <w:rPr>
                <w:rFonts w:ascii="Times New Roman" w:hAnsi="Times New Roman"/>
                <w:sz w:val="15"/>
              </w:rPr>
              <w:t>Sampling volume, size threshold and polymer confirmation vary</w:t>
            </w:r>
          </w:p>
        </w:tc>
        <w:tc>
          <w:tcPr>
            <w:tcW w:w="1382" w:type="dxa"/>
            <w:shd w:val="clear" w:color="auto" w:fill="FFFFFF"/>
            <w:tcMar>
              <w:top w:w="55" w:type="dxa"/>
              <w:left w:w="65" w:type="dxa"/>
              <w:bottom w:w="55" w:type="dxa"/>
              <w:right w:w="65" w:type="dxa"/>
            </w:tcMar>
            <w:vAlign w:val="center"/>
          </w:tcPr>
          <w:p w14:paraId="46F900FC" w14:textId="77777777" w:rsidR="007868D8" w:rsidRPr="003F2BFF" w:rsidRDefault="00000000">
            <w:pPr>
              <w:pStyle w:val="Compact"/>
              <w:spacing w:before="0" w:after="30"/>
            </w:pPr>
            <w:r w:rsidRPr="003F2BFF">
              <w:rPr>
                <w:rFonts w:ascii="Times New Roman" w:hAnsi="Times New Roman"/>
                <w:sz w:val="15"/>
              </w:rPr>
              <w:t>Presence is established; risk requires improved dose and hazard data</w:t>
            </w:r>
          </w:p>
        </w:tc>
        <w:tc>
          <w:tcPr>
            <w:tcW w:w="1699" w:type="dxa"/>
            <w:shd w:val="clear" w:color="auto" w:fill="FFFFFF"/>
            <w:tcMar>
              <w:top w:w="55" w:type="dxa"/>
              <w:left w:w="65" w:type="dxa"/>
              <w:bottom w:w="55" w:type="dxa"/>
              <w:right w:w="65" w:type="dxa"/>
            </w:tcMar>
            <w:vAlign w:val="center"/>
          </w:tcPr>
          <w:p w14:paraId="59A794FE" w14:textId="77777777" w:rsidR="007868D8" w:rsidRPr="003F2BFF" w:rsidRDefault="00000000">
            <w:pPr>
              <w:pStyle w:val="Compact"/>
              <w:spacing w:before="0" w:after="30"/>
            </w:pPr>
            <w:r w:rsidRPr="003F2BFF">
              <w:rPr>
                <w:rFonts w:ascii="Times New Roman" w:hAnsi="Times New Roman"/>
                <w:sz w:val="15"/>
              </w:rPr>
              <w:t>(</w:t>
            </w:r>
            <w:proofErr w:type="spellStart"/>
            <w:r w:rsidRPr="003F2BFF">
              <w:rPr>
                <w:rFonts w:ascii="Times New Roman" w:hAnsi="Times New Roman"/>
                <w:sz w:val="15"/>
              </w:rPr>
              <w:t>Koelmans</w:t>
            </w:r>
            <w:proofErr w:type="spellEnd"/>
            <w:r w:rsidRPr="003F2BFF">
              <w:rPr>
                <w:rFonts w:ascii="Times New Roman" w:hAnsi="Times New Roman"/>
                <w:sz w:val="15"/>
              </w:rPr>
              <w:t xml:space="preserve"> et al., 2019; World Health Organization, 2019; Yang et al., 2024)</w:t>
            </w:r>
          </w:p>
        </w:tc>
      </w:tr>
      <w:tr w:rsidR="003F2BFF" w:rsidRPr="003F2BFF" w14:paraId="4FC586D4" w14:textId="77777777" w:rsidTr="007868D8">
        <w:trPr>
          <w:jc w:val="center"/>
        </w:trPr>
        <w:tc>
          <w:tcPr>
            <w:tcW w:w="1483" w:type="dxa"/>
            <w:shd w:val="clear" w:color="auto" w:fill="FFFFFF"/>
            <w:tcMar>
              <w:top w:w="55" w:type="dxa"/>
              <w:left w:w="65" w:type="dxa"/>
              <w:bottom w:w="55" w:type="dxa"/>
              <w:right w:w="65" w:type="dxa"/>
            </w:tcMar>
            <w:vAlign w:val="center"/>
          </w:tcPr>
          <w:p w14:paraId="16AFE2DA" w14:textId="77777777" w:rsidR="007868D8" w:rsidRPr="003F2BFF" w:rsidRDefault="00000000">
            <w:pPr>
              <w:pStyle w:val="Compact"/>
              <w:spacing w:before="0" w:after="30"/>
            </w:pPr>
            <w:r w:rsidRPr="003F2BFF">
              <w:rPr>
                <w:rFonts w:ascii="Times New Roman" w:hAnsi="Times New Roman"/>
                <w:sz w:val="15"/>
              </w:rPr>
              <w:t>Human blood, placenta and lung</w:t>
            </w:r>
          </w:p>
        </w:tc>
        <w:tc>
          <w:tcPr>
            <w:tcW w:w="1843" w:type="dxa"/>
            <w:shd w:val="clear" w:color="auto" w:fill="FFFFFF"/>
            <w:tcMar>
              <w:top w:w="55" w:type="dxa"/>
              <w:left w:w="65" w:type="dxa"/>
              <w:bottom w:w="55" w:type="dxa"/>
              <w:right w:w="65" w:type="dxa"/>
            </w:tcMar>
            <w:vAlign w:val="center"/>
          </w:tcPr>
          <w:p w14:paraId="749E8FD2" w14:textId="77777777" w:rsidR="007868D8" w:rsidRPr="003F2BFF" w:rsidRDefault="00000000">
            <w:pPr>
              <w:pStyle w:val="Compact"/>
              <w:spacing w:before="0" w:after="30"/>
            </w:pPr>
            <w:r w:rsidRPr="003F2BFF">
              <w:rPr>
                <w:rFonts w:ascii="Times New Roman" w:hAnsi="Times New Roman"/>
                <w:sz w:val="15"/>
              </w:rPr>
              <w:t>Plastic particles or polymeric material have been detected in internal human matrices</w:t>
            </w:r>
          </w:p>
        </w:tc>
        <w:tc>
          <w:tcPr>
            <w:tcW w:w="1843" w:type="dxa"/>
            <w:shd w:val="clear" w:color="auto" w:fill="FFFFFF"/>
            <w:tcMar>
              <w:top w:w="55" w:type="dxa"/>
              <w:left w:w="65" w:type="dxa"/>
              <w:bottom w:w="55" w:type="dxa"/>
              <w:right w:w="65" w:type="dxa"/>
            </w:tcMar>
            <w:vAlign w:val="center"/>
          </w:tcPr>
          <w:p w14:paraId="02006833" w14:textId="77777777" w:rsidR="007868D8" w:rsidRPr="003F2BFF" w:rsidRDefault="00000000">
            <w:pPr>
              <w:pStyle w:val="Compact"/>
              <w:spacing w:before="0" w:after="30"/>
            </w:pPr>
            <w:r w:rsidRPr="003F2BFF">
              <w:rPr>
                <w:rFonts w:ascii="Times New Roman" w:hAnsi="Times New Roman"/>
                <w:sz w:val="15"/>
              </w:rPr>
              <w:t xml:space="preserve">Dominant source, </w:t>
            </w:r>
            <w:proofErr w:type="spellStart"/>
            <w:r w:rsidRPr="003F2BFF">
              <w:rPr>
                <w:rFonts w:ascii="Times New Roman" w:hAnsi="Times New Roman"/>
                <w:sz w:val="15"/>
              </w:rPr>
              <w:t>toxicokinetics</w:t>
            </w:r>
            <w:proofErr w:type="spellEnd"/>
            <w:r w:rsidRPr="003F2BFF">
              <w:rPr>
                <w:rFonts w:ascii="Times New Roman" w:hAnsi="Times New Roman"/>
                <w:sz w:val="15"/>
              </w:rPr>
              <w:t xml:space="preserve"> and clinical significance</w:t>
            </w:r>
          </w:p>
        </w:tc>
        <w:tc>
          <w:tcPr>
            <w:tcW w:w="1973" w:type="dxa"/>
            <w:shd w:val="clear" w:color="auto" w:fill="FFFFFF"/>
            <w:tcMar>
              <w:top w:w="55" w:type="dxa"/>
              <w:left w:w="65" w:type="dxa"/>
              <w:bottom w:w="55" w:type="dxa"/>
              <w:right w:w="65" w:type="dxa"/>
            </w:tcMar>
            <w:vAlign w:val="center"/>
          </w:tcPr>
          <w:p w14:paraId="64AA1835" w14:textId="77777777" w:rsidR="007868D8" w:rsidRPr="003F2BFF" w:rsidRDefault="00000000">
            <w:pPr>
              <w:pStyle w:val="Compact"/>
              <w:spacing w:before="0" w:after="30"/>
            </w:pPr>
            <w:r w:rsidRPr="003F2BFF">
              <w:rPr>
                <w:rFonts w:ascii="Times New Roman" w:hAnsi="Times New Roman"/>
                <w:sz w:val="15"/>
              </w:rPr>
              <w:t>Contamination control, small samples and analytical comparability</w:t>
            </w:r>
          </w:p>
        </w:tc>
        <w:tc>
          <w:tcPr>
            <w:tcW w:w="1382" w:type="dxa"/>
            <w:shd w:val="clear" w:color="auto" w:fill="FFFFFF"/>
            <w:tcMar>
              <w:top w:w="55" w:type="dxa"/>
              <w:left w:w="65" w:type="dxa"/>
              <w:bottom w:w="55" w:type="dxa"/>
              <w:right w:w="65" w:type="dxa"/>
            </w:tcMar>
            <w:vAlign w:val="center"/>
          </w:tcPr>
          <w:p w14:paraId="6C6FA57C" w14:textId="77777777" w:rsidR="007868D8" w:rsidRPr="003F2BFF" w:rsidRDefault="00000000">
            <w:pPr>
              <w:pStyle w:val="Compact"/>
              <w:spacing w:before="0" w:after="30"/>
            </w:pPr>
            <w:r w:rsidRPr="003F2BFF">
              <w:rPr>
                <w:rFonts w:ascii="Times New Roman" w:hAnsi="Times New Roman"/>
                <w:sz w:val="15"/>
              </w:rPr>
              <w:t>Supports internal exposure; does not identify aquatic origin or harm by itself</w:t>
            </w:r>
          </w:p>
        </w:tc>
        <w:tc>
          <w:tcPr>
            <w:tcW w:w="1699" w:type="dxa"/>
            <w:shd w:val="clear" w:color="auto" w:fill="FFFFFF"/>
            <w:tcMar>
              <w:top w:w="55" w:type="dxa"/>
              <w:left w:w="65" w:type="dxa"/>
              <w:bottom w:w="55" w:type="dxa"/>
              <w:right w:w="65" w:type="dxa"/>
            </w:tcMar>
            <w:vAlign w:val="center"/>
          </w:tcPr>
          <w:p w14:paraId="122C7D09" w14:textId="77777777" w:rsidR="007868D8" w:rsidRPr="003F2BFF" w:rsidRDefault="00000000">
            <w:pPr>
              <w:pStyle w:val="Compact"/>
              <w:spacing w:before="0" w:after="30"/>
            </w:pPr>
            <w:r w:rsidRPr="003F2BFF">
              <w:rPr>
                <w:rFonts w:ascii="Times New Roman" w:hAnsi="Times New Roman"/>
                <w:sz w:val="15"/>
              </w:rPr>
              <w:t>(Jenner et al., 2022; Leslie et al., 2022; Ragusa et al., 2021)</w:t>
            </w:r>
          </w:p>
        </w:tc>
      </w:tr>
      <w:tr w:rsidR="003F2BFF" w:rsidRPr="003F2BFF" w14:paraId="24EEC98B" w14:textId="77777777" w:rsidTr="007868D8">
        <w:trPr>
          <w:jc w:val="center"/>
        </w:trPr>
        <w:tc>
          <w:tcPr>
            <w:tcW w:w="1483" w:type="dxa"/>
            <w:shd w:val="clear" w:color="auto" w:fill="FFFFFF"/>
            <w:tcMar>
              <w:top w:w="55" w:type="dxa"/>
              <w:left w:w="65" w:type="dxa"/>
              <w:bottom w:w="55" w:type="dxa"/>
              <w:right w:w="65" w:type="dxa"/>
            </w:tcMar>
            <w:vAlign w:val="center"/>
          </w:tcPr>
          <w:p w14:paraId="67D25492" w14:textId="77777777" w:rsidR="007868D8" w:rsidRPr="003F2BFF" w:rsidRDefault="00000000">
            <w:pPr>
              <w:pStyle w:val="Compact"/>
              <w:spacing w:before="0" w:after="30"/>
            </w:pPr>
            <w:r w:rsidRPr="003F2BFF">
              <w:rPr>
                <w:rFonts w:ascii="Times New Roman" w:hAnsi="Times New Roman"/>
                <w:sz w:val="15"/>
              </w:rPr>
              <w:t>Cardiovascular observational evidence</w:t>
            </w:r>
          </w:p>
        </w:tc>
        <w:tc>
          <w:tcPr>
            <w:tcW w:w="1843" w:type="dxa"/>
            <w:shd w:val="clear" w:color="auto" w:fill="FFFFFF"/>
            <w:tcMar>
              <w:top w:w="55" w:type="dxa"/>
              <w:left w:w="65" w:type="dxa"/>
              <w:bottom w:w="55" w:type="dxa"/>
              <w:right w:w="65" w:type="dxa"/>
            </w:tcMar>
            <w:vAlign w:val="center"/>
          </w:tcPr>
          <w:p w14:paraId="0B0351EA" w14:textId="77777777" w:rsidR="007868D8" w:rsidRPr="003F2BFF" w:rsidRDefault="00000000">
            <w:pPr>
              <w:pStyle w:val="Compact"/>
              <w:spacing w:before="0" w:after="30"/>
            </w:pPr>
            <w:r w:rsidRPr="003F2BFF">
              <w:rPr>
                <w:rFonts w:ascii="Times New Roman" w:hAnsi="Times New Roman"/>
                <w:sz w:val="15"/>
              </w:rPr>
              <w:t xml:space="preserve">Particle detection in carotid </w:t>
            </w:r>
            <w:proofErr w:type="spellStart"/>
            <w:r w:rsidRPr="003F2BFF">
              <w:rPr>
                <w:rFonts w:ascii="Times New Roman" w:hAnsi="Times New Roman"/>
                <w:sz w:val="15"/>
              </w:rPr>
              <w:t>atheromas</w:t>
            </w:r>
            <w:proofErr w:type="spellEnd"/>
            <w:r w:rsidRPr="003F2BFF">
              <w:rPr>
                <w:rFonts w:ascii="Times New Roman" w:hAnsi="Times New Roman"/>
                <w:sz w:val="15"/>
              </w:rPr>
              <w:t xml:space="preserve"> has been associated with later cardiovascular events in a selected clinical cohort</w:t>
            </w:r>
          </w:p>
        </w:tc>
        <w:tc>
          <w:tcPr>
            <w:tcW w:w="1843" w:type="dxa"/>
            <w:shd w:val="clear" w:color="auto" w:fill="FFFFFF"/>
            <w:tcMar>
              <w:top w:w="55" w:type="dxa"/>
              <w:left w:w="65" w:type="dxa"/>
              <w:bottom w:w="55" w:type="dxa"/>
              <w:right w:w="65" w:type="dxa"/>
            </w:tcMar>
            <w:vAlign w:val="center"/>
          </w:tcPr>
          <w:p w14:paraId="196A2E90" w14:textId="77777777" w:rsidR="007868D8" w:rsidRPr="003F2BFF" w:rsidRDefault="00000000">
            <w:pPr>
              <w:pStyle w:val="Compact"/>
              <w:spacing w:before="0" w:after="30"/>
            </w:pPr>
            <w:r w:rsidRPr="003F2BFF">
              <w:rPr>
                <w:rFonts w:ascii="Times New Roman" w:hAnsi="Times New Roman"/>
                <w:sz w:val="15"/>
              </w:rPr>
              <w:t>Causal effect and environmental source of detected particles</w:t>
            </w:r>
          </w:p>
        </w:tc>
        <w:tc>
          <w:tcPr>
            <w:tcW w:w="1973" w:type="dxa"/>
            <w:shd w:val="clear" w:color="auto" w:fill="FFFFFF"/>
            <w:tcMar>
              <w:top w:w="55" w:type="dxa"/>
              <w:left w:w="65" w:type="dxa"/>
              <w:bottom w:w="55" w:type="dxa"/>
              <w:right w:w="65" w:type="dxa"/>
            </w:tcMar>
            <w:vAlign w:val="center"/>
          </w:tcPr>
          <w:p w14:paraId="198918C4" w14:textId="77777777" w:rsidR="007868D8" w:rsidRPr="003F2BFF" w:rsidRDefault="00000000">
            <w:pPr>
              <w:pStyle w:val="Compact"/>
              <w:spacing w:before="0" w:after="30"/>
            </w:pPr>
            <w:r w:rsidRPr="003F2BFF">
              <w:rPr>
                <w:rFonts w:ascii="Times New Roman" w:hAnsi="Times New Roman"/>
                <w:sz w:val="15"/>
              </w:rPr>
              <w:t>Observational design, selected population and residual confounding</w:t>
            </w:r>
          </w:p>
        </w:tc>
        <w:tc>
          <w:tcPr>
            <w:tcW w:w="1382" w:type="dxa"/>
            <w:shd w:val="clear" w:color="auto" w:fill="FFFFFF"/>
            <w:tcMar>
              <w:top w:w="55" w:type="dxa"/>
              <w:left w:w="65" w:type="dxa"/>
              <w:bottom w:w="55" w:type="dxa"/>
              <w:right w:w="65" w:type="dxa"/>
            </w:tcMar>
            <w:vAlign w:val="center"/>
          </w:tcPr>
          <w:p w14:paraId="3B87D17F" w14:textId="77777777" w:rsidR="007868D8" w:rsidRPr="003F2BFF" w:rsidRDefault="00000000">
            <w:pPr>
              <w:pStyle w:val="Compact"/>
              <w:spacing w:before="0" w:after="30"/>
            </w:pPr>
            <w:r w:rsidRPr="003F2BFF">
              <w:rPr>
                <w:rFonts w:ascii="Times New Roman" w:hAnsi="Times New Roman"/>
                <w:sz w:val="15"/>
              </w:rPr>
              <w:t>Important signal requiring replication and stronger exposure assessment</w:t>
            </w:r>
          </w:p>
        </w:tc>
        <w:tc>
          <w:tcPr>
            <w:tcW w:w="1699" w:type="dxa"/>
            <w:shd w:val="clear" w:color="auto" w:fill="FFFFFF"/>
            <w:tcMar>
              <w:top w:w="55" w:type="dxa"/>
              <w:left w:w="65" w:type="dxa"/>
              <w:bottom w:w="55" w:type="dxa"/>
              <w:right w:w="65" w:type="dxa"/>
            </w:tcMar>
            <w:vAlign w:val="center"/>
          </w:tcPr>
          <w:p w14:paraId="647CDB1D" w14:textId="77777777" w:rsidR="007868D8" w:rsidRPr="003F2BFF" w:rsidRDefault="00000000">
            <w:pPr>
              <w:pStyle w:val="Compact"/>
              <w:spacing w:before="0" w:after="30"/>
            </w:pPr>
            <w:r w:rsidRPr="003F2BFF">
              <w:rPr>
                <w:rFonts w:ascii="Times New Roman" w:hAnsi="Times New Roman"/>
                <w:sz w:val="15"/>
              </w:rPr>
              <w:t>(</w:t>
            </w:r>
            <w:proofErr w:type="spellStart"/>
            <w:r w:rsidRPr="003F2BFF">
              <w:rPr>
                <w:rFonts w:ascii="Times New Roman" w:hAnsi="Times New Roman"/>
                <w:sz w:val="15"/>
              </w:rPr>
              <w:t>Marfella</w:t>
            </w:r>
            <w:proofErr w:type="spellEnd"/>
            <w:r w:rsidRPr="003F2BFF">
              <w:rPr>
                <w:rFonts w:ascii="Times New Roman" w:hAnsi="Times New Roman"/>
                <w:sz w:val="15"/>
              </w:rPr>
              <w:t xml:space="preserve"> et al., 2024)</w:t>
            </w:r>
          </w:p>
        </w:tc>
      </w:tr>
      <w:tr w:rsidR="003F2BFF" w:rsidRPr="003F2BFF" w14:paraId="2220F9A4" w14:textId="77777777" w:rsidTr="007868D8">
        <w:trPr>
          <w:jc w:val="center"/>
        </w:trPr>
        <w:tc>
          <w:tcPr>
            <w:tcW w:w="1483" w:type="dxa"/>
            <w:shd w:val="clear" w:color="auto" w:fill="FFFFFF"/>
            <w:tcMar>
              <w:top w:w="55" w:type="dxa"/>
              <w:left w:w="65" w:type="dxa"/>
              <w:bottom w:w="55" w:type="dxa"/>
              <w:right w:w="65" w:type="dxa"/>
            </w:tcMar>
            <w:vAlign w:val="center"/>
          </w:tcPr>
          <w:p w14:paraId="77B6A372" w14:textId="77777777" w:rsidR="007868D8" w:rsidRPr="003F2BFF" w:rsidRDefault="00000000">
            <w:pPr>
              <w:pStyle w:val="Compact"/>
              <w:spacing w:before="0" w:after="30"/>
            </w:pPr>
            <w:r w:rsidRPr="003F2BFF">
              <w:rPr>
                <w:rFonts w:ascii="Times New Roman" w:hAnsi="Times New Roman"/>
                <w:sz w:val="15"/>
              </w:rPr>
              <w:t>Overall human in vivo evidence</w:t>
            </w:r>
          </w:p>
        </w:tc>
        <w:tc>
          <w:tcPr>
            <w:tcW w:w="1843" w:type="dxa"/>
            <w:shd w:val="clear" w:color="auto" w:fill="FFFFFF"/>
            <w:tcMar>
              <w:top w:w="55" w:type="dxa"/>
              <w:left w:w="65" w:type="dxa"/>
              <w:bottom w:w="55" w:type="dxa"/>
              <w:right w:w="65" w:type="dxa"/>
            </w:tcMar>
            <w:vAlign w:val="center"/>
          </w:tcPr>
          <w:p w14:paraId="34A95755" w14:textId="77777777" w:rsidR="007868D8" w:rsidRPr="003F2BFF" w:rsidRDefault="00000000">
            <w:pPr>
              <w:pStyle w:val="Compact"/>
              <w:spacing w:before="0" w:after="30"/>
            </w:pPr>
            <w:r w:rsidRPr="003F2BFF">
              <w:rPr>
                <w:rFonts w:ascii="Times New Roman" w:hAnsi="Times New Roman"/>
                <w:sz w:val="15"/>
              </w:rPr>
              <w:t>Evidence now spans multiple tissues and health domains</w:t>
            </w:r>
          </w:p>
        </w:tc>
        <w:tc>
          <w:tcPr>
            <w:tcW w:w="1843" w:type="dxa"/>
            <w:shd w:val="clear" w:color="auto" w:fill="FFFFFF"/>
            <w:tcMar>
              <w:top w:w="55" w:type="dxa"/>
              <w:left w:w="65" w:type="dxa"/>
              <w:bottom w:w="55" w:type="dxa"/>
              <w:right w:w="65" w:type="dxa"/>
            </w:tcMar>
            <w:vAlign w:val="center"/>
          </w:tcPr>
          <w:p w14:paraId="5F8828BA" w14:textId="77777777" w:rsidR="007868D8" w:rsidRPr="003F2BFF" w:rsidRDefault="00000000">
            <w:pPr>
              <w:pStyle w:val="Compact"/>
              <w:spacing w:before="0" w:after="30"/>
            </w:pPr>
            <w:r w:rsidRPr="003F2BFF">
              <w:rPr>
                <w:rFonts w:ascii="Times New Roman" w:hAnsi="Times New Roman"/>
                <w:sz w:val="15"/>
              </w:rPr>
              <w:t>Route-specific dose–response and population attributable risk</w:t>
            </w:r>
          </w:p>
        </w:tc>
        <w:tc>
          <w:tcPr>
            <w:tcW w:w="1973" w:type="dxa"/>
            <w:shd w:val="clear" w:color="auto" w:fill="FFFFFF"/>
            <w:tcMar>
              <w:top w:w="55" w:type="dxa"/>
              <w:left w:w="65" w:type="dxa"/>
              <w:bottom w:w="55" w:type="dxa"/>
              <w:right w:w="65" w:type="dxa"/>
            </w:tcMar>
            <w:vAlign w:val="center"/>
          </w:tcPr>
          <w:p w14:paraId="058F410A" w14:textId="77777777" w:rsidR="007868D8" w:rsidRPr="003F2BFF" w:rsidRDefault="00000000">
            <w:pPr>
              <w:pStyle w:val="Compact"/>
              <w:spacing w:before="0" w:after="30"/>
            </w:pPr>
            <w:r w:rsidRPr="003F2BFF">
              <w:rPr>
                <w:rFonts w:ascii="Times New Roman" w:hAnsi="Times New Roman"/>
                <w:sz w:val="15"/>
              </w:rPr>
              <w:t>Heterogeneous methods, confounding and exposure measurement</w:t>
            </w:r>
          </w:p>
        </w:tc>
        <w:tc>
          <w:tcPr>
            <w:tcW w:w="1382" w:type="dxa"/>
            <w:shd w:val="clear" w:color="auto" w:fill="FFFFFF"/>
            <w:tcMar>
              <w:top w:w="55" w:type="dxa"/>
              <w:left w:w="65" w:type="dxa"/>
              <w:bottom w:w="55" w:type="dxa"/>
              <w:right w:w="65" w:type="dxa"/>
            </w:tcMar>
            <w:vAlign w:val="center"/>
          </w:tcPr>
          <w:p w14:paraId="63BECB76" w14:textId="77777777" w:rsidR="007868D8" w:rsidRPr="003F2BFF" w:rsidRDefault="00000000">
            <w:pPr>
              <w:pStyle w:val="Compact"/>
              <w:spacing w:before="0" w:after="30"/>
            </w:pPr>
            <w:r w:rsidRPr="003F2BFF">
              <w:rPr>
                <w:rFonts w:ascii="Times New Roman" w:hAnsi="Times New Roman"/>
                <w:sz w:val="15"/>
              </w:rPr>
              <w:t>Concern is scientifically plausible but quantitative causal risk remains unresolved</w:t>
            </w:r>
          </w:p>
        </w:tc>
        <w:tc>
          <w:tcPr>
            <w:tcW w:w="1699" w:type="dxa"/>
            <w:shd w:val="clear" w:color="auto" w:fill="FFFFFF"/>
            <w:tcMar>
              <w:top w:w="55" w:type="dxa"/>
              <w:left w:w="65" w:type="dxa"/>
              <w:bottom w:w="55" w:type="dxa"/>
              <w:right w:w="65" w:type="dxa"/>
            </w:tcMar>
            <w:vAlign w:val="center"/>
          </w:tcPr>
          <w:p w14:paraId="29905BDD" w14:textId="77777777" w:rsidR="007868D8" w:rsidRPr="003F2BFF" w:rsidRDefault="00000000">
            <w:pPr>
              <w:pStyle w:val="Compact"/>
              <w:spacing w:before="0" w:after="30"/>
            </w:pPr>
            <w:r w:rsidRPr="003F2BFF">
              <w:rPr>
                <w:rFonts w:ascii="Times New Roman" w:hAnsi="Times New Roman"/>
                <w:sz w:val="15"/>
              </w:rPr>
              <w:t>(Tran et al., 2026)</w:t>
            </w:r>
          </w:p>
        </w:tc>
      </w:tr>
      <w:tr w:rsidR="003F2BFF" w:rsidRPr="003F2BFF" w14:paraId="40D30CDF" w14:textId="77777777" w:rsidTr="007868D8">
        <w:trPr>
          <w:jc w:val="center"/>
        </w:trPr>
        <w:tc>
          <w:tcPr>
            <w:tcW w:w="1483" w:type="dxa"/>
            <w:shd w:val="clear" w:color="auto" w:fill="FFFFFF"/>
            <w:tcMar>
              <w:top w:w="55" w:type="dxa"/>
              <w:left w:w="65" w:type="dxa"/>
              <w:bottom w:w="55" w:type="dxa"/>
              <w:right w:w="65" w:type="dxa"/>
            </w:tcMar>
            <w:vAlign w:val="center"/>
          </w:tcPr>
          <w:p w14:paraId="6615BF93" w14:textId="77777777" w:rsidR="007868D8" w:rsidRPr="003F2BFF" w:rsidRDefault="00000000">
            <w:pPr>
              <w:pStyle w:val="Compact"/>
              <w:spacing w:before="0" w:after="30"/>
            </w:pPr>
            <w:r w:rsidRPr="003F2BFF">
              <w:rPr>
                <w:rFonts w:ascii="Times New Roman" w:hAnsi="Times New Roman"/>
                <w:sz w:val="15"/>
              </w:rPr>
              <w:t>Institutional risk assessment</w:t>
            </w:r>
          </w:p>
        </w:tc>
        <w:tc>
          <w:tcPr>
            <w:tcW w:w="1843" w:type="dxa"/>
            <w:shd w:val="clear" w:color="auto" w:fill="FFFFFF"/>
            <w:tcMar>
              <w:top w:w="55" w:type="dxa"/>
              <w:left w:w="65" w:type="dxa"/>
              <w:bottom w:w="55" w:type="dxa"/>
              <w:right w:w="65" w:type="dxa"/>
            </w:tcMar>
            <w:vAlign w:val="center"/>
          </w:tcPr>
          <w:p w14:paraId="6B6350AD" w14:textId="77777777" w:rsidR="007868D8" w:rsidRPr="003F2BFF" w:rsidRDefault="00000000">
            <w:pPr>
              <w:pStyle w:val="Compact"/>
              <w:spacing w:before="0" w:after="30"/>
            </w:pPr>
            <w:r w:rsidRPr="003F2BFF">
              <w:rPr>
                <w:rFonts w:ascii="Times New Roman" w:hAnsi="Times New Roman"/>
                <w:sz w:val="15"/>
              </w:rPr>
              <w:t xml:space="preserve">Major evidence gaps in exposure, </w:t>
            </w:r>
            <w:proofErr w:type="spellStart"/>
            <w:r w:rsidRPr="003F2BFF">
              <w:rPr>
                <w:rFonts w:ascii="Times New Roman" w:hAnsi="Times New Roman"/>
                <w:sz w:val="15"/>
              </w:rPr>
              <w:t>toxicokinetics</w:t>
            </w:r>
            <w:proofErr w:type="spellEnd"/>
            <w:r w:rsidRPr="003F2BFF">
              <w:rPr>
                <w:rFonts w:ascii="Times New Roman" w:hAnsi="Times New Roman"/>
                <w:sz w:val="15"/>
              </w:rPr>
              <w:t xml:space="preserve"> and hazard have been identified</w:t>
            </w:r>
          </w:p>
        </w:tc>
        <w:tc>
          <w:tcPr>
            <w:tcW w:w="1843" w:type="dxa"/>
            <w:shd w:val="clear" w:color="auto" w:fill="FFFFFF"/>
            <w:tcMar>
              <w:top w:w="55" w:type="dxa"/>
              <w:left w:w="65" w:type="dxa"/>
              <w:bottom w:w="55" w:type="dxa"/>
              <w:right w:w="65" w:type="dxa"/>
            </w:tcMar>
            <w:vAlign w:val="center"/>
          </w:tcPr>
          <w:p w14:paraId="5C1AFABA" w14:textId="77777777" w:rsidR="007868D8" w:rsidRPr="003F2BFF" w:rsidRDefault="00000000">
            <w:pPr>
              <w:pStyle w:val="Compact"/>
              <w:spacing w:before="0" w:after="30"/>
            </w:pPr>
            <w:r w:rsidRPr="003F2BFF">
              <w:rPr>
                <w:rFonts w:ascii="Times New Roman" w:hAnsi="Times New Roman"/>
                <w:sz w:val="15"/>
              </w:rPr>
              <w:t>Definitive assurance of no risk under all exposure conditions</w:t>
            </w:r>
          </w:p>
        </w:tc>
        <w:tc>
          <w:tcPr>
            <w:tcW w:w="1973" w:type="dxa"/>
            <w:shd w:val="clear" w:color="auto" w:fill="FFFFFF"/>
            <w:tcMar>
              <w:top w:w="55" w:type="dxa"/>
              <w:left w:w="65" w:type="dxa"/>
              <w:bottom w:w="55" w:type="dxa"/>
              <w:right w:w="65" w:type="dxa"/>
            </w:tcMar>
            <w:vAlign w:val="center"/>
          </w:tcPr>
          <w:p w14:paraId="12119168" w14:textId="77777777" w:rsidR="007868D8" w:rsidRPr="003F2BFF" w:rsidRDefault="00000000">
            <w:pPr>
              <w:pStyle w:val="Compact"/>
              <w:spacing w:before="0" w:after="30"/>
            </w:pPr>
            <w:r w:rsidRPr="003F2BFF">
              <w:rPr>
                <w:rFonts w:ascii="Times New Roman" w:hAnsi="Times New Roman"/>
                <w:sz w:val="15"/>
              </w:rPr>
              <w:t>Evidence base changes rapidly and small particles are difficult to quantify</w:t>
            </w:r>
          </w:p>
        </w:tc>
        <w:tc>
          <w:tcPr>
            <w:tcW w:w="1382" w:type="dxa"/>
            <w:shd w:val="clear" w:color="auto" w:fill="FFFFFF"/>
            <w:tcMar>
              <w:top w:w="55" w:type="dxa"/>
              <w:left w:w="65" w:type="dxa"/>
              <w:bottom w:w="55" w:type="dxa"/>
              <w:right w:w="65" w:type="dxa"/>
            </w:tcMar>
            <w:vAlign w:val="center"/>
          </w:tcPr>
          <w:p w14:paraId="47040278" w14:textId="77777777" w:rsidR="007868D8" w:rsidRPr="003F2BFF" w:rsidRDefault="00000000">
            <w:pPr>
              <w:pStyle w:val="Compact"/>
              <w:spacing w:before="0" w:after="30"/>
            </w:pPr>
            <w:r w:rsidRPr="003F2BFF">
              <w:rPr>
                <w:rFonts w:ascii="Times New Roman" w:hAnsi="Times New Roman"/>
                <w:sz w:val="15"/>
              </w:rPr>
              <w:t>Supports proportionate source reduction and improved evidence rather than categorical claims</w:t>
            </w:r>
          </w:p>
        </w:tc>
        <w:tc>
          <w:tcPr>
            <w:tcW w:w="1699" w:type="dxa"/>
            <w:shd w:val="clear" w:color="auto" w:fill="FFFFFF"/>
            <w:tcMar>
              <w:top w:w="55" w:type="dxa"/>
              <w:left w:w="65" w:type="dxa"/>
              <w:bottom w:w="55" w:type="dxa"/>
              <w:right w:w="65" w:type="dxa"/>
            </w:tcMar>
            <w:vAlign w:val="center"/>
          </w:tcPr>
          <w:p w14:paraId="7FDF9E91" w14:textId="77777777" w:rsidR="007868D8" w:rsidRPr="003F2BFF" w:rsidRDefault="00000000">
            <w:pPr>
              <w:pStyle w:val="Compact"/>
              <w:spacing w:before="0" w:after="30"/>
            </w:pPr>
            <w:r w:rsidRPr="003F2BFF">
              <w:rPr>
                <w:rFonts w:ascii="Times New Roman" w:hAnsi="Times New Roman"/>
                <w:sz w:val="15"/>
              </w:rPr>
              <w:t>(World Health Organization, 2019, 2022)</w:t>
            </w:r>
          </w:p>
        </w:tc>
      </w:tr>
    </w:tbl>
    <w:p w14:paraId="7BA1ABF0"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Human internal exposure may arise from food, water, air, occupation and consumer environments. Detection in human matrices cannot currently be attributed specifically to aquatic sources.</w:t>
      </w:r>
    </w:p>
    <w:p w14:paraId="044E09BB" w14:textId="77777777" w:rsidR="007868D8" w:rsidRPr="003F2BFF" w:rsidRDefault="00000000">
      <w:pPr>
        <w:pStyle w:val="Heading1"/>
        <w:rPr>
          <w:color w:val="auto"/>
        </w:rPr>
      </w:pPr>
      <w:bookmarkStart w:id="38" w:name="X8eeed67ac5b8d64f6bfd52a162789d3b8166f7e"/>
      <w:bookmarkEnd w:id="33"/>
      <w:bookmarkEnd w:id="37"/>
      <w:r w:rsidRPr="003F2BFF">
        <w:rPr>
          <w:rFonts w:ascii="Times New Roman" w:hAnsi="Times New Roman"/>
          <w:color w:val="auto"/>
        </w:rPr>
        <w:t>8. Monitoring, Mitigation and Policy-Relevant Control Points</w:t>
      </w:r>
    </w:p>
    <w:p w14:paraId="40D80202" w14:textId="77777777" w:rsidR="007868D8" w:rsidRPr="003F2BFF" w:rsidRDefault="00000000">
      <w:pPr>
        <w:pStyle w:val="Heading2"/>
        <w:rPr>
          <w:color w:val="auto"/>
        </w:rPr>
      </w:pPr>
      <w:bookmarkStart w:id="39" w:name="Xe027e560a1ce3a8d65796483dd1fdf854907a34"/>
      <w:r w:rsidRPr="003F2BFF">
        <w:rPr>
          <w:rFonts w:ascii="Times New Roman" w:hAnsi="Times New Roman"/>
          <w:color w:val="auto"/>
        </w:rPr>
        <w:t xml:space="preserve">8.1 </w:t>
      </w:r>
      <w:proofErr w:type="spellStart"/>
      <w:r w:rsidRPr="003F2BFF">
        <w:rPr>
          <w:rFonts w:ascii="Times New Roman" w:hAnsi="Times New Roman"/>
          <w:color w:val="auto"/>
        </w:rPr>
        <w:t>Harmonised</w:t>
      </w:r>
      <w:proofErr w:type="spellEnd"/>
      <w:r w:rsidRPr="003F2BFF">
        <w:rPr>
          <w:rFonts w:ascii="Times New Roman" w:hAnsi="Times New Roman"/>
          <w:color w:val="auto"/>
        </w:rPr>
        <w:t xml:space="preserve"> Monitoring as an Intervention Prerequisite</w:t>
      </w:r>
    </w:p>
    <w:p w14:paraId="39D1CD9C" w14:textId="77777777" w:rsidR="007868D8" w:rsidRPr="003F2BFF" w:rsidRDefault="00000000">
      <w:pPr>
        <w:pStyle w:val="FirstParagraph"/>
        <w:spacing w:after="104" w:line="264" w:lineRule="auto"/>
        <w:jc w:val="both"/>
      </w:pPr>
      <w:r w:rsidRPr="003F2BFF">
        <w:rPr>
          <w:rFonts w:ascii="Times New Roman" w:hAnsi="Times New Roman"/>
          <w:sz w:val="22"/>
        </w:rPr>
        <w:t xml:space="preserve">Mitigation cannot be evaluated reliably without measurement that is comparable before and after intervention. Monitoring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should report sampled volume or mass, size detection limits, particle morphology, polymer confirmation, blanks, recovery and units that permit meaningful comparison. Historical method reviews and later quality assessments show why these elements are essential (Hermsen et al., 2018; Hidalgo-Ruz et al., 2012;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For surveillance, a tiered approach may be more practical than requiring a single technique: broad screening can identify hotspots, followed by spectroscopic or thermal confirmation and targeted size-resolved analysis.</w:t>
      </w:r>
    </w:p>
    <w:p w14:paraId="40C9AD11" w14:textId="77777777" w:rsidR="007868D8" w:rsidRPr="003F2BFF" w:rsidRDefault="00000000">
      <w:pPr>
        <w:pStyle w:val="BodyText"/>
        <w:spacing w:after="104" w:line="264" w:lineRule="auto"/>
        <w:jc w:val="both"/>
      </w:pPr>
      <w:r w:rsidRPr="003F2BFF">
        <w:rPr>
          <w:rFonts w:ascii="Times New Roman" w:hAnsi="Times New Roman"/>
          <w:sz w:val="22"/>
        </w:rPr>
        <w:t xml:space="preserve">Source-oriented monitoring should be designed around flux rather than concentration alone. Wastewater, stormwater and rivers vary in discharge, so identical concentrations can represent very different annual loads. Event sampling is necessary for episodic pathways, while sediments require repeated sampling if </w:t>
      </w:r>
      <w:proofErr w:type="spellStart"/>
      <w:r w:rsidRPr="003F2BFF">
        <w:rPr>
          <w:rFonts w:ascii="Times New Roman" w:hAnsi="Times New Roman"/>
          <w:sz w:val="22"/>
        </w:rPr>
        <w:t>remobilisation</w:t>
      </w:r>
      <w:proofErr w:type="spellEnd"/>
      <w:r w:rsidRPr="003F2BFF">
        <w:rPr>
          <w:rFonts w:ascii="Times New Roman" w:hAnsi="Times New Roman"/>
          <w:sz w:val="22"/>
        </w:rPr>
        <w:t xml:space="preserve"> is important. Biological monitoring should select sentinel taxa with known feeding ecology and include tissue or gut compartments appropriate to the question. Without this design discipline, apparent reductions may reflect hydrology or detection changes rather than a true intervention effect.</w:t>
      </w:r>
    </w:p>
    <w:p w14:paraId="14014563" w14:textId="77777777" w:rsidR="007868D8" w:rsidRPr="003F2BFF" w:rsidRDefault="00000000">
      <w:pPr>
        <w:pStyle w:val="BodyText"/>
        <w:spacing w:after="104" w:line="264" w:lineRule="auto"/>
        <w:jc w:val="both"/>
      </w:pPr>
      <w:r w:rsidRPr="003F2BFF">
        <w:rPr>
          <w:rFonts w:ascii="Times New Roman" w:hAnsi="Times New Roman"/>
          <w:sz w:val="22"/>
        </w:rPr>
        <w:lastRenderedPageBreak/>
        <w:t xml:space="preserve">A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core does not require every </w:t>
      </w:r>
      <w:proofErr w:type="spellStart"/>
      <w:r w:rsidRPr="003F2BFF">
        <w:rPr>
          <w:rFonts w:ascii="Times New Roman" w:hAnsi="Times New Roman"/>
          <w:sz w:val="22"/>
        </w:rPr>
        <w:t>programme</w:t>
      </w:r>
      <w:proofErr w:type="spellEnd"/>
      <w:r w:rsidRPr="003F2BFF">
        <w:rPr>
          <w:rFonts w:ascii="Times New Roman" w:hAnsi="Times New Roman"/>
          <w:sz w:val="22"/>
        </w:rPr>
        <w:t xml:space="preserve"> to use identical instrumentation. A pragmatic system could define minimum quality requirements, shared reporting fields and validated conversion or comparability rules while allowing method choice to reflect particle size and matrix. This approach is preferable to a nominal “standard method” that captures only one part of the particle distribution. Quality assurance should include field blanks, procedural blanks, recovery checks and transparent reporting of particles below the quantifiable range.</w:t>
      </w:r>
    </w:p>
    <w:p w14:paraId="0FCFA323" w14:textId="77777777" w:rsidR="007868D8" w:rsidRPr="003F2BFF" w:rsidRDefault="00000000">
      <w:pPr>
        <w:pStyle w:val="Heading2"/>
        <w:rPr>
          <w:color w:val="auto"/>
        </w:rPr>
      </w:pPr>
      <w:bookmarkStart w:id="40" w:name="Xe3560a4dfd70e56b66b267b327da48bcc38ffc5"/>
      <w:bookmarkEnd w:id="39"/>
      <w:r w:rsidRPr="003F2BFF">
        <w:rPr>
          <w:rFonts w:ascii="Times New Roman" w:hAnsi="Times New Roman"/>
          <w:color w:val="auto"/>
        </w:rPr>
        <w:t>8.2 Upstream Prevention and End-of-Pipe Capture</w:t>
      </w:r>
    </w:p>
    <w:p w14:paraId="2BB223B9" w14:textId="77777777" w:rsidR="007868D8" w:rsidRPr="003F2BFF" w:rsidRDefault="00000000">
      <w:pPr>
        <w:pStyle w:val="FirstParagraph"/>
        <w:spacing w:after="104" w:line="264" w:lineRule="auto"/>
        <w:jc w:val="both"/>
      </w:pPr>
      <w:r w:rsidRPr="003F2BFF">
        <w:rPr>
          <w:rFonts w:ascii="Times New Roman" w:hAnsi="Times New Roman"/>
          <w:sz w:val="22"/>
        </w:rPr>
        <w:t xml:space="preserve">The persistence and fragmentation of plastics </w:t>
      </w:r>
      <w:proofErr w:type="spellStart"/>
      <w:r w:rsidRPr="003F2BFF">
        <w:rPr>
          <w:rFonts w:ascii="Times New Roman" w:hAnsi="Times New Roman"/>
          <w:sz w:val="22"/>
        </w:rPr>
        <w:t>favour</w:t>
      </w:r>
      <w:proofErr w:type="spellEnd"/>
      <w:r w:rsidRPr="003F2BFF">
        <w:rPr>
          <w:rFonts w:ascii="Times New Roman" w:hAnsi="Times New Roman"/>
          <w:sz w:val="22"/>
        </w:rPr>
        <w:t xml:space="preserve"> upstream prevention because removing dispersed small particles from open aquatic environments is technically difficult and can disturb non-target material. Scenario modelling of global plastic pollution indicates that continuing waste generation can outpace existing mitigation efforts, supporting combined strategies that reduce leakage and improve material management (Borrelle et al., 2020). Although such modelling addresses plastic pollution broadly, it is directly relevant to secondary microplastic formation because preventing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leakage reduces the future fragmentation reservoir.</w:t>
      </w:r>
    </w:p>
    <w:p w14:paraId="6C1137E9" w14:textId="77777777" w:rsidR="007868D8" w:rsidRPr="003F2BFF" w:rsidRDefault="00000000">
      <w:pPr>
        <w:pStyle w:val="BodyText"/>
        <w:spacing w:after="104" w:line="264" w:lineRule="auto"/>
        <w:jc w:val="both"/>
      </w:pPr>
      <w:r w:rsidRPr="003F2BFF">
        <w:rPr>
          <w:rFonts w:ascii="Times New Roman" w:hAnsi="Times New Roman"/>
          <w:sz w:val="22"/>
        </w:rPr>
        <w:t xml:space="preserve">End-of-pipe controls remain useful for identifiable pathways. Wastewater treatment already captures a large share of many particles, and improvements in filtration or solids management can reduce effluent release (Carr et al., 2016; Murphy et al., 2016). The policy trade-off is that capture transfers material to sludge or filter residues, which must then be managed to prevent later environmental release. Laundry filtration can reduce </w:t>
      </w:r>
      <w:proofErr w:type="spellStart"/>
      <w:r w:rsidRPr="003F2BFF">
        <w:rPr>
          <w:rFonts w:ascii="Times New Roman" w:hAnsi="Times New Roman"/>
          <w:sz w:val="22"/>
        </w:rPr>
        <w:t>fibre</w:t>
      </w:r>
      <w:proofErr w:type="spellEnd"/>
      <w:r w:rsidRPr="003F2BFF">
        <w:rPr>
          <w:rFonts w:ascii="Times New Roman" w:hAnsi="Times New Roman"/>
          <w:sz w:val="22"/>
        </w:rPr>
        <w:t xml:space="preserve"> emissions, while </w:t>
      </w:r>
      <w:proofErr w:type="spellStart"/>
      <w:r w:rsidRPr="003F2BFF">
        <w:rPr>
          <w:rFonts w:ascii="Times New Roman" w:hAnsi="Times New Roman"/>
          <w:sz w:val="22"/>
        </w:rPr>
        <w:t>tyre</w:t>
      </w:r>
      <w:proofErr w:type="spellEnd"/>
      <w:r w:rsidRPr="003F2BFF">
        <w:rPr>
          <w:rFonts w:ascii="Times New Roman" w:hAnsi="Times New Roman"/>
          <w:sz w:val="22"/>
        </w:rPr>
        <w:t xml:space="preserve"> and road-wear control may require changes in </w:t>
      </w:r>
      <w:proofErr w:type="spellStart"/>
      <w:r w:rsidRPr="003F2BFF">
        <w:rPr>
          <w:rFonts w:ascii="Times New Roman" w:hAnsi="Times New Roman"/>
          <w:sz w:val="22"/>
        </w:rPr>
        <w:t>tyre</w:t>
      </w:r>
      <w:proofErr w:type="spellEnd"/>
      <w:r w:rsidRPr="003F2BFF">
        <w:rPr>
          <w:rFonts w:ascii="Times New Roman" w:hAnsi="Times New Roman"/>
          <w:sz w:val="22"/>
        </w:rPr>
        <w:t xml:space="preserve"> formulation, vehicle use, road runoff treatment and transport planning. No single technology can address the diversity of sources.</w:t>
      </w:r>
    </w:p>
    <w:p w14:paraId="6B9ADF53" w14:textId="77777777" w:rsidR="007868D8" w:rsidRPr="003F2BFF" w:rsidRDefault="00000000">
      <w:pPr>
        <w:pStyle w:val="BodyText"/>
        <w:spacing w:after="104" w:line="264" w:lineRule="auto"/>
        <w:jc w:val="both"/>
      </w:pPr>
      <w:r w:rsidRPr="003F2BFF">
        <w:rPr>
          <w:rFonts w:ascii="Times New Roman" w:hAnsi="Times New Roman"/>
          <w:sz w:val="22"/>
        </w:rPr>
        <w:t xml:space="preserve">Prevention and capture should be judged across the full material life cycle. A treatment technology that consumes substantial energy, generates difficult residues or shifts particles from water to soil may have a different net environmental value from one that prevents particle generation. Conversely, upstream material substitution can create unintended effects if alternative products have greater toxicity or shorter useful life. Microplastic policy should therefore be integrated with broader circular-material and chemical-safety objectives rather than </w:t>
      </w:r>
      <w:proofErr w:type="spellStart"/>
      <w:r w:rsidRPr="003F2BFF">
        <w:rPr>
          <w:rFonts w:ascii="Times New Roman" w:hAnsi="Times New Roman"/>
          <w:sz w:val="22"/>
        </w:rPr>
        <w:t>optimised</w:t>
      </w:r>
      <w:proofErr w:type="spellEnd"/>
      <w:r w:rsidRPr="003F2BFF">
        <w:rPr>
          <w:rFonts w:ascii="Times New Roman" w:hAnsi="Times New Roman"/>
          <w:sz w:val="22"/>
        </w:rPr>
        <w:t xml:space="preserve"> for particle counts alone.</w:t>
      </w:r>
    </w:p>
    <w:p w14:paraId="2F7672C2" w14:textId="77777777" w:rsidR="007868D8" w:rsidRPr="003F2BFF" w:rsidRDefault="00000000">
      <w:pPr>
        <w:pStyle w:val="Heading2"/>
        <w:rPr>
          <w:color w:val="auto"/>
        </w:rPr>
      </w:pPr>
      <w:bookmarkStart w:id="41" w:name="X47f246247a128491b697d003321df6460a2ccdb"/>
      <w:bookmarkEnd w:id="40"/>
      <w:r w:rsidRPr="003F2BFF">
        <w:rPr>
          <w:rFonts w:ascii="Times New Roman" w:hAnsi="Times New Roman"/>
          <w:color w:val="auto"/>
        </w:rPr>
        <w:t xml:space="preserve">8.3 </w:t>
      </w:r>
      <w:proofErr w:type="spellStart"/>
      <w:r w:rsidRPr="003F2BFF">
        <w:rPr>
          <w:rFonts w:ascii="Times New Roman" w:hAnsi="Times New Roman"/>
          <w:color w:val="auto"/>
        </w:rPr>
        <w:t>Prioritising</w:t>
      </w:r>
      <w:proofErr w:type="spellEnd"/>
      <w:r w:rsidRPr="003F2BFF">
        <w:rPr>
          <w:rFonts w:ascii="Times New Roman" w:hAnsi="Times New Roman"/>
          <w:color w:val="auto"/>
        </w:rPr>
        <w:t xml:space="preserve"> Interventions by Source, Particle and Receptor</w:t>
      </w:r>
    </w:p>
    <w:p w14:paraId="6E1D3CD6" w14:textId="77777777" w:rsidR="007868D8" w:rsidRPr="003F2BFF" w:rsidRDefault="00000000">
      <w:pPr>
        <w:pStyle w:val="FirstParagraph"/>
        <w:spacing w:after="104" w:line="264" w:lineRule="auto"/>
        <w:jc w:val="both"/>
      </w:pPr>
      <w:r w:rsidRPr="003F2BFF">
        <w:rPr>
          <w:rFonts w:ascii="Times New Roman" w:hAnsi="Times New Roman"/>
          <w:sz w:val="22"/>
        </w:rPr>
        <w:t xml:space="preserve">Intervention priority should combine source strength, controllability, particle hazard profile and receptor exposure. A moderate source of small persistent </w:t>
      </w:r>
      <w:proofErr w:type="spellStart"/>
      <w:r w:rsidRPr="003F2BFF">
        <w:rPr>
          <w:rFonts w:ascii="Times New Roman" w:hAnsi="Times New Roman"/>
          <w:sz w:val="22"/>
        </w:rPr>
        <w:t>fibres</w:t>
      </w:r>
      <w:proofErr w:type="spellEnd"/>
      <w:r w:rsidRPr="003F2BFF">
        <w:rPr>
          <w:rFonts w:ascii="Times New Roman" w:hAnsi="Times New Roman"/>
          <w:sz w:val="22"/>
        </w:rPr>
        <w:t xml:space="preserve"> near a sensitive estuary may warrant greater attention than a larger source whose particles are rapidly captured or rarely encountered by vulnerable organisms. This logic requires local evidence rather than a universal ranking. Source profiles should also </w:t>
      </w:r>
      <w:proofErr w:type="spellStart"/>
      <w:r w:rsidRPr="003F2BFF">
        <w:rPr>
          <w:rFonts w:ascii="Times New Roman" w:hAnsi="Times New Roman"/>
          <w:sz w:val="22"/>
        </w:rPr>
        <w:t>recognise</w:t>
      </w:r>
      <w:proofErr w:type="spellEnd"/>
      <w:r w:rsidRPr="003F2BFF">
        <w:rPr>
          <w:rFonts w:ascii="Times New Roman" w:hAnsi="Times New Roman"/>
          <w:sz w:val="22"/>
        </w:rPr>
        <w:t xml:space="preserve"> co-benefits: reducing litter leakage prevents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impacts and future microplastic formation; reducing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can lower both polymer particles and associated chemicals; improved wastewater solids management can reduce transfer to agricultural soils and subsequent runoff.</w:t>
      </w:r>
    </w:p>
    <w:p w14:paraId="72B3DF11" w14:textId="77777777" w:rsidR="007868D8" w:rsidRPr="003F2BFF" w:rsidRDefault="00000000">
      <w:pPr>
        <w:pStyle w:val="BodyText"/>
        <w:spacing w:after="104" w:line="264" w:lineRule="auto"/>
        <w:jc w:val="both"/>
      </w:pPr>
      <w:r w:rsidRPr="003F2BFF">
        <w:rPr>
          <w:rFonts w:ascii="Times New Roman" w:hAnsi="Times New Roman"/>
          <w:sz w:val="22"/>
        </w:rPr>
        <w:t xml:space="preserve">Policy evaluation should measure actual environmental outcomes rather than only technology removal efficiency. A filter that achieves a high removal percentage in a small stream may have less ecological effect than a modest upstream reduction applied to a dominant catchment source. Conversely, source bans targeting a visually salient but minor particle category may produce limited total benefit. The central governance challenge is therefore to connect interventions to measured local flux and exposure, while using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methods that can detect change over time.</w:t>
      </w:r>
    </w:p>
    <w:p w14:paraId="79817CCB" w14:textId="77777777" w:rsidR="007868D8" w:rsidRPr="003F2BFF" w:rsidRDefault="00000000">
      <w:pPr>
        <w:pStyle w:val="BodyText"/>
        <w:spacing w:after="104" w:line="264" w:lineRule="auto"/>
        <w:jc w:val="both"/>
      </w:pPr>
      <w:r w:rsidRPr="003F2BFF">
        <w:rPr>
          <w:rFonts w:ascii="Times New Roman" w:hAnsi="Times New Roman"/>
          <w:sz w:val="22"/>
        </w:rPr>
        <w:t>Equity also matters to intervention design. Waste infrastructure, drainage, wastewater treatment and monitoring capacity vary markedly among regions. Policies that assume advanced end-of-pipe treatment may be less effective where collection systems are incomplete, while upstream product and producer-responsibility measures may reduce leakage without requiring complex local analytical capacity. A scientifically credible global strategy therefore needs flexible control portfolios tied to local source structures rather than a single technical prescription.</w:t>
      </w:r>
    </w:p>
    <w:p w14:paraId="779D6E0E" w14:textId="77777777" w:rsidR="007868D8" w:rsidRPr="003F2BFF" w:rsidRDefault="00000000">
      <w:pPr>
        <w:pStyle w:val="Heading1"/>
        <w:rPr>
          <w:color w:val="auto"/>
        </w:rPr>
      </w:pPr>
      <w:bookmarkStart w:id="42" w:name="integrated-critical-synthesis"/>
      <w:bookmarkEnd w:id="38"/>
      <w:bookmarkEnd w:id="41"/>
      <w:r w:rsidRPr="003F2BFF">
        <w:rPr>
          <w:rFonts w:ascii="Times New Roman" w:hAnsi="Times New Roman"/>
          <w:color w:val="auto"/>
        </w:rPr>
        <w:lastRenderedPageBreak/>
        <w:t>9. Integrated Critical Synthesis</w:t>
      </w:r>
    </w:p>
    <w:p w14:paraId="6D940818" w14:textId="77777777" w:rsidR="007868D8" w:rsidRPr="003F2BFF" w:rsidRDefault="00000000">
      <w:pPr>
        <w:pStyle w:val="Heading2"/>
        <w:rPr>
          <w:color w:val="auto"/>
        </w:rPr>
      </w:pPr>
      <w:bookmarkStart w:id="43" w:name="what-is-robustly-established"/>
      <w:r w:rsidRPr="003F2BFF">
        <w:rPr>
          <w:rFonts w:ascii="Times New Roman" w:hAnsi="Times New Roman"/>
          <w:color w:val="auto"/>
        </w:rPr>
        <w:t>9.1 What Is Robustly Established</w:t>
      </w:r>
    </w:p>
    <w:p w14:paraId="6307680B" w14:textId="77777777" w:rsidR="007868D8" w:rsidRPr="003F2BFF" w:rsidRDefault="00000000">
      <w:pPr>
        <w:pStyle w:val="FirstParagraph"/>
        <w:spacing w:after="104" w:line="264" w:lineRule="auto"/>
        <w:jc w:val="both"/>
      </w:pPr>
      <w:r w:rsidRPr="003F2BFF">
        <w:rPr>
          <w:rFonts w:ascii="Times New Roman" w:hAnsi="Times New Roman"/>
          <w:sz w:val="22"/>
        </w:rPr>
        <w:t xml:space="preserve">Several conclusions are supported by convergent evidence. Microplastics are present across aquatic compartments; multiple land-based, wastewater, transport-related and atmospheric pathways deliver particles to aquatic systems; and hydrodynamic and biological processes redistribute them among surface water, the water column and sediments (Allen et al., 2019; Chanda et al., 2024; Jiang et al., 2024; Murphy et al., 2016). Aquatic organisms from zooplankton to fish ingest microplastics, and trophic transfer can occur (Cole et al., 2013; Farrell &amp; Nelson, 2013; Setälä et al., 2014). Adverse biological effects are possible and have been demonstrated for multiple endpoints under controlled exposure (Foley et al., 2018; Lu et al., 2016; </w:t>
      </w:r>
      <w:proofErr w:type="spellStart"/>
      <w:r w:rsidRPr="003F2BFF">
        <w:rPr>
          <w:rFonts w:ascii="Times New Roman" w:hAnsi="Times New Roman"/>
          <w:sz w:val="22"/>
        </w:rPr>
        <w:t>Sussarellu</w:t>
      </w:r>
      <w:proofErr w:type="spellEnd"/>
      <w:r w:rsidRPr="003F2BFF">
        <w:rPr>
          <w:rFonts w:ascii="Times New Roman" w:hAnsi="Times New Roman"/>
          <w:sz w:val="22"/>
        </w:rPr>
        <w:t xml:space="preserve"> et al., 2016). Human exposure occurs through several environmental routes, including food, water and air, and internal particle detection has been reported (Jenner et al., 2022; Leslie et al., 2022; Ragusa et al., 2021).</w:t>
      </w:r>
    </w:p>
    <w:p w14:paraId="2E2F5A6B" w14:textId="77777777" w:rsidR="007868D8" w:rsidRPr="003F2BFF" w:rsidRDefault="00000000">
      <w:pPr>
        <w:pStyle w:val="BodyText"/>
        <w:spacing w:after="104" w:line="264" w:lineRule="auto"/>
        <w:jc w:val="both"/>
      </w:pPr>
      <w:r w:rsidRPr="003F2BFF">
        <w:rPr>
          <w:rFonts w:ascii="Times New Roman" w:hAnsi="Times New Roman"/>
          <w:sz w:val="22"/>
        </w:rPr>
        <w:t>These robust conclusions still leave open questions of magnitude. Ubiquity does not reveal which source dominates a catchment, ingestion does not establish long-term accumulation, hazard does not quantify population risk, and internal human detection does not identify disease causation. The field advances when it converts each qualitative conclusion into a quantitatively bounded relationship. This requires source-specific fluxes, compartment-specific exposure distributions, particle-trait dose–response functions and human toxicokinetic data.</w:t>
      </w:r>
    </w:p>
    <w:p w14:paraId="69AC8E57" w14:textId="77777777" w:rsidR="007868D8" w:rsidRPr="003F2BFF" w:rsidRDefault="00000000">
      <w:pPr>
        <w:pStyle w:val="BodyText"/>
        <w:spacing w:after="104" w:line="264" w:lineRule="auto"/>
        <w:jc w:val="both"/>
      </w:pPr>
      <w:r w:rsidRPr="003F2BFF">
        <w:rPr>
          <w:rFonts w:ascii="Times New Roman" w:hAnsi="Times New Roman"/>
          <w:sz w:val="22"/>
        </w:rPr>
        <w:t xml:space="preserve">A further robust conclusion is that methodological choices strongly influence what is observed. Particle size cut-offs, environmental compartment, digestion method and polymer-confirmation technique all condition reported exposure, while toxicological particle selection conditions reported hazard. This means that scientific disagreement is often partly a measurement problem rather than purely a biological contradiction. Analytical </w:t>
      </w:r>
      <w:proofErr w:type="spellStart"/>
      <w:r w:rsidRPr="003F2BFF">
        <w:rPr>
          <w:rFonts w:ascii="Times New Roman" w:hAnsi="Times New Roman"/>
          <w:sz w:val="22"/>
        </w:rPr>
        <w:t>harmonisation</w:t>
      </w:r>
      <w:proofErr w:type="spellEnd"/>
      <w:r w:rsidRPr="003F2BFF">
        <w:rPr>
          <w:rFonts w:ascii="Times New Roman" w:hAnsi="Times New Roman"/>
          <w:sz w:val="22"/>
        </w:rPr>
        <w:t xml:space="preserve"> is therefore not a peripheral technical task; it is foundational to risk assessment.</w:t>
      </w:r>
    </w:p>
    <w:p w14:paraId="1BDD86C9" w14:textId="77777777" w:rsidR="007868D8" w:rsidRPr="003F2BFF" w:rsidRDefault="00000000">
      <w:pPr>
        <w:pStyle w:val="Heading2"/>
        <w:rPr>
          <w:color w:val="auto"/>
        </w:rPr>
      </w:pPr>
      <w:bookmarkStart w:id="44" w:name="why-studies-disagree"/>
      <w:bookmarkEnd w:id="43"/>
      <w:r w:rsidRPr="003F2BFF">
        <w:rPr>
          <w:rFonts w:ascii="Times New Roman" w:hAnsi="Times New Roman"/>
          <w:color w:val="auto"/>
        </w:rPr>
        <w:t>9.2 Why Studies Disagree</w:t>
      </w:r>
    </w:p>
    <w:p w14:paraId="1C888512" w14:textId="77777777" w:rsidR="007868D8" w:rsidRPr="003F2BFF" w:rsidRDefault="00000000">
      <w:pPr>
        <w:pStyle w:val="FirstParagraph"/>
        <w:spacing w:after="104" w:line="264" w:lineRule="auto"/>
        <w:jc w:val="both"/>
      </w:pPr>
      <w:r w:rsidRPr="003F2BFF">
        <w:rPr>
          <w:rFonts w:ascii="Times New Roman" w:hAnsi="Times New Roman"/>
          <w:sz w:val="22"/>
        </w:rPr>
        <w:t xml:space="preserve">Many apparent contradictions can be explained by differences in what studies actually measure. Environmental surveys differ in mesh size, digestion, detection limit and confirmation; ecotoxicology studies differ in particle size, shape, polymer, ageing, concentration, exposure duration and endpoint; field organisms differ in feeding mode and habitat. Quality reviews demonstrate that these methodological dimensions are not consistently reported or controlled (de Ruijter et al., 2020; Hermsen et al.,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Consequently, two studies both labelled “microplastic exposure” may represent fundamentally different treatments.</w:t>
      </w:r>
    </w:p>
    <w:p w14:paraId="3C65B1EC" w14:textId="77777777" w:rsidR="007868D8" w:rsidRPr="003F2BFF" w:rsidRDefault="00000000">
      <w:pPr>
        <w:pStyle w:val="BodyText"/>
        <w:spacing w:after="104" w:line="264" w:lineRule="auto"/>
        <w:jc w:val="both"/>
      </w:pPr>
      <w:r w:rsidRPr="003F2BFF">
        <w:rPr>
          <w:rFonts w:ascii="Times New Roman" w:hAnsi="Times New Roman"/>
          <w:sz w:val="22"/>
        </w:rPr>
        <w:t xml:space="preserve">Biological context adds genuine heterogeneity. Species differ in ingestion selectivity, gut residence, detoxification, life history and sensitivity. Sediment-dwelling invertebrates encounter a different particle matrix from pelagic fish, while filter feeders integrate large water volumes. Effects may also be non-linear: very high particle loads can physically dilute food, whereas lower concentrations may produce little response. Particle traits further modify toxicity, as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by recent meta-analysis (Sacco et al., 2026). Some disagreement is therefore expected and should be modelled rather than treated as noise.</w:t>
      </w:r>
    </w:p>
    <w:p w14:paraId="24676EEC" w14:textId="77777777" w:rsidR="007868D8" w:rsidRPr="003F2BFF" w:rsidRDefault="00000000">
      <w:pPr>
        <w:pStyle w:val="BodyText"/>
        <w:spacing w:after="104" w:line="264" w:lineRule="auto"/>
        <w:jc w:val="both"/>
      </w:pPr>
      <w:r w:rsidRPr="003F2BFF">
        <w:rPr>
          <w:rFonts w:ascii="Times New Roman" w:hAnsi="Times New Roman"/>
          <w:sz w:val="22"/>
        </w:rPr>
        <w:t>A final source of disagreement is inferential framing. Studies demonstrating chemical sorption are sometimes cited as proof that microplastics necessarily increase contaminant dose, despite models showing that relative flux can be small or even reversed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2016). Trophic transfer is sometimes described as biomagnification without comparable tissue-</w:t>
      </w:r>
      <w:proofErr w:type="spellStart"/>
      <w:r w:rsidRPr="003F2BFF">
        <w:rPr>
          <w:rFonts w:ascii="Times New Roman" w:hAnsi="Times New Roman"/>
          <w:sz w:val="22"/>
        </w:rPr>
        <w:t>normalised</w:t>
      </w:r>
      <w:proofErr w:type="spellEnd"/>
      <w:r w:rsidRPr="003F2BFF">
        <w:rPr>
          <w:rFonts w:ascii="Times New Roman" w:hAnsi="Times New Roman"/>
          <w:sz w:val="22"/>
        </w:rPr>
        <w:t xml:space="preserve"> concentrations. Human tissue detection is sometimes used to imply aquatic source causation. Critical synthesis must correct these category errors before attempting to reconcile numerical results.</w:t>
      </w:r>
    </w:p>
    <w:p w14:paraId="2F171273" w14:textId="77777777" w:rsidR="007868D8" w:rsidRPr="003F2BFF" w:rsidRDefault="00000000">
      <w:pPr>
        <w:pStyle w:val="BodyText"/>
        <w:spacing w:after="104" w:line="264" w:lineRule="auto"/>
        <w:jc w:val="both"/>
      </w:pPr>
      <w:r w:rsidRPr="003F2BFF">
        <w:rPr>
          <w:rFonts w:ascii="Times New Roman" w:hAnsi="Times New Roman"/>
          <w:sz w:val="22"/>
        </w:rPr>
        <w:t xml:space="preserve">Publication and attention biases can reinforce these problems. Novel detection in a previously unexamined tissue or location is more publishable than a carefully controlled null result, while dramatic effects may receive more attention than environmentally realistic negative findings. This does not invalidate the literature, but it means that evidence maps should include study quality and null findings rather than assuming the published effect distribution </w:t>
      </w:r>
      <w:r w:rsidRPr="003F2BFF">
        <w:rPr>
          <w:rFonts w:ascii="Times New Roman" w:hAnsi="Times New Roman"/>
          <w:sz w:val="22"/>
        </w:rPr>
        <w:lastRenderedPageBreak/>
        <w:t>is an unbiased representation of nature. Reviews that explicitly interrogate study quality help counter this tendency (Burns &amp; Boxall, 2018; de Ruijter et al., 2020).</w:t>
      </w:r>
    </w:p>
    <w:p w14:paraId="232BA0E4" w14:textId="77777777" w:rsidR="007868D8" w:rsidRPr="003F2BFF" w:rsidRDefault="00000000">
      <w:pPr>
        <w:pStyle w:val="Heading2"/>
        <w:rPr>
          <w:color w:val="auto"/>
        </w:rPr>
      </w:pPr>
      <w:bookmarkStart w:id="45" w:name="X04b12f6c79b1f7e58220daa9d82e2b0b94fee7a"/>
      <w:bookmarkEnd w:id="44"/>
      <w:r w:rsidRPr="003F2BFF">
        <w:rPr>
          <w:rFonts w:ascii="Times New Roman" w:hAnsi="Times New Roman"/>
          <w:color w:val="auto"/>
        </w:rPr>
        <w:t>9.3 Confidence and Uncertainty Across the Evidence Chain</w:t>
      </w:r>
    </w:p>
    <w:p w14:paraId="5BC81FDF" w14:textId="77777777" w:rsidR="007868D8" w:rsidRPr="003F2BFF" w:rsidRDefault="00000000">
      <w:pPr>
        <w:pStyle w:val="FirstParagraph"/>
        <w:spacing w:after="104" w:line="264" w:lineRule="auto"/>
        <w:jc w:val="both"/>
      </w:pPr>
      <w:r w:rsidRPr="003F2BFF">
        <w:rPr>
          <w:rFonts w:ascii="Times New Roman" w:hAnsi="Times New Roman"/>
          <w:sz w:val="22"/>
        </w:rPr>
        <w:t>The evidence chain can be viewed as a sequence of conditional statements. Source attribution asks whether a particle class originates from a defined activity. Transport analysis asks whether it reaches a receptor compartment at a measurable dose. Ecotoxicology asks whether that dose causes a biologically meaningful effect. Human-health assessment adds further questions about ingestion or inhalation, absorption, distribution, persistence and clinical outcome. Uncertainty at each stage propagates downstream, so high confidence in one link cannot compensate for a missing next link.</w:t>
      </w:r>
    </w:p>
    <w:p w14:paraId="277B8E12" w14:textId="77777777" w:rsidR="007868D8" w:rsidRPr="003F2BFF" w:rsidRDefault="00000000">
      <w:pPr>
        <w:pStyle w:val="BodyText"/>
        <w:spacing w:after="104" w:line="264" w:lineRule="auto"/>
        <w:jc w:val="both"/>
      </w:pPr>
      <w:r w:rsidRPr="003F2BFF">
        <w:rPr>
          <w:rFonts w:ascii="Times New Roman" w:hAnsi="Times New Roman"/>
          <w:sz w:val="22"/>
        </w:rPr>
        <w:t>For aquatic ecological effects, confidence is strongest for direct organism–particle interactions and weaker for broad population-level risk. Risk frameworks are improving, but matching field exposure to effect thresholds remains limited by incompatible metrics and size windows (</w:t>
      </w:r>
      <w:proofErr w:type="spellStart"/>
      <w:r w:rsidRPr="003F2BFF">
        <w:rPr>
          <w:rFonts w:ascii="Times New Roman" w:hAnsi="Times New Roman"/>
          <w:sz w:val="22"/>
        </w:rPr>
        <w:t>Besseling</w:t>
      </w:r>
      <w:proofErr w:type="spellEnd"/>
      <w:r w:rsidRPr="003F2BFF">
        <w:rPr>
          <w:rFonts w:ascii="Times New Roman" w:hAnsi="Times New Roman"/>
          <w:sz w:val="22"/>
        </w:rPr>
        <w:t xml:space="preserve"> et al., 2019). For human health, internal exposure evidence has strengthened, yet causal inference remains limited and source attribution is especially weak (Tran et al., 2026). The emerging cardiovascular evidence is important precisely because it moves beyond detection toward outcome association, but its observational nature and selected population require replication and stronger exposure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w:t>
      </w:r>
    </w:p>
    <w:p w14:paraId="4A061D22" w14:textId="77777777" w:rsidR="007868D8" w:rsidRPr="003F2BFF" w:rsidRDefault="00000000">
      <w:pPr>
        <w:pStyle w:val="BodyText"/>
        <w:spacing w:after="104" w:line="264" w:lineRule="auto"/>
        <w:jc w:val="both"/>
      </w:pPr>
      <w:r w:rsidRPr="003F2BFF">
        <w:rPr>
          <w:rFonts w:ascii="Times New Roman" w:hAnsi="Times New Roman"/>
          <w:sz w:val="22"/>
        </w:rPr>
        <w:t>This uncertainty structure supports proportionate action. Source reduction is justified by persistence, ecosystem contamination and avoidable exposure even where disease burden is unquantified. At the same time, regulation or public-health communication should not assign numerical risks that exceed the evidence. The most useful near-term scientific products are interoperable monitoring data, validated dose metrics, environmentally realistic toxicity thresholds and prospective human exposure cohorts capable of connecting environmental sources to internal dose and outcome.</w:t>
      </w:r>
    </w:p>
    <w:p w14:paraId="67987DF6" w14:textId="77777777" w:rsidR="007868D8" w:rsidRPr="003F2BFF" w:rsidRDefault="00000000">
      <w:pPr>
        <w:pStyle w:val="BodyText"/>
        <w:spacing w:after="104" w:line="264" w:lineRule="auto"/>
        <w:jc w:val="both"/>
      </w:pPr>
      <w:r w:rsidRPr="003F2BFF">
        <w:rPr>
          <w:rFonts w:ascii="Times New Roman" w:hAnsi="Times New Roman"/>
          <w:sz w:val="22"/>
        </w:rPr>
        <w:t xml:space="preserve">A practical confidence hierarchy emerges from the synthesis. Confidence is high that multiple pathways contaminate aquatic systems, that particles are transported among environmental compartments and that many organisms ingest them. Confidence is moderate that some environmentally relevant exposures impair biological performance, because effects depend on particle traits and local exposure distributions. Confidence is lower for </w:t>
      </w:r>
      <w:proofErr w:type="spellStart"/>
      <w:r w:rsidRPr="003F2BFF">
        <w:rPr>
          <w:rFonts w:ascii="Times New Roman" w:hAnsi="Times New Roman"/>
          <w:sz w:val="22"/>
        </w:rPr>
        <w:t>generalised</w:t>
      </w:r>
      <w:proofErr w:type="spellEnd"/>
      <w:r w:rsidRPr="003F2BFF">
        <w:rPr>
          <w:rFonts w:ascii="Times New Roman" w:hAnsi="Times New Roman"/>
          <w:sz w:val="22"/>
        </w:rPr>
        <w:t xml:space="preserve"> ecosystem-level damage and for route-specific human disease because the corresponding exposure and causal chains remain incomplete. Making this hierarchy explicit prevents both overstatement and false reassurance.</w:t>
      </w:r>
    </w:p>
    <w:p w14:paraId="602533B0" w14:textId="77777777" w:rsidR="007868D8" w:rsidRPr="003F2BFF" w:rsidRDefault="00000000">
      <w:pPr>
        <w:pStyle w:val="Heading1"/>
        <w:rPr>
          <w:color w:val="auto"/>
        </w:rPr>
      </w:pPr>
      <w:bookmarkStart w:id="46" w:name="future-directions"/>
      <w:bookmarkEnd w:id="42"/>
      <w:bookmarkEnd w:id="45"/>
      <w:r w:rsidRPr="003F2BFF">
        <w:rPr>
          <w:rFonts w:ascii="Times New Roman" w:hAnsi="Times New Roman"/>
          <w:color w:val="auto"/>
        </w:rPr>
        <w:t>10. Future Directions</w:t>
      </w:r>
    </w:p>
    <w:p w14:paraId="0E3CC14E" w14:textId="77777777" w:rsidR="007868D8" w:rsidRPr="003F2BFF" w:rsidRDefault="00000000">
      <w:pPr>
        <w:pStyle w:val="Heading2"/>
        <w:rPr>
          <w:color w:val="auto"/>
        </w:rPr>
      </w:pPr>
      <w:bookmarkStart w:id="47" w:name="immediate-methodological-priorities"/>
      <w:r w:rsidRPr="003F2BFF">
        <w:rPr>
          <w:rFonts w:ascii="Times New Roman" w:hAnsi="Times New Roman"/>
          <w:color w:val="auto"/>
        </w:rPr>
        <w:t>10.1 Immediate Methodological Priorities</w:t>
      </w:r>
    </w:p>
    <w:p w14:paraId="4BD0830F" w14:textId="77777777" w:rsidR="007868D8" w:rsidRPr="003F2BFF" w:rsidRDefault="00000000">
      <w:pPr>
        <w:pStyle w:val="FirstParagraph"/>
        <w:spacing w:after="104" w:line="264" w:lineRule="auto"/>
        <w:jc w:val="both"/>
      </w:pPr>
      <w:r w:rsidRPr="003F2BFF">
        <w:rPr>
          <w:rFonts w:ascii="Times New Roman" w:hAnsi="Times New Roman"/>
          <w:sz w:val="22"/>
        </w:rPr>
        <w:t xml:space="preserve">The first priority is measurement </w:t>
      </w:r>
      <w:proofErr w:type="spellStart"/>
      <w:r w:rsidRPr="003F2BFF">
        <w:rPr>
          <w:rFonts w:ascii="Times New Roman" w:hAnsi="Times New Roman"/>
          <w:sz w:val="22"/>
        </w:rPr>
        <w:t>harmonisation</w:t>
      </w:r>
      <w:proofErr w:type="spellEnd"/>
      <w:r w:rsidRPr="003F2BFF">
        <w:rPr>
          <w:rFonts w:ascii="Times New Roman" w:hAnsi="Times New Roman"/>
          <w:sz w:val="22"/>
        </w:rPr>
        <w:t xml:space="preserve"> across environmental, biological and human matrices. Existing quality critiques show that differences in blank control, recovery, size threshold and polymer confirmation can dominate reported variability (Hermsen et al.,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Interlaboratory reference materials should include irregular fragments and </w:t>
      </w:r>
      <w:proofErr w:type="spellStart"/>
      <w:r w:rsidRPr="003F2BFF">
        <w:rPr>
          <w:rFonts w:ascii="Times New Roman" w:hAnsi="Times New Roman"/>
          <w:sz w:val="22"/>
        </w:rPr>
        <w:t>fibres</w:t>
      </w:r>
      <w:proofErr w:type="spellEnd"/>
      <w:r w:rsidRPr="003F2BFF">
        <w:rPr>
          <w:rFonts w:ascii="Times New Roman" w:hAnsi="Times New Roman"/>
          <w:sz w:val="22"/>
        </w:rPr>
        <w:t>, not only spheres. Studies should report particle number, size distribution, morphology, polymer and, where feasible, mass or surface-area metrics. Machine-assisted spectroscopy can improve throughput, but automated classification requires transparent spectral thresholds and false-positive evaluation.</w:t>
      </w:r>
    </w:p>
    <w:p w14:paraId="1940B95B" w14:textId="77777777" w:rsidR="007868D8" w:rsidRPr="003F2BFF" w:rsidRDefault="00000000">
      <w:pPr>
        <w:pStyle w:val="BodyText"/>
        <w:spacing w:after="104" w:line="264" w:lineRule="auto"/>
        <w:jc w:val="both"/>
      </w:pPr>
      <w:r w:rsidRPr="003F2BFF">
        <w:rPr>
          <w:rFonts w:ascii="Times New Roman" w:hAnsi="Times New Roman"/>
          <w:sz w:val="22"/>
        </w:rPr>
        <w:t xml:space="preserve">A second immediate priority is to define environmentally meaningful lower size ranges without allowing the analytical method to silently define the scientific question. Small microplastics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are likely to differ in transport and tissue access, yet methods capable of quantifying them often lose morphological information. Coordinated use of spectroscopic, microscopic and thermal approaches can reduce blind spots. Method reporting should make clear which portion of the environmental particle distribution was actually observed.</w:t>
      </w:r>
    </w:p>
    <w:p w14:paraId="6313A8E8" w14:textId="77777777" w:rsidR="007868D8" w:rsidRPr="003F2BFF" w:rsidRDefault="00000000">
      <w:pPr>
        <w:pStyle w:val="BodyText"/>
        <w:spacing w:after="104" w:line="264" w:lineRule="auto"/>
        <w:jc w:val="both"/>
      </w:pPr>
      <w:r w:rsidRPr="003F2BFF">
        <w:rPr>
          <w:rFonts w:ascii="Times New Roman" w:hAnsi="Times New Roman"/>
          <w:sz w:val="22"/>
        </w:rPr>
        <w:lastRenderedPageBreak/>
        <w:t xml:space="preserve">Shared reporting standards should also specify hydrological and ecological context. Water concentration without discharge cannot yield flux, sediment concentration without grain-size or depositional context can be difficult to compare, and organism burden without feeding ecology or depuration status can be ambiguous. Minimum metadata should therefore be matrix specific. International </w:t>
      </w:r>
      <w:proofErr w:type="spellStart"/>
      <w:r w:rsidRPr="003F2BFF">
        <w:rPr>
          <w:rFonts w:ascii="Times New Roman" w:hAnsi="Times New Roman"/>
          <w:sz w:val="22"/>
        </w:rPr>
        <w:t>harmonisation</w:t>
      </w:r>
      <w:proofErr w:type="spellEnd"/>
      <w:r w:rsidRPr="003F2BFF">
        <w:rPr>
          <w:rFonts w:ascii="Times New Roman" w:hAnsi="Times New Roman"/>
          <w:sz w:val="22"/>
        </w:rPr>
        <w:t xml:space="preserve"> efforts will be most useful if they define common information elements while allowing validated method diversity.</w:t>
      </w:r>
    </w:p>
    <w:p w14:paraId="0443A5C0" w14:textId="77777777" w:rsidR="007868D8" w:rsidRPr="003F2BFF" w:rsidRDefault="00000000">
      <w:pPr>
        <w:pStyle w:val="Heading2"/>
        <w:rPr>
          <w:color w:val="auto"/>
        </w:rPr>
      </w:pPr>
      <w:bookmarkStart w:id="48" w:name="Xebee7b520d0d0ea022406092419046a8db403b2"/>
      <w:bookmarkEnd w:id="47"/>
      <w:r w:rsidRPr="003F2BFF">
        <w:rPr>
          <w:rFonts w:ascii="Times New Roman" w:hAnsi="Times New Roman"/>
          <w:color w:val="auto"/>
        </w:rPr>
        <w:t>10.2 Field-to-Laboratory Calibration and Ecological Realism</w:t>
      </w:r>
    </w:p>
    <w:p w14:paraId="323A6595" w14:textId="77777777" w:rsidR="007868D8" w:rsidRPr="003F2BFF" w:rsidRDefault="00000000">
      <w:pPr>
        <w:pStyle w:val="FirstParagraph"/>
        <w:spacing w:after="104" w:line="264" w:lineRule="auto"/>
        <w:jc w:val="both"/>
      </w:pPr>
      <w:r w:rsidRPr="003F2BFF">
        <w:rPr>
          <w:rFonts w:ascii="Times New Roman" w:hAnsi="Times New Roman"/>
          <w:sz w:val="22"/>
        </w:rPr>
        <w:t>Ecotoxicology should move from nominal concentrations of pristine reference spheres toward exposure distributions derived from field measurements in the target habitat. This does not mean abandoning reference particles; they remain useful for mechanism. Rather, factorial designs should compare reference particles with weathered environmental mixtures while holding dose metrics as consistently as possible. Critical appraisal has already identified poor exposure realism as a major barrier to risk interpretation (de Ruijter et al., 2020). Recent evidence that particle traits modify toxicity makes this calibration more urgent (Sacco et al., 2026).</w:t>
      </w:r>
    </w:p>
    <w:p w14:paraId="0557CCC4" w14:textId="77777777" w:rsidR="007868D8" w:rsidRPr="003F2BFF" w:rsidRDefault="00000000">
      <w:pPr>
        <w:pStyle w:val="BodyText"/>
        <w:spacing w:after="104" w:line="264" w:lineRule="auto"/>
        <w:jc w:val="both"/>
      </w:pPr>
      <w:r w:rsidRPr="003F2BFF">
        <w:rPr>
          <w:rFonts w:ascii="Times New Roman" w:hAnsi="Times New Roman"/>
          <w:sz w:val="22"/>
        </w:rPr>
        <w:t>Longer-term mesocosm and field experiments should test community and population endpoints under fluctuating exposure. Organismal biomarkers are valuable for mechanism but cannot substitute for growth, reproduction, recruitment or community function when ecological risk is the objective. Experiments should incorporate sediments, natural food and relevant co-stressors where those factors materially alter particle fate. Paired hydrodynamic monitoring can verify actual exposure rather than assuming prepared concentrations remain constant.</w:t>
      </w:r>
    </w:p>
    <w:p w14:paraId="14572132" w14:textId="77777777" w:rsidR="007868D8" w:rsidRPr="003F2BFF" w:rsidRDefault="00000000">
      <w:pPr>
        <w:pStyle w:val="BodyText"/>
        <w:spacing w:after="104" w:line="264" w:lineRule="auto"/>
        <w:jc w:val="both"/>
      </w:pPr>
      <w:r w:rsidRPr="003F2BFF">
        <w:rPr>
          <w:rFonts w:ascii="Times New Roman" w:hAnsi="Times New Roman"/>
          <w:sz w:val="22"/>
        </w:rPr>
        <w:t>Trophic research should distinguish transfer from biomagnification using stable metrics and trophic-position analysis. Field studies such as the recent oceanic food-web work provide important evidence that particles move through food webs (Nikhil et al., 2026), but stronger inference requires comparable tissues, depuration strategies and explicit treatment of gut contents. The same principle applies to plastisphere research: demonstration of microbial carriage should be followed by experiments on viability, transmission and ecological consequence rather than inferred pathogen risk.</w:t>
      </w:r>
    </w:p>
    <w:p w14:paraId="6DA13229" w14:textId="77777777" w:rsidR="007868D8" w:rsidRPr="003F2BFF" w:rsidRDefault="00000000">
      <w:pPr>
        <w:pStyle w:val="BodyText"/>
        <w:spacing w:after="104" w:line="264" w:lineRule="auto"/>
        <w:jc w:val="both"/>
      </w:pPr>
      <w:r w:rsidRPr="003F2BFF">
        <w:rPr>
          <w:rFonts w:ascii="Times New Roman" w:hAnsi="Times New Roman"/>
          <w:sz w:val="22"/>
        </w:rPr>
        <w:t xml:space="preserve">Ecological realism also requires attention to mixtures. Organisms encounter polymers of different sizes and shapes together with natural suspended matter, contaminants and nutritional variation. Experiments that vary one particle property are essential for mechanism, but complementary mixture studies are needed to assess whether interactions are additive, antagonistic or synergistic. Designs should avoid adding so many factors that causal interpretation becomes impossible; staged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moving from controlled trait experiments to mesocosms provide a more defensible progression.</w:t>
      </w:r>
    </w:p>
    <w:p w14:paraId="5C0E352C" w14:textId="77777777" w:rsidR="007868D8" w:rsidRPr="003F2BFF" w:rsidRDefault="00000000">
      <w:pPr>
        <w:pStyle w:val="Heading2"/>
        <w:rPr>
          <w:color w:val="auto"/>
        </w:rPr>
      </w:pPr>
      <w:bookmarkStart w:id="49" w:name="X185a0334809a44359e4660cc69b6418062fb191"/>
      <w:bookmarkEnd w:id="48"/>
      <w:r w:rsidRPr="003F2BFF">
        <w:rPr>
          <w:rFonts w:ascii="Times New Roman" w:hAnsi="Times New Roman"/>
          <w:color w:val="auto"/>
        </w:rPr>
        <w:t>10.3 Human-Health Causal Inference and Source Attribution</w:t>
      </w:r>
    </w:p>
    <w:p w14:paraId="281AB094" w14:textId="77777777" w:rsidR="007868D8" w:rsidRPr="003F2BFF" w:rsidRDefault="00000000">
      <w:pPr>
        <w:pStyle w:val="FirstParagraph"/>
        <w:spacing w:after="104" w:line="264" w:lineRule="auto"/>
        <w:jc w:val="both"/>
      </w:pPr>
      <w:r w:rsidRPr="003F2BFF">
        <w:rPr>
          <w:rFonts w:ascii="Times New Roman" w:hAnsi="Times New Roman"/>
          <w:sz w:val="22"/>
        </w:rPr>
        <w:t xml:space="preserve">Human research now needs prospective exposure designs that connect external environment, internal dose and clinical outcome. Cross-sectional particle detection should be supplemented by repeated measurements, </w:t>
      </w:r>
      <w:proofErr w:type="spellStart"/>
      <w:r w:rsidRPr="003F2BFF">
        <w:rPr>
          <w:rFonts w:ascii="Times New Roman" w:hAnsi="Times New Roman"/>
          <w:sz w:val="22"/>
        </w:rPr>
        <w:t>standardised</w:t>
      </w:r>
      <w:proofErr w:type="spellEnd"/>
      <w:r w:rsidRPr="003F2BFF">
        <w:rPr>
          <w:rFonts w:ascii="Times New Roman" w:hAnsi="Times New Roman"/>
          <w:sz w:val="22"/>
        </w:rPr>
        <w:t xml:space="preserve"> contamination control and individual-level data on diet, water source, inhalation, occupation and consumer-product exposure. The 2026 systematic review of in vivo human evidence highlights the importance of reducing confounding and exposure-measurement error (Tran et al., 2026). Large cohorts should pre-specify endpoints and include nested analytical validation rather than relying on opportunistic tissue samples.</w:t>
      </w:r>
    </w:p>
    <w:p w14:paraId="22F4DE35" w14:textId="77777777" w:rsidR="007868D8" w:rsidRPr="003F2BFF" w:rsidRDefault="00000000">
      <w:pPr>
        <w:pStyle w:val="BodyText"/>
        <w:spacing w:after="104" w:line="264" w:lineRule="auto"/>
        <w:jc w:val="both"/>
      </w:pPr>
      <w:r w:rsidRPr="003F2BFF">
        <w:rPr>
          <w:rFonts w:ascii="Times New Roman" w:hAnsi="Times New Roman"/>
          <w:sz w:val="22"/>
        </w:rPr>
        <w:t>Source attribution is essential if aquatic pollution is to be linked specifically to human health. Studies of seafood-consuming populations could pair dietary records with polymer-resolved measurements in local food species, household water and airborne dust. Isotopic or additive fingerprints may assist where sufficiently source specific, although shared polymers and additives create ambiguity. Pharmacokinetic studies are also needed to establish absorption fractions, distribution, clearance and persistence by particle size and shape. Without these parameters, external particle counts cannot be translated reliably into internal dose.</w:t>
      </w:r>
    </w:p>
    <w:p w14:paraId="26FD52D3" w14:textId="77777777" w:rsidR="007868D8" w:rsidRPr="003F2BFF" w:rsidRDefault="00000000">
      <w:pPr>
        <w:pStyle w:val="BodyText"/>
        <w:spacing w:after="104" w:line="264" w:lineRule="auto"/>
        <w:jc w:val="both"/>
      </w:pPr>
      <w:r w:rsidRPr="003F2BFF">
        <w:rPr>
          <w:rFonts w:ascii="Times New Roman" w:hAnsi="Times New Roman"/>
          <w:sz w:val="22"/>
        </w:rPr>
        <w:lastRenderedPageBreak/>
        <w:t>Clinical associations such as those reported for carotid plaques should be replicated in broader populations and interrogated mechanistically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 Designs capable of improving causal inference include longitudinal cohorts, negative-control exposures, detailed confounder measurement and, where feasible, natural experiments arising from substantial changes in environmental exposure. Ethical considerations make experimental human dosing inappropriate for many questions, increasing the importance of rigorous observational design and validated biomarkers.</w:t>
      </w:r>
    </w:p>
    <w:p w14:paraId="5F5F2BA3" w14:textId="77777777" w:rsidR="007868D8" w:rsidRPr="003F2BFF" w:rsidRDefault="00000000">
      <w:pPr>
        <w:pStyle w:val="BodyText"/>
        <w:spacing w:after="104" w:line="264" w:lineRule="auto"/>
        <w:jc w:val="both"/>
      </w:pPr>
      <w:r w:rsidRPr="003F2BFF">
        <w:rPr>
          <w:rFonts w:ascii="Times New Roman" w:hAnsi="Times New Roman"/>
          <w:sz w:val="22"/>
        </w:rPr>
        <w:t xml:space="preserve">Health research should also avoid collapsing microplastics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into a single exposure when analytical methods can distinguish them. The probability of translocation and cellular interaction changes rapidly with particle size, so pooled exposure categories can obscure biologically important differences. Conversely, artificially precise size-specific risk estimates should not be produced when measurement uncertainty is larger than the apparent distinction. The immediate need is reliable internal dosimetry and toxicokinetic modelling rather than increasingly elaborate disease claims based on unvalidated exposure metrics.</w:t>
      </w:r>
    </w:p>
    <w:p w14:paraId="6119F4E3" w14:textId="77777777" w:rsidR="007868D8" w:rsidRPr="003F2BFF" w:rsidRDefault="00000000">
      <w:pPr>
        <w:pStyle w:val="Heading2"/>
        <w:rPr>
          <w:color w:val="auto"/>
        </w:rPr>
      </w:pPr>
      <w:bookmarkStart w:id="50" w:name="Xa10ab36cf1108b2a774d89650ca8093eb8567ad"/>
      <w:bookmarkEnd w:id="49"/>
      <w:r w:rsidRPr="003F2BFF">
        <w:rPr>
          <w:rFonts w:ascii="Times New Roman" w:hAnsi="Times New Roman"/>
          <w:color w:val="auto"/>
        </w:rPr>
        <w:t>10.4 Intervention Evaluation and Coupled Source-to-Receptor Models</w:t>
      </w:r>
    </w:p>
    <w:p w14:paraId="3BD49F27" w14:textId="77777777" w:rsidR="007868D8" w:rsidRPr="003F2BFF" w:rsidRDefault="00000000">
      <w:pPr>
        <w:pStyle w:val="FirstParagraph"/>
        <w:spacing w:after="104" w:line="264" w:lineRule="auto"/>
        <w:jc w:val="both"/>
      </w:pPr>
      <w:r w:rsidRPr="003F2BFF">
        <w:rPr>
          <w:rFonts w:ascii="Times New Roman" w:hAnsi="Times New Roman"/>
          <w:sz w:val="22"/>
        </w:rPr>
        <w:t xml:space="preserve">Intervention research should quantify environmental benefit rather than only engineering removal. Wastewater upgrades, laundry filters, stormwater controls and </w:t>
      </w:r>
      <w:proofErr w:type="spellStart"/>
      <w:r w:rsidRPr="003F2BFF">
        <w:rPr>
          <w:rFonts w:ascii="Times New Roman" w:hAnsi="Times New Roman"/>
          <w:sz w:val="22"/>
        </w:rPr>
        <w:t>tyre</w:t>
      </w:r>
      <w:proofErr w:type="spellEnd"/>
      <w:r w:rsidRPr="003F2BFF">
        <w:rPr>
          <w:rFonts w:ascii="Times New Roman" w:hAnsi="Times New Roman"/>
          <w:sz w:val="22"/>
        </w:rPr>
        <w:t>-wear interventions should be evaluated using before–after or controlled catchment designs with flux-based monitoring. Treatment studies show that high removal efficiency can coexist with residual release and transfer to sludge (Carr et al., 2016; Murphy et al., 2016); future evaluations should therefore follow captured material to its final destination. Policy studies should also measure substitution effects, because replacing one material or pathway can create another environmental burden.</w:t>
      </w:r>
    </w:p>
    <w:p w14:paraId="66EA6A37" w14:textId="77777777" w:rsidR="007868D8" w:rsidRPr="003F2BFF" w:rsidRDefault="00000000">
      <w:pPr>
        <w:pStyle w:val="BodyText"/>
        <w:spacing w:after="104" w:line="264" w:lineRule="auto"/>
        <w:jc w:val="both"/>
      </w:pPr>
      <w:r w:rsidRPr="003F2BFF">
        <w:rPr>
          <w:rFonts w:ascii="Times New Roman" w:hAnsi="Times New Roman"/>
          <w:sz w:val="22"/>
        </w:rPr>
        <w:t>Coupled models that integrate emissions, atmospheric transport, catchment hydrology, particle transformation, sediment exchange and food-web exposure offer a route toward decision-relevant prediction. Such models must be calibrated against size- and trait-resolved field data rather than generic “plastic” mass. River-emission models demonstrate the power of spatially explicit source analysis (Meijer et al., 2021), while coastal reviews show the complexity that arises once particles enter dynamic receiving waters (Jiang et al., 2024). The next generation of models should propagate uncertainty explicitly so that management choices are based on credible ranges rather than point estimates.</w:t>
      </w:r>
    </w:p>
    <w:p w14:paraId="49F9B205" w14:textId="77777777" w:rsidR="007868D8" w:rsidRPr="003F2BFF" w:rsidRDefault="00000000">
      <w:pPr>
        <w:pStyle w:val="BodyText"/>
        <w:spacing w:after="104" w:line="264" w:lineRule="auto"/>
        <w:jc w:val="both"/>
      </w:pPr>
      <w:r w:rsidRPr="003F2BFF">
        <w:rPr>
          <w:rFonts w:ascii="Times New Roman" w:hAnsi="Times New Roman"/>
          <w:sz w:val="22"/>
        </w:rPr>
        <w:t xml:space="preserve">Intervention evaluation should also include temporal response. Because legacy plastic reservoirs continue to fragment, successful source reduction may not produce an immediate decline in all microplastic compartments. Sediments and shorelines can retain and re-release particles after emissions fall. Monitoring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therefore need time horizons matched to environmental residence and should distinguish new inputs from legacy contamination wherever possible. This distinction will be crucial for judging whether policy is ineffective or whether ecological compartments are simply responding slowly.</w:t>
      </w:r>
    </w:p>
    <w:p w14:paraId="0B2F5531"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5 </w:t>
      </w:r>
      <w:proofErr w:type="spellStart"/>
      <w:r w:rsidRPr="003F2BFF">
        <w:rPr>
          <w:rFonts w:ascii="Times New Roman" w:hAnsi="Times New Roman"/>
          <w:sz w:val="22"/>
        </w:rPr>
        <w:t>prioritises</w:t>
      </w:r>
      <w:proofErr w:type="spellEnd"/>
      <w:r w:rsidRPr="003F2BFF">
        <w:rPr>
          <w:rFonts w:ascii="Times New Roman" w:hAnsi="Times New Roman"/>
          <w:sz w:val="22"/>
        </w:rPr>
        <w:t xml:space="preserve"> research needs by their ability to reduce uncertainty in risk and management decisions. Immediate gains are most likely from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metrology, realistic exposure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and paired source–receptor studies. Longer-term causal human research and coupled models are more demanding, but they are necessary to move from evidence of presence and plausibility to quantitative health and ecosystem risk. The priorities are therefore ordered by the bottlenecks they address rather than by technological novelty.</w:t>
      </w:r>
    </w:p>
    <w:p w14:paraId="31E3F771" w14:textId="77777777" w:rsidR="007868D8" w:rsidRPr="003F2BFF" w:rsidRDefault="00000000">
      <w:pPr>
        <w:pStyle w:val="BodyText"/>
        <w:keepNext/>
        <w:spacing w:before="100" w:after="60"/>
      </w:pPr>
      <w:r w:rsidRPr="003F2BFF">
        <w:rPr>
          <w:rFonts w:ascii="Times New Roman" w:hAnsi="Times New Roman"/>
          <w:b/>
          <w:bCs/>
          <w:sz w:val="19"/>
        </w:rPr>
        <w:t xml:space="preserve">Table 5. </w:t>
      </w:r>
      <w:proofErr w:type="spellStart"/>
      <w:r w:rsidRPr="003F2BFF">
        <w:rPr>
          <w:rFonts w:ascii="Times New Roman" w:hAnsi="Times New Roman"/>
          <w:b/>
          <w:bCs/>
          <w:sz w:val="19"/>
        </w:rPr>
        <w:t>Prioritised</w:t>
      </w:r>
      <w:proofErr w:type="spellEnd"/>
      <w:r w:rsidRPr="003F2BFF">
        <w:rPr>
          <w:rFonts w:ascii="Times New Roman" w:hAnsi="Times New Roman"/>
          <w:b/>
          <w:bCs/>
          <w:sz w:val="19"/>
        </w:rPr>
        <w:t xml:space="preserve"> research agenda for reducing decision-relevant uncertainty</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319"/>
        <w:gridCol w:w="2068"/>
        <w:gridCol w:w="2127"/>
        <w:gridCol w:w="1584"/>
        <w:gridCol w:w="1554"/>
        <w:gridCol w:w="1760"/>
      </w:tblGrid>
      <w:tr w:rsidR="003F2BFF" w:rsidRPr="003F2BFF" w14:paraId="7A2C1DC5"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296" w:type="dxa"/>
            <w:shd w:val="clear" w:color="auto" w:fill="1F4E79"/>
            <w:tcMar>
              <w:top w:w="55" w:type="dxa"/>
              <w:left w:w="65" w:type="dxa"/>
              <w:bottom w:w="55" w:type="dxa"/>
              <w:right w:w="65" w:type="dxa"/>
            </w:tcMar>
            <w:vAlign w:val="center"/>
          </w:tcPr>
          <w:p w14:paraId="11987E33" w14:textId="77777777" w:rsidR="007868D8" w:rsidRPr="003F2BFF" w:rsidRDefault="00000000">
            <w:pPr>
              <w:pStyle w:val="Compact"/>
              <w:spacing w:before="0" w:after="0"/>
              <w:jc w:val="center"/>
            </w:pPr>
            <w:r w:rsidRPr="003F2BFF">
              <w:rPr>
                <w:rFonts w:ascii="Times New Roman" w:hAnsi="Times New Roman"/>
                <w:b/>
                <w:sz w:val="15"/>
              </w:rPr>
              <w:t>Priority</w:t>
            </w:r>
          </w:p>
        </w:tc>
        <w:tc>
          <w:tcPr>
            <w:tcW w:w="2030" w:type="dxa"/>
            <w:shd w:val="clear" w:color="auto" w:fill="1F4E79"/>
            <w:tcMar>
              <w:top w:w="55" w:type="dxa"/>
              <w:left w:w="65" w:type="dxa"/>
              <w:bottom w:w="55" w:type="dxa"/>
              <w:right w:w="65" w:type="dxa"/>
            </w:tcMar>
            <w:vAlign w:val="center"/>
          </w:tcPr>
          <w:p w14:paraId="222E1D55" w14:textId="77777777" w:rsidR="007868D8" w:rsidRPr="003F2BFF" w:rsidRDefault="00000000">
            <w:pPr>
              <w:pStyle w:val="Compact"/>
              <w:spacing w:before="0" w:after="0"/>
              <w:jc w:val="center"/>
            </w:pPr>
            <w:r w:rsidRPr="003F2BFF">
              <w:rPr>
                <w:rFonts w:ascii="Times New Roman" w:hAnsi="Times New Roman"/>
                <w:b/>
                <w:sz w:val="15"/>
              </w:rPr>
              <w:t>Unresolved problem</w:t>
            </w:r>
          </w:p>
        </w:tc>
        <w:tc>
          <w:tcPr>
            <w:tcW w:w="2088" w:type="dxa"/>
            <w:shd w:val="clear" w:color="auto" w:fill="1F4E79"/>
            <w:tcMar>
              <w:top w:w="55" w:type="dxa"/>
              <w:left w:w="65" w:type="dxa"/>
              <w:bottom w:w="55" w:type="dxa"/>
              <w:right w:w="65" w:type="dxa"/>
            </w:tcMar>
            <w:vAlign w:val="center"/>
          </w:tcPr>
          <w:p w14:paraId="5E27FF33" w14:textId="77777777" w:rsidR="007868D8" w:rsidRPr="003F2BFF" w:rsidRDefault="00000000">
            <w:pPr>
              <w:pStyle w:val="Compact"/>
              <w:spacing w:before="0" w:after="0"/>
              <w:jc w:val="center"/>
            </w:pPr>
            <w:r w:rsidRPr="003F2BFF">
              <w:rPr>
                <w:rFonts w:ascii="Times New Roman" w:hAnsi="Times New Roman"/>
                <w:b/>
                <w:sz w:val="15"/>
              </w:rPr>
              <w:t>Preferred design or method</w:t>
            </w:r>
          </w:p>
        </w:tc>
        <w:tc>
          <w:tcPr>
            <w:tcW w:w="1555" w:type="dxa"/>
            <w:shd w:val="clear" w:color="auto" w:fill="1F4E79"/>
            <w:tcMar>
              <w:top w:w="55" w:type="dxa"/>
              <w:left w:w="65" w:type="dxa"/>
              <w:bottom w:w="55" w:type="dxa"/>
              <w:right w:w="65" w:type="dxa"/>
            </w:tcMar>
            <w:vAlign w:val="center"/>
          </w:tcPr>
          <w:p w14:paraId="3F761FA5" w14:textId="77777777" w:rsidR="007868D8" w:rsidRPr="003F2BFF" w:rsidRDefault="00000000">
            <w:pPr>
              <w:pStyle w:val="Compact"/>
              <w:spacing w:before="0" w:after="0"/>
              <w:jc w:val="center"/>
            </w:pPr>
            <w:r w:rsidRPr="003F2BFF">
              <w:rPr>
                <w:rFonts w:ascii="Times New Roman" w:hAnsi="Times New Roman"/>
                <w:b/>
                <w:sz w:val="15"/>
              </w:rPr>
              <w:t>Key outcomes</w:t>
            </w:r>
          </w:p>
        </w:tc>
        <w:tc>
          <w:tcPr>
            <w:tcW w:w="1526" w:type="dxa"/>
            <w:shd w:val="clear" w:color="auto" w:fill="1F4E79"/>
            <w:tcMar>
              <w:top w:w="55" w:type="dxa"/>
              <w:left w:w="65" w:type="dxa"/>
              <w:bottom w:w="55" w:type="dxa"/>
              <w:right w:w="65" w:type="dxa"/>
            </w:tcMar>
            <w:vAlign w:val="center"/>
          </w:tcPr>
          <w:p w14:paraId="31A8C7CC" w14:textId="77777777" w:rsidR="007868D8" w:rsidRPr="003F2BFF" w:rsidRDefault="00000000">
            <w:pPr>
              <w:pStyle w:val="Compact"/>
              <w:spacing w:before="0" w:after="0"/>
              <w:jc w:val="center"/>
            </w:pPr>
            <w:r w:rsidRPr="003F2BFF">
              <w:rPr>
                <w:rFonts w:ascii="Times New Roman" w:hAnsi="Times New Roman"/>
                <w:b/>
                <w:sz w:val="15"/>
              </w:rPr>
              <w:t>Decision value</w:t>
            </w:r>
          </w:p>
        </w:tc>
        <w:tc>
          <w:tcPr>
            <w:tcW w:w="1728" w:type="dxa"/>
            <w:shd w:val="clear" w:color="auto" w:fill="1F4E79"/>
            <w:tcMar>
              <w:top w:w="55" w:type="dxa"/>
              <w:left w:w="65" w:type="dxa"/>
              <w:bottom w:w="55" w:type="dxa"/>
              <w:right w:w="65" w:type="dxa"/>
            </w:tcMar>
            <w:vAlign w:val="center"/>
          </w:tcPr>
          <w:p w14:paraId="3305A232"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3F2BFF" w14:paraId="01F640B8" w14:textId="77777777" w:rsidTr="007868D8">
        <w:trPr>
          <w:jc w:val="center"/>
        </w:trPr>
        <w:tc>
          <w:tcPr>
            <w:tcW w:w="1296" w:type="dxa"/>
            <w:shd w:val="clear" w:color="auto" w:fill="FFFFFF"/>
            <w:tcMar>
              <w:top w:w="55" w:type="dxa"/>
              <w:left w:w="65" w:type="dxa"/>
              <w:bottom w:w="55" w:type="dxa"/>
              <w:right w:w="65" w:type="dxa"/>
            </w:tcMar>
            <w:vAlign w:val="center"/>
          </w:tcPr>
          <w:p w14:paraId="097F04F5" w14:textId="77777777" w:rsidR="007868D8" w:rsidRPr="003F2BFF" w:rsidRDefault="00000000">
            <w:pPr>
              <w:pStyle w:val="Compact"/>
              <w:spacing w:before="0" w:after="30"/>
            </w:pPr>
            <w:r w:rsidRPr="003F2BFF">
              <w:rPr>
                <w:rFonts w:ascii="Times New Roman" w:hAnsi="Times New Roman"/>
                <w:sz w:val="15"/>
              </w:rPr>
              <w:t xml:space="preserve">1. </w:t>
            </w:r>
            <w:proofErr w:type="spellStart"/>
            <w:r w:rsidRPr="003F2BFF">
              <w:rPr>
                <w:rFonts w:ascii="Times New Roman" w:hAnsi="Times New Roman"/>
                <w:sz w:val="15"/>
              </w:rPr>
              <w:t>Harmonised</w:t>
            </w:r>
            <w:proofErr w:type="spellEnd"/>
            <w:r w:rsidRPr="003F2BFF">
              <w:rPr>
                <w:rFonts w:ascii="Times New Roman" w:hAnsi="Times New Roman"/>
                <w:sz w:val="15"/>
              </w:rPr>
              <w:t xml:space="preserve"> metrology</w:t>
            </w:r>
          </w:p>
        </w:tc>
        <w:tc>
          <w:tcPr>
            <w:tcW w:w="2030" w:type="dxa"/>
            <w:shd w:val="clear" w:color="auto" w:fill="FFFFFF"/>
            <w:tcMar>
              <w:top w:w="55" w:type="dxa"/>
              <w:left w:w="65" w:type="dxa"/>
              <w:bottom w:w="55" w:type="dxa"/>
              <w:right w:w="65" w:type="dxa"/>
            </w:tcMar>
            <w:vAlign w:val="center"/>
          </w:tcPr>
          <w:p w14:paraId="68EDDE2E" w14:textId="77777777" w:rsidR="007868D8" w:rsidRPr="003F2BFF" w:rsidRDefault="00000000">
            <w:pPr>
              <w:pStyle w:val="Compact"/>
              <w:spacing w:before="0" w:after="30"/>
            </w:pPr>
            <w:r w:rsidRPr="003F2BFF">
              <w:rPr>
                <w:rFonts w:ascii="Times New Roman" w:hAnsi="Times New Roman"/>
                <w:sz w:val="15"/>
              </w:rPr>
              <w:t>Reported concentrations remain method dependent</w:t>
            </w:r>
          </w:p>
        </w:tc>
        <w:tc>
          <w:tcPr>
            <w:tcW w:w="2088" w:type="dxa"/>
            <w:shd w:val="clear" w:color="auto" w:fill="FFFFFF"/>
            <w:tcMar>
              <w:top w:w="55" w:type="dxa"/>
              <w:left w:w="65" w:type="dxa"/>
              <w:bottom w:w="55" w:type="dxa"/>
              <w:right w:w="65" w:type="dxa"/>
            </w:tcMar>
            <w:vAlign w:val="center"/>
          </w:tcPr>
          <w:p w14:paraId="087166E0" w14:textId="77777777" w:rsidR="007868D8" w:rsidRPr="003F2BFF" w:rsidRDefault="00000000">
            <w:pPr>
              <w:pStyle w:val="Compact"/>
              <w:spacing w:before="0" w:after="30"/>
            </w:pPr>
            <w:r w:rsidRPr="003F2BFF">
              <w:rPr>
                <w:rFonts w:ascii="Times New Roman" w:hAnsi="Times New Roman"/>
                <w:sz w:val="15"/>
              </w:rPr>
              <w:t xml:space="preserve">Interlaboratory validation; reference materials; </w:t>
            </w:r>
            <w:proofErr w:type="spellStart"/>
            <w:r w:rsidRPr="003F2BFF">
              <w:rPr>
                <w:rFonts w:ascii="Times New Roman" w:hAnsi="Times New Roman"/>
                <w:sz w:val="15"/>
              </w:rPr>
              <w:t>harmonised</w:t>
            </w:r>
            <w:proofErr w:type="spellEnd"/>
            <w:r w:rsidRPr="003F2BFF">
              <w:rPr>
                <w:rFonts w:ascii="Times New Roman" w:hAnsi="Times New Roman"/>
                <w:sz w:val="15"/>
              </w:rPr>
              <w:t xml:space="preserve"> blanks, recovery and size reporting</w:t>
            </w:r>
          </w:p>
        </w:tc>
        <w:tc>
          <w:tcPr>
            <w:tcW w:w="1555" w:type="dxa"/>
            <w:shd w:val="clear" w:color="auto" w:fill="FFFFFF"/>
            <w:tcMar>
              <w:top w:w="55" w:type="dxa"/>
              <w:left w:w="65" w:type="dxa"/>
              <w:bottom w:w="55" w:type="dxa"/>
              <w:right w:w="65" w:type="dxa"/>
            </w:tcMar>
            <w:vAlign w:val="center"/>
          </w:tcPr>
          <w:p w14:paraId="018462E4" w14:textId="77777777" w:rsidR="007868D8" w:rsidRPr="003F2BFF" w:rsidRDefault="00000000">
            <w:pPr>
              <w:pStyle w:val="Compact"/>
              <w:spacing w:before="0" w:after="30"/>
            </w:pPr>
            <w:r w:rsidRPr="003F2BFF">
              <w:rPr>
                <w:rFonts w:ascii="Times New Roman" w:hAnsi="Times New Roman"/>
                <w:sz w:val="15"/>
              </w:rPr>
              <w:t>Comparable number, size, shape, polymer and mass data</w:t>
            </w:r>
          </w:p>
        </w:tc>
        <w:tc>
          <w:tcPr>
            <w:tcW w:w="1526" w:type="dxa"/>
            <w:shd w:val="clear" w:color="auto" w:fill="FFFFFF"/>
            <w:tcMar>
              <w:top w:w="55" w:type="dxa"/>
              <w:left w:w="65" w:type="dxa"/>
              <w:bottom w:w="55" w:type="dxa"/>
              <w:right w:w="65" w:type="dxa"/>
            </w:tcMar>
            <w:vAlign w:val="center"/>
          </w:tcPr>
          <w:p w14:paraId="4ED26B31" w14:textId="77777777" w:rsidR="007868D8" w:rsidRPr="003F2BFF" w:rsidRDefault="00000000">
            <w:pPr>
              <w:pStyle w:val="Compact"/>
              <w:spacing w:before="0" w:after="30"/>
            </w:pPr>
            <w:r w:rsidRPr="003F2BFF">
              <w:rPr>
                <w:rFonts w:ascii="Times New Roman" w:hAnsi="Times New Roman"/>
                <w:sz w:val="15"/>
              </w:rPr>
              <w:t>Makes exposure trends and intervention effects interpretable</w:t>
            </w:r>
          </w:p>
        </w:tc>
        <w:tc>
          <w:tcPr>
            <w:tcW w:w="1728" w:type="dxa"/>
            <w:shd w:val="clear" w:color="auto" w:fill="FFFFFF"/>
            <w:tcMar>
              <w:top w:w="55" w:type="dxa"/>
              <w:left w:w="65" w:type="dxa"/>
              <w:bottom w:w="55" w:type="dxa"/>
              <w:right w:w="65" w:type="dxa"/>
            </w:tcMar>
            <w:vAlign w:val="center"/>
          </w:tcPr>
          <w:p w14:paraId="796710A3" w14:textId="77777777" w:rsidR="007868D8" w:rsidRPr="003F2BFF" w:rsidRDefault="00000000">
            <w:pPr>
              <w:pStyle w:val="Compact"/>
              <w:spacing w:before="0" w:after="30"/>
            </w:pPr>
            <w:r w:rsidRPr="003F2BFF">
              <w:rPr>
                <w:rFonts w:ascii="Times New Roman" w:hAnsi="Times New Roman"/>
                <w:sz w:val="15"/>
              </w:rPr>
              <w:t xml:space="preserve">(Hermsen et al., 2018; </w:t>
            </w:r>
            <w:proofErr w:type="spellStart"/>
            <w:r w:rsidRPr="003F2BFF">
              <w:rPr>
                <w:rFonts w:ascii="Times New Roman" w:hAnsi="Times New Roman"/>
                <w:sz w:val="15"/>
              </w:rPr>
              <w:t>Koelmans</w:t>
            </w:r>
            <w:proofErr w:type="spellEnd"/>
            <w:r w:rsidRPr="003F2BFF">
              <w:rPr>
                <w:rFonts w:ascii="Times New Roman" w:hAnsi="Times New Roman"/>
                <w:sz w:val="15"/>
              </w:rPr>
              <w:t xml:space="preserve"> et al., 2019)</w:t>
            </w:r>
          </w:p>
        </w:tc>
      </w:tr>
      <w:tr w:rsidR="003F2BFF" w:rsidRPr="003F2BFF" w14:paraId="2D3FFB3D" w14:textId="77777777" w:rsidTr="007868D8">
        <w:trPr>
          <w:jc w:val="center"/>
        </w:trPr>
        <w:tc>
          <w:tcPr>
            <w:tcW w:w="1296" w:type="dxa"/>
            <w:shd w:val="clear" w:color="auto" w:fill="FFFFFF"/>
            <w:tcMar>
              <w:top w:w="55" w:type="dxa"/>
              <w:left w:w="65" w:type="dxa"/>
              <w:bottom w:w="55" w:type="dxa"/>
              <w:right w:w="65" w:type="dxa"/>
            </w:tcMar>
            <w:vAlign w:val="center"/>
          </w:tcPr>
          <w:p w14:paraId="5F1D7DED" w14:textId="77777777" w:rsidR="007868D8" w:rsidRPr="003F2BFF" w:rsidRDefault="00000000">
            <w:pPr>
              <w:pStyle w:val="Compact"/>
              <w:spacing w:before="0" w:after="30"/>
            </w:pPr>
            <w:r w:rsidRPr="003F2BFF">
              <w:rPr>
                <w:rFonts w:ascii="Times New Roman" w:hAnsi="Times New Roman"/>
                <w:sz w:val="15"/>
              </w:rPr>
              <w:t>2. Realistic ecotoxicology</w:t>
            </w:r>
          </w:p>
        </w:tc>
        <w:tc>
          <w:tcPr>
            <w:tcW w:w="2030" w:type="dxa"/>
            <w:shd w:val="clear" w:color="auto" w:fill="FFFFFF"/>
            <w:tcMar>
              <w:top w:w="55" w:type="dxa"/>
              <w:left w:w="65" w:type="dxa"/>
              <w:bottom w:w="55" w:type="dxa"/>
              <w:right w:w="65" w:type="dxa"/>
            </w:tcMar>
            <w:vAlign w:val="center"/>
          </w:tcPr>
          <w:p w14:paraId="0974D7F4" w14:textId="77777777" w:rsidR="007868D8" w:rsidRPr="003F2BFF" w:rsidRDefault="00000000">
            <w:pPr>
              <w:pStyle w:val="Compact"/>
              <w:spacing w:before="0" w:after="30"/>
            </w:pPr>
            <w:r w:rsidRPr="003F2BFF">
              <w:rPr>
                <w:rFonts w:ascii="Times New Roman" w:hAnsi="Times New Roman"/>
                <w:sz w:val="15"/>
              </w:rPr>
              <w:t>Many tests use simplified particles and nominal doses</w:t>
            </w:r>
          </w:p>
        </w:tc>
        <w:tc>
          <w:tcPr>
            <w:tcW w:w="2088" w:type="dxa"/>
            <w:shd w:val="clear" w:color="auto" w:fill="FFFFFF"/>
            <w:tcMar>
              <w:top w:w="55" w:type="dxa"/>
              <w:left w:w="65" w:type="dxa"/>
              <w:bottom w:w="55" w:type="dxa"/>
              <w:right w:w="65" w:type="dxa"/>
            </w:tcMar>
            <w:vAlign w:val="center"/>
          </w:tcPr>
          <w:p w14:paraId="628D5081" w14:textId="77777777" w:rsidR="007868D8" w:rsidRPr="003F2BFF" w:rsidRDefault="00000000">
            <w:pPr>
              <w:pStyle w:val="Compact"/>
              <w:spacing w:before="0" w:after="30"/>
            </w:pPr>
            <w:r w:rsidRPr="003F2BFF">
              <w:rPr>
                <w:rFonts w:ascii="Times New Roman" w:hAnsi="Times New Roman"/>
                <w:sz w:val="15"/>
              </w:rPr>
              <w:t>Field-calibrated mixtures plus reference particles; measured exposure; chronic mesocosms</w:t>
            </w:r>
          </w:p>
        </w:tc>
        <w:tc>
          <w:tcPr>
            <w:tcW w:w="1555" w:type="dxa"/>
            <w:shd w:val="clear" w:color="auto" w:fill="FFFFFF"/>
            <w:tcMar>
              <w:top w:w="55" w:type="dxa"/>
              <w:left w:w="65" w:type="dxa"/>
              <w:bottom w:w="55" w:type="dxa"/>
              <w:right w:w="65" w:type="dxa"/>
            </w:tcMar>
            <w:vAlign w:val="center"/>
          </w:tcPr>
          <w:p w14:paraId="62564CC9" w14:textId="77777777" w:rsidR="007868D8" w:rsidRPr="003F2BFF" w:rsidRDefault="00000000">
            <w:pPr>
              <w:pStyle w:val="Compact"/>
              <w:spacing w:before="0" w:after="30"/>
            </w:pPr>
            <w:r w:rsidRPr="003F2BFF">
              <w:rPr>
                <w:rFonts w:ascii="Times New Roman" w:hAnsi="Times New Roman"/>
                <w:sz w:val="15"/>
              </w:rPr>
              <w:t>Dose–response by trait; reproduction, growth and community endpoints</w:t>
            </w:r>
          </w:p>
        </w:tc>
        <w:tc>
          <w:tcPr>
            <w:tcW w:w="1526" w:type="dxa"/>
            <w:shd w:val="clear" w:color="auto" w:fill="FFFFFF"/>
            <w:tcMar>
              <w:top w:w="55" w:type="dxa"/>
              <w:left w:w="65" w:type="dxa"/>
              <w:bottom w:w="55" w:type="dxa"/>
              <w:right w:w="65" w:type="dxa"/>
            </w:tcMar>
            <w:vAlign w:val="center"/>
          </w:tcPr>
          <w:p w14:paraId="23CCB8C0" w14:textId="77777777" w:rsidR="007868D8" w:rsidRPr="003F2BFF" w:rsidRDefault="00000000">
            <w:pPr>
              <w:pStyle w:val="Compact"/>
              <w:spacing w:before="0" w:after="30"/>
            </w:pPr>
            <w:r w:rsidRPr="003F2BFF">
              <w:rPr>
                <w:rFonts w:ascii="Times New Roman" w:hAnsi="Times New Roman"/>
                <w:sz w:val="15"/>
              </w:rPr>
              <w:t>Converts hazard evidence into defensible ecological risk</w:t>
            </w:r>
          </w:p>
        </w:tc>
        <w:tc>
          <w:tcPr>
            <w:tcW w:w="1728" w:type="dxa"/>
            <w:shd w:val="clear" w:color="auto" w:fill="FFFFFF"/>
            <w:tcMar>
              <w:top w:w="55" w:type="dxa"/>
              <w:left w:w="65" w:type="dxa"/>
              <w:bottom w:w="55" w:type="dxa"/>
              <w:right w:w="65" w:type="dxa"/>
            </w:tcMar>
            <w:vAlign w:val="center"/>
          </w:tcPr>
          <w:p w14:paraId="7FD86FA5" w14:textId="77777777" w:rsidR="007868D8" w:rsidRPr="003F2BFF" w:rsidRDefault="00000000">
            <w:pPr>
              <w:pStyle w:val="Compact"/>
              <w:spacing w:before="0" w:after="30"/>
            </w:pPr>
            <w:r w:rsidRPr="003F2BFF">
              <w:rPr>
                <w:rFonts w:ascii="Times New Roman" w:hAnsi="Times New Roman"/>
                <w:sz w:val="15"/>
              </w:rPr>
              <w:t>(de Ruijter et al., 2020; Sacco et al., 2026)</w:t>
            </w:r>
          </w:p>
        </w:tc>
      </w:tr>
      <w:tr w:rsidR="003F2BFF" w:rsidRPr="003F2BFF" w14:paraId="401D3BD2" w14:textId="77777777" w:rsidTr="007868D8">
        <w:trPr>
          <w:jc w:val="center"/>
        </w:trPr>
        <w:tc>
          <w:tcPr>
            <w:tcW w:w="1296" w:type="dxa"/>
            <w:shd w:val="clear" w:color="auto" w:fill="FFFFFF"/>
            <w:tcMar>
              <w:top w:w="55" w:type="dxa"/>
              <w:left w:w="65" w:type="dxa"/>
              <w:bottom w:w="55" w:type="dxa"/>
              <w:right w:w="65" w:type="dxa"/>
            </w:tcMar>
            <w:vAlign w:val="center"/>
          </w:tcPr>
          <w:p w14:paraId="0A961507" w14:textId="77777777" w:rsidR="007868D8" w:rsidRPr="003F2BFF" w:rsidRDefault="00000000">
            <w:pPr>
              <w:pStyle w:val="Compact"/>
              <w:spacing w:before="0" w:after="30"/>
            </w:pPr>
            <w:r w:rsidRPr="003F2BFF">
              <w:rPr>
                <w:rFonts w:ascii="Times New Roman" w:hAnsi="Times New Roman"/>
                <w:sz w:val="15"/>
              </w:rPr>
              <w:lastRenderedPageBreak/>
              <w:t>3. Trophic and sediment processes</w:t>
            </w:r>
          </w:p>
        </w:tc>
        <w:tc>
          <w:tcPr>
            <w:tcW w:w="2030" w:type="dxa"/>
            <w:shd w:val="clear" w:color="auto" w:fill="FFFFFF"/>
            <w:tcMar>
              <w:top w:w="55" w:type="dxa"/>
              <w:left w:w="65" w:type="dxa"/>
              <w:bottom w:w="55" w:type="dxa"/>
              <w:right w:w="65" w:type="dxa"/>
            </w:tcMar>
            <w:vAlign w:val="center"/>
          </w:tcPr>
          <w:p w14:paraId="3AB1540F" w14:textId="77777777" w:rsidR="007868D8" w:rsidRPr="003F2BFF" w:rsidRDefault="00000000">
            <w:pPr>
              <w:pStyle w:val="Compact"/>
              <w:spacing w:before="0" w:after="30"/>
            </w:pPr>
            <w:r w:rsidRPr="003F2BFF">
              <w:rPr>
                <w:rFonts w:ascii="Times New Roman" w:hAnsi="Times New Roman"/>
                <w:sz w:val="15"/>
              </w:rPr>
              <w:t xml:space="preserve">Transfer is established but long-term accumulation and </w:t>
            </w:r>
            <w:proofErr w:type="spellStart"/>
            <w:r w:rsidRPr="003F2BFF">
              <w:rPr>
                <w:rFonts w:ascii="Times New Roman" w:hAnsi="Times New Roman"/>
                <w:sz w:val="15"/>
              </w:rPr>
              <w:t>remobilisation</w:t>
            </w:r>
            <w:proofErr w:type="spellEnd"/>
            <w:r w:rsidRPr="003F2BFF">
              <w:rPr>
                <w:rFonts w:ascii="Times New Roman" w:hAnsi="Times New Roman"/>
                <w:sz w:val="15"/>
              </w:rPr>
              <w:t xml:space="preserve"> are uncertain</w:t>
            </w:r>
          </w:p>
        </w:tc>
        <w:tc>
          <w:tcPr>
            <w:tcW w:w="2088" w:type="dxa"/>
            <w:shd w:val="clear" w:color="auto" w:fill="FFFFFF"/>
            <w:tcMar>
              <w:top w:w="55" w:type="dxa"/>
              <w:left w:w="65" w:type="dxa"/>
              <w:bottom w:w="55" w:type="dxa"/>
              <w:right w:w="65" w:type="dxa"/>
            </w:tcMar>
            <w:vAlign w:val="center"/>
          </w:tcPr>
          <w:p w14:paraId="3FF284DD" w14:textId="77777777" w:rsidR="007868D8" w:rsidRPr="003F2BFF" w:rsidRDefault="00000000">
            <w:pPr>
              <w:pStyle w:val="Compact"/>
              <w:spacing w:before="0" w:after="30"/>
            </w:pPr>
            <w:r w:rsidRPr="003F2BFF">
              <w:rPr>
                <w:rFonts w:ascii="Times New Roman" w:hAnsi="Times New Roman"/>
                <w:sz w:val="15"/>
              </w:rPr>
              <w:t>Paired field–laboratory studies; trophic-position analysis; sediment mass balance</w:t>
            </w:r>
          </w:p>
        </w:tc>
        <w:tc>
          <w:tcPr>
            <w:tcW w:w="1555" w:type="dxa"/>
            <w:shd w:val="clear" w:color="auto" w:fill="FFFFFF"/>
            <w:tcMar>
              <w:top w:w="55" w:type="dxa"/>
              <w:left w:w="65" w:type="dxa"/>
              <w:bottom w:w="55" w:type="dxa"/>
              <w:right w:w="65" w:type="dxa"/>
            </w:tcMar>
            <w:vAlign w:val="center"/>
          </w:tcPr>
          <w:p w14:paraId="55DFDBB7" w14:textId="77777777" w:rsidR="007868D8" w:rsidRPr="003F2BFF" w:rsidRDefault="00000000">
            <w:pPr>
              <w:pStyle w:val="Compact"/>
              <w:spacing w:before="0" w:after="30"/>
            </w:pPr>
            <w:r w:rsidRPr="003F2BFF">
              <w:rPr>
                <w:rFonts w:ascii="Times New Roman" w:hAnsi="Times New Roman"/>
                <w:sz w:val="15"/>
              </w:rPr>
              <w:t>Depuration, tissue burden, burial/resuspension and trophic scaling</w:t>
            </w:r>
          </w:p>
        </w:tc>
        <w:tc>
          <w:tcPr>
            <w:tcW w:w="1526" w:type="dxa"/>
            <w:shd w:val="clear" w:color="auto" w:fill="FFFFFF"/>
            <w:tcMar>
              <w:top w:w="55" w:type="dxa"/>
              <w:left w:w="65" w:type="dxa"/>
              <w:bottom w:w="55" w:type="dxa"/>
              <w:right w:w="65" w:type="dxa"/>
            </w:tcMar>
            <w:vAlign w:val="center"/>
          </w:tcPr>
          <w:p w14:paraId="07FCD59F" w14:textId="77777777" w:rsidR="007868D8" w:rsidRPr="003F2BFF" w:rsidRDefault="00000000">
            <w:pPr>
              <w:pStyle w:val="Compact"/>
              <w:spacing w:before="0" w:after="30"/>
            </w:pPr>
            <w:r w:rsidRPr="003F2BFF">
              <w:rPr>
                <w:rFonts w:ascii="Times New Roman" w:hAnsi="Times New Roman"/>
                <w:sz w:val="15"/>
              </w:rPr>
              <w:t>Clarifies persistence and food-web exposure</w:t>
            </w:r>
          </w:p>
        </w:tc>
        <w:tc>
          <w:tcPr>
            <w:tcW w:w="1728" w:type="dxa"/>
            <w:shd w:val="clear" w:color="auto" w:fill="FFFFFF"/>
            <w:tcMar>
              <w:top w:w="55" w:type="dxa"/>
              <w:left w:w="65" w:type="dxa"/>
              <w:bottom w:w="55" w:type="dxa"/>
              <w:right w:w="65" w:type="dxa"/>
            </w:tcMar>
            <w:vAlign w:val="center"/>
          </w:tcPr>
          <w:p w14:paraId="099BFBF2" w14:textId="77777777" w:rsidR="007868D8" w:rsidRPr="003F2BFF" w:rsidRDefault="00000000">
            <w:pPr>
              <w:pStyle w:val="Compact"/>
              <w:spacing w:before="0" w:after="30"/>
            </w:pPr>
            <w:r w:rsidRPr="003F2BFF">
              <w:rPr>
                <w:rFonts w:ascii="Times New Roman" w:hAnsi="Times New Roman"/>
                <w:sz w:val="15"/>
              </w:rPr>
              <w:t>(Nikhil et al., 2026; Redondo-</w:t>
            </w:r>
            <w:proofErr w:type="spellStart"/>
            <w:r w:rsidRPr="003F2BFF">
              <w:rPr>
                <w:rFonts w:ascii="Times New Roman" w:hAnsi="Times New Roman"/>
                <w:sz w:val="15"/>
              </w:rPr>
              <w:t>Hasselerharm</w:t>
            </w:r>
            <w:proofErr w:type="spellEnd"/>
            <w:r w:rsidRPr="003F2BFF">
              <w:rPr>
                <w:rFonts w:ascii="Times New Roman" w:hAnsi="Times New Roman"/>
                <w:sz w:val="15"/>
              </w:rPr>
              <w:t xml:space="preserve"> et al., 2018)</w:t>
            </w:r>
          </w:p>
        </w:tc>
      </w:tr>
      <w:tr w:rsidR="003F2BFF" w:rsidRPr="003F2BFF" w14:paraId="334EBFD7" w14:textId="77777777" w:rsidTr="007868D8">
        <w:trPr>
          <w:jc w:val="center"/>
        </w:trPr>
        <w:tc>
          <w:tcPr>
            <w:tcW w:w="1296" w:type="dxa"/>
            <w:shd w:val="clear" w:color="auto" w:fill="FFFFFF"/>
            <w:tcMar>
              <w:top w:w="55" w:type="dxa"/>
              <w:left w:w="65" w:type="dxa"/>
              <w:bottom w:w="55" w:type="dxa"/>
              <w:right w:w="65" w:type="dxa"/>
            </w:tcMar>
            <w:vAlign w:val="center"/>
          </w:tcPr>
          <w:p w14:paraId="3C8CB703" w14:textId="77777777" w:rsidR="007868D8" w:rsidRPr="003F2BFF" w:rsidRDefault="00000000">
            <w:pPr>
              <w:pStyle w:val="Compact"/>
              <w:spacing w:before="0" w:after="30"/>
            </w:pPr>
            <w:r w:rsidRPr="003F2BFF">
              <w:rPr>
                <w:rFonts w:ascii="Times New Roman" w:hAnsi="Times New Roman"/>
                <w:sz w:val="15"/>
              </w:rPr>
              <w:t xml:space="preserve">4. Human source attribution and </w:t>
            </w:r>
            <w:proofErr w:type="spellStart"/>
            <w:r w:rsidRPr="003F2BFF">
              <w:rPr>
                <w:rFonts w:ascii="Times New Roman" w:hAnsi="Times New Roman"/>
                <w:sz w:val="15"/>
              </w:rPr>
              <w:t>toxicokinetics</w:t>
            </w:r>
            <w:proofErr w:type="spellEnd"/>
          </w:p>
        </w:tc>
        <w:tc>
          <w:tcPr>
            <w:tcW w:w="2030" w:type="dxa"/>
            <w:shd w:val="clear" w:color="auto" w:fill="FFFFFF"/>
            <w:tcMar>
              <w:top w:w="55" w:type="dxa"/>
              <w:left w:w="65" w:type="dxa"/>
              <w:bottom w:w="55" w:type="dxa"/>
              <w:right w:w="65" w:type="dxa"/>
            </w:tcMar>
            <w:vAlign w:val="center"/>
          </w:tcPr>
          <w:p w14:paraId="7D55D21E" w14:textId="77777777" w:rsidR="007868D8" w:rsidRPr="003F2BFF" w:rsidRDefault="00000000">
            <w:pPr>
              <w:pStyle w:val="Compact"/>
              <w:spacing w:before="0" w:after="30"/>
            </w:pPr>
            <w:r w:rsidRPr="003F2BFF">
              <w:rPr>
                <w:rFonts w:ascii="Times New Roman" w:hAnsi="Times New Roman"/>
                <w:sz w:val="15"/>
              </w:rPr>
              <w:t>Internal exposure lacks route apportionment and clearance data</w:t>
            </w:r>
          </w:p>
        </w:tc>
        <w:tc>
          <w:tcPr>
            <w:tcW w:w="2088" w:type="dxa"/>
            <w:shd w:val="clear" w:color="auto" w:fill="FFFFFF"/>
            <w:tcMar>
              <w:top w:w="55" w:type="dxa"/>
              <w:left w:w="65" w:type="dxa"/>
              <w:bottom w:w="55" w:type="dxa"/>
              <w:right w:w="65" w:type="dxa"/>
            </w:tcMar>
            <w:vAlign w:val="center"/>
          </w:tcPr>
          <w:p w14:paraId="606AB58B" w14:textId="77777777" w:rsidR="007868D8" w:rsidRPr="003F2BFF" w:rsidRDefault="00000000">
            <w:pPr>
              <w:pStyle w:val="Compact"/>
              <w:spacing w:before="0" w:after="30"/>
            </w:pPr>
            <w:r w:rsidRPr="003F2BFF">
              <w:rPr>
                <w:rFonts w:ascii="Times New Roman" w:hAnsi="Times New Roman"/>
                <w:sz w:val="15"/>
              </w:rPr>
              <w:t>Prospective cohorts linked to diet/water/air sampling; validated biomarkers; toxicokinetic studies</w:t>
            </w:r>
          </w:p>
        </w:tc>
        <w:tc>
          <w:tcPr>
            <w:tcW w:w="1555" w:type="dxa"/>
            <w:shd w:val="clear" w:color="auto" w:fill="FFFFFF"/>
            <w:tcMar>
              <w:top w:w="55" w:type="dxa"/>
              <w:left w:w="65" w:type="dxa"/>
              <w:bottom w:w="55" w:type="dxa"/>
              <w:right w:w="65" w:type="dxa"/>
            </w:tcMar>
            <w:vAlign w:val="center"/>
          </w:tcPr>
          <w:p w14:paraId="78C37E05" w14:textId="77777777" w:rsidR="007868D8" w:rsidRPr="003F2BFF" w:rsidRDefault="00000000">
            <w:pPr>
              <w:pStyle w:val="Compact"/>
              <w:spacing w:before="0" w:after="30"/>
            </w:pPr>
            <w:r w:rsidRPr="003F2BFF">
              <w:rPr>
                <w:rFonts w:ascii="Times New Roman" w:hAnsi="Times New Roman"/>
                <w:sz w:val="15"/>
              </w:rPr>
              <w:t>Absorption, distribution, persistence, source contribution and dose</w:t>
            </w:r>
          </w:p>
        </w:tc>
        <w:tc>
          <w:tcPr>
            <w:tcW w:w="1526" w:type="dxa"/>
            <w:shd w:val="clear" w:color="auto" w:fill="FFFFFF"/>
            <w:tcMar>
              <w:top w:w="55" w:type="dxa"/>
              <w:left w:w="65" w:type="dxa"/>
              <w:bottom w:w="55" w:type="dxa"/>
              <w:right w:w="65" w:type="dxa"/>
            </w:tcMar>
            <w:vAlign w:val="center"/>
          </w:tcPr>
          <w:p w14:paraId="7EC66E90" w14:textId="77777777" w:rsidR="007868D8" w:rsidRPr="003F2BFF" w:rsidRDefault="00000000">
            <w:pPr>
              <w:pStyle w:val="Compact"/>
              <w:spacing w:before="0" w:after="30"/>
            </w:pPr>
            <w:r w:rsidRPr="003F2BFF">
              <w:rPr>
                <w:rFonts w:ascii="Times New Roman" w:hAnsi="Times New Roman"/>
                <w:sz w:val="15"/>
              </w:rPr>
              <w:t>Allows aquatic exposure to be linked quantitatively to internal burden</w:t>
            </w:r>
          </w:p>
        </w:tc>
        <w:tc>
          <w:tcPr>
            <w:tcW w:w="1728" w:type="dxa"/>
            <w:shd w:val="clear" w:color="auto" w:fill="FFFFFF"/>
            <w:tcMar>
              <w:top w:w="55" w:type="dxa"/>
              <w:left w:w="65" w:type="dxa"/>
              <w:bottom w:w="55" w:type="dxa"/>
              <w:right w:w="65" w:type="dxa"/>
            </w:tcMar>
            <w:vAlign w:val="center"/>
          </w:tcPr>
          <w:p w14:paraId="1D8C881F" w14:textId="77777777" w:rsidR="007868D8" w:rsidRPr="003F2BFF" w:rsidRDefault="00000000">
            <w:pPr>
              <w:pStyle w:val="Compact"/>
              <w:spacing w:before="0" w:after="30"/>
            </w:pPr>
            <w:r w:rsidRPr="003F2BFF">
              <w:rPr>
                <w:rFonts w:ascii="Times New Roman" w:hAnsi="Times New Roman"/>
                <w:sz w:val="15"/>
              </w:rPr>
              <w:t>(Ruggieri et al., 2025; Tran et al., 2026)</w:t>
            </w:r>
          </w:p>
        </w:tc>
      </w:tr>
      <w:tr w:rsidR="003F2BFF" w:rsidRPr="003F2BFF" w14:paraId="02450C35" w14:textId="77777777" w:rsidTr="007868D8">
        <w:trPr>
          <w:jc w:val="center"/>
        </w:trPr>
        <w:tc>
          <w:tcPr>
            <w:tcW w:w="1296" w:type="dxa"/>
            <w:shd w:val="clear" w:color="auto" w:fill="FFFFFF"/>
            <w:tcMar>
              <w:top w:w="55" w:type="dxa"/>
              <w:left w:w="65" w:type="dxa"/>
              <w:bottom w:w="55" w:type="dxa"/>
              <w:right w:w="65" w:type="dxa"/>
            </w:tcMar>
            <w:vAlign w:val="center"/>
          </w:tcPr>
          <w:p w14:paraId="6F2265E2" w14:textId="77777777" w:rsidR="007868D8" w:rsidRPr="003F2BFF" w:rsidRDefault="00000000">
            <w:pPr>
              <w:pStyle w:val="Compact"/>
              <w:spacing w:before="0" w:after="30"/>
            </w:pPr>
            <w:r w:rsidRPr="003F2BFF">
              <w:rPr>
                <w:rFonts w:ascii="Times New Roman" w:hAnsi="Times New Roman"/>
                <w:sz w:val="15"/>
              </w:rPr>
              <w:t>5. Causal clinical research</w:t>
            </w:r>
          </w:p>
        </w:tc>
        <w:tc>
          <w:tcPr>
            <w:tcW w:w="2030" w:type="dxa"/>
            <w:shd w:val="clear" w:color="auto" w:fill="FFFFFF"/>
            <w:tcMar>
              <w:top w:w="55" w:type="dxa"/>
              <w:left w:w="65" w:type="dxa"/>
              <w:bottom w:w="55" w:type="dxa"/>
              <w:right w:w="65" w:type="dxa"/>
            </w:tcMar>
            <w:vAlign w:val="center"/>
          </w:tcPr>
          <w:p w14:paraId="15AB7395" w14:textId="77777777" w:rsidR="007868D8" w:rsidRPr="003F2BFF" w:rsidRDefault="00000000">
            <w:pPr>
              <w:pStyle w:val="Compact"/>
              <w:spacing w:before="0" w:after="30"/>
            </w:pPr>
            <w:r w:rsidRPr="003F2BFF">
              <w:rPr>
                <w:rFonts w:ascii="Times New Roman" w:hAnsi="Times New Roman"/>
                <w:sz w:val="15"/>
              </w:rPr>
              <w:t>Observational associations are vulnerable to confounding</w:t>
            </w:r>
          </w:p>
        </w:tc>
        <w:tc>
          <w:tcPr>
            <w:tcW w:w="2088" w:type="dxa"/>
            <w:shd w:val="clear" w:color="auto" w:fill="FFFFFF"/>
            <w:tcMar>
              <w:top w:w="55" w:type="dxa"/>
              <w:left w:w="65" w:type="dxa"/>
              <w:bottom w:w="55" w:type="dxa"/>
              <w:right w:w="65" w:type="dxa"/>
            </w:tcMar>
            <w:vAlign w:val="center"/>
          </w:tcPr>
          <w:p w14:paraId="6D7DE4EE" w14:textId="77777777" w:rsidR="007868D8" w:rsidRPr="003F2BFF" w:rsidRDefault="00000000">
            <w:pPr>
              <w:pStyle w:val="Compact"/>
              <w:spacing w:before="0" w:after="30"/>
            </w:pPr>
            <w:r w:rsidRPr="003F2BFF">
              <w:rPr>
                <w:rFonts w:ascii="Times New Roman" w:hAnsi="Times New Roman"/>
                <w:sz w:val="15"/>
              </w:rPr>
              <w:t>Longitudinal cohorts, natural experiments, negative controls and repeated exposure measurement</w:t>
            </w:r>
          </w:p>
        </w:tc>
        <w:tc>
          <w:tcPr>
            <w:tcW w:w="1555" w:type="dxa"/>
            <w:shd w:val="clear" w:color="auto" w:fill="FFFFFF"/>
            <w:tcMar>
              <w:top w:w="55" w:type="dxa"/>
              <w:left w:w="65" w:type="dxa"/>
              <w:bottom w:w="55" w:type="dxa"/>
              <w:right w:w="65" w:type="dxa"/>
            </w:tcMar>
            <w:vAlign w:val="center"/>
          </w:tcPr>
          <w:p w14:paraId="11C47B72" w14:textId="77777777" w:rsidR="007868D8" w:rsidRPr="003F2BFF" w:rsidRDefault="00000000">
            <w:pPr>
              <w:pStyle w:val="Compact"/>
              <w:spacing w:before="0" w:after="30"/>
            </w:pPr>
            <w:r w:rsidRPr="003F2BFF">
              <w:rPr>
                <w:rFonts w:ascii="Times New Roman" w:hAnsi="Times New Roman"/>
                <w:sz w:val="15"/>
              </w:rPr>
              <w:t>Incident disease, intermediate biomarkers and exposure trajectories</w:t>
            </w:r>
          </w:p>
        </w:tc>
        <w:tc>
          <w:tcPr>
            <w:tcW w:w="1526" w:type="dxa"/>
            <w:shd w:val="clear" w:color="auto" w:fill="FFFFFF"/>
            <w:tcMar>
              <w:top w:w="55" w:type="dxa"/>
              <w:left w:w="65" w:type="dxa"/>
              <w:bottom w:w="55" w:type="dxa"/>
              <w:right w:w="65" w:type="dxa"/>
            </w:tcMar>
            <w:vAlign w:val="center"/>
          </w:tcPr>
          <w:p w14:paraId="39C076FE" w14:textId="77777777" w:rsidR="007868D8" w:rsidRPr="003F2BFF" w:rsidRDefault="00000000">
            <w:pPr>
              <w:pStyle w:val="Compact"/>
              <w:spacing w:before="0" w:after="30"/>
            </w:pPr>
            <w:r w:rsidRPr="003F2BFF">
              <w:rPr>
                <w:rFonts w:ascii="Times New Roman" w:hAnsi="Times New Roman"/>
                <w:sz w:val="15"/>
              </w:rPr>
              <w:t>Tests whether particle exposure contributes causally to disease</w:t>
            </w:r>
          </w:p>
        </w:tc>
        <w:tc>
          <w:tcPr>
            <w:tcW w:w="1728" w:type="dxa"/>
            <w:shd w:val="clear" w:color="auto" w:fill="FFFFFF"/>
            <w:tcMar>
              <w:top w:w="55" w:type="dxa"/>
              <w:left w:w="65" w:type="dxa"/>
              <w:bottom w:w="55" w:type="dxa"/>
              <w:right w:w="65" w:type="dxa"/>
            </w:tcMar>
            <w:vAlign w:val="center"/>
          </w:tcPr>
          <w:p w14:paraId="27A1B90E" w14:textId="77777777" w:rsidR="007868D8" w:rsidRPr="003F2BFF" w:rsidRDefault="00000000">
            <w:pPr>
              <w:pStyle w:val="Compact"/>
              <w:spacing w:before="0" w:after="30"/>
            </w:pPr>
            <w:r w:rsidRPr="003F2BFF">
              <w:rPr>
                <w:rFonts w:ascii="Times New Roman" w:hAnsi="Times New Roman"/>
                <w:sz w:val="15"/>
              </w:rPr>
              <w:t>(</w:t>
            </w:r>
            <w:proofErr w:type="spellStart"/>
            <w:r w:rsidRPr="003F2BFF">
              <w:rPr>
                <w:rFonts w:ascii="Times New Roman" w:hAnsi="Times New Roman"/>
                <w:sz w:val="15"/>
              </w:rPr>
              <w:t>Marfella</w:t>
            </w:r>
            <w:proofErr w:type="spellEnd"/>
            <w:r w:rsidRPr="003F2BFF">
              <w:rPr>
                <w:rFonts w:ascii="Times New Roman" w:hAnsi="Times New Roman"/>
                <w:sz w:val="15"/>
              </w:rPr>
              <w:t xml:space="preserve"> et al., 2024; Tran et al., 2026)</w:t>
            </w:r>
          </w:p>
        </w:tc>
      </w:tr>
      <w:tr w:rsidR="003F2BFF" w:rsidRPr="003F2BFF" w14:paraId="42A8EF95" w14:textId="77777777" w:rsidTr="007868D8">
        <w:trPr>
          <w:jc w:val="center"/>
        </w:trPr>
        <w:tc>
          <w:tcPr>
            <w:tcW w:w="1296" w:type="dxa"/>
            <w:shd w:val="clear" w:color="auto" w:fill="FFFFFF"/>
            <w:tcMar>
              <w:top w:w="55" w:type="dxa"/>
              <w:left w:w="65" w:type="dxa"/>
              <w:bottom w:w="55" w:type="dxa"/>
              <w:right w:w="65" w:type="dxa"/>
            </w:tcMar>
            <w:vAlign w:val="center"/>
          </w:tcPr>
          <w:p w14:paraId="2DF1F09F" w14:textId="77777777" w:rsidR="007868D8" w:rsidRPr="003F2BFF" w:rsidRDefault="00000000">
            <w:pPr>
              <w:pStyle w:val="Compact"/>
              <w:spacing w:before="0" w:after="30"/>
            </w:pPr>
            <w:r w:rsidRPr="003F2BFF">
              <w:rPr>
                <w:rFonts w:ascii="Times New Roman" w:hAnsi="Times New Roman"/>
                <w:sz w:val="15"/>
              </w:rPr>
              <w:t>6. Intervention evaluation</w:t>
            </w:r>
          </w:p>
        </w:tc>
        <w:tc>
          <w:tcPr>
            <w:tcW w:w="2030" w:type="dxa"/>
            <w:shd w:val="clear" w:color="auto" w:fill="FFFFFF"/>
            <w:tcMar>
              <w:top w:w="55" w:type="dxa"/>
              <w:left w:w="65" w:type="dxa"/>
              <w:bottom w:w="55" w:type="dxa"/>
              <w:right w:w="65" w:type="dxa"/>
            </w:tcMar>
            <w:vAlign w:val="center"/>
          </w:tcPr>
          <w:p w14:paraId="35A8D36A" w14:textId="77777777" w:rsidR="007868D8" w:rsidRPr="003F2BFF" w:rsidRDefault="00000000">
            <w:pPr>
              <w:pStyle w:val="Compact"/>
              <w:spacing w:before="0" w:after="30"/>
            </w:pPr>
            <w:r w:rsidRPr="003F2BFF">
              <w:rPr>
                <w:rFonts w:ascii="Times New Roman" w:hAnsi="Times New Roman"/>
                <w:sz w:val="15"/>
              </w:rPr>
              <w:t>Removal efficiency does not necessarily equal environmental benefit</w:t>
            </w:r>
          </w:p>
        </w:tc>
        <w:tc>
          <w:tcPr>
            <w:tcW w:w="2088" w:type="dxa"/>
            <w:shd w:val="clear" w:color="auto" w:fill="FFFFFF"/>
            <w:tcMar>
              <w:top w:w="55" w:type="dxa"/>
              <w:left w:w="65" w:type="dxa"/>
              <w:bottom w:w="55" w:type="dxa"/>
              <w:right w:w="65" w:type="dxa"/>
            </w:tcMar>
            <w:vAlign w:val="center"/>
          </w:tcPr>
          <w:p w14:paraId="28C35736" w14:textId="77777777" w:rsidR="007868D8" w:rsidRPr="003F2BFF" w:rsidRDefault="00000000">
            <w:pPr>
              <w:pStyle w:val="Compact"/>
              <w:spacing w:before="0" w:after="30"/>
            </w:pPr>
            <w:r w:rsidRPr="003F2BFF">
              <w:rPr>
                <w:rFonts w:ascii="Times New Roman" w:hAnsi="Times New Roman"/>
                <w:sz w:val="15"/>
              </w:rPr>
              <w:t>Controlled catchment or before–after studies with flux monitoring and fate of captured solids</w:t>
            </w:r>
          </w:p>
        </w:tc>
        <w:tc>
          <w:tcPr>
            <w:tcW w:w="1555" w:type="dxa"/>
            <w:shd w:val="clear" w:color="auto" w:fill="FFFFFF"/>
            <w:tcMar>
              <w:top w:w="55" w:type="dxa"/>
              <w:left w:w="65" w:type="dxa"/>
              <w:bottom w:w="55" w:type="dxa"/>
              <w:right w:w="65" w:type="dxa"/>
            </w:tcMar>
            <w:vAlign w:val="center"/>
          </w:tcPr>
          <w:p w14:paraId="68F573F4" w14:textId="77777777" w:rsidR="007868D8" w:rsidRPr="003F2BFF" w:rsidRDefault="00000000">
            <w:pPr>
              <w:pStyle w:val="Compact"/>
              <w:spacing w:before="0" w:after="30"/>
            </w:pPr>
            <w:r w:rsidRPr="003F2BFF">
              <w:rPr>
                <w:rFonts w:ascii="Times New Roman" w:hAnsi="Times New Roman"/>
                <w:sz w:val="15"/>
              </w:rPr>
              <w:t>Source flux, receptor concentration and biological exposure</w:t>
            </w:r>
          </w:p>
        </w:tc>
        <w:tc>
          <w:tcPr>
            <w:tcW w:w="1526" w:type="dxa"/>
            <w:shd w:val="clear" w:color="auto" w:fill="FFFFFF"/>
            <w:tcMar>
              <w:top w:w="55" w:type="dxa"/>
              <w:left w:w="65" w:type="dxa"/>
              <w:bottom w:w="55" w:type="dxa"/>
              <w:right w:w="65" w:type="dxa"/>
            </w:tcMar>
            <w:vAlign w:val="center"/>
          </w:tcPr>
          <w:p w14:paraId="2B6E4078" w14:textId="77777777" w:rsidR="007868D8" w:rsidRPr="003F2BFF" w:rsidRDefault="00000000">
            <w:pPr>
              <w:pStyle w:val="Compact"/>
              <w:spacing w:before="0" w:after="30"/>
            </w:pPr>
            <w:r w:rsidRPr="003F2BFF">
              <w:rPr>
                <w:rFonts w:ascii="Times New Roman" w:hAnsi="Times New Roman"/>
                <w:sz w:val="15"/>
              </w:rPr>
              <w:t>Identifies measures that produce real reductions rather than pathway transfer</w:t>
            </w:r>
          </w:p>
        </w:tc>
        <w:tc>
          <w:tcPr>
            <w:tcW w:w="1728" w:type="dxa"/>
            <w:shd w:val="clear" w:color="auto" w:fill="FFFFFF"/>
            <w:tcMar>
              <w:top w:w="55" w:type="dxa"/>
              <w:left w:w="65" w:type="dxa"/>
              <w:bottom w:w="55" w:type="dxa"/>
              <w:right w:w="65" w:type="dxa"/>
            </w:tcMar>
            <w:vAlign w:val="center"/>
          </w:tcPr>
          <w:p w14:paraId="3FABF37E" w14:textId="77777777" w:rsidR="007868D8" w:rsidRPr="003F2BFF" w:rsidRDefault="00000000">
            <w:pPr>
              <w:pStyle w:val="Compact"/>
              <w:spacing w:before="0" w:after="30"/>
            </w:pPr>
            <w:r w:rsidRPr="003F2BFF">
              <w:rPr>
                <w:rFonts w:ascii="Times New Roman" w:hAnsi="Times New Roman"/>
                <w:sz w:val="15"/>
              </w:rPr>
              <w:t>(Carr et al., 2016; Murphy et al., 2016)</w:t>
            </w:r>
          </w:p>
        </w:tc>
      </w:tr>
      <w:tr w:rsidR="003F2BFF" w:rsidRPr="003F2BFF" w14:paraId="61D4AEB5" w14:textId="77777777" w:rsidTr="007868D8">
        <w:trPr>
          <w:jc w:val="center"/>
        </w:trPr>
        <w:tc>
          <w:tcPr>
            <w:tcW w:w="1296" w:type="dxa"/>
            <w:shd w:val="clear" w:color="auto" w:fill="FFFFFF"/>
            <w:tcMar>
              <w:top w:w="55" w:type="dxa"/>
              <w:left w:w="65" w:type="dxa"/>
              <w:bottom w:w="55" w:type="dxa"/>
              <w:right w:w="65" w:type="dxa"/>
            </w:tcMar>
            <w:vAlign w:val="center"/>
          </w:tcPr>
          <w:p w14:paraId="65FBF38E" w14:textId="77777777" w:rsidR="007868D8" w:rsidRPr="003F2BFF" w:rsidRDefault="00000000">
            <w:pPr>
              <w:pStyle w:val="Compact"/>
              <w:spacing w:before="0" w:after="30"/>
            </w:pPr>
            <w:r w:rsidRPr="003F2BFF">
              <w:rPr>
                <w:rFonts w:ascii="Times New Roman" w:hAnsi="Times New Roman"/>
                <w:sz w:val="15"/>
              </w:rPr>
              <w:t>7. Coupled source-to-receptor models</w:t>
            </w:r>
          </w:p>
        </w:tc>
        <w:tc>
          <w:tcPr>
            <w:tcW w:w="2030" w:type="dxa"/>
            <w:shd w:val="clear" w:color="auto" w:fill="FFFFFF"/>
            <w:tcMar>
              <w:top w:w="55" w:type="dxa"/>
              <w:left w:w="65" w:type="dxa"/>
              <w:bottom w:w="55" w:type="dxa"/>
              <w:right w:w="65" w:type="dxa"/>
            </w:tcMar>
            <w:vAlign w:val="center"/>
          </w:tcPr>
          <w:p w14:paraId="0DBB72EB" w14:textId="77777777" w:rsidR="007868D8" w:rsidRPr="003F2BFF" w:rsidRDefault="00000000">
            <w:pPr>
              <w:pStyle w:val="Compact"/>
              <w:spacing w:before="0" w:after="30"/>
            </w:pPr>
            <w:r w:rsidRPr="003F2BFF">
              <w:rPr>
                <w:rFonts w:ascii="Times New Roman" w:hAnsi="Times New Roman"/>
                <w:sz w:val="15"/>
              </w:rPr>
              <w:t>Air, catchment, water column and sediment are often modelled separately</w:t>
            </w:r>
          </w:p>
        </w:tc>
        <w:tc>
          <w:tcPr>
            <w:tcW w:w="2088" w:type="dxa"/>
            <w:shd w:val="clear" w:color="auto" w:fill="FFFFFF"/>
            <w:tcMar>
              <w:top w:w="55" w:type="dxa"/>
              <w:left w:w="65" w:type="dxa"/>
              <w:bottom w:w="55" w:type="dxa"/>
              <w:right w:w="65" w:type="dxa"/>
            </w:tcMar>
            <w:vAlign w:val="center"/>
          </w:tcPr>
          <w:p w14:paraId="6B345D29" w14:textId="77777777" w:rsidR="007868D8" w:rsidRPr="003F2BFF" w:rsidRDefault="00000000">
            <w:pPr>
              <w:pStyle w:val="Compact"/>
              <w:spacing w:before="0" w:after="30"/>
            </w:pPr>
            <w:r w:rsidRPr="003F2BFF">
              <w:rPr>
                <w:rFonts w:ascii="Times New Roman" w:hAnsi="Times New Roman"/>
                <w:sz w:val="15"/>
              </w:rPr>
              <w:t>Spatially explicit models calibrated to trait-resolved field data with uncertainty propagation</w:t>
            </w:r>
          </w:p>
        </w:tc>
        <w:tc>
          <w:tcPr>
            <w:tcW w:w="1555" w:type="dxa"/>
            <w:shd w:val="clear" w:color="auto" w:fill="FFFFFF"/>
            <w:tcMar>
              <w:top w:w="55" w:type="dxa"/>
              <w:left w:w="65" w:type="dxa"/>
              <w:bottom w:w="55" w:type="dxa"/>
              <w:right w:w="65" w:type="dxa"/>
            </w:tcMar>
            <w:vAlign w:val="center"/>
          </w:tcPr>
          <w:p w14:paraId="52E6EC26" w14:textId="77777777" w:rsidR="007868D8" w:rsidRPr="003F2BFF" w:rsidRDefault="00000000">
            <w:pPr>
              <w:pStyle w:val="Compact"/>
              <w:spacing w:before="0" w:after="30"/>
            </w:pPr>
            <w:r w:rsidRPr="003F2BFF">
              <w:rPr>
                <w:rFonts w:ascii="Times New Roman" w:hAnsi="Times New Roman"/>
                <w:sz w:val="15"/>
              </w:rPr>
              <w:t>Fluxes, residence time, hotspot prediction and receptor dose</w:t>
            </w:r>
          </w:p>
        </w:tc>
        <w:tc>
          <w:tcPr>
            <w:tcW w:w="1526" w:type="dxa"/>
            <w:shd w:val="clear" w:color="auto" w:fill="FFFFFF"/>
            <w:tcMar>
              <w:top w:w="55" w:type="dxa"/>
              <w:left w:w="65" w:type="dxa"/>
              <w:bottom w:w="55" w:type="dxa"/>
              <w:right w:w="65" w:type="dxa"/>
            </w:tcMar>
            <w:vAlign w:val="center"/>
          </w:tcPr>
          <w:p w14:paraId="7FFE4A30" w14:textId="77777777" w:rsidR="007868D8" w:rsidRPr="003F2BFF" w:rsidRDefault="00000000">
            <w:pPr>
              <w:pStyle w:val="Compact"/>
              <w:spacing w:before="0" w:after="30"/>
            </w:pPr>
            <w:r w:rsidRPr="003F2BFF">
              <w:rPr>
                <w:rFonts w:ascii="Times New Roman" w:hAnsi="Times New Roman"/>
                <w:sz w:val="15"/>
              </w:rPr>
              <w:t xml:space="preserve">Supports place-specific </w:t>
            </w:r>
            <w:proofErr w:type="spellStart"/>
            <w:r w:rsidRPr="003F2BFF">
              <w:rPr>
                <w:rFonts w:ascii="Times New Roman" w:hAnsi="Times New Roman"/>
                <w:sz w:val="15"/>
              </w:rPr>
              <w:t>prioritisation</w:t>
            </w:r>
            <w:proofErr w:type="spellEnd"/>
            <w:r w:rsidRPr="003F2BFF">
              <w:rPr>
                <w:rFonts w:ascii="Times New Roman" w:hAnsi="Times New Roman"/>
                <w:sz w:val="15"/>
              </w:rPr>
              <w:t xml:space="preserve"> and adaptive policy</w:t>
            </w:r>
          </w:p>
        </w:tc>
        <w:tc>
          <w:tcPr>
            <w:tcW w:w="1728" w:type="dxa"/>
            <w:shd w:val="clear" w:color="auto" w:fill="FFFFFF"/>
            <w:tcMar>
              <w:top w:w="55" w:type="dxa"/>
              <w:left w:w="65" w:type="dxa"/>
              <w:bottom w:w="55" w:type="dxa"/>
              <w:right w:w="65" w:type="dxa"/>
            </w:tcMar>
            <w:vAlign w:val="center"/>
          </w:tcPr>
          <w:p w14:paraId="59711237" w14:textId="77777777" w:rsidR="007868D8" w:rsidRPr="003F2BFF" w:rsidRDefault="00000000">
            <w:pPr>
              <w:pStyle w:val="Compact"/>
              <w:spacing w:before="0" w:after="30"/>
            </w:pPr>
            <w:r w:rsidRPr="003F2BFF">
              <w:rPr>
                <w:rFonts w:ascii="Times New Roman" w:hAnsi="Times New Roman"/>
                <w:sz w:val="15"/>
              </w:rPr>
              <w:t>(Jiang et al., 2024; Meijer et al., 2021)</w:t>
            </w:r>
          </w:p>
        </w:tc>
      </w:tr>
    </w:tbl>
    <w:p w14:paraId="373F30B8"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Priorities are ordered by their capacity to remove major bottlenecks in exposure, risk and intervention interpretation; they are not a ranking of scientific prestige.</w:t>
      </w:r>
    </w:p>
    <w:p w14:paraId="0E3CC9F4" w14:textId="77777777" w:rsidR="007868D8" w:rsidRPr="003F2BFF" w:rsidRDefault="00000000">
      <w:pPr>
        <w:pStyle w:val="Heading1"/>
        <w:rPr>
          <w:color w:val="auto"/>
        </w:rPr>
      </w:pPr>
      <w:bookmarkStart w:id="51" w:name="conclusions"/>
      <w:bookmarkEnd w:id="46"/>
      <w:bookmarkEnd w:id="50"/>
      <w:r w:rsidRPr="003F2BFF">
        <w:rPr>
          <w:rFonts w:ascii="Times New Roman" w:hAnsi="Times New Roman"/>
          <w:color w:val="auto"/>
        </w:rPr>
        <w:t>11. Conclusions</w:t>
      </w:r>
    </w:p>
    <w:p w14:paraId="4D1C5794" w14:textId="77777777" w:rsidR="007868D8" w:rsidRPr="003F2BFF" w:rsidRDefault="00000000">
      <w:pPr>
        <w:pStyle w:val="FirstParagraph"/>
        <w:spacing w:after="104" w:line="264" w:lineRule="auto"/>
        <w:jc w:val="both"/>
      </w:pPr>
      <w:r w:rsidRPr="003F2BFF">
        <w:rPr>
          <w:rFonts w:ascii="Times New Roman" w:hAnsi="Times New Roman"/>
          <w:sz w:val="22"/>
        </w:rPr>
        <w:t>Microplastic pollution is a persistent and spatially extensive feature of aquatic ecosystems, generated by multiple land-based, wastewater, transport-related, atmospheric and maritime pathways. Its environmental distribution is controlled by more than polymer density: hydrodynamic mixing, particle morphology, ageing, biofouling, aggregation, sedimentation and resuspension continually redistribute particles among water, sediment, biota and air. Consequently, surface-water concentration alone cannot represent ecosystem burden, and source attribution must be performed at the scale of the catchment and receptor rather than inferred from global averages.</w:t>
      </w:r>
    </w:p>
    <w:p w14:paraId="53589C9C" w14:textId="77777777" w:rsidR="007868D8" w:rsidRPr="003F2BFF" w:rsidRDefault="00000000">
      <w:pPr>
        <w:pStyle w:val="BodyText"/>
        <w:spacing w:after="104" w:line="264" w:lineRule="auto"/>
        <w:jc w:val="both"/>
      </w:pPr>
      <w:r w:rsidRPr="003F2BFF">
        <w:rPr>
          <w:rFonts w:ascii="Times New Roman" w:hAnsi="Times New Roman"/>
          <w:sz w:val="22"/>
        </w:rPr>
        <w:t>The ecological evidence is strongest for ingestion, retention under some conditions, trophic transfer and the ability of microplastics to alter biological processes in controlled exposures. The magnitude and ecological significance of those effects remain conditional on particle traits, dose, organism biology and environmental context. Hazard demonstrations should not be equated with universal risk, and trophic transfer should not be described automatically as biomagnification. Microplastics can exchange contaminants and additives, but their contribution to chemical dose must be evaluated relative to food, water and sediment rather than assumed to dominate.</w:t>
      </w:r>
    </w:p>
    <w:p w14:paraId="097CF055" w14:textId="77777777" w:rsidR="007868D8" w:rsidRPr="003F2BFF" w:rsidRDefault="00000000">
      <w:pPr>
        <w:pStyle w:val="BodyText"/>
        <w:spacing w:after="104" w:line="264" w:lineRule="auto"/>
        <w:jc w:val="both"/>
      </w:pPr>
      <w:r w:rsidRPr="003F2BFF">
        <w:rPr>
          <w:rFonts w:ascii="Times New Roman" w:hAnsi="Times New Roman"/>
          <w:sz w:val="22"/>
        </w:rPr>
        <w:t xml:space="preserve">Aquatic contamination contributes to human exposure through seafood and drinking water, and internal human exposure is increasingly supported by biomonitoring. The evidence does not yet establish what fraction of human body burden originates from aquatic sources or whether measured internal particles cause specific diseases. Recent observational associations increase the importance of rigorous prospective research, but they do not remove the need for source attribution, exposure validation and control of confounding. The most defensible overall interpretation is therefore neither dismissal nor inevitability of harm. Microplastic release is preventable pollution with credible ecological hazards and unresolved human-health implications. Progress now depends on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measurement, environmentally calibrated toxicology, source-to-receptor modelling and intervention studies capable of showing that reductions in emissions translate into reductions in biologically relevant exposure.</w:t>
      </w:r>
    </w:p>
    <w:p w14:paraId="191C9053" w14:textId="77777777" w:rsidR="007868D8" w:rsidRPr="003F2BFF" w:rsidRDefault="00000000">
      <w:pPr>
        <w:pStyle w:val="Heading1"/>
        <w:rPr>
          <w:color w:val="auto"/>
        </w:rPr>
      </w:pPr>
      <w:bookmarkStart w:id="52" w:name="limitations"/>
      <w:bookmarkEnd w:id="51"/>
      <w:r w:rsidRPr="003F2BFF">
        <w:rPr>
          <w:rFonts w:ascii="Times New Roman" w:hAnsi="Times New Roman"/>
          <w:color w:val="auto"/>
        </w:rPr>
        <w:t>12. Limitations</w:t>
      </w:r>
    </w:p>
    <w:p w14:paraId="77D97067" w14:textId="77777777" w:rsidR="007868D8" w:rsidRPr="003F2BFF" w:rsidRDefault="00000000">
      <w:pPr>
        <w:pStyle w:val="FirstParagraph"/>
        <w:spacing w:after="104" w:line="264" w:lineRule="auto"/>
        <w:jc w:val="both"/>
      </w:pPr>
      <w:r w:rsidRPr="003F2BFF">
        <w:rPr>
          <w:rFonts w:ascii="Times New Roman" w:hAnsi="Times New Roman"/>
          <w:sz w:val="22"/>
        </w:rPr>
        <w:t xml:space="preserve">This critical narrative review is intrinsically susceptible to selection and interpretive bias despite a transparent search strategy, explicit eligibility criteria and critical appraisal framework. It was designed to integrate heterogeneous </w:t>
      </w:r>
      <w:r w:rsidRPr="003F2BFF">
        <w:rPr>
          <w:rFonts w:ascii="Times New Roman" w:hAnsi="Times New Roman"/>
          <w:sz w:val="22"/>
        </w:rPr>
        <w:lastRenderedPageBreak/>
        <w:t>evidence rather than to identify every eligible publication or generate pooled effect estimates. Direct access to some subscription citation databases was unavailable, so the review relied on accessible multidisciplinary and biomedical scholarly sources, citation searching and verified publisher or DOI metadata. English-language emphasis may have reduced representation of locally published evidence from some regions.</w:t>
      </w:r>
    </w:p>
    <w:p w14:paraId="6BBA1EB8" w14:textId="77777777" w:rsidR="007868D8" w:rsidRDefault="00000000">
      <w:pPr>
        <w:pStyle w:val="BodyText"/>
        <w:spacing w:after="104" w:line="264" w:lineRule="auto"/>
        <w:jc w:val="both"/>
        <w:rPr>
          <w:rFonts w:ascii="Times New Roman" w:hAnsi="Times New Roman"/>
          <w:sz w:val="22"/>
        </w:rPr>
      </w:pPr>
      <w:r w:rsidRPr="003F2BFF">
        <w:rPr>
          <w:rFonts w:ascii="Times New Roman" w:hAnsi="Times New Roman"/>
          <w:sz w:val="22"/>
        </w:rPr>
        <w:t xml:space="preserve">The underlying literature is itself heterogeneous. Environmental studies use different size cut-offs, units and polymer-identification methods; toxicology studies vary widely in particles, doses and endpoints; and human studies are recent, methodologically diverse and often observational. These limitations restrict quantitative comparison across studies and prevent a single risk estimate applicable to all ecosystems or populations. Geographical coverage is uneven, long-term field evidence remains scarce, and publication bias may </w:t>
      </w:r>
      <w:proofErr w:type="spellStart"/>
      <w:r w:rsidRPr="003F2BFF">
        <w:rPr>
          <w:rFonts w:ascii="Times New Roman" w:hAnsi="Times New Roman"/>
          <w:sz w:val="22"/>
        </w:rPr>
        <w:t>favour</w:t>
      </w:r>
      <w:proofErr w:type="spellEnd"/>
      <w:r w:rsidRPr="003F2BFF">
        <w:rPr>
          <w:rFonts w:ascii="Times New Roman" w:hAnsi="Times New Roman"/>
          <w:sz w:val="22"/>
        </w:rPr>
        <w:t xml:space="preserve"> studies reporting detectable particles or biological effects. The field is also developing rapidly, so findings published after the stated search end date are not represented. No formal meta-analysis was undertaken, and the review should be interpreted as a critical synthesis of the strongest accessible evidence rather than as an exhaustive systematic inventory.</w:t>
      </w:r>
    </w:p>
    <w:p w14:paraId="4C27E0A9" w14:textId="77777777" w:rsidR="00D34ED3" w:rsidRDefault="00D34ED3">
      <w:pPr>
        <w:pStyle w:val="BodyText"/>
        <w:spacing w:after="104" w:line="264" w:lineRule="auto"/>
        <w:jc w:val="both"/>
        <w:rPr>
          <w:rFonts w:ascii="Times New Roman" w:hAnsi="Times New Roman"/>
          <w:sz w:val="22"/>
        </w:rPr>
      </w:pPr>
    </w:p>
    <w:p w14:paraId="4BAED685" w14:textId="77777777" w:rsidR="00D34ED3" w:rsidRPr="00D34ED3" w:rsidRDefault="00D34ED3" w:rsidP="00D34ED3">
      <w:pPr>
        <w:spacing w:after="0"/>
        <w:rPr>
          <w:rFonts w:ascii="Arial" w:eastAsia="Calibri" w:hAnsi="Arial" w:cs="Arial"/>
          <w:b/>
          <w:sz w:val="20"/>
          <w:szCs w:val="20"/>
        </w:rPr>
      </w:pPr>
      <w:r w:rsidRPr="00D34ED3">
        <w:rPr>
          <w:rFonts w:ascii="Arial" w:eastAsia="Calibri" w:hAnsi="Arial" w:cs="Arial"/>
          <w:b/>
          <w:sz w:val="20"/>
          <w:szCs w:val="20"/>
        </w:rPr>
        <w:t>Declaration of AI Use</w:t>
      </w:r>
    </w:p>
    <w:p w14:paraId="0D68846D" w14:textId="77777777" w:rsidR="00D34ED3" w:rsidRPr="00D34ED3" w:rsidRDefault="00D34ED3" w:rsidP="00D34ED3">
      <w:pPr>
        <w:spacing w:after="0"/>
        <w:rPr>
          <w:rFonts w:ascii="Arial" w:eastAsia="Calibri" w:hAnsi="Arial" w:cs="Arial"/>
          <w:sz w:val="20"/>
          <w:szCs w:val="20"/>
        </w:rPr>
      </w:pPr>
    </w:p>
    <w:p w14:paraId="7DAD052A" w14:textId="77777777" w:rsidR="00D34ED3" w:rsidRPr="00D34ED3" w:rsidRDefault="00D34ED3" w:rsidP="00D34ED3">
      <w:pPr>
        <w:spacing w:after="0"/>
        <w:rPr>
          <w:rFonts w:ascii="Arial" w:eastAsia="Calibri" w:hAnsi="Arial" w:cs="Arial"/>
          <w:sz w:val="20"/>
          <w:szCs w:val="20"/>
        </w:rPr>
      </w:pPr>
      <w:r w:rsidRPr="00D34ED3">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AC059B" w14:textId="77777777" w:rsidR="00D34ED3" w:rsidRPr="00D34ED3" w:rsidRDefault="00D34ED3" w:rsidP="00D34ED3">
      <w:pPr>
        <w:spacing w:after="0"/>
        <w:jc w:val="both"/>
        <w:rPr>
          <w:rFonts w:ascii="Times New Roman" w:eastAsia="Calibri" w:hAnsi="Times New Roman" w:cs="Times New Roman"/>
          <w:sz w:val="22"/>
          <w:szCs w:val="22"/>
        </w:rPr>
      </w:pPr>
    </w:p>
    <w:p w14:paraId="6F5FF421" w14:textId="77777777" w:rsidR="00D34ED3" w:rsidRPr="00D34ED3" w:rsidRDefault="00D34ED3" w:rsidP="00D34ED3">
      <w:pPr>
        <w:spacing w:after="0"/>
        <w:jc w:val="both"/>
        <w:rPr>
          <w:rFonts w:ascii="Times New Roman" w:eastAsia="Calibri" w:hAnsi="Times New Roman" w:cs="Times New Roman"/>
          <w:sz w:val="22"/>
          <w:szCs w:val="22"/>
        </w:rPr>
      </w:pPr>
    </w:p>
    <w:p w14:paraId="4F259AB0" w14:textId="77777777" w:rsidR="00D34ED3" w:rsidRPr="00D34ED3" w:rsidRDefault="00D34ED3" w:rsidP="00D34ED3">
      <w:pPr>
        <w:spacing w:line="276" w:lineRule="auto"/>
        <w:rPr>
          <w:rFonts w:ascii="Cambria" w:eastAsia="Times New Roman" w:hAnsi="Cambria" w:cs="Arial"/>
          <w:b/>
          <w:bCs/>
          <w:sz w:val="22"/>
          <w:szCs w:val="22"/>
          <w:lang w:val="en-GB" w:eastAsia="en-GB"/>
        </w:rPr>
      </w:pPr>
      <w:r w:rsidRPr="00D34ED3">
        <w:rPr>
          <w:rFonts w:ascii="Cambria" w:eastAsia="Times New Roman" w:hAnsi="Cambria" w:cs="Arial"/>
          <w:b/>
          <w:bCs/>
          <w:sz w:val="22"/>
          <w:szCs w:val="22"/>
          <w:lang w:val="en-GB" w:eastAsia="en-GB"/>
        </w:rPr>
        <w:t>COMPETING INTERESTS DISCLAIMER:</w:t>
      </w:r>
    </w:p>
    <w:p w14:paraId="70AC1FC9" w14:textId="77777777" w:rsidR="00D34ED3" w:rsidRPr="00D34ED3" w:rsidRDefault="00D34ED3" w:rsidP="00D34ED3">
      <w:pPr>
        <w:spacing w:line="276" w:lineRule="auto"/>
        <w:rPr>
          <w:rFonts w:ascii="Cambria" w:eastAsia="Times New Roman" w:hAnsi="Cambria" w:cs="Times New Roman"/>
          <w:sz w:val="22"/>
          <w:szCs w:val="22"/>
          <w:lang w:val="en-GB" w:eastAsia="en-GB"/>
        </w:rPr>
      </w:pPr>
      <w:r w:rsidRPr="00D34ED3">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9C11D77" w14:textId="343061AD" w:rsidR="00D34ED3" w:rsidRPr="003F2BFF" w:rsidRDefault="00D34ED3">
      <w:pPr>
        <w:pStyle w:val="BodyText"/>
        <w:spacing w:after="104" w:line="264" w:lineRule="auto"/>
        <w:jc w:val="both"/>
      </w:pPr>
    </w:p>
    <w:p w14:paraId="5E396A0F" w14:textId="77777777" w:rsidR="007868D8" w:rsidRPr="003F2BFF" w:rsidRDefault="00000000">
      <w:pPr>
        <w:pStyle w:val="Heading1"/>
        <w:pageBreakBefore/>
        <w:spacing w:before="0"/>
        <w:rPr>
          <w:color w:val="auto"/>
        </w:rPr>
      </w:pPr>
      <w:bookmarkStart w:id="53" w:name="references"/>
      <w:bookmarkEnd w:id="52"/>
      <w:r w:rsidRPr="003F2BFF">
        <w:rPr>
          <w:color w:val="auto"/>
        </w:rPr>
        <w:lastRenderedPageBreak/>
        <w:t>References</w:t>
      </w:r>
    </w:p>
    <w:p w14:paraId="5EAE39B6" w14:textId="77777777" w:rsidR="003F2BFF" w:rsidRPr="003F2BFF" w:rsidRDefault="003F2BFF" w:rsidP="003F2BFF">
      <w:pPr>
        <w:pStyle w:val="BodyText"/>
      </w:pPr>
      <w:r w:rsidRPr="003F2BFF">
        <w:t xml:space="preserve">Allen, S., Allen, D., Phoenix, V. R., Le Roux, G., </w:t>
      </w:r>
      <w:proofErr w:type="spellStart"/>
      <w:r w:rsidRPr="003F2BFF">
        <w:t>Durántez</w:t>
      </w:r>
      <w:proofErr w:type="spellEnd"/>
      <w:r w:rsidRPr="003F2BFF">
        <w:t xml:space="preserve"> Jiménez, P., Simonneau, A., Binet, S., &amp; Galop, D. (2019). Atmospheric transport and deposition of microplastics in a remote mountain catchment. Nature Geoscience, 12, 339–344. https://doi.org/10.1038/s41561-019-0335-5</w:t>
      </w:r>
    </w:p>
    <w:p w14:paraId="5CE8D7F4" w14:textId="77777777" w:rsidR="003F2BFF" w:rsidRPr="003F2BFF" w:rsidRDefault="003F2BFF" w:rsidP="003F2BFF">
      <w:pPr>
        <w:pStyle w:val="BodyText"/>
      </w:pPr>
      <w:r w:rsidRPr="003F2BFF">
        <w:t>Amaral-Zettler, L. A., Zettler, E. R., &amp; Mincer, T. J. (2020). Ecology of the plastisphere. Nature Reviews Microbiology, 18(3), 139–151. https://doi.org/10.1038/s41579-019-0308-0</w:t>
      </w:r>
    </w:p>
    <w:p w14:paraId="6BB18780" w14:textId="77777777" w:rsidR="003F2BFF" w:rsidRPr="003F2BFF" w:rsidRDefault="003F2BFF" w:rsidP="003F2BFF">
      <w:pPr>
        <w:pStyle w:val="BodyText"/>
      </w:pPr>
      <w:r w:rsidRPr="003F2BFF">
        <w:t>Bakir, A., Rowland, S. J., &amp; Thompson, R. C. (2014). Enhanced desorption of persistent organic pollutants from microplastics under simulated physiological conditions. Environmental Pollution, 185, 16–23. https://doi.org/10.1016/j.envpol.2013.10.007</w:t>
      </w:r>
    </w:p>
    <w:p w14:paraId="14A82DDE" w14:textId="77777777" w:rsidR="003F2BFF" w:rsidRPr="003F2BFF" w:rsidRDefault="003F2BFF" w:rsidP="003F2BFF">
      <w:pPr>
        <w:pStyle w:val="BodyText"/>
      </w:pPr>
      <w:proofErr w:type="spellStart"/>
      <w:r w:rsidRPr="003F2BFF">
        <w:t>Baethge</w:t>
      </w:r>
      <w:proofErr w:type="spellEnd"/>
      <w:r w:rsidRPr="003F2BFF">
        <w:t>, C., Goldbeck-Wood, S., &amp; Mertens, S. (2019). SANRA—a scale for the quality assessment of narrative review articles. Research Integrity and Peer Review, 4, 5. https://doi.org/10.1186/s41073-019-0064-8</w:t>
      </w:r>
    </w:p>
    <w:p w14:paraId="12F45493" w14:textId="77777777" w:rsidR="003F2BFF" w:rsidRPr="003F2BFF" w:rsidRDefault="003F2BFF" w:rsidP="003F2BFF">
      <w:pPr>
        <w:pStyle w:val="BodyText"/>
      </w:pPr>
      <w:proofErr w:type="spellStart"/>
      <w:r w:rsidRPr="003F2BFF">
        <w:t>Besseling</w:t>
      </w:r>
      <w:proofErr w:type="spellEnd"/>
      <w:r w:rsidRPr="003F2BFF">
        <w:t>, E., Redondo-</w:t>
      </w:r>
      <w:proofErr w:type="spellStart"/>
      <w:r w:rsidRPr="003F2BFF">
        <w:t>Hasselerharm</w:t>
      </w:r>
      <w:proofErr w:type="spellEnd"/>
      <w:r w:rsidRPr="003F2BFF">
        <w:t xml:space="preserve">, P., </w:t>
      </w:r>
      <w:proofErr w:type="spellStart"/>
      <w:r w:rsidRPr="003F2BFF">
        <w:t>Foekema</w:t>
      </w:r>
      <w:proofErr w:type="spellEnd"/>
      <w:r w:rsidRPr="003F2BFF">
        <w:t xml:space="preserve">, E. M., &amp; </w:t>
      </w:r>
      <w:proofErr w:type="spellStart"/>
      <w:r w:rsidRPr="003F2BFF">
        <w:t>Koelmans</w:t>
      </w:r>
      <w:proofErr w:type="spellEnd"/>
      <w:r w:rsidRPr="003F2BFF">
        <w:t xml:space="preserve">, A. A. (2019). Quantifying ecological risks of aquatic micro- and </w:t>
      </w:r>
      <w:proofErr w:type="spellStart"/>
      <w:r w:rsidRPr="003F2BFF">
        <w:t>nanoplastic</w:t>
      </w:r>
      <w:proofErr w:type="spellEnd"/>
      <w:r w:rsidRPr="003F2BFF">
        <w:t>. Critical Reviews in Environmental Science and Technology, 49(1), 32–80. https://doi.org/10.1080/10643389.2018.1531688</w:t>
      </w:r>
    </w:p>
    <w:p w14:paraId="425D4459" w14:textId="77777777" w:rsidR="003F2BFF" w:rsidRPr="003F2BFF" w:rsidRDefault="003F2BFF" w:rsidP="003F2BFF">
      <w:pPr>
        <w:pStyle w:val="BodyText"/>
      </w:pPr>
      <w:r w:rsidRPr="003F2BFF">
        <w:t xml:space="preserve">Borrelle, S. B., </w:t>
      </w:r>
      <w:proofErr w:type="spellStart"/>
      <w:r w:rsidRPr="003F2BFF">
        <w:t>Ringma</w:t>
      </w:r>
      <w:proofErr w:type="spellEnd"/>
      <w:r w:rsidRPr="003F2BFF">
        <w:t xml:space="preserve">, J., Law, K. L., Monnahan, C. C., Lebreton, L., McGivern, A., Murphy, E., </w:t>
      </w:r>
      <w:proofErr w:type="spellStart"/>
      <w:r w:rsidRPr="003F2BFF">
        <w:t>Jambeck</w:t>
      </w:r>
      <w:proofErr w:type="spellEnd"/>
      <w:r w:rsidRPr="003F2BFF">
        <w:t xml:space="preserve">, J., Leonard, G. H., Hilleary, M. A., Eriksen, M., </w:t>
      </w:r>
      <w:proofErr w:type="spellStart"/>
      <w:r w:rsidRPr="003F2BFF">
        <w:t>Possingham</w:t>
      </w:r>
      <w:proofErr w:type="spellEnd"/>
      <w:r w:rsidRPr="003F2BFF">
        <w:t>, H. P., De Frond, H., Gerber, L. R., Polidoro, B., Tahir, A., Bernard, M., Mallos, N., Barnes, M., &amp; Rochman, C. M. (2020). Predicted growth in plastic waste exceeds efforts to mitigate plastic pollution. Science, 369(6510), 1515–1518. https://doi.org/10.1126/science.aba3656</w:t>
      </w:r>
    </w:p>
    <w:p w14:paraId="0F13E5F9" w14:textId="77777777" w:rsidR="003F2BFF" w:rsidRPr="003F2BFF" w:rsidRDefault="003F2BFF" w:rsidP="003F2BFF">
      <w:pPr>
        <w:pStyle w:val="BodyText"/>
      </w:pPr>
      <w:r w:rsidRPr="003F2BFF">
        <w:t>Browne, M. A., Dissanayake, A., Galloway, T. S., Lowe, D. M., &amp; Thompson, R. C. (2008). Ingested microscopic plastic translocates to the circulatory system of the mussel, Mytilus edulis (L.). Environmental Science &amp; Technology, 42(13), 5026–5031. https://doi.org/10.1021/es800249a</w:t>
      </w:r>
    </w:p>
    <w:p w14:paraId="096A3A8E" w14:textId="77777777" w:rsidR="003F2BFF" w:rsidRPr="003F2BFF" w:rsidRDefault="003F2BFF" w:rsidP="003F2BFF">
      <w:pPr>
        <w:pStyle w:val="BodyText"/>
      </w:pPr>
      <w:r w:rsidRPr="003F2BFF">
        <w:t>Burns, E. E., &amp; Boxall, A. B. A. (2018). Microplastics in the aquatic environment: Evidence for or against adverse impacts and major knowledge gaps. Environmental Toxicology and Chemistry, 37(11), 2776–2796. https://doi.org/10.1002/etc.4268</w:t>
      </w:r>
    </w:p>
    <w:p w14:paraId="4B551CCC" w14:textId="77777777" w:rsidR="003F2BFF" w:rsidRPr="003F2BFF" w:rsidRDefault="003F2BFF" w:rsidP="003F2BFF">
      <w:pPr>
        <w:pStyle w:val="BodyText"/>
      </w:pPr>
      <w:r w:rsidRPr="003F2BFF">
        <w:t>Carr, S. A., Liu, J., &amp; Tesoro, A. G. (2016). Transport and fate of microplastic particles in wastewater treatment plants. Water Research, 91, 174–182. https://doi.org/10.1016/j.watres.2016.01.002</w:t>
      </w:r>
    </w:p>
    <w:p w14:paraId="1B3E9554" w14:textId="77777777" w:rsidR="003F2BFF" w:rsidRPr="003F2BFF" w:rsidRDefault="003F2BFF" w:rsidP="003F2BFF">
      <w:pPr>
        <w:pStyle w:val="BodyText"/>
      </w:pPr>
      <w:r w:rsidRPr="003F2BFF">
        <w:t>Chanda, M., Bathi, J. R., Khan, E., Katyal, D., &amp; Danquah, M. (2024). Microplastics in ecosystems: Critical review of occurrence, distribution, toxicity, fate, transport, and advances in experimental and computational studies in surface and subsurface water. Journal of Environmental Management, 370, 122492. https://doi.org/10.1016/j.jenvman.2024.122492</w:t>
      </w:r>
    </w:p>
    <w:p w14:paraId="4AF37B7A" w14:textId="77777777" w:rsidR="003F2BFF" w:rsidRPr="003F2BFF" w:rsidRDefault="003F2BFF" w:rsidP="003F2BFF">
      <w:pPr>
        <w:pStyle w:val="BodyText"/>
      </w:pPr>
      <w:r w:rsidRPr="003F2BFF">
        <w:t xml:space="preserve">Cole, M., Lindeque, P., </w:t>
      </w:r>
      <w:proofErr w:type="spellStart"/>
      <w:r w:rsidRPr="003F2BFF">
        <w:t>Halsband</w:t>
      </w:r>
      <w:proofErr w:type="spellEnd"/>
      <w:r w:rsidRPr="003F2BFF">
        <w:t>, C., &amp; Galloway, T. S. (2011). Microplastics as contaminants in the marine environment: A review. Marine Pollution Bulletin, 62(12), 2588–2597. https://doi.org/10.1016/j.marpolbul.2011.09.025</w:t>
      </w:r>
    </w:p>
    <w:p w14:paraId="79D4C77E" w14:textId="77777777" w:rsidR="003F2BFF" w:rsidRPr="003F2BFF" w:rsidRDefault="003F2BFF" w:rsidP="003F2BFF">
      <w:pPr>
        <w:pStyle w:val="BodyText"/>
      </w:pPr>
      <w:r w:rsidRPr="003F2BFF">
        <w:t xml:space="preserve">Cole, M., Lindeque, P., Fileman, E., </w:t>
      </w:r>
      <w:proofErr w:type="spellStart"/>
      <w:r w:rsidRPr="003F2BFF">
        <w:t>Halsband</w:t>
      </w:r>
      <w:proofErr w:type="spellEnd"/>
      <w:r w:rsidRPr="003F2BFF">
        <w:t>, C., Goodhead, R., Moger, J., &amp; Galloway, T. S. (2013). Microplastic ingestion by zooplankton. Environmental Science &amp; Technology, 47(12), 6646–6655. https://doi.org/10.1021/es400663f</w:t>
      </w:r>
    </w:p>
    <w:p w14:paraId="72F6143F" w14:textId="77777777" w:rsidR="003F2BFF" w:rsidRPr="003F2BFF" w:rsidRDefault="003F2BFF" w:rsidP="003F2BFF">
      <w:pPr>
        <w:pStyle w:val="BodyText"/>
      </w:pPr>
      <w:r w:rsidRPr="003F2BFF">
        <w:lastRenderedPageBreak/>
        <w:t>Daniel, D. B., Ashraf, P. M., Thomas, S. N., &amp; Thomson, K. T. (2021). Microplastics in the edible tissues of shellfishes sold for human consumption. Chemosphere, 264, 128554. https://doi.org/10.1016/j.chemosphere.2020.128554</w:t>
      </w:r>
    </w:p>
    <w:p w14:paraId="6573AF3E" w14:textId="77777777" w:rsidR="003F2BFF" w:rsidRPr="003F2BFF" w:rsidRDefault="003F2BFF" w:rsidP="003F2BFF">
      <w:pPr>
        <w:pStyle w:val="BodyText"/>
      </w:pPr>
      <w:r w:rsidRPr="003F2BFF">
        <w:t>de Ruijter, V. N., Redondo-</w:t>
      </w:r>
      <w:proofErr w:type="spellStart"/>
      <w:r w:rsidRPr="003F2BFF">
        <w:t>Hasselerharm</w:t>
      </w:r>
      <w:proofErr w:type="spellEnd"/>
      <w:r w:rsidRPr="003F2BFF">
        <w:t xml:space="preserve">, P. E., Gouin, T., &amp; </w:t>
      </w:r>
      <w:proofErr w:type="spellStart"/>
      <w:r w:rsidRPr="003F2BFF">
        <w:t>Koelmans</w:t>
      </w:r>
      <w:proofErr w:type="spellEnd"/>
      <w:r w:rsidRPr="003F2BFF">
        <w:t>, A. A. (2020). Quality criteria for microplastic effect studies in the context of risk assessment: A critical review. Environmental Science &amp; Technology, 54(19), 11692–11705. https://doi.org/10.1021/acs.est.0c03057</w:t>
      </w:r>
    </w:p>
    <w:p w14:paraId="2216CF31" w14:textId="77777777" w:rsidR="003F2BFF" w:rsidRPr="003F2BFF" w:rsidRDefault="003F2BFF" w:rsidP="003F2BFF">
      <w:pPr>
        <w:pStyle w:val="BodyText"/>
      </w:pPr>
      <w:r w:rsidRPr="003F2BFF">
        <w:t>de Sá, L. C., Oliveira, M., Ribeiro, F., Rocha, T. L., &amp; Futter, M. N. (2018). Studies of the effects of microplastics on aquatic organisms: What do we know and where should we focus our efforts in the future? Science of the Total Environment, 645, 1029–1039. https://doi.org/10.1016/j.scitotenv.2018.07.207</w:t>
      </w:r>
    </w:p>
    <w:p w14:paraId="60175354" w14:textId="77777777" w:rsidR="003F2BFF" w:rsidRPr="003F2BFF" w:rsidRDefault="003F2BFF" w:rsidP="003F2BFF">
      <w:pPr>
        <w:pStyle w:val="BodyText"/>
      </w:pPr>
      <w:r w:rsidRPr="003F2BFF">
        <w:t xml:space="preserve">Evangeliou, N., </w:t>
      </w:r>
      <w:proofErr w:type="spellStart"/>
      <w:r w:rsidRPr="003F2BFF">
        <w:t>Grythe</w:t>
      </w:r>
      <w:proofErr w:type="spellEnd"/>
      <w:r w:rsidRPr="003F2BFF">
        <w:t xml:space="preserve">, H., </w:t>
      </w:r>
      <w:proofErr w:type="spellStart"/>
      <w:r w:rsidRPr="003F2BFF">
        <w:t>Klimont</w:t>
      </w:r>
      <w:proofErr w:type="spellEnd"/>
      <w:r w:rsidRPr="003F2BFF">
        <w:t>, Z., Heyes, C., Eckhardt, S., Lopez-Aparicio, S., &amp; Stohl, A. (2020). Atmospheric transport is a major pathway of microplastics to remote regions. Nature Communications, 11, 3381. https://doi.org/10.1038/s41467-020-17201-9</w:t>
      </w:r>
    </w:p>
    <w:p w14:paraId="79E4B71F" w14:textId="77777777" w:rsidR="003F2BFF" w:rsidRPr="003F2BFF" w:rsidRDefault="003F2BFF" w:rsidP="003F2BFF">
      <w:pPr>
        <w:pStyle w:val="BodyText"/>
      </w:pPr>
      <w:r w:rsidRPr="003F2BFF">
        <w:t xml:space="preserve">Farrell, P., &amp; Nelson, K. (2013). Trophic level transfer of microplastic: Mytilus edulis (L.) to </w:t>
      </w:r>
      <w:proofErr w:type="spellStart"/>
      <w:r w:rsidRPr="003F2BFF">
        <w:t>Carcinus</w:t>
      </w:r>
      <w:proofErr w:type="spellEnd"/>
      <w:r w:rsidRPr="003F2BFF">
        <w:t xml:space="preserve"> </w:t>
      </w:r>
      <w:proofErr w:type="spellStart"/>
      <w:r w:rsidRPr="003F2BFF">
        <w:t>maenas</w:t>
      </w:r>
      <w:proofErr w:type="spellEnd"/>
      <w:r w:rsidRPr="003F2BFF">
        <w:t xml:space="preserve"> (L.). Environmental Pollution, 177, 1–3. https://doi.org/10.1016/j.envpol.2013.01.046</w:t>
      </w:r>
    </w:p>
    <w:p w14:paraId="565218E5" w14:textId="77777777" w:rsidR="003F2BFF" w:rsidRPr="003F2BFF" w:rsidRDefault="003F2BFF" w:rsidP="003F2BFF">
      <w:pPr>
        <w:pStyle w:val="BodyText"/>
      </w:pPr>
      <w:r w:rsidRPr="003F2BFF">
        <w:t>Foley, C. J., Feiner, Z. S., Malinich, T. D., &amp; Höök, T. O. (2018). A meta-analysis of the effects of exposure to microplastics on fish and aquatic invertebrates. Science of the Total Environment, 631–632, 550–559. https://doi.org/10.1016/j.scitotenv.2018.03.046</w:t>
      </w:r>
    </w:p>
    <w:p w14:paraId="2691F41E" w14:textId="77777777" w:rsidR="003F2BFF" w:rsidRPr="003F2BFF" w:rsidRDefault="003F2BFF" w:rsidP="003F2BFF">
      <w:pPr>
        <w:pStyle w:val="BodyText"/>
      </w:pPr>
      <w:r w:rsidRPr="003F2BFF">
        <w:t xml:space="preserve">Geyer, R., </w:t>
      </w:r>
      <w:proofErr w:type="spellStart"/>
      <w:r w:rsidRPr="003F2BFF">
        <w:t>Jambeck</w:t>
      </w:r>
      <w:proofErr w:type="spellEnd"/>
      <w:r w:rsidRPr="003F2BFF">
        <w:t>, J. R., &amp; Law, K. L. (2017). Production, use, and fate of all plastics ever made. Science Advances, 3(7), e1700782. https://doi.org/10.1126/sciadv.1700782</w:t>
      </w:r>
    </w:p>
    <w:p w14:paraId="484EDE17" w14:textId="77777777" w:rsidR="003F2BFF" w:rsidRPr="003F2BFF" w:rsidRDefault="003F2BFF" w:rsidP="003F2BFF">
      <w:pPr>
        <w:pStyle w:val="BodyText"/>
      </w:pPr>
      <w:r w:rsidRPr="003F2BFF">
        <w:t>Ghosh, S., Dey, S., Mandal, A. H., Sadhu, A., Saha, N. C., Barceló, D., Pastorino, P., &amp; Saha, S. (2025). Exploring the ecotoxicological impacts of microplastics on freshwater fish: A critical review. Journal of Contaminant Hydrology, 269, 104514. https://doi.org/10.1016/j.jconhyd.2025.104514</w:t>
      </w:r>
    </w:p>
    <w:p w14:paraId="14AB053B" w14:textId="77777777" w:rsidR="003F2BFF" w:rsidRPr="003F2BFF" w:rsidRDefault="003F2BFF" w:rsidP="003F2BFF">
      <w:pPr>
        <w:pStyle w:val="BodyText"/>
      </w:pPr>
      <w:proofErr w:type="spellStart"/>
      <w:r w:rsidRPr="003F2BFF">
        <w:t>Habumugisha</w:t>
      </w:r>
      <w:proofErr w:type="spellEnd"/>
      <w:r w:rsidRPr="003F2BFF">
        <w:t>, T., Zhang, Z., Uwizewe, C., Yan, C., Ndayishimiye, J. C., Rehman, A., &amp; Zhang, X. (2024). Toxicological review of micro- and nano-plastics in aquatic environments: Risks to ecosystems, food web dynamics and human health. Ecotoxicology and Environmental Safety, 278, 116426. https://doi.org/10.1016/j.ecoenv.2024.116426</w:t>
      </w:r>
    </w:p>
    <w:p w14:paraId="7FF458FC" w14:textId="77777777" w:rsidR="003F2BFF" w:rsidRPr="003F2BFF" w:rsidRDefault="003F2BFF" w:rsidP="003F2BFF">
      <w:pPr>
        <w:pStyle w:val="BodyText"/>
      </w:pPr>
      <w:r w:rsidRPr="003F2BFF">
        <w:t xml:space="preserve">Hartmann, N. B., </w:t>
      </w:r>
      <w:proofErr w:type="spellStart"/>
      <w:r w:rsidRPr="003F2BFF">
        <w:t>Hüffer</w:t>
      </w:r>
      <w:proofErr w:type="spellEnd"/>
      <w:r w:rsidRPr="003F2BFF">
        <w:t xml:space="preserve">, T., Thompson, R. C., </w:t>
      </w:r>
      <w:proofErr w:type="spellStart"/>
      <w:r w:rsidRPr="003F2BFF">
        <w:t>Hassellöv</w:t>
      </w:r>
      <w:proofErr w:type="spellEnd"/>
      <w:r w:rsidRPr="003F2BFF">
        <w:t xml:space="preserve">, M., Verschoor, A., Daugaard, A. E., Rist, S., Karlsson, T., </w:t>
      </w:r>
      <w:proofErr w:type="spellStart"/>
      <w:r w:rsidRPr="003F2BFF">
        <w:t>Brennholt</w:t>
      </w:r>
      <w:proofErr w:type="spellEnd"/>
      <w:r w:rsidRPr="003F2BFF">
        <w:t>, N., Cole, M., Herrling, M. P., Hess, M. C., Ivleva, N. P., Lusher, A. L., &amp; Wagner, M. (2019). Are we speaking the same language? Recommendations for a definition and categorization framework for plastic debris. Environmental Science &amp; Technology, 53(3), 1039–1047. https://doi.org/10.1021/acs.est.8b05297</w:t>
      </w:r>
    </w:p>
    <w:p w14:paraId="5C06B05C" w14:textId="77777777" w:rsidR="003F2BFF" w:rsidRPr="003F2BFF" w:rsidRDefault="003F2BFF" w:rsidP="003F2BFF">
      <w:pPr>
        <w:pStyle w:val="BodyText"/>
      </w:pPr>
      <w:r w:rsidRPr="003F2BFF">
        <w:t xml:space="preserve">Hermsen, E., </w:t>
      </w:r>
      <w:proofErr w:type="spellStart"/>
      <w:r w:rsidRPr="003F2BFF">
        <w:t>Mintenig</w:t>
      </w:r>
      <w:proofErr w:type="spellEnd"/>
      <w:r w:rsidRPr="003F2BFF">
        <w:t xml:space="preserve">, S. M., </w:t>
      </w:r>
      <w:proofErr w:type="spellStart"/>
      <w:r w:rsidRPr="003F2BFF">
        <w:t>Besseling</w:t>
      </w:r>
      <w:proofErr w:type="spellEnd"/>
      <w:r w:rsidRPr="003F2BFF">
        <w:t xml:space="preserve">, E., &amp; </w:t>
      </w:r>
      <w:proofErr w:type="spellStart"/>
      <w:r w:rsidRPr="003F2BFF">
        <w:t>Koelmans</w:t>
      </w:r>
      <w:proofErr w:type="spellEnd"/>
      <w:r w:rsidRPr="003F2BFF">
        <w:t>, A. A. (2018). Quality criteria for the analysis of microplastic in biota samples: A critical review. Environmental Science &amp; Technology, 52(18), 10230–10240. https://doi.org/10.1021/acs.est.8b01611</w:t>
      </w:r>
    </w:p>
    <w:p w14:paraId="07A89A28" w14:textId="77777777" w:rsidR="003F2BFF" w:rsidRPr="003F2BFF" w:rsidRDefault="003F2BFF" w:rsidP="003F2BFF">
      <w:pPr>
        <w:pStyle w:val="BodyText"/>
      </w:pPr>
      <w:r w:rsidRPr="003F2BFF">
        <w:t>Hidalgo-Ruz, V., Gutow, L., Thompson, R. C., &amp; Thiel, M. (2012). Microplastics in the marine environment: A review of the methods used for identification and quantification. Environmental Science &amp; Technology, 46(6), 3060–3075. https://doi.org/10.1021/es2031505</w:t>
      </w:r>
    </w:p>
    <w:p w14:paraId="6A2EB71D" w14:textId="77777777" w:rsidR="003F2BFF" w:rsidRPr="003F2BFF" w:rsidRDefault="003F2BFF" w:rsidP="003F2BFF">
      <w:pPr>
        <w:pStyle w:val="BodyText"/>
      </w:pPr>
      <w:proofErr w:type="spellStart"/>
      <w:r w:rsidRPr="003F2BFF">
        <w:t>Jambeck</w:t>
      </w:r>
      <w:proofErr w:type="spellEnd"/>
      <w:r w:rsidRPr="003F2BFF">
        <w:t xml:space="preserve">, J. R., Geyer, R., Wilcox, C., Siegler, T. R., Perryman, M., </w:t>
      </w:r>
      <w:proofErr w:type="spellStart"/>
      <w:r w:rsidRPr="003F2BFF">
        <w:t>Andrady</w:t>
      </w:r>
      <w:proofErr w:type="spellEnd"/>
      <w:r w:rsidRPr="003F2BFF">
        <w:t>, A., Narayan, R., &amp; Law, K. L. (2015). Plastic waste inputs from land into the ocean. Science, 347(6223), 768–771. https://doi.org/10.1126/science.1260352</w:t>
      </w:r>
    </w:p>
    <w:p w14:paraId="1D33B16C" w14:textId="77777777" w:rsidR="003F2BFF" w:rsidRPr="003F2BFF" w:rsidRDefault="003F2BFF" w:rsidP="003F2BFF">
      <w:pPr>
        <w:pStyle w:val="BodyText"/>
      </w:pPr>
      <w:r w:rsidRPr="003F2BFF">
        <w:lastRenderedPageBreak/>
        <w:t xml:space="preserve">Jenner, L. C., Rotchell, J. M., Bennett, R. T., Cowen, M., </w:t>
      </w:r>
      <w:proofErr w:type="spellStart"/>
      <w:r w:rsidRPr="003F2BFF">
        <w:t>Tentzeris</w:t>
      </w:r>
      <w:proofErr w:type="spellEnd"/>
      <w:r w:rsidRPr="003F2BFF">
        <w:t xml:space="preserve">, V., &amp; Sadofsky, L. R. (2022). Detection of microplastics in human lung tissue using </w:t>
      </w:r>
      <w:proofErr w:type="spellStart"/>
      <w:r w:rsidRPr="003F2BFF">
        <w:t>μFTIR</w:t>
      </w:r>
      <w:proofErr w:type="spellEnd"/>
      <w:r w:rsidRPr="003F2BFF">
        <w:t xml:space="preserve"> spectroscopy. Science of the Total Environment, 831, 154907. https://doi.org/10.1016/j.scitotenv.2022.154907</w:t>
      </w:r>
    </w:p>
    <w:p w14:paraId="632A4690" w14:textId="77777777" w:rsidR="003F2BFF" w:rsidRPr="003F2BFF" w:rsidRDefault="003F2BFF" w:rsidP="003F2BFF">
      <w:pPr>
        <w:pStyle w:val="BodyText"/>
      </w:pPr>
      <w:r w:rsidRPr="003F2BFF">
        <w:t>Jiang, J., He, L., Zheng, S., Liu, J., &amp; Gong, L. (2024). A review of microplastic transport in coastal zones. Marine Environmental Research, 196, 106397. https://doi.org/10.1016/j.marenvres.2024.106397</w:t>
      </w:r>
    </w:p>
    <w:p w14:paraId="67E1E358" w14:textId="77777777" w:rsidR="003F2BFF" w:rsidRPr="003F2BFF" w:rsidRDefault="003F2BFF" w:rsidP="003F2BFF">
      <w:pPr>
        <w:pStyle w:val="BodyText"/>
      </w:pPr>
      <w:proofErr w:type="spellStart"/>
      <w:r w:rsidRPr="003F2BFF">
        <w:t>Koelmans</w:t>
      </w:r>
      <w:proofErr w:type="spellEnd"/>
      <w:r w:rsidRPr="003F2BFF">
        <w:t>, A. A., Bakir, A., Burton, G. A., &amp; Janssen, C. R. (2016). Microplastic as a vector for chemicals in the aquatic environment: Critical review and model-supported reinterpretation of empirical studies. Environmental Science &amp; Technology, 50(7), 3315–3326. https://doi.org/10.1021/acs.est.5b06069</w:t>
      </w:r>
    </w:p>
    <w:p w14:paraId="5FDB896C" w14:textId="77777777" w:rsidR="003F2BFF" w:rsidRPr="003F2BFF" w:rsidRDefault="003F2BFF" w:rsidP="003F2BFF">
      <w:pPr>
        <w:pStyle w:val="BodyText"/>
      </w:pPr>
      <w:proofErr w:type="spellStart"/>
      <w:r w:rsidRPr="003F2BFF">
        <w:t>Koelmans</w:t>
      </w:r>
      <w:proofErr w:type="spellEnd"/>
      <w:r w:rsidRPr="003F2BFF">
        <w:t xml:space="preserve">, A. A., </w:t>
      </w:r>
      <w:proofErr w:type="spellStart"/>
      <w:r w:rsidRPr="003F2BFF">
        <w:t>Besseling</w:t>
      </w:r>
      <w:proofErr w:type="spellEnd"/>
      <w:r w:rsidRPr="003F2BFF">
        <w:t xml:space="preserve">, E., </w:t>
      </w:r>
      <w:proofErr w:type="spellStart"/>
      <w:r w:rsidRPr="003F2BFF">
        <w:t>Foekema</w:t>
      </w:r>
      <w:proofErr w:type="spellEnd"/>
      <w:r w:rsidRPr="003F2BFF">
        <w:t xml:space="preserve">, E., Kooi, M., </w:t>
      </w:r>
      <w:proofErr w:type="spellStart"/>
      <w:r w:rsidRPr="003F2BFF">
        <w:t>Mintenig</w:t>
      </w:r>
      <w:proofErr w:type="spellEnd"/>
      <w:r w:rsidRPr="003F2BFF">
        <w:t xml:space="preserve">, S., </w:t>
      </w:r>
      <w:proofErr w:type="spellStart"/>
      <w:r w:rsidRPr="003F2BFF">
        <w:t>Ossendorp</w:t>
      </w:r>
      <w:proofErr w:type="spellEnd"/>
      <w:r w:rsidRPr="003F2BFF">
        <w:t>, B. C., Redondo-</w:t>
      </w:r>
      <w:proofErr w:type="spellStart"/>
      <w:r w:rsidRPr="003F2BFF">
        <w:t>Hasselerharm</w:t>
      </w:r>
      <w:proofErr w:type="spellEnd"/>
      <w:r w:rsidRPr="003F2BFF">
        <w:t>, P. E., Verschoor, A., van Wezel, A. P., &amp; Scheffer, M. (2017). Risks of plastic debris: Unravelling fact, opinion, perception, and belief. Environmental Science &amp; Technology, 51(20), 11513–11519. https://doi.org/10.1021/acs.est.7b02219</w:t>
      </w:r>
    </w:p>
    <w:p w14:paraId="0433E801" w14:textId="77777777" w:rsidR="003F2BFF" w:rsidRPr="003F2BFF" w:rsidRDefault="003F2BFF" w:rsidP="003F2BFF">
      <w:pPr>
        <w:pStyle w:val="BodyText"/>
      </w:pPr>
      <w:proofErr w:type="spellStart"/>
      <w:r w:rsidRPr="003F2BFF">
        <w:t>Koelmans</w:t>
      </w:r>
      <w:proofErr w:type="spellEnd"/>
      <w:r w:rsidRPr="003F2BFF">
        <w:t xml:space="preserve">, A. A., Mohamed Nor, N. H., Hermsen, E., Kooi, M., </w:t>
      </w:r>
      <w:proofErr w:type="spellStart"/>
      <w:r w:rsidRPr="003F2BFF">
        <w:t>Mintenig</w:t>
      </w:r>
      <w:proofErr w:type="spellEnd"/>
      <w:r w:rsidRPr="003F2BFF">
        <w:t>, S. M., &amp; De France, J. (2019). Microplastics in freshwaters and drinking water: Critical review and assessment of data quality. Water Research, 155, 410–422. https://doi.org/10.1016/j.watres.2019.02.054</w:t>
      </w:r>
    </w:p>
    <w:p w14:paraId="565813D4" w14:textId="77777777" w:rsidR="003F2BFF" w:rsidRPr="003F2BFF" w:rsidRDefault="003F2BFF" w:rsidP="003F2BFF">
      <w:pPr>
        <w:pStyle w:val="BodyText"/>
      </w:pPr>
      <w:r w:rsidRPr="003F2BFF">
        <w:t xml:space="preserve">Kooi, M., Reisser, J., Slat, B., Ferrari, F. F., Schmid, M. S., Cunsolo, S., </w:t>
      </w:r>
      <w:proofErr w:type="spellStart"/>
      <w:r w:rsidRPr="003F2BFF">
        <w:t>Brambini</w:t>
      </w:r>
      <w:proofErr w:type="spellEnd"/>
      <w:r w:rsidRPr="003F2BFF">
        <w:t xml:space="preserve">, R., Noble, K., </w:t>
      </w:r>
      <w:proofErr w:type="spellStart"/>
      <w:r w:rsidRPr="003F2BFF">
        <w:t>Sirks</w:t>
      </w:r>
      <w:proofErr w:type="spellEnd"/>
      <w:r w:rsidRPr="003F2BFF">
        <w:t xml:space="preserve">, L.-A., Linders, T. E. W., &amp; </w:t>
      </w:r>
      <w:proofErr w:type="spellStart"/>
      <w:r w:rsidRPr="003F2BFF">
        <w:t>Schoeneich</w:t>
      </w:r>
      <w:proofErr w:type="spellEnd"/>
      <w:r w:rsidRPr="003F2BFF">
        <w:t>-Argent, R. I. (2016). The effect of particle properties on the depth profile of buoyant plastics in the ocean. Scientific Reports, 6, 33882. https://doi.org/10.1038/srep33882</w:t>
      </w:r>
    </w:p>
    <w:p w14:paraId="0BFD7EF7" w14:textId="77777777" w:rsidR="003F2BFF" w:rsidRPr="003F2BFF" w:rsidRDefault="003F2BFF" w:rsidP="003F2BFF">
      <w:pPr>
        <w:pStyle w:val="BodyText"/>
      </w:pPr>
      <w:r w:rsidRPr="003F2BFF">
        <w:t xml:space="preserve">Kole, P. J., Löhr, A. J., Van </w:t>
      </w:r>
      <w:proofErr w:type="spellStart"/>
      <w:r w:rsidRPr="003F2BFF">
        <w:t>Belleghem</w:t>
      </w:r>
      <w:proofErr w:type="spellEnd"/>
      <w:r w:rsidRPr="003F2BFF">
        <w:t xml:space="preserve">, F. G. A. J., &amp; Ragas, A. M. J. (2017). Wear and tear of </w:t>
      </w:r>
      <w:proofErr w:type="spellStart"/>
      <w:r w:rsidRPr="003F2BFF">
        <w:t>tyres</w:t>
      </w:r>
      <w:proofErr w:type="spellEnd"/>
      <w:r w:rsidRPr="003F2BFF">
        <w:t>: A stealthy source of microplastics in the environment. International Journal of Environmental Research and Public Health, 14(10), 1265. https://doi.org/10.3390/ijerph14101265</w:t>
      </w:r>
    </w:p>
    <w:p w14:paraId="16FC8022" w14:textId="77777777" w:rsidR="003F2BFF" w:rsidRPr="003F2BFF" w:rsidRDefault="003F2BFF" w:rsidP="003F2BFF">
      <w:pPr>
        <w:pStyle w:val="BodyText"/>
      </w:pPr>
      <w:r w:rsidRPr="003F2BFF">
        <w:t xml:space="preserve">Lebreton, L. C. M., van der </w:t>
      </w:r>
      <w:proofErr w:type="spellStart"/>
      <w:r w:rsidRPr="003F2BFF">
        <w:t>Zwet</w:t>
      </w:r>
      <w:proofErr w:type="spellEnd"/>
      <w:r w:rsidRPr="003F2BFF">
        <w:t xml:space="preserve">, J., </w:t>
      </w:r>
      <w:proofErr w:type="spellStart"/>
      <w:r w:rsidRPr="003F2BFF">
        <w:t>Damsteeg</w:t>
      </w:r>
      <w:proofErr w:type="spellEnd"/>
      <w:r w:rsidRPr="003F2BFF">
        <w:t xml:space="preserve">, J.-W., Slat, B., </w:t>
      </w:r>
      <w:proofErr w:type="spellStart"/>
      <w:r w:rsidRPr="003F2BFF">
        <w:t>Andrady</w:t>
      </w:r>
      <w:proofErr w:type="spellEnd"/>
      <w:r w:rsidRPr="003F2BFF">
        <w:t>, A., &amp; Reisser, J. (2017). River plastic emissions to the world’s oceans. Nature Communications, 8, 15611. https://doi.org/10.1038/ncomms15611</w:t>
      </w:r>
    </w:p>
    <w:p w14:paraId="6FCC46E1" w14:textId="77777777" w:rsidR="003F2BFF" w:rsidRPr="003F2BFF" w:rsidRDefault="003F2BFF" w:rsidP="003F2BFF">
      <w:pPr>
        <w:pStyle w:val="BodyText"/>
      </w:pPr>
      <w:r w:rsidRPr="003F2BFF">
        <w:t xml:space="preserve">Leslie, H. A., van Velzen, M. J. M., Brandsma, S. H., </w:t>
      </w:r>
      <w:proofErr w:type="spellStart"/>
      <w:r w:rsidRPr="003F2BFF">
        <w:t>Vethaak</w:t>
      </w:r>
      <w:proofErr w:type="spellEnd"/>
      <w:r w:rsidRPr="003F2BFF">
        <w:t>, A. D., Garcia-Vallejo, J. J., &amp; Lamoree, M. H. (2022). Discovery and quantification of plastic particle pollution in human blood. Environment International, 163, 107199. https://doi.org/10.1016/j.envint.2022.107199</w:t>
      </w:r>
    </w:p>
    <w:p w14:paraId="0AC81E3A" w14:textId="77777777" w:rsidR="003F2BFF" w:rsidRPr="003F2BFF" w:rsidRDefault="003F2BFF" w:rsidP="003F2BFF">
      <w:pPr>
        <w:pStyle w:val="BodyText"/>
      </w:pPr>
      <w:r w:rsidRPr="003F2BFF">
        <w:t>Li, W., &amp; Meng, F. (2025). Microplastics in marine systems: A review of sources and sinks, typical environmental behaviors, and biological effects. Marine Pollution Bulletin, 214, 117758. https://doi.org/10.1016/j.marpolbul.2025.117758</w:t>
      </w:r>
    </w:p>
    <w:p w14:paraId="3A3C4D8B" w14:textId="77777777" w:rsidR="003F2BFF" w:rsidRPr="003F2BFF" w:rsidRDefault="003F2BFF" w:rsidP="003F2BFF">
      <w:pPr>
        <w:pStyle w:val="BodyText"/>
      </w:pPr>
      <w:r w:rsidRPr="003F2BFF">
        <w:t>Lu, Y., Zhang, Y., Deng, Y., Jiang, W., Zhao, Y., Geng, J., Ding, L., &amp; Ren, H. (2016). Uptake and accumulation of polystyrene microplastics in zebrafish (Danio rerio) and toxic effects in liver. Environmental Science &amp; Technology, 50(7), 4054–4060. https://doi.org/10.1021/acs.est.6b00183</w:t>
      </w:r>
    </w:p>
    <w:p w14:paraId="3677A95C" w14:textId="77777777" w:rsidR="003F2BFF" w:rsidRPr="003F2BFF" w:rsidRDefault="003F2BFF" w:rsidP="003F2BFF">
      <w:pPr>
        <w:pStyle w:val="BodyText"/>
      </w:pPr>
      <w:proofErr w:type="spellStart"/>
      <w:r w:rsidRPr="003F2BFF">
        <w:t>Marfella</w:t>
      </w:r>
      <w:proofErr w:type="spellEnd"/>
      <w:r w:rsidRPr="003F2BFF">
        <w:t xml:space="preserve">, R., Prattichizzo, F., </w:t>
      </w:r>
      <w:proofErr w:type="spellStart"/>
      <w:r w:rsidRPr="003F2BFF">
        <w:t>Sardu</w:t>
      </w:r>
      <w:proofErr w:type="spellEnd"/>
      <w:r w:rsidRPr="003F2BFF">
        <w:t xml:space="preserve">, C., Fulgenzi, G., Graciotti, L., Spadoni, T., D’Onofrio, N., </w:t>
      </w:r>
      <w:proofErr w:type="spellStart"/>
      <w:r w:rsidRPr="003F2BFF">
        <w:t>Scisciola</w:t>
      </w:r>
      <w:proofErr w:type="spellEnd"/>
      <w:r w:rsidRPr="003F2BFF">
        <w:t xml:space="preserve">, L., La Grotta, R., </w:t>
      </w:r>
      <w:proofErr w:type="spellStart"/>
      <w:r w:rsidRPr="003F2BFF">
        <w:t>Frigé</w:t>
      </w:r>
      <w:proofErr w:type="spellEnd"/>
      <w:r w:rsidRPr="003F2BFF">
        <w:t xml:space="preserve">, C., Pellegrini, V., </w:t>
      </w:r>
      <w:proofErr w:type="spellStart"/>
      <w:r w:rsidRPr="003F2BFF">
        <w:t>Municinò</w:t>
      </w:r>
      <w:proofErr w:type="spellEnd"/>
      <w:r w:rsidRPr="003F2BFF">
        <w:t xml:space="preserve">, M., Siniscalchi, M., Spinetti, F., Vigliotti, G., Vecchione, C., </w:t>
      </w:r>
      <w:proofErr w:type="spellStart"/>
      <w:r w:rsidRPr="003F2BFF">
        <w:t>Carrizzo</w:t>
      </w:r>
      <w:proofErr w:type="spellEnd"/>
      <w:r w:rsidRPr="003F2BFF">
        <w:t xml:space="preserve">, A., </w:t>
      </w:r>
      <w:proofErr w:type="spellStart"/>
      <w:r w:rsidRPr="003F2BFF">
        <w:t>Accarino</w:t>
      </w:r>
      <w:proofErr w:type="spellEnd"/>
      <w:r w:rsidRPr="003F2BFF">
        <w:t xml:space="preserve">, G., Squillante, A., … </w:t>
      </w:r>
      <w:proofErr w:type="spellStart"/>
      <w:r w:rsidRPr="003F2BFF">
        <w:t>Paolisso</w:t>
      </w:r>
      <w:proofErr w:type="spellEnd"/>
      <w:r w:rsidRPr="003F2BFF">
        <w:t xml:space="preserve">, G. (2024). Microplastics and </w:t>
      </w:r>
      <w:proofErr w:type="spellStart"/>
      <w:r w:rsidRPr="003F2BFF">
        <w:t>nanoplastics</w:t>
      </w:r>
      <w:proofErr w:type="spellEnd"/>
      <w:r w:rsidRPr="003F2BFF">
        <w:t xml:space="preserve"> in </w:t>
      </w:r>
      <w:proofErr w:type="spellStart"/>
      <w:r w:rsidRPr="003F2BFF">
        <w:t>atheromas</w:t>
      </w:r>
      <w:proofErr w:type="spellEnd"/>
      <w:r w:rsidRPr="003F2BFF">
        <w:t xml:space="preserve"> and cardiovascular events. New England Journal of Medicine, 390(10), 900–910. https://doi.org/10.1056/NEJMoa2309822</w:t>
      </w:r>
    </w:p>
    <w:p w14:paraId="27A8FC6D" w14:textId="77777777" w:rsidR="003F2BFF" w:rsidRPr="003F2BFF" w:rsidRDefault="003F2BFF" w:rsidP="003F2BFF">
      <w:pPr>
        <w:pStyle w:val="BodyText"/>
      </w:pPr>
      <w:r w:rsidRPr="003F2BFF">
        <w:lastRenderedPageBreak/>
        <w:t>Meijer, L. J. J., van Emmerik, T., van der Ent, R., Schmidt, C., &amp; Lebreton, L. (2021). More than 1000 rivers account for 80% of global riverine plastic emissions into the ocean. Science Advances, 7(18), eaaz5803. https://doi.org/10.1126/sciadv.aaz5803</w:t>
      </w:r>
    </w:p>
    <w:p w14:paraId="18E89873" w14:textId="77777777" w:rsidR="003F2BFF" w:rsidRPr="003F2BFF" w:rsidRDefault="003F2BFF" w:rsidP="003F2BFF">
      <w:pPr>
        <w:pStyle w:val="BodyText"/>
      </w:pPr>
      <w:r w:rsidRPr="003F2BFF">
        <w:t xml:space="preserve">Michels, J., </w:t>
      </w:r>
      <w:proofErr w:type="spellStart"/>
      <w:r w:rsidRPr="003F2BFF">
        <w:t>Stippkugel</w:t>
      </w:r>
      <w:proofErr w:type="spellEnd"/>
      <w:r w:rsidRPr="003F2BFF">
        <w:t>, A., Lenz, M., Wirtz, K., &amp; Engel, A. (2018). Rapid aggregation of biofilm-covered microplastics with marine biogenic particles. Proceedings of the Royal Society B: Biological Sciences, 285(1885), 20181203. https://doi.org/10.1098/rspb.2018.1203</w:t>
      </w:r>
    </w:p>
    <w:p w14:paraId="2E2D25C2" w14:textId="77777777" w:rsidR="003F2BFF" w:rsidRPr="003F2BFF" w:rsidRDefault="003F2BFF" w:rsidP="003F2BFF">
      <w:pPr>
        <w:pStyle w:val="BodyText"/>
      </w:pPr>
      <w:r w:rsidRPr="003F2BFF">
        <w:t>Murphy, F., Ewins, C., Carbonnier, F., &amp; Quinn, B. (2016). Wastewater Treatment Works (WwTW) as a source of microplastics in the aquatic environment. Environmental Science &amp; Technology, 50(11), 5800–5808. https://doi.org/10.1021/acs.est.5b05416</w:t>
      </w:r>
    </w:p>
    <w:p w14:paraId="150E3CE0" w14:textId="77777777" w:rsidR="003F2BFF" w:rsidRPr="003F2BFF" w:rsidRDefault="003F2BFF" w:rsidP="003F2BFF">
      <w:pPr>
        <w:pStyle w:val="BodyText"/>
      </w:pPr>
      <w:r w:rsidRPr="003F2BFF">
        <w:t>Nikhil, V. G., Abisha, C., Raghavan, R., Ali, A. P. H., Ranjeet, K., &amp; Varghese, G. K. (2026). Bioaccumulation and trophic transfer of microplastics in oceanic food webs. Marine Pollution Bulletin, 224, 119113. https://doi.org/10.1016/j.marpolbul.2025.119113</w:t>
      </w:r>
    </w:p>
    <w:p w14:paraId="5E421618" w14:textId="77777777" w:rsidR="003F2BFF" w:rsidRPr="003F2BFF" w:rsidRDefault="003F2BFF" w:rsidP="003F2BFF">
      <w:pPr>
        <w:pStyle w:val="BodyText"/>
      </w:pPr>
      <w:r w:rsidRPr="003F2BFF">
        <w:t xml:space="preserve">Pal, D., Prabhakar, R., Barua, V. B., </w:t>
      </w:r>
      <w:proofErr w:type="spellStart"/>
      <w:r w:rsidRPr="003F2BFF">
        <w:t>Zekker</w:t>
      </w:r>
      <w:proofErr w:type="spellEnd"/>
      <w:r w:rsidRPr="003F2BFF">
        <w:t xml:space="preserve">, I., </w:t>
      </w:r>
      <w:proofErr w:type="spellStart"/>
      <w:r w:rsidRPr="003F2BFF">
        <w:t>Burlakovs</w:t>
      </w:r>
      <w:proofErr w:type="spellEnd"/>
      <w:r w:rsidRPr="003F2BFF">
        <w:t xml:space="preserve">, J., Krauklis, A., Hogland, W., &amp; </w:t>
      </w:r>
      <w:proofErr w:type="spellStart"/>
      <w:r w:rsidRPr="003F2BFF">
        <w:t>Vincevica</w:t>
      </w:r>
      <w:proofErr w:type="spellEnd"/>
      <w:r w:rsidRPr="003F2BFF">
        <w:t>-Gaile, Z. (2025). Microplastics in aquatic systems: A comprehensive review of its distribution, environmental interactions, and health risks. Environmental Science and Pollution Research, 32(1), 56–88. https://doi.org/10.1007/s11356-024-35741-1</w:t>
      </w:r>
    </w:p>
    <w:p w14:paraId="285683D1" w14:textId="77777777" w:rsidR="003F2BFF" w:rsidRPr="003F2BFF" w:rsidRDefault="003F2BFF" w:rsidP="003F2BFF">
      <w:pPr>
        <w:pStyle w:val="BodyText"/>
      </w:pPr>
      <w:r w:rsidRPr="003F2BFF">
        <w:t xml:space="preserve">Pirc, U., Vidmar, M., Mozer, A., &amp; </w:t>
      </w:r>
      <w:proofErr w:type="spellStart"/>
      <w:r w:rsidRPr="003F2BFF">
        <w:t>Kržan</w:t>
      </w:r>
      <w:proofErr w:type="spellEnd"/>
      <w:r w:rsidRPr="003F2BFF">
        <w:t>, A. (2016). Emissions of microplastic fibers from microfiber fleece during domestic washing. Environmental Science and Pollution Research, 23(21), 22206–22211. https://doi.org/10.1007/s11356-016-7703-0</w:t>
      </w:r>
    </w:p>
    <w:p w14:paraId="1A0BAE63" w14:textId="77777777" w:rsidR="003F2BFF" w:rsidRPr="003F2BFF" w:rsidRDefault="003F2BFF" w:rsidP="003F2BFF">
      <w:pPr>
        <w:pStyle w:val="BodyText"/>
      </w:pPr>
      <w:r w:rsidRPr="003F2BFF">
        <w:t xml:space="preserve">Ragusa, A., </w:t>
      </w:r>
      <w:proofErr w:type="spellStart"/>
      <w:r w:rsidRPr="003F2BFF">
        <w:t>Svelato</w:t>
      </w:r>
      <w:proofErr w:type="spellEnd"/>
      <w:r w:rsidRPr="003F2BFF">
        <w:t xml:space="preserve">, A., Santacroce, C., Catalano, P., </w:t>
      </w:r>
      <w:proofErr w:type="spellStart"/>
      <w:r w:rsidRPr="003F2BFF">
        <w:t>Notarstefano</w:t>
      </w:r>
      <w:proofErr w:type="spellEnd"/>
      <w:r w:rsidRPr="003F2BFF">
        <w:t xml:space="preserve">, V., Carnevali, O., Papa, F., Rongioletti, M. C. A., Baiocco, F., Draghi, S., </w:t>
      </w:r>
      <w:proofErr w:type="spellStart"/>
      <w:r w:rsidRPr="003F2BFF">
        <w:t>D’Amore</w:t>
      </w:r>
      <w:proofErr w:type="spellEnd"/>
      <w:r w:rsidRPr="003F2BFF">
        <w:t xml:space="preserve">, E., Rinaldo, D., Matta, M., &amp; Giorgini, E. (2021). </w:t>
      </w:r>
      <w:proofErr w:type="spellStart"/>
      <w:r w:rsidRPr="003F2BFF">
        <w:t>Plasticenta</w:t>
      </w:r>
      <w:proofErr w:type="spellEnd"/>
      <w:r w:rsidRPr="003F2BFF">
        <w:t>: First evidence of microplastics in human placenta. Environment International, 146, 106274. https://doi.org/10.1016/j.envint.2020.106274</w:t>
      </w:r>
    </w:p>
    <w:p w14:paraId="4D2DCE0D" w14:textId="77777777" w:rsidR="003F2BFF" w:rsidRPr="003F2BFF" w:rsidRDefault="003F2BFF" w:rsidP="003F2BFF">
      <w:pPr>
        <w:pStyle w:val="BodyText"/>
      </w:pPr>
      <w:r w:rsidRPr="003F2BFF">
        <w:t>Redondo-</w:t>
      </w:r>
      <w:proofErr w:type="spellStart"/>
      <w:r w:rsidRPr="003F2BFF">
        <w:t>Hasselerharm</w:t>
      </w:r>
      <w:proofErr w:type="spellEnd"/>
      <w:r w:rsidRPr="003F2BFF">
        <w:t xml:space="preserve">, P. E., </w:t>
      </w:r>
      <w:proofErr w:type="spellStart"/>
      <w:r w:rsidRPr="003F2BFF">
        <w:t>Falahudin</w:t>
      </w:r>
      <w:proofErr w:type="spellEnd"/>
      <w:r w:rsidRPr="003F2BFF">
        <w:t xml:space="preserve">, D., Peeters, E. T. H. M., &amp; </w:t>
      </w:r>
      <w:proofErr w:type="spellStart"/>
      <w:r w:rsidRPr="003F2BFF">
        <w:t>Koelmans</w:t>
      </w:r>
      <w:proofErr w:type="spellEnd"/>
      <w:r w:rsidRPr="003F2BFF">
        <w:t>, A. A. (2018). Microplastic effect thresholds for freshwater benthic macroinvertebrates. Environmental Science &amp; Technology, 52(4), 2278–2286. https://doi.org/10.1021/acs.est.7b05367</w:t>
      </w:r>
    </w:p>
    <w:p w14:paraId="7146AA80" w14:textId="77777777" w:rsidR="003F2BFF" w:rsidRPr="003F2BFF" w:rsidRDefault="003F2BFF" w:rsidP="003F2BFF">
      <w:pPr>
        <w:pStyle w:val="BodyText"/>
      </w:pPr>
      <w:r w:rsidRPr="003F2BFF">
        <w:t>Rochman, C. M., Hoh, E., Kurobe, T., &amp; Teh, S. J. (2013). Ingested plastic transfers hazardous chemicals to fish and induces hepatic stress. Scientific Reports, 3, 3263. https://doi.org/10.1038/srep03263</w:t>
      </w:r>
    </w:p>
    <w:p w14:paraId="3F07F247" w14:textId="77777777" w:rsidR="003F2BFF" w:rsidRPr="003F2BFF" w:rsidRDefault="003F2BFF" w:rsidP="003F2BFF">
      <w:pPr>
        <w:pStyle w:val="BodyText"/>
      </w:pPr>
      <w:r w:rsidRPr="003F2BFF">
        <w:t xml:space="preserve">Ruggieri, F., Battistini, B., Sorbo, A., Senofonte, M., Leso, V., Iavicoli, I., &amp; Bocca, B. (2025). From food-to-human microplastics and </w:t>
      </w:r>
      <w:proofErr w:type="spellStart"/>
      <w:r w:rsidRPr="003F2BFF">
        <w:t>nanoplastics</w:t>
      </w:r>
      <w:proofErr w:type="spellEnd"/>
      <w:r w:rsidRPr="003F2BFF">
        <w:t xml:space="preserve"> exposure and health effects: A review on food, animal and human monitoring data. Food and Chemical Toxicology, 196, 115209. https://doi.org/10.1016/j.fct.2024.115209</w:t>
      </w:r>
    </w:p>
    <w:p w14:paraId="2EE65859" w14:textId="77777777" w:rsidR="003F2BFF" w:rsidRPr="003F2BFF" w:rsidRDefault="003F2BFF" w:rsidP="003F2BFF">
      <w:pPr>
        <w:pStyle w:val="BodyText"/>
      </w:pPr>
      <w:r w:rsidRPr="003F2BFF">
        <w:t xml:space="preserve">Sacco, V. A., Selinger, A., </w:t>
      </w:r>
      <w:proofErr w:type="spellStart"/>
      <w:r w:rsidRPr="003F2BFF">
        <w:t>Lemunie</w:t>
      </w:r>
      <w:proofErr w:type="spellEnd"/>
      <w:r w:rsidRPr="003F2BFF">
        <w:t>, E. S., Adami, G. T., Teixeira-de-Mello, F., Ghisi, N. de C., &amp; Delariva, R. L. (2026). Beyond concentration: Particle traits shape the toxicity of microplastics in fish: A global meta-analysis. Environmental Research, 301, 124478. https://doi.org/10.1016/j.envres.2026.124478</w:t>
      </w:r>
    </w:p>
    <w:p w14:paraId="55D81DE8" w14:textId="77777777" w:rsidR="003F2BFF" w:rsidRPr="003F2BFF" w:rsidRDefault="003F2BFF" w:rsidP="003F2BFF">
      <w:pPr>
        <w:pStyle w:val="BodyText"/>
      </w:pPr>
      <w:r w:rsidRPr="003F2BFF">
        <w:t>Schmidt, C., Krauth, T., &amp; Wagner, S. (2017). Export of plastic debris by rivers into the sea. Environmental Science &amp; Technology, 51(21), 12246–12253. https://doi.org/10.1021/acs.est.7b02368</w:t>
      </w:r>
    </w:p>
    <w:p w14:paraId="5F00235F" w14:textId="77777777" w:rsidR="003F2BFF" w:rsidRPr="003F2BFF" w:rsidRDefault="003F2BFF" w:rsidP="003F2BFF">
      <w:pPr>
        <w:pStyle w:val="BodyText"/>
      </w:pPr>
      <w:r w:rsidRPr="003F2BFF">
        <w:lastRenderedPageBreak/>
        <w:t xml:space="preserve">Setälä, O., Fleming-Lehtinen, V., &amp; </w:t>
      </w:r>
      <w:proofErr w:type="spellStart"/>
      <w:r w:rsidRPr="003F2BFF">
        <w:t>Lehtiniemi</w:t>
      </w:r>
      <w:proofErr w:type="spellEnd"/>
      <w:r w:rsidRPr="003F2BFF">
        <w:t>, M. (2014). Ingestion and transfer of microplastics in the planktonic food web. Environmental Pollution, 185, 77–83. https://doi.org/10.1016/j.envpol.2013.10.013</w:t>
      </w:r>
    </w:p>
    <w:p w14:paraId="2359E867" w14:textId="77777777" w:rsidR="003F2BFF" w:rsidRPr="003F2BFF" w:rsidRDefault="003F2BFF" w:rsidP="003F2BFF">
      <w:pPr>
        <w:pStyle w:val="BodyText"/>
      </w:pPr>
      <w:proofErr w:type="spellStart"/>
      <w:r w:rsidRPr="003F2BFF">
        <w:t>Sussarellu</w:t>
      </w:r>
      <w:proofErr w:type="spellEnd"/>
      <w:r w:rsidRPr="003F2BFF">
        <w:t xml:space="preserve">, R., </w:t>
      </w:r>
      <w:proofErr w:type="spellStart"/>
      <w:r w:rsidRPr="003F2BFF">
        <w:t>Suquet</w:t>
      </w:r>
      <w:proofErr w:type="spellEnd"/>
      <w:r w:rsidRPr="003F2BFF">
        <w:t xml:space="preserve">, M., Thomas, Y., Lambert, C., </w:t>
      </w:r>
      <w:proofErr w:type="spellStart"/>
      <w:r w:rsidRPr="003F2BFF">
        <w:t>Fabioux</w:t>
      </w:r>
      <w:proofErr w:type="spellEnd"/>
      <w:r w:rsidRPr="003F2BFF">
        <w:t xml:space="preserve">, C., Pernet, M. E. J., Le </w:t>
      </w:r>
      <w:proofErr w:type="spellStart"/>
      <w:r w:rsidRPr="003F2BFF">
        <w:t>Goïc</w:t>
      </w:r>
      <w:proofErr w:type="spellEnd"/>
      <w:r w:rsidRPr="003F2BFF">
        <w:t xml:space="preserve">, N., </w:t>
      </w:r>
      <w:proofErr w:type="spellStart"/>
      <w:r w:rsidRPr="003F2BFF">
        <w:t>Quillien</w:t>
      </w:r>
      <w:proofErr w:type="spellEnd"/>
      <w:r w:rsidRPr="003F2BFF">
        <w:t xml:space="preserve">, V., </w:t>
      </w:r>
      <w:proofErr w:type="spellStart"/>
      <w:r w:rsidRPr="003F2BFF">
        <w:t>Mingant</w:t>
      </w:r>
      <w:proofErr w:type="spellEnd"/>
      <w:r w:rsidRPr="003F2BFF">
        <w:t xml:space="preserve">, C., </w:t>
      </w:r>
      <w:proofErr w:type="spellStart"/>
      <w:r w:rsidRPr="003F2BFF">
        <w:t>Epelboin</w:t>
      </w:r>
      <w:proofErr w:type="spellEnd"/>
      <w:r w:rsidRPr="003F2BFF">
        <w:t xml:space="preserve">, Y., </w:t>
      </w:r>
      <w:proofErr w:type="spellStart"/>
      <w:r w:rsidRPr="003F2BFF">
        <w:t>Corporeau</w:t>
      </w:r>
      <w:proofErr w:type="spellEnd"/>
      <w:r w:rsidRPr="003F2BFF">
        <w:t xml:space="preserve">, C., </w:t>
      </w:r>
      <w:proofErr w:type="spellStart"/>
      <w:r w:rsidRPr="003F2BFF">
        <w:t>Guyomarch</w:t>
      </w:r>
      <w:proofErr w:type="spellEnd"/>
      <w:r w:rsidRPr="003F2BFF">
        <w:t xml:space="preserve">, J., </w:t>
      </w:r>
      <w:proofErr w:type="spellStart"/>
      <w:r w:rsidRPr="003F2BFF">
        <w:t>Robbens</w:t>
      </w:r>
      <w:proofErr w:type="spellEnd"/>
      <w:r w:rsidRPr="003F2BFF">
        <w:t xml:space="preserve">, J., Paul-Pont, I., </w:t>
      </w:r>
      <w:proofErr w:type="spellStart"/>
      <w:r w:rsidRPr="003F2BFF">
        <w:t>Soudant</w:t>
      </w:r>
      <w:proofErr w:type="spellEnd"/>
      <w:r w:rsidRPr="003F2BFF">
        <w:t xml:space="preserve">, P., &amp; </w:t>
      </w:r>
      <w:proofErr w:type="spellStart"/>
      <w:r w:rsidRPr="003F2BFF">
        <w:t>Huvet</w:t>
      </w:r>
      <w:proofErr w:type="spellEnd"/>
      <w:r w:rsidRPr="003F2BFF">
        <w:t>, A. (2016). Oyster reproduction is affected by exposure to polystyrene microplastics. Proceedings of the National Academy of Sciences of the United States of America, 113(9), 2430–2435. https://doi.org/10.1073/pnas.1519019113</w:t>
      </w:r>
    </w:p>
    <w:p w14:paraId="4B3578AE" w14:textId="77777777" w:rsidR="003F2BFF" w:rsidRPr="003F2BFF" w:rsidRDefault="003F2BFF" w:rsidP="003F2BFF">
      <w:pPr>
        <w:pStyle w:val="BodyText"/>
      </w:pPr>
      <w:r w:rsidRPr="003F2BFF">
        <w:t>Thompson, R. C., Olsen, Y., Mitchell, R. P., Davis, A., Rowland, S. J., John, A. W. G., McGonigle, D., &amp; Russell, A. E. (2004). Lost at sea: Where is all the plastic? Science, 304(5672), 838. https://doi.org/10.1126/science.1094559</w:t>
      </w:r>
    </w:p>
    <w:p w14:paraId="5D638D11" w14:textId="77777777" w:rsidR="003F2BFF" w:rsidRPr="003F2BFF" w:rsidRDefault="003F2BFF" w:rsidP="003F2BFF">
      <w:pPr>
        <w:pStyle w:val="BodyText"/>
      </w:pPr>
      <w:r w:rsidRPr="003F2BFF">
        <w:t xml:space="preserve">Tran, H. A. A., Ng, J. J., Tang, D. H., Yong, C. T., &amp; Ho, A. F. W. (2026). Health impacts of micro- and </w:t>
      </w:r>
      <w:proofErr w:type="spellStart"/>
      <w:r w:rsidRPr="003F2BFF">
        <w:t>nanoplastics</w:t>
      </w:r>
      <w:proofErr w:type="spellEnd"/>
      <w:r w:rsidRPr="003F2BFF">
        <w:t xml:space="preserve"> in humans: Systematic review of in vivo evidence. Environmental Health, 25, 26. https://doi.org/10.1186/s12940-026-01282-y</w:t>
      </w:r>
    </w:p>
    <w:p w14:paraId="4F27A78E" w14:textId="77777777" w:rsidR="003F2BFF" w:rsidRPr="003F2BFF" w:rsidRDefault="003F2BFF" w:rsidP="003F2BFF">
      <w:pPr>
        <w:pStyle w:val="BodyText"/>
      </w:pPr>
      <w:r w:rsidRPr="003F2BFF">
        <w:t>World Health Organization. (2019). Microplastics in drinking-water. https://www.who.int/publications/i/item/9789241516198</w:t>
      </w:r>
    </w:p>
    <w:p w14:paraId="3F53DF62" w14:textId="77777777" w:rsidR="003F2BFF" w:rsidRPr="003F2BFF" w:rsidRDefault="003F2BFF" w:rsidP="003F2BFF">
      <w:pPr>
        <w:pStyle w:val="BodyText"/>
      </w:pPr>
      <w:r w:rsidRPr="003F2BFF">
        <w:t>World Health Organization. (2022). Dietary and inhalation exposure to nano- and microplastic particles and potential implications for human health. https://www.who.int/publications/i/item/9789240054608</w:t>
      </w:r>
    </w:p>
    <w:p w14:paraId="0FAD828E" w14:textId="77777777" w:rsidR="003F2BFF" w:rsidRPr="003F2BFF" w:rsidRDefault="003F2BFF" w:rsidP="003F2BFF">
      <w:pPr>
        <w:pStyle w:val="BodyText"/>
      </w:pPr>
      <w:r w:rsidRPr="003F2BFF">
        <w:t>Yang, L., Kang, S., Luo, X., &amp; Wang, Z. (2024). Microplastics in drinking water: A review on methods, occurrence, sources, and potential risks assessment. Environmental Pollution, 348, 123857. https://doi.org/10.1016/j.envpol.2024.123857</w:t>
      </w:r>
    </w:p>
    <w:p w14:paraId="44404E99" w14:textId="0E762DCC" w:rsidR="003F2BFF" w:rsidRPr="003F2BFF" w:rsidRDefault="003F2BFF" w:rsidP="003F2BFF">
      <w:pPr>
        <w:pStyle w:val="BodyText"/>
      </w:pPr>
      <w:r w:rsidRPr="003F2BFF">
        <w:t>Zettler, E. R., Mincer, T. J., &amp; Amaral-Zettler, L. A. (2013). Life in the “Plastisphere”: Microbial communities on plastic marine debris. Environmental Science &amp; Technology, 47(13), 7137–7146. https://doi.org/10.1021/es401288x</w:t>
      </w:r>
      <w:bookmarkEnd w:id="53"/>
    </w:p>
    <w:sectPr w:rsidR="003F2BFF" w:rsidRPr="003F2BFF">
      <w:headerReference w:type="even" r:id="rId7"/>
      <w:headerReference w:type="default" r:id="rId8"/>
      <w:footerReference w:type="even" r:id="rId9"/>
      <w:footerReference w:type="default" r:id="rId10"/>
      <w:headerReference w:type="first" r:id="rId11"/>
      <w:footerReference w:type="first" r:id="rId12"/>
      <w:pgSz w:w="12240" w:h="15840"/>
      <w:pgMar w:top="979" w:right="979" w:bottom="979" w:left="979" w:header="432"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AE62A" w14:textId="77777777" w:rsidR="00C41934" w:rsidRDefault="00C41934">
      <w:pPr>
        <w:spacing w:after="0"/>
      </w:pPr>
      <w:r>
        <w:separator/>
      </w:r>
    </w:p>
  </w:endnote>
  <w:endnote w:type="continuationSeparator" w:id="0">
    <w:p w14:paraId="2DE9557C" w14:textId="77777777" w:rsidR="00C41934" w:rsidRDefault="00C419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B434" w14:textId="77777777" w:rsidR="009A2E5C" w:rsidRDefault="009A2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B7DA" w14:textId="77777777" w:rsidR="007868D8" w:rsidRDefault="00000000">
    <w:pPr>
      <w:spacing w:after="0"/>
      <w:jc w:val="center"/>
    </w:pPr>
    <w:r>
      <w:rPr>
        <w:rFonts w:ascii="Times New Roman" w:hAnsi="Times New Roman"/>
        <w:color w:val="666666"/>
        <w:sz w:val="18"/>
      </w:rPr>
      <w:fldChar w:fldCharType="begin"/>
    </w:r>
    <w:r>
      <w:rPr>
        <w:rFonts w:ascii="Times New Roman" w:hAnsi="Times New Roman"/>
        <w:color w:val="666666"/>
        <w:sz w:val="18"/>
      </w:rPr>
      <w:instrText xml:space="preserve"> PAGE </w:instrText>
    </w:r>
    <w:r>
      <w:rPr>
        <w:rFonts w:ascii="Times New Roman" w:hAnsi="Times New Roman"/>
        <w:color w:val="666666"/>
        <w:sz w:val="18"/>
      </w:rPr>
      <w:fldChar w:fldCharType="separate"/>
    </w:r>
    <w:r w:rsidR="003F2BFF">
      <w:rPr>
        <w:rFonts w:ascii="Times New Roman" w:hAnsi="Times New Roman"/>
        <w:noProof/>
        <w:color w:val="666666"/>
        <w:sz w:val="18"/>
      </w:rPr>
      <w:t>1</w:t>
    </w:r>
    <w:r>
      <w:rPr>
        <w:rFonts w:ascii="Times New Roman" w:hAnsi="Times New Roman"/>
        <w:color w:val="666666"/>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007DE" w14:textId="77777777" w:rsidR="009A2E5C" w:rsidRDefault="009A2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8F23" w14:textId="77777777" w:rsidR="00C41934" w:rsidRDefault="00C41934">
      <w:r>
        <w:separator/>
      </w:r>
    </w:p>
  </w:footnote>
  <w:footnote w:type="continuationSeparator" w:id="0">
    <w:p w14:paraId="2FE881F5" w14:textId="77777777" w:rsidR="00C41934" w:rsidRDefault="00C41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7C7D" w14:textId="3C96A88D" w:rsidR="009A2E5C" w:rsidRDefault="009A2E5C">
    <w:pPr>
      <w:pStyle w:val="Header"/>
    </w:pPr>
    <w:r>
      <w:rPr>
        <w:noProof/>
      </w:rPr>
      <w:pict w14:anchorId="217911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05360" o:spid="_x0000_s1026" type="#_x0000_t136" style="position:absolute;margin-left:0;margin-top:0;width:644.25pt;height:80.5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CF75" w14:textId="03FB2C30" w:rsidR="007868D8" w:rsidRDefault="009A2E5C">
    <w:r>
      <w:rPr>
        <w:noProof/>
      </w:rPr>
      <w:pict w14:anchorId="5F561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05361" o:spid="_x0000_s1027" type="#_x0000_t136" style="position:absolute;margin-left:0;margin-top:0;width:644.25pt;height:80.5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64A2" w14:textId="40F72B48" w:rsidR="009A2E5C" w:rsidRDefault="009A2E5C">
    <w:pPr>
      <w:pStyle w:val="Header"/>
    </w:pPr>
    <w:r>
      <w:rPr>
        <w:noProof/>
      </w:rPr>
      <w:pict w14:anchorId="0C660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05359" o:spid="_x0000_s1025" type="#_x0000_t136" style="position:absolute;margin-left:0;margin-top:0;width:644.25pt;height:80.5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EFCC63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206998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68D8"/>
    <w:rsid w:val="002D2A65"/>
    <w:rsid w:val="003F2BFF"/>
    <w:rsid w:val="007868D8"/>
    <w:rsid w:val="00872931"/>
    <w:rsid w:val="009A2E5C"/>
    <w:rsid w:val="00C41934"/>
    <w:rsid w:val="00D1149D"/>
    <w:rsid w:val="00D24068"/>
    <w:rsid w:val="00D34ED3"/>
    <w:rsid w:val="00E74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AFAD2"/>
  <w15:docId w15:val="{33205D60-1396-43A9-AC7B-C86543D8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rFonts w:ascii="Times New Roman" w:eastAsia="Times New Roman" w:hAnsi="Times New Roman"/>
      <w:color w:val="0563C1"/>
      <w:sz w:val="20"/>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9A2E5C"/>
    <w:pPr>
      <w:tabs>
        <w:tab w:val="center" w:pos="4513"/>
        <w:tab w:val="right" w:pos="9026"/>
      </w:tabs>
      <w:spacing w:after="0"/>
    </w:pPr>
  </w:style>
  <w:style w:type="character" w:customStyle="1" w:styleId="HeaderChar">
    <w:name w:val="Header Char"/>
    <w:basedOn w:val="DefaultParagraphFont"/>
    <w:link w:val="Header"/>
    <w:rsid w:val="009A2E5C"/>
  </w:style>
  <w:style w:type="paragraph" w:styleId="Footer">
    <w:name w:val="footer"/>
    <w:basedOn w:val="Normal"/>
    <w:link w:val="FooterChar"/>
    <w:rsid w:val="009A2E5C"/>
    <w:pPr>
      <w:tabs>
        <w:tab w:val="center" w:pos="4513"/>
        <w:tab w:val="right" w:pos="9026"/>
      </w:tabs>
      <w:spacing w:after="0"/>
    </w:pPr>
  </w:style>
  <w:style w:type="character" w:customStyle="1" w:styleId="FooterChar">
    <w:name w:val="Footer Char"/>
    <w:basedOn w:val="DefaultParagraphFont"/>
    <w:link w:val="Footer"/>
    <w:rsid w:val="009A2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30</Pages>
  <Words>18485</Words>
  <Characters>105366</Characters>
  <Application>Microsoft Office Word</Application>
  <DocSecurity>0</DocSecurity>
  <Lines>878</Lines>
  <Paragraphs>247</Paragraphs>
  <ScaleCrop>false</ScaleCrop>
  <Company>HP</Company>
  <LinksUpToDate>false</LinksUpToDate>
  <CharactersWithSpaces>123604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Microplastic Pollution in Aquatic Ecosystems: A Critical Synthesis of Sources, Transport, Ecotoxicological Effects, and Human-Health Implications</dc:title>
  <dc:subject>Critical narrative review</dc:subject>
  <dc:creator/>
  <cp:keywords>microplastics; aquatic ecosystems; ecotoxicology; environmental fate; human exposure</cp:keywords>
  <dc:description/>
  <cp:lastModifiedBy>SDI 1166</cp:lastModifiedBy>
  <cp:revision>4</cp:revision>
  <dcterms:created xsi:type="dcterms:W3CDTF">2026-09-17T15:49:00Z</dcterms:created>
  <dcterms:modified xsi:type="dcterms:W3CDTF">2026-09-18T11:48:00Z</dcterms:modified>
</cp:coreProperties>
</file>