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3A2AA" w14:textId="4DF6D6D3" w:rsidR="00ED07E1" w:rsidRPr="00ED07E1" w:rsidRDefault="00ED07E1" w:rsidP="00ED07E1">
      <w:pPr>
        <w:pStyle w:val="Author"/>
        <w:spacing w:line="240" w:lineRule="auto"/>
        <w:jc w:val="left"/>
        <w:rPr>
          <w:rFonts w:ascii="Arial" w:hAnsi="Arial" w:cs="Arial"/>
          <w:bCs/>
          <w:iCs/>
          <w:kern w:val="28"/>
          <w:sz w:val="36"/>
          <w:u w:val="single"/>
          <w:lang w:val="en-IN"/>
        </w:rPr>
      </w:pPr>
      <w:r w:rsidRPr="00ED07E1">
        <w:rPr>
          <w:rFonts w:ascii="Arial" w:hAnsi="Arial" w:cs="Arial"/>
          <w:bCs/>
          <w:iCs/>
          <w:kern w:val="28"/>
          <w:sz w:val="36"/>
          <w:u w:val="single"/>
          <w:lang w:val="en-IN"/>
        </w:rPr>
        <w:t>Original Research Article</w:t>
      </w:r>
    </w:p>
    <w:p w14:paraId="0FA39D6E" w14:textId="0FDA0D79" w:rsidR="001E3FD0" w:rsidRPr="001E3FD0" w:rsidRDefault="001E3FD0" w:rsidP="00160774">
      <w:pPr>
        <w:pStyle w:val="Author"/>
        <w:spacing w:line="240" w:lineRule="auto"/>
        <w:rPr>
          <w:rFonts w:ascii="Arial" w:hAnsi="Arial" w:cs="Arial"/>
          <w:bCs/>
          <w:iCs/>
          <w:kern w:val="28"/>
          <w:sz w:val="36"/>
          <w:lang w:val="en-IN"/>
        </w:rPr>
      </w:pPr>
      <w:r>
        <w:rPr>
          <w:rFonts w:ascii="Arial" w:hAnsi="Arial" w:cs="Arial"/>
          <w:bCs/>
          <w:iCs/>
          <w:kern w:val="28"/>
          <w:sz w:val="36"/>
          <w:lang w:val="en-IN"/>
        </w:rPr>
        <w:t>D</w:t>
      </w:r>
      <w:r w:rsidRPr="001E3FD0">
        <w:rPr>
          <w:rFonts w:ascii="Arial" w:hAnsi="Arial" w:cs="Arial"/>
          <w:bCs/>
          <w:iCs/>
          <w:kern w:val="28"/>
          <w:sz w:val="36"/>
          <w:lang w:val="en-IN"/>
        </w:rPr>
        <w:t xml:space="preserve">ietary Quercetin Pretreatment Protects Against UV-C Radiation-Induced Seizure Vulnerability, Motor, and Visual Biomarker Impairments in </w:t>
      </w:r>
      <w:r w:rsidRPr="001E3FD0">
        <w:rPr>
          <w:rFonts w:ascii="Arial" w:hAnsi="Arial" w:cs="Arial"/>
          <w:bCs/>
          <w:i/>
          <w:iCs/>
          <w:kern w:val="28"/>
          <w:sz w:val="36"/>
          <w:lang w:val="en-IN"/>
        </w:rPr>
        <w:t>Drosophila melanogaster</w:t>
      </w:r>
    </w:p>
    <w:p w14:paraId="767122CA" w14:textId="77777777" w:rsidR="007830CE" w:rsidRDefault="007830CE" w:rsidP="00441B6F">
      <w:pPr>
        <w:pStyle w:val="Author"/>
        <w:spacing w:line="240" w:lineRule="auto"/>
        <w:rPr>
          <w:rFonts w:ascii="Arial" w:hAnsi="Arial" w:cs="Arial"/>
        </w:rPr>
      </w:pPr>
    </w:p>
    <w:p w14:paraId="1EE2F2C5" w14:textId="77777777" w:rsidR="00ED07E1" w:rsidRDefault="00ED07E1" w:rsidP="00441B6F">
      <w:pPr>
        <w:pStyle w:val="Affiliation"/>
        <w:spacing w:after="0" w:line="240" w:lineRule="auto"/>
        <w:rPr>
          <w:rFonts w:ascii="Arial" w:hAnsi="Arial" w:cs="Arial"/>
          <w:i/>
        </w:rPr>
      </w:pPr>
    </w:p>
    <w:p w14:paraId="56F8BFFA" w14:textId="77777777" w:rsidR="00790ADA" w:rsidRDefault="00790ADA" w:rsidP="00441B6F">
      <w:pPr>
        <w:pStyle w:val="Affiliation"/>
        <w:spacing w:after="0" w:line="240" w:lineRule="auto"/>
        <w:jc w:val="both"/>
        <w:rPr>
          <w:rFonts w:ascii="Arial" w:hAnsi="Arial" w:cs="Arial"/>
        </w:rPr>
      </w:pPr>
    </w:p>
    <w:p w14:paraId="1FE9ACD8" w14:textId="77777777" w:rsidR="002C57D2" w:rsidRPr="00FB3A86" w:rsidRDefault="002C57D2" w:rsidP="00441B6F">
      <w:pPr>
        <w:pStyle w:val="Affiliation"/>
        <w:spacing w:after="0" w:line="240" w:lineRule="auto"/>
        <w:jc w:val="both"/>
        <w:rPr>
          <w:rFonts w:ascii="Arial" w:hAnsi="Arial" w:cs="Arial"/>
        </w:rPr>
      </w:pPr>
    </w:p>
    <w:p w14:paraId="629897D5" w14:textId="38039D61" w:rsidR="00B01FCD" w:rsidRPr="00FB3A86" w:rsidRDefault="005C34EC" w:rsidP="00441B6F">
      <w:pPr>
        <w:pStyle w:val="Copyright"/>
        <w:spacing w:after="0" w:line="240" w:lineRule="auto"/>
        <w:jc w:val="both"/>
        <w:rPr>
          <w:rFonts w:ascii="Arial" w:hAnsi="Arial" w:cs="Arial"/>
        </w:rPr>
        <w:sectPr w:rsidR="00B01FCD" w:rsidRPr="00FB3A86" w:rsidSect="00131E35">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323A8F6" wp14:editId="74032732">
                <wp:extent cx="5303520" cy="635"/>
                <wp:effectExtent l="13335" t="13335" r="17145" b="15240"/>
                <wp:docPr id="40834166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0654A7E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1305BD85" w14:textId="613166BB" w:rsidR="00B01FCD" w:rsidRDefault="00B01FCD" w:rsidP="00153002">
      <w:pPr>
        <w:pStyle w:val="AbstHead"/>
        <w:spacing w:after="0"/>
        <w:rPr>
          <w:rFonts w:ascii="Arial" w:hAnsi="Arial" w:cs="Arial"/>
        </w:rPr>
      </w:pPr>
      <w:r w:rsidRPr="00FB3A86">
        <w:rPr>
          <w:rFonts w:ascii="Arial" w:hAnsi="Arial" w:cs="Arial"/>
        </w:rPr>
        <w:t>ABSTRACT</w:t>
      </w:r>
      <w:r w:rsidR="0066510A">
        <w:rPr>
          <w:rFonts w:ascii="Arial" w:hAnsi="Arial" w:cs="Arial"/>
        </w:rPr>
        <w:t xml:space="preserve"> </w:t>
      </w:r>
    </w:p>
    <w:p w14:paraId="5E444373"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1D8D18F1" w14:textId="77777777" w:rsidTr="001E44FE">
        <w:tc>
          <w:tcPr>
            <w:tcW w:w="9576" w:type="dxa"/>
            <w:shd w:val="clear" w:color="auto" w:fill="F2F2F2"/>
          </w:tcPr>
          <w:p w14:paraId="36928DC6" w14:textId="77777777" w:rsidR="0017475B" w:rsidRDefault="00DF4F81" w:rsidP="0017475B">
            <w:pPr>
              <w:pStyle w:val="Body"/>
              <w:rPr>
                <w:rFonts w:ascii="Arial" w:eastAsia="Calibri" w:hAnsi="Arial" w:cs="Arial"/>
                <w:bCs/>
                <w:szCs w:val="22"/>
              </w:rPr>
            </w:pPr>
            <w:r>
              <w:rPr>
                <w:rFonts w:ascii="Arial" w:eastAsia="Calibri" w:hAnsi="Arial" w:cs="Arial"/>
                <w:b/>
                <w:szCs w:val="22"/>
              </w:rPr>
              <w:t xml:space="preserve">Aims: </w:t>
            </w:r>
            <w:r w:rsidR="00FC30D5" w:rsidRPr="00FC30D5">
              <w:rPr>
                <w:rFonts w:ascii="Arial" w:eastAsia="Calibri" w:hAnsi="Arial" w:cs="Arial"/>
                <w:bCs/>
                <w:szCs w:val="22"/>
              </w:rPr>
              <w:t xml:space="preserve">UV radiation is a type of non-ionizing radiation. It is ubiquitous in the environment and becomes hazardous with prolonged exposure. It can instigate progressive neuro-behavioral impairment primarily through reactive oxygen species-mediated nervous system toxicity. This study evaluated the radioprotective efficacy of the flavonoid quercetin pre-treatment against radiation induced mechanical shock, motor, and visual deficits in adult </w:t>
            </w:r>
            <w:r w:rsidR="00FC30D5" w:rsidRPr="00FC30D5">
              <w:rPr>
                <w:rFonts w:ascii="Arial" w:eastAsia="Calibri" w:hAnsi="Arial" w:cs="Arial"/>
                <w:bCs/>
                <w:i/>
                <w:iCs/>
                <w:szCs w:val="22"/>
              </w:rPr>
              <w:t>Drosophila</w:t>
            </w:r>
            <w:r w:rsidR="00FC30D5" w:rsidRPr="00FC30D5">
              <w:rPr>
                <w:rFonts w:ascii="Arial" w:eastAsia="Calibri" w:hAnsi="Arial" w:cs="Arial"/>
                <w:bCs/>
                <w:szCs w:val="22"/>
              </w:rPr>
              <w:t xml:space="preserve"> </w:t>
            </w:r>
            <w:r w:rsidR="00FC30D5" w:rsidRPr="00FC30D5">
              <w:rPr>
                <w:rFonts w:ascii="Arial" w:eastAsia="Calibri" w:hAnsi="Arial" w:cs="Arial"/>
                <w:bCs/>
                <w:i/>
                <w:iCs/>
                <w:szCs w:val="22"/>
              </w:rPr>
              <w:t>melanogaster</w:t>
            </w:r>
            <w:r w:rsidR="00FC30D5" w:rsidRPr="00FC30D5">
              <w:rPr>
                <w:rFonts w:ascii="Arial" w:eastAsia="Calibri" w:hAnsi="Arial" w:cs="Arial"/>
                <w:bCs/>
                <w:szCs w:val="22"/>
              </w:rPr>
              <w:t>.</w:t>
            </w:r>
          </w:p>
          <w:p w14:paraId="215AED90" w14:textId="77777777" w:rsidR="0017475B" w:rsidRDefault="00DF4F81" w:rsidP="0017475B">
            <w:pPr>
              <w:pStyle w:val="Body"/>
              <w:rPr>
                <w:rFonts w:ascii="Arial" w:eastAsia="Calibri" w:hAnsi="Arial" w:cs="Arial"/>
                <w:bCs/>
                <w:szCs w:val="22"/>
                <w:lang w:val="en-IN"/>
              </w:rPr>
            </w:pPr>
            <w:r w:rsidRPr="00DF4F81">
              <w:rPr>
                <w:rFonts w:ascii="Arial" w:eastAsia="Calibri" w:hAnsi="Arial" w:cs="Arial"/>
                <w:b/>
                <w:szCs w:val="22"/>
              </w:rPr>
              <w:t>Study design:</w:t>
            </w:r>
            <w:r w:rsidRPr="00DF4F81">
              <w:rPr>
                <w:rFonts w:ascii="Arial" w:eastAsia="Calibri" w:hAnsi="Arial" w:cs="Arial"/>
                <w:bCs/>
                <w:szCs w:val="22"/>
              </w:rPr>
              <w:t xml:space="preserve"> </w:t>
            </w:r>
            <w:r w:rsidR="00FC30D5" w:rsidRPr="00FC30D5">
              <w:rPr>
                <w:rFonts w:ascii="Arial" w:eastAsia="Calibri" w:hAnsi="Arial" w:cs="Arial"/>
                <w:bCs/>
                <w:szCs w:val="22"/>
                <w:lang w:val="en-IN"/>
              </w:rPr>
              <w:t xml:space="preserve">To evaluate the radioprotective effects of quercetin against UV-C radiation. Post UV exposure recovery was quantified across mechanical shock, locomotor, phototactic, and geotactic domains using some </w:t>
            </w:r>
            <w:proofErr w:type="spellStart"/>
            <w:r w:rsidR="00FC30D5" w:rsidRPr="00FC30D5">
              <w:rPr>
                <w:rFonts w:ascii="Arial" w:eastAsia="Calibri" w:hAnsi="Arial" w:cs="Arial"/>
                <w:bCs/>
                <w:szCs w:val="22"/>
                <w:lang w:val="en-IN"/>
              </w:rPr>
              <w:t>behavioral</w:t>
            </w:r>
            <w:proofErr w:type="spellEnd"/>
            <w:r w:rsidR="00FC30D5" w:rsidRPr="00FC30D5">
              <w:rPr>
                <w:rFonts w:ascii="Arial" w:eastAsia="Calibri" w:hAnsi="Arial" w:cs="Arial"/>
                <w:bCs/>
                <w:szCs w:val="22"/>
                <w:lang w:val="en-IN"/>
              </w:rPr>
              <w:t xml:space="preserve"> tests and biological markers.</w:t>
            </w:r>
          </w:p>
          <w:p w14:paraId="671B0137" w14:textId="37D92B32" w:rsidR="00BA1B01" w:rsidRPr="0017475B" w:rsidRDefault="00BA1B01" w:rsidP="0017475B">
            <w:pPr>
              <w:pStyle w:val="Body"/>
              <w:rPr>
                <w:rFonts w:ascii="Arial" w:eastAsia="Calibri" w:hAnsi="Arial" w:cs="Arial"/>
                <w:bCs/>
                <w:szCs w:val="22"/>
                <w:lang w:val="en-IN"/>
              </w:rPr>
            </w:pPr>
            <w:r w:rsidRPr="00BA1B01">
              <w:rPr>
                <w:rFonts w:ascii="Arial" w:eastAsia="Calibri" w:hAnsi="Arial" w:cs="Arial"/>
                <w:b/>
                <w:szCs w:val="22"/>
              </w:rPr>
              <w:t>Place and Duration of Study:</w:t>
            </w:r>
            <w:r w:rsidR="00315186">
              <w:rPr>
                <w:rFonts w:ascii="Arial" w:eastAsia="Calibri" w:hAnsi="Arial" w:cs="Arial"/>
                <w:szCs w:val="22"/>
              </w:rPr>
              <w:t xml:space="preserve"> </w:t>
            </w:r>
            <w:r w:rsidR="00172B2C">
              <w:rPr>
                <w:rFonts w:ascii="Arial" w:eastAsia="Calibri" w:hAnsi="Arial" w:cs="Arial"/>
                <w:szCs w:val="22"/>
              </w:rPr>
              <w:t>Graduate and Post</w:t>
            </w:r>
            <w:r w:rsidR="001949FC">
              <w:rPr>
                <w:rFonts w:ascii="Arial" w:eastAsia="Calibri" w:hAnsi="Arial" w:cs="Arial"/>
                <w:szCs w:val="22"/>
              </w:rPr>
              <w:t>g</w:t>
            </w:r>
            <w:r w:rsidR="00172B2C">
              <w:rPr>
                <w:rFonts w:ascii="Arial" w:eastAsia="Calibri" w:hAnsi="Arial" w:cs="Arial"/>
                <w:szCs w:val="22"/>
              </w:rPr>
              <w:t xml:space="preserve">raduate </w:t>
            </w:r>
            <w:r w:rsidRPr="00BA1B01">
              <w:rPr>
                <w:rFonts w:ascii="Arial" w:eastAsia="Calibri" w:hAnsi="Arial" w:cs="Arial"/>
                <w:szCs w:val="22"/>
              </w:rPr>
              <w:t xml:space="preserve">Department of </w:t>
            </w:r>
            <w:r w:rsidR="00172B2C">
              <w:rPr>
                <w:rFonts w:ascii="Arial" w:eastAsia="Calibri" w:hAnsi="Arial" w:cs="Arial"/>
                <w:szCs w:val="22"/>
              </w:rPr>
              <w:t>Zoology,</w:t>
            </w:r>
            <w:r w:rsidRPr="00BA1B01">
              <w:rPr>
                <w:rFonts w:ascii="Arial" w:eastAsia="Calibri" w:hAnsi="Arial" w:cs="Arial"/>
                <w:szCs w:val="22"/>
              </w:rPr>
              <w:t xml:space="preserve"> </w:t>
            </w:r>
            <w:r w:rsidR="00172B2C">
              <w:rPr>
                <w:rFonts w:ascii="Arial" w:eastAsia="Calibri" w:hAnsi="Arial" w:cs="Arial"/>
                <w:szCs w:val="22"/>
              </w:rPr>
              <w:t>Asutosh College, Kolkata-700026, and Dinabandhu Andrews College, Kolkata-700084, West Bengal, India,</w:t>
            </w:r>
            <w:r w:rsidRPr="00BA1B01">
              <w:rPr>
                <w:rFonts w:ascii="Arial" w:eastAsia="Calibri" w:hAnsi="Arial" w:cs="Arial"/>
                <w:szCs w:val="22"/>
              </w:rPr>
              <w:t xml:space="preserve"> between J</w:t>
            </w:r>
            <w:r w:rsidR="00172B2C">
              <w:rPr>
                <w:rFonts w:ascii="Arial" w:eastAsia="Calibri" w:hAnsi="Arial" w:cs="Arial"/>
                <w:szCs w:val="22"/>
              </w:rPr>
              <w:t>anuary</w:t>
            </w:r>
            <w:r w:rsidRPr="00BA1B01">
              <w:rPr>
                <w:rFonts w:ascii="Arial" w:eastAsia="Calibri" w:hAnsi="Arial" w:cs="Arial"/>
                <w:szCs w:val="22"/>
              </w:rPr>
              <w:t xml:space="preserve"> 20</w:t>
            </w:r>
            <w:r w:rsidR="00172B2C">
              <w:rPr>
                <w:rFonts w:ascii="Arial" w:eastAsia="Calibri" w:hAnsi="Arial" w:cs="Arial"/>
                <w:szCs w:val="22"/>
              </w:rPr>
              <w:t>25</w:t>
            </w:r>
            <w:r w:rsidRPr="00BA1B01">
              <w:rPr>
                <w:rFonts w:ascii="Arial" w:eastAsia="Calibri" w:hAnsi="Arial" w:cs="Arial"/>
                <w:szCs w:val="22"/>
              </w:rPr>
              <w:t xml:space="preserve"> and </w:t>
            </w:r>
            <w:r w:rsidR="00172B2C">
              <w:rPr>
                <w:rFonts w:ascii="Arial" w:eastAsia="Calibri" w:hAnsi="Arial" w:cs="Arial"/>
                <w:szCs w:val="22"/>
              </w:rPr>
              <w:t>June</w:t>
            </w:r>
            <w:r w:rsidRPr="00BA1B01">
              <w:rPr>
                <w:rFonts w:ascii="Arial" w:eastAsia="Calibri" w:hAnsi="Arial" w:cs="Arial"/>
                <w:szCs w:val="22"/>
              </w:rPr>
              <w:t xml:space="preserve"> 20</w:t>
            </w:r>
            <w:r w:rsidR="00172B2C">
              <w:rPr>
                <w:rFonts w:ascii="Arial" w:eastAsia="Calibri" w:hAnsi="Arial" w:cs="Arial"/>
                <w:szCs w:val="22"/>
              </w:rPr>
              <w:t>26</w:t>
            </w:r>
            <w:r w:rsidRPr="00BA1B01">
              <w:rPr>
                <w:rFonts w:ascii="Arial" w:eastAsia="Calibri" w:hAnsi="Arial" w:cs="Arial"/>
                <w:szCs w:val="22"/>
              </w:rPr>
              <w:t>.</w:t>
            </w:r>
          </w:p>
          <w:p w14:paraId="120A8A1A" w14:textId="4926BD37" w:rsidR="00BA1B01" w:rsidRPr="00FC30D5" w:rsidRDefault="00BA1B01" w:rsidP="00FC30D5">
            <w:pPr>
              <w:pStyle w:val="Body"/>
              <w:rPr>
                <w:rFonts w:ascii="Arial" w:eastAsia="Calibri" w:hAnsi="Arial" w:cs="Arial"/>
                <w:lang w:val="en-IN"/>
              </w:rPr>
            </w:pPr>
            <w:r w:rsidRPr="00BA1B01">
              <w:rPr>
                <w:rFonts w:ascii="Arial" w:eastAsia="Calibri" w:hAnsi="Arial" w:cs="Arial"/>
                <w:b/>
                <w:bCs/>
                <w:szCs w:val="22"/>
              </w:rPr>
              <w:t>Methodology:</w:t>
            </w:r>
            <w:r w:rsidRPr="00BA1B01">
              <w:rPr>
                <w:rFonts w:ascii="Arial" w:eastAsia="Calibri" w:hAnsi="Arial" w:cs="Arial"/>
                <w:szCs w:val="22"/>
              </w:rPr>
              <w:t xml:space="preserve"> </w:t>
            </w:r>
            <w:r w:rsidR="00FC30D5" w:rsidRPr="00FC30D5">
              <w:rPr>
                <w:rFonts w:ascii="Arial" w:eastAsia="Calibri" w:hAnsi="Arial" w:cs="Arial"/>
                <w:lang w:val="en-IN"/>
              </w:rPr>
              <w:t xml:space="preserve">This study used a four-cohort comparative design (control, pre-quercetin treated, UV-C treated and pre-quercetin treated then UV-C treated) in </w:t>
            </w:r>
            <w:r w:rsidR="00FC30D5" w:rsidRPr="00FC30D5">
              <w:rPr>
                <w:rFonts w:ascii="Arial" w:eastAsia="Calibri" w:hAnsi="Arial" w:cs="Arial"/>
                <w:i/>
                <w:iCs/>
                <w:lang w:val="en-IN"/>
              </w:rPr>
              <w:t>Drosophila melanogaster</w:t>
            </w:r>
            <w:r w:rsidR="00FC30D5" w:rsidRPr="00FC30D5">
              <w:rPr>
                <w:rFonts w:ascii="Arial" w:eastAsia="Calibri" w:hAnsi="Arial" w:cs="Arial"/>
                <w:lang w:val="en-IN"/>
              </w:rPr>
              <w:t>. The larvae and adult flies received a quercetin supplemented diet (100μM) before exposure to UV-C radiation (360J/m</w:t>
            </w:r>
            <w:r w:rsidR="00FC30D5" w:rsidRPr="00FC30D5">
              <w:rPr>
                <w:rFonts w:ascii="Arial" w:eastAsia="Calibri" w:hAnsi="Arial" w:cs="Arial"/>
                <w:vertAlign w:val="superscript"/>
                <w:lang w:val="en-IN"/>
              </w:rPr>
              <w:t>2</w:t>
            </w:r>
            <w:r w:rsidR="00FC30D5" w:rsidRPr="00FC30D5">
              <w:rPr>
                <w:rFonts w:ascii="Arial" w:eastAsia="Calibri" w:hAnsi="Arial" w:cs="Arial"/>
                <w:lang w:val="en-IN"/>
              </w:rPr>
              <w:t>) for 120 seconds. Some important functional biomarkers- adult locomotory (climbing) activity, seizure recovery, +</w:t>
            </w:r>
            <w:proofErr w:type="spellStart"/>
            <w:r w:rsidR="00FC30D5" w:rsidRPr="00FC30D5">
              <w:rPr>
                <w:rFonts w:ascii="Arial" w:eastAsia="Calibri" w:hAnsi="Arial" w:cs="Arial"/>
                <w:lang w:val="en-IN"/>
              </w:rPr>
              <w:t>ve</w:t>
            </w:r>
            <w:proofErr w:type="spellEnd"/>
            <w:r w:rsidR="00FC30D5" w:rsidRPr="00FC30D5">
              <w:rPr>
                <w:rFonts w:ascii="Arial" w:eastAsia="Calibri" w:hAnsi="Arial" w:cs="Arial"/>
                <w:lang w:val="en-IN"/>
              </w:rPr>
              <w:t xml:space="preserve"> phototaxis, and -</w:t>
            </w:r>
            <w:proofErr w:type="spellStart"/>
            <w:r w:rsidR="00FC30D5" w:rsidRPr="00FC30D5">
              <w:rPr>
                <w:rFonts w:ascii="Arial" w:eastAsia="Calibri" w:hAnsi="Arial" w:cs="Arial"/>
                <w:lang w:val="en-IN"/>
              </w:rPr>
              <w:t>ve</w:t>
            </w:r>
            <w:proofErr w:type="spellEnd"/>
            <w:r w:rsidR="00FC30D5" w:rsidRPr="00FC30D5">
              <w:rPr>
                <w:rFonts w:ascii="Arial" w:eastAsia="Calibri" w:hAnsi="Arial" w:cs="Arial"/>
                <w:lang w:val="en-IN"/>
              </w:rPr>
              <w:t xml:space="preserve"> geotaxis </w:t>
            </w:r>
            <w:proofErr w:type="spellStart"/>
            <w:r w:rsidR="00FC30D5" w:rsidRPr="00FC30D5">
              <w:rPr>
                <w:rFonts w:ascii="Arial" w:eastAsia="Calibri" w:hAnsi="Arial" w:cs="Arial"/>
                <w:lang w:val="en-IN"/>
              </w:rPr>
              <w:t>behaviors</w:t>
            </w:r>
            <w:proofErr w:type="spellEnd"/>
            <w:r w:rsidR="00FC30D5" w:rsidRPr="00FC30D5">
              <w:rPr>
                <w:rFonts w:ascii="Arial" w:eastAsia="Calibri" w:hAnsi="Arial" w:cs="Arial"/>
                <w:lang w:val="en-IN"/>
              </w:rPr>
              <w:t xml:space="preserve"> were systematically quantified alongside biomarker-based assessments</w:t>
            </w:r>
            <w:r w:rsidR="00E45F2D" w:rsidRPr="00E45F2D">
              <w:rPr>
                <w:rFonts w:ascii="Arial" w:eastAsia="Calibri" w:hAnsi="Arial" w:cs="Arial"/>
                <w:bCs/>
              </w:rPr>
              <w:t>.</w:t>
            </w:r>
          </w:p>
          <w:p w14:paraId="6B1A51E1" w14:textId="77777777" w:rsidR="00FC30D5" w:rsidRDefault="00BA1B01" w:rsidP="00105170">
            <w:pPr>
              <w:pStyle w:val="Body"/>
              <w:rPr>
                <w:rFonts w:ascii="Arial" w:eastAsia="Calibri" w:hAnsi="Arial" w:cs="Arial"/>
                <w:bCs/>
                <w:lang w:val="en-IN"/>
              </w:rPr>
            </w:pPr>
            <w:r w:rsidRPr="00BA1B01">
              <w:rPr>
                <w:rFonts w:ascii="Arial" w:eastAsia="Calibri" w:hAnsi="Arial" w:cs="Arial"/>
                <w:b/>
                <w:bCs/>
                <w:szCs w:val="22"/>
              </w:rPr>
              <w:t>Results:</w:t>
            </w:r>
            <w:r w:rsidRPr="00BA1B01">
              <w:rPr>
                <w:rFonts w:ascii="Arial" w:eastAsia="Calibri" w:hAnsi="Arial" w:cs="Arial"/>
                <w:szCs w:val="22"/>
              </w:rPr>
              <w:t xml:space="preserve"> </w:t>
            </w:r>
            <w:r w:rsidR="00FC30D5" w:rsidRPr="00FC30D5">
              <w:rPr>
                <w:rFonts w:ascii="Arial" w:eastAsia="Calibri" w:hAnsi="Arial" w:cs="Arial"/>
                <w:bCs/>
                <w:lang w:val="en-IN"/>
              </w:rPr>
              <w:t>Exposure to UV-C radiation severely affected climbing activity, delayed recovery after seizure shock, and disrupted adult flies’ phototactic -geotactic preferences. Dietary quercetin pre-treatment significantly ameliorated the disrupted geotactic-phototactic preference pattern, retained substantial locomotor activity, and resulted in faster post-seizure recovery.</w:t>
            </w:r>
          </w:p>
          <w:p w14:paraId="25648D4A" w14:textId="2B2AF332" w:rsidR="00505F06" w:rsidRPr="00FC30D5" w:rsidRDefault="00BA1B01" w:rsidP="00105170">
            <w:pPr>
              <w:pStyle w:val="Body"/>
              <w:rPr>
                <w:rFonts w:ascii="Arial" w:eastAsia="Calibri" w:hAnsi="Arial" w:cs="Arial"/>
                <w:szCs w:val="22"/>
                <w:lang w:val="en-IN"/>
              </w:rPr>
            </w:pPr>
            <w:r w:rsidRPr="00BA1B01">
              <w:rPr>
                <w:rFonts w:ascii="Arial" w:eastAsia="Calibri" w:hAnsi="Arial" w:cs="Arial"/>
                <w:b/>
                <w:bCs/>
                <w:szCs w:val="22"/>
              </w:rPr>
              <w:t>Conclusion:</w:t>
            </w:r>
            <w:r w:rsidRPr="00BA1B01">
              <w:rPr>
                <w:rFonts w:ascii="Arial" w:eastAsia="Calibri" w:hAnsi="Arial" w:cs="Arial"/>
                <w:szCs w:val="22"/>
              </w:rPr>
              <w:t xml:space="preserve"> </w:t>
            </w:r>
            <w:r w:rsidR="00FC30D5" w:rsidRPr="00FC30D5">
              <w:rPr>
                <w:rFonts w:ascii="Arial" w:eastAsia="Calibri" w:hAnsi="Arial" w:cs="Arial"/>
                <w:szCs w:val="22"/>
                <w:lang w:val="en-IN"/>
              </w:rPr>
              <w:t xml:space="preserve">Quercetin helps to mitigate age-dependent locomotor activity, post-recovery after mechanical shock injury, and to restore phototactic and geotactic preferences in </w:t>
            </w:r>
            <w:r w:rsidR="00FC30D5" w:rsidRPr="00FC30D5">
              <w:rPr>
                <w:rFonts w:ascii="Arial" w:eastAsia="Calibri" w:hAnsi="Arial" w:cs="Arial"/>
                <w:i/>
                <w:iCs/>
                <w:szCs w:val="22"/>
                <w:lang w:val="en-IN"/>
              </w:rPr>
              <w:t>Drosophila melanogaster</w:t>
            </w:r>
            <w:r w:rsidR="00FC30D5" w:rsidRPr="00FC30D5">
              <w:rPr>
                <w:rFonts w:ascii="Arial" w:eastAsia="Calibri" w:hAnsi="Arial" w:cs="Arial"/>
                <w:szCs w:val="22"/>
                <w:lang w:val="en-IN"/>
              </w:rPr>
              <w:t xml:space="preserve">. Protecting these physical, motor and sensory </w:t>
            </w:r>
            <w:proofErr w:type="spellStart"/>
            <w:r w:rsidR="00FC30D5" w:rsidRPr="00FC30D5">
              <w:rPr>
                <w:rFonts w:ascii="Arial" w:eastAsia="Calibri" w:hAnsi="Arial" w:cs="Arial"/>
                <w:szCs w:val="22"/>
                <w:lang w:val="en-IN"/>
              </w:rPr>
              <w:t>behavioral</w:t>
            </w:r>
            <w:proofErr w:type="spellEnd"/>
            <w:r w:rsidR="00FC30D5" w:rsidRPr="00FC30D5">
              <w:rPr>
                <w:rFonts w:ascii="Arial" w:eastAsia="Calibri" w:hAnsi="Arial" w:cs="Arial"/>
                <w:szCs w:val="22"/>
                <w:lang w:val="en-IN"/>
              </w:rPr>
              <w:t xml:space="preserve"> biomarkers highlights quercetin's potential to counteract UV-induced damage.</w:t>
            </w:r>
          </w:p>
        </w:tc>
      </w:tr>
    </w:tbl>
    <w:p w14:paraId="49028CD9" w14:textId="77777777" w:rsidR="00636EB2" w:rsidRDefault="00636EB2" w:rsidP="00441B6F">
      <w:pPr>
        <w:pStyle w:val="Body"/>
        <w:spacing w:after="0"/>
        <w:rPr>
          <w:rFonts w:ascii="Arial" w:hAnsi="Arial" w:cs="Arial"/>
          <w:i/>
        </w:rPr>
      </w:pPr>
    </w:p>
    <w:p w14:paraId="01E23CA0" w14:textId="01273B08" w:rsidR="00A24E7E" w:rsidRDefault="00A24E7E" w:rsidP="00441B6F">
      <w:pPr>
        <w:pStyle w:val="Body"/>
        <w:spacing w:after="0"/>
        <w:rPr>
          <w:rFonts w:ascii="Arial" w:hAnsi="Arial" w:cs="Arial"/>
          <w:i/>
        </w:rPr>
      </w:pPr>
      <w:r>
        <w:rPr>
          <w:rFonts w:ascii="Arial" w:hAnsi="Arial" w:cs="Arial"/>
          <w:i/>
        </w:rPr>
        <w:lastRenderedPageBreak/>
        <w:t xml:space="preserve">Keywords: </w:t>
      </w:r>
      <w:r w:rsidR="00DF4F81" w:rsidRPr="00207B23">
        <w:rPr>
          <w:rFonts w:ascii="Arial" w:eastAsia="Calibri" w:hAnsi="Arial" w:cs="Arial"/>
          <w:bCs/>
          <w:i/>
          <w:iCs/>
          <w:szCs w:val="22"/>
        </w:rPr>
        <w:t>Drosophila melanogaster</w:t>
      </w:r>
      <w:r w:rsidR="00DF4F81">
        <w:rPr>
          <w:rFonts w:ascii="Arial" w:eastAsia="Calibri" w:hAnsi="Arial" w:cs="Arial"/>
          <w:bCs/>
          <w:i/>
          <w:iCs/>
          <w:szCs w:val="22"/>
        </w:rPr>
        <w:t>, quercetin, UV radiation, radioprotection,</w:t>
      </w:r>
      <w:r w:rsidR="00782B5D">
        <w:rPr>
          <w:rFonts w:ascii="Arial" w:eastAsia="Calibri" w:hAnsi="Arial" w:cs="Arial"/>
          <w:bCs/>
          <w:i/>
          <w:iCs/>
          <w:szCs w:val="22"/>
        </w:rPr>
        <w:t xml:space="preserve"> </w:t>
      </w:r>
      <w:proofErr w:type="spellStart"/>
      <w:r w:rsidR="00782B5D" w:rsidRPr="004E4DD3">
        <w:rPr>
          <w:rFonts w:ascii="Arial" w:eastAsia="Calibri" w:hAnsi="Arial" w:cs="Arial"/>
          <w:bCs/>
          <w:szCs w:val="22"/>
          <w:lang w:val="en-IN"/>
        </w:rPr>
        <w:t>behavioral</w:t>
      </w:r>
      <w:proofErr w:type="spellEnd"/>
      <w:r w:rsidR="00782B5D" w:rsidRPr="004E4DD3">
        <w:rPr>
          <w:rFonts w:ascii="Arial" w:eastAsia="Calibri" w:hAnsi="Arial" w:cs="Arial"/>
          <w:bCs/>
          <w:szCs w:val="22"/>
          <w:lang w:val="en-IN"/>
        </w:rPr>
        <w:t xml:space="preserve"> biology</w:t>
      </w:r>
      <w:r w:rsidR="00782B5D">
        <w:rPr>
          <w:rFonts w:ascii="Arial" w:eastAsia="Calibri" w:hAnsi="Arial" w:cs="Arial"/>
          <w:bCs/>
          <w:szCs w:val="22"/>
          <w:lang w:val="en-IN"/>
        </w:rPr>
        <w:t>,</w:t>
      </w:r>
      <w:r w:rsidR="00DF4F81">
        <w:rPr>
          <w:rFonts w:ascii="Arial" w:eastAsia="Calibri" w:hAnsi="Arial" w:cs="Arial"/>
          <w:bCs/>
          <w:i/>
          <w:iCs/>
          <w:szCs w:val="22"/>
        </w:rPr>
        <w:t xml:space="preserve"> </w:t>
      </w:r>
      <w:r w:rsidR="006B21BE">
        <w:rPr>
          <w:rFonts w:ascii="Arial" w:eastAsia="Calibri" w:hAnsi="Arial" w:cs="Arial"/>
          <w:bCs/>
          <w:i/>
          <w:iCs/>
          <w:szCs w:val="22"/>
        </w:rPr>
        <w:t>phototaxis,</w:t>
      </w:r>
      <w:r w:rsidR="005F525B">
        <w:rPr>
          <w:rFonts w:ascii="Arial" w:eastAsia="Calibri" w:hAnsi="Arial" w:cs="Arial"/>
          <w:bCs/>
          <w:i/>
          <w:iCs/>
          <w:szCs w:val="22"/>
        </w:rPr>
        <w:t xml:space="preserve"> geotaxis,</w:t>
      </w:r>
      <w:r w:rsidR="006B21BE">
        <w:rPr>
          <w:rFonts w:ascii="Arial" w:eastAsia="Calibri" w:hAnsi="Arial" w:cs="Arial"/>
          <w:bCs/>
          <w:i/>
          <w:iCs/>
          <w:szCs w:val="22"/>
        </w:rPr>
        <w:t xml:space="preserve"> </w:t>
      </w:r>
      <w:r w:rsidR="00DF4F81">
        <w:rPr>
          <w:rFonts w:ascii="Arial" w:eastAsia="Calibri" w:hAnsi="Arial" w:cs="Arial"/>
          <w:bCs/>
          <w:i/>
          <w:iCs/>
          <w:szCs w:val="22"/>
        </w:rPr>
        <w:t>biomarkers</w:t>
      </w:r>
    </w:p>
    <w:p w14:paraId="649E5E3D" w14:textId="77777777" w:rsidR="0024282C" w:rsidRDefault="0024282C" w:rsidP="00441B6F">
      <w:pPr>
        <w:pStyle w:val="Body"/>
        <w:spacing w:after="0"/>
        <w:rPr>
          <w:rFonts w:ascii="Arial" w:hAnsi="Arial" w:cs="Arial"/>
          <w:i/>
          <w:sz w:val="18"/>
        </w:rPr>
      </w:pPr>
    </w:p>
    <w:p w14:paraId="2A92354F" w14:textId="77777777" w:rsidR="00505F06" w:rsidRPr="00A24E7E" w:rsidRDefault="00505F06" w:rsidP="00441B6F">
      <w:pPr>
        <w:pStyle w:val="Body"/>
        <w:spacing w:after="0"/>
        <w:rPr>
          <w:rFonts w:ascii="Arial" w:hAnsi="Arial" w:cs="Arial"/>
          <w:i/>
        </w:rPr>
      </w:pPr>
    </w:p>
    <w:p w14:paraId="4613E7CC" w14:textId="10B20A02" w:rsidR="007F7B32" w:rsidRDefault="00902823" w:rsidP="00153002">
      <w:pPr>
        <w:pStyle w:val="AbstHead"/>
        <w:spacing w:after="0"/>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4B05D9F" w14:textId="77777777" w:rsidR="00790ADA" w:rsidRPr="00FB3A86" w:rsidRDefault="00790ADA" w:rsidP="00441B6F">
      <w:pPr>
        <w:pStyle w:val="AbstHead"/>
        <w:spacing w:after="0"/>
        <w:jc w:val="both"/>
        <w:rPr>
          <w:rFonts w:ascii="Arial" w:hAnsi="Arial" w:cs="Arial"/>
        </w:rPr>
      </w:pPr>
    </w:p>
    <w:p w14:paraId="36C7315C" w14:textId="026A9AAA" w:rsidR="004E4DD3" w:rsidRPr="004E4DD3" w:rsidRDefault="004E4DD3" w:rsidP="004E4DD3">
      <w:pPr>
        <w:pStyle w:val="Body"/>
        <w:rPr>
          <w:rFonts w:ascii="Arial" w:eastAsia="Calibri" w:hAnsi="Arial" w:cs="Arial"/>
          <w:bCs/>
          <w:szCs w:val="22"/>
          <w:lang w:val="en-IN"/>
        </w:rPr>
      </w:pPr>
      <w:r w:rsidRPr="004E4DD3">
        <w:rPr>
          <w:rFonts w:ascii="Arial" w:eastAsia="Calibri" w:hAnsi="Arial" w:cs="Arial"/>
          <w:bCs/>
          <w:szCs w:val="22"/>
          <w:lang w:val="en-IN"/>
        </w:rPr>
        <w:t>Among the two types of radiation, ionizing radiation has a high frequency and can harm health by penetrating deeply into body cells and damaging them (Tiwari &amp; Wilson, 2019). Nonionizing radiation, on the other hand, has a lower frequency, but long-term exposure to UV light can still cause severe damage. Long-term exposure to UV-A and UV-B leads to premature aging, damaged skin cells, and wrinkling (Sharma et</w:t>
      </w:r>
      <w:r w:rsidR="00C36D3B">
        <w:rPr>
          <w:rFonts w:ascii="Arial" w:eastAsia="Calibri" w:hAnsi="Arial" w:cs="Arial"/>
          <w:bCs/>
          <w:szCs w:val="22"/>
          <w:lang w:val="en-IN"/>
        </w:rPr>
        <w:t>.</w:t>
      </w:r>
      <w:r w:rsidRPr="004E4DD3">
        <w:rPr>
          <w:rFonts w:ascii="Arial" w:eastAsia="Calibri" w:hAnsi="Arial" w:cs="Arial"/>
          <w:bCs/>
          <w:szCs w:val="22"/>
          <w:lang w:val="en-IN"/>
        </w:rPr>
        <w:t xml:space="preserve"> al., 2022). Among the three known types of UV rays, UV-C represents the highest-energy band of non-ionizing radiation (Badea et al., 2024). Natural UV-C is absorbed by Earth’s atmosphere, but accidental exposure to artificial UV-C can pose an even greater biological hazard. Environmental stressors such as ultraviolet-C (UV-C) radiation induce oxidative stress, leading to severe physiological and neurobehavioral impairment in biological systems (</w:t>
      </w:r>
      <w:proofErr w:type="spellStart"/>
      <w:r w:rsidRPr="004E4DD3">
        <w:rPr>
          <w:rFonts w:ascii="Arial" w:eastAsia="Calibri" w:hAnsi="Arial" w:cs="Arial"/>
          <w:bCs/>
          <w:szCs w:val="22"/>
          <w:lang w:val="en-IN"/>
        </w:rPr>
        <w:t>Mmbando</w:t>
      </w:r>
      <w:proofErr w:type="spellEnd"/>
      <w:r w:rsidRPr="004E4DD3">
        <w:rPr>
          <w:rFonts w:ascii="Arial" w:eastAsia="Calibri" w:hAnsi="Arial" w:cs="Arial"/>
          <w:bCs/>
          <w:szCs w:val="22"/>
          <w:lang w:val="en-IN"/>
        </w:rPr>
        <w:t xml:space="preserve"> and </w:t>
      </w:r>
      <w:proofErr w:type="spellStart"/>
      <w:r w:rsidRPr="004E4DD3">
        <w:rPr>
          <w:rFonts w:ascii="Arial" w:eastAsia="Calibri" w:hAnsi="Arial" w:cs="Arial"/>
          <w:bCs/>
          <w:szCs w:val="22"/>
          <w:lang w:val="en-IN"/>
        </w:rPr>
        <w:t>Ngongolo</w:t>
      </w:r>
      <w:proofErr w:type="spellEnd"/>
      <w:r w:rsidRPr="004E4DD3">
        <w:rPr>
          <w:rFonts w:ascii="Arial" w:eastAsia="Calibri" w:hAnsi="Arial" w:cs="Arial"/>
          <w:bCs/>
          <w:szCs w:val="22"/>
          <w:lang w:val="en-IN"/>
        </w:rPr>
        <w:t xml:space="preserve"> 2024). Electromagnetic radiation exposure often induces cellular oxidative stress by generating reactive oxygen species (ROS). It disrupts the integrity of the central nervous system and triggers systemic neurobehavioral decline (</w:t>
      </w:r>
      <w:proofErr w:type="spellStart"/>
      <w:r w:rsidRPr="004E4DD3">
        <w:rPr>
          <w:rFonts w:ascii="Arial" w:eastAsia="Calibri" w:hAnsi="Arial" w:cs="Arial"/>
          <w:bCs/>
          <w:szCs w:val="22"/>
          <w:lang w:val="en-IN"/>
        </w:rPr>
        <w:t>Leković</w:t>
      </w:r>
      <w:proofErr w:type="spellEnd"/>
      <w:r w:rsidRPr="004E4DD3">
        <w:rPr>
          <w:rFonts w:ascii="Arial" w:eastAsia="Calibri" w:hAnsi="Arial" w:cs="Arial"/>
          <w:bCs/>
          <w:szCs w:val="22"/>
          <w:lang w:val="en-IN"/>
        </w:rPr>
        <w:t>, 2026). Plant-based dietary antioxidants can protect against radiation by removing reactive oxygen species and reducing cell damage (Kumar and Pandey, 2013). To counteract these radiation-induced damages, natural flavonoids like curcumin and quercetin are being actively investigated. These flavonoids are important plant-based compounds with variable polyphenolic structures (Villegas-Aguilar et</w:t>
      </w:r>
      <w:r w:rsidR="00CC568A">
        <w:rPr>
          <w:rFonts w:ascii="Arial" w:eastAsia="Calibri" w:hAnsi="Arial" w:cs="Arial"/>
          <w:bCs/>
          <w:szCs w:val="22"/>
          <w:lang w:val="en-IN"/>
        </w:rPr>
        <w:t>.</w:t>
      </w:r>
      <w:r w:rsidRPr="004E4DD3">
        <w:rPr>
          <w:rFonts w:ascii="Arial" w:eastAsia="Calibri" w:hAnsi="Arial" w:cs="Arial"/>
          <w:bCs/>
          <w:szCs w:val="22"/>
          <w:lang w:val="en-IN"/>
        </w:rPr>
        <w:t xml:space="preserve"> al., 2024). Quercetin is abundant in tea and everyday superfoods like red onions, apples, berries, and tomatoes. It is a strong plant flavonoid with high antioxidant activity (</w:t>
      </w:r>
      <w:r w:rsidRPr="00CC568A">
        <w:rPr>
          <w:rFonts w:ascii="Arial" w:eastAsia="Calibri" w:hAnsi="Arial" w:cs="Arial"/>
          <w:bCs/>
          <w:szCs w:val="22"/>
          <w:lang w:val="en-IN"/>
        </w:rPr>
        <w:t>Xu et</w:t>
      </w:r>
      <w:r w:rsidR="00CC568A" w:rsidRPr="00CC568A">
        <w:rPr>
          <w:rFonts w:ascii="Arial" w:eastAsia="Calibri" w:hAnsi="Arial" w:cs="Arial"/>
          <w:bCs/>
          <w:szCs w:val="22"/>
          <w:lang w:val="en-IN"/>
        </w:rPr>
        <w:t>.</w:t>
      </w:r>
      <w:r w:rsidRPr="00CC568A">
        <w:rPr>
          <w:rFonts w:ascii="Arial" w:eastAsia="Calibri" w:hAnsi="Arial" w:cs="Arial"/>
          <w:bCs/>
          <w:szCs w:val="22"/>
          <w:lang w:val="en-IN"/>
        </w:rPr>
        <w:t xml:space="preserve"> al.,</w:t>
      </w:r>
      <w:r w:rsidRPr="004E4DD3">
        <w:rPr>
          <w:rFonts w:ascii="Arial" w:eastAsia="Calibri" w:hAnsi="Arial" w:cs="Arial"/>
          <w:bCs/>
          <w:szCs w:val="22"/>
          <w:lang w:val="en-IN"/>
        </w:rPr>
        <w:t xml:space="preserve"> 2019). That is why this compound is a part of our daily diet. Both of these flavonoids protect plants and animals from both biotic as well as abiotic stresses by acting as a unique ultraviolet (UV) filter. Research has shown their antioxidative, anti-cancer, and radioprotective effects in different animals (Mikhailova et</w:t>
      </w:r>
      <w:r w:rsidR="00CC568A">
        <w:rPr>
          <w:rFonts w:ascii="Arial" w:eastAsia="Calibri" w:hAnsi="Arial" w:cs="Arial"/>
          <w:bCs/>
          <w:szCs w:val="22"/>
          <w:lang w:val="en-IN"/>
        </w:rPr>
        <w:t>.</w:t>
      </w:r>
      <w:r w:rsidRPr="004E4DD3">
        <w:rPr>
          <w:rFonts w:ascii="Arial" w:eastAsia="Calibri" w:hAnsi="Arial" w:cs="Arial"/>
          <w:bCs/>
          <w:szCs w:val="22"/>
          <w:lang w:val="en-IN"/>
        </w:rPr>
        <w:t xml:space="preserve"> al., 2023). </w:t>
      </w:r>
      <w:r w:rsidRPr="004E4DD3">
        <w:rPr>
          <w:rFonts w:ascii="Arial" w:eastAsia="Calibri" w:hAnsi="Arial" w:cs="Arial"/>
          <w:bCs/>
          <w:i/>
          <w:iCs/>
          <w:szCs w:val="22"/>
          <w:lang w:val="en-IN"/>
        </w:rPr>
        <w:t>Drosophila melanogaster</w:t>
      </w:r>
      <w:r w:rsidRPr="004E4DD3">
        <w:rPr>
          <w:rFonts w:ascii="Arial" w:eastAsia="Calibri" w:hAnsi="Arial" w:cs="Arial"/>
          <w:bCs/>
          <w:szCs w:val="22"/>
          <w:lang w:val="en-IN"/>
        </w:rPr>
        <w:t xml:space="preserve"> serves as a perfect model organism to evaluate radiotoxicity due to its well-characterized </w:t>
      </w:r>
      <w:proofErr w:type="spellStart"/>
      <w:r w:rsidRPr="004E4DD3">
        <w:rPr>
          <w:rFonts w:ascii="Arial" w:eastAsia="Calibri" w:hAnsi="Arial" w:cs="Arial"/>
          <w:bCs/>
          <w:szCs w:val="22"/>
          <w:lang w:val="en-IN"/>
        </w:rPr>
        <w:t>behavioral</w:t>
      </w:r>
      <w:proofErr w:type="spellEnd"/>
      <w:r w:rsidRPr="004E4DD3">
        <w:rPr>
          <w:rFonts w:ascii="Arial" w:eastAsia="Calibri" w:hAnsi="Arial" w:cs="Arial"/>
          <w:bCs/>
          <w:szCs w:val="22"/>
          <w:lang w:val="en-IN"/>
        </w:rPr>
        <w:t xml:space="preserve"> repertoire and genetic tractability (</w:t>
      </w:r>
      <w:proofErr w:type="spellStart"/>
      <w:r w:rsidRPr="004E4DD3">
        <w:rPr>
          <w:rFonts w:ascii="Arial" w:eastAsia="Calibri" w:hAnsi="Arial" w:cs="Arial"/>
          <w:bCs/>
          <w:szCs w:val="22"/>
          <w:lang w:val="en-IN"/>
        </w:rPr>
        <w:t>Abolaji</w:t>
      </w:r>
      <w:proofErr w:type="spellEnd"/>
      <w:r w:rsidRPr="004E4DD3">
        <w:rPr>
          <w:rFonts w:ascii="Arial" w:eastAsia="Calibri" w:hAnsi="Arial" w:cs="Arial"/>
          <w:bCs/>
          <w:szCs w:val="22"/>
          <w:lang w:val="en-IN"/>
        </w:rPr>
        <w:t xml:space="preserve"> et</w:t>
      </w:r>
      <w:r w:rsidR="00A70C49">
        <w:rPr>
          <w:rFonts w:ascii="Arial" w:eastAsia="Calibri" w:hAnsi="Arial" w:cs="Arial"/>
          <w:bCs/>
          <w:szCs w:val="22"/>
          <w:lang w:val="en-IN"/>
        </w:rPr>
        <w:t>.</w:t>
      </w:r>
      <w:r w:rsidRPr="004E4DD3">
        <w:rPr>
          <w:rFonts w:ascii="Arial" w:eastAsia="Calibri" w:hAnsi="Arial" w:cs="Arial"/>
          <w:bCs/>
          <w:szCs w:val="22"/>
          <w:lang w:val="en-IN"/>
        </w:rPr>
        <w:t xml:space="preserve"> al., 2013). An experimental study found that UV radiation caused DNA breaks in the salivary glands, reduced </w:t>
      </w:r>
      <w:proofErr w:type="spellStart"/>
      <w:r w:rsidRPr="004E4DD3">
        <w:rPr>
          <w:rFonts w:ascii="Arial" w:eastAsia="Calibri" w:hAnsi="Arial" w:cs="Arial"/>
          <w:bCs/>
          <w:szCs w:val="22"/>
          <w:lang w:val="en-IN"/>
        </w:rPr>
        <w:t>eclosion</w:t>
      </w:r>
      <w:proofErr w:type="spellEnd"/>
      <w:r w:rsidRPr="004E4DD3">
        <w:rPr>
          <w:rFonts w:ascii="Arial" w:eastAsia="Calibri" w:hAnsi="Arial" w:cs="Arial"/>
          <w:bCs/>
          <w:szCs w:val="22"/>
          <w:lang w:val="en-IN"/>
        </w:rPr>
        <w:t xml:space="preserve"> rate, and induced certain phenotypic mutations in </w:t>
      </w:r>
      <w:r w:rsidRPr="004E4DD3">
        <w:rPr>
          <w:rFonts w:ascii="Arial" w:eastAsia="Calibri" w:hAnsi="Arial" w:cs="Arial"/>
          <w:bCs/>
          <w:i/>
          <w:iCs/>
          <w:szCs w:val="22"/>
          <w:lang w:val="en-IN"/>
        </w:rPr>
        <w:t>Drosophila</w:t>
      </w:r>
      <w:r w:rsidRPr="004E4DD3">
        <w:rPr>
          <w:rFonts w:ascii="Arial" w:eastAsia="Calibri" w:hAnsi="Arial" w:cs="Arial"/>
          <w:bCs/>
          <w:szCs w:val="22"/>
          <w:lang w:val="en-IN"/>
        </w:rPr>
        <w:t xml:space="preserve"> </w:t>
      </w:r>
      <w:r w:rsidRPr="004E4DD3">
        <w:rPr>
          <w:rFonts w:ascii="Arial" w:eastAsia="Calibri" w:hAnsi="Arial" w:cs="Arial"/>
          <w:bCs/>
          <w:i/>
          <w:iCs/>
          <w:szCs w:val="22"/>
          <w:lang w:val="en-IN"/>
        </w:rPr>
        <w:t>melanogaster</w:t>
      </w:r>
      <w:r w:rsidRPr="004E4DD3">
        <w:rPr>
          <w:rFonts w:ascii="Arial" w:eastAsia="Calibri" w:hAnsi="Arial" w:cs="Arial"/>
          <w:bCs/>
          <w:szCs w:val="22"/>
          <w:lang w:val="en-IN"/>
        </w:rPr>
        <w:t xml:space="preserve"> (Majumder et. al., 2019; Enciso et</w:t>
      </w:r>
      <w:r w:rsidR="00CC568A">
        <w:rPr>
          <w:rFonts w:ascii="Arial" w:eastAsia="Calibri" w:hAnsi="Arial" w:cs="Arial"/>
          <w:bCs/>
          <w:szCs w:val="22"/>
          <w:lang w:val="en-IN"/>
        </w:rPr>
        <w:t>.</w:t>
      </w:r>
      <w:r w:rsidRPr="004E4DD3">
        <w:rPr>
          <w:rFonts w:ascii="Arial" w:eastAsia="Calibri" w:hAnsi="Arial" w:cs="Arial"/>
          <w:bCs/>
          <w:szCs w:val="22"/>
          <w:lang w:val="en-IN"/>
        </w:rPr>
        <w:t xml:space="preserve"> al., 2018; Lotfy et</w:t>
      </w:r>
      <w:r w:rsidR="006A04C7">
        <w:rPr>
          <w:rFonts w:ascii="Arial" w:eastAsia="Calibri" w:hAnsi="Arial" w:cs="Arial"/>
          <w:bCs/>
          <w:szCs w:val="22"/>
          <w:lang w:val="en-IN"/>
        </w:rPr>
        <w:t>.</w:t>
      </w:r>
      <w:r w:rsidRPr="004E4DD3">
        <w:rPr>
          <w:rFonts w:ascii="Arial" w:eastAsia="Calibri" w:hAnsi="Arial" w:cs="Arial"/>
          <w:bCs/>
          <w:szCs w:val="22"/>
          <w:lang w:val="en-IN"/>
        </w:rPr>
        <w:t xml:space="preserve"> al., 2024). Furthermore, dietary curcumin supplementation effectively mitigates radiation-induced aging and cellular injury and suppresses oxidative </w:t>
      </w:r>
      <w:proofErr w:type="spellStart"/>
      <w:r w:rsidRPr="004E4DD3">
        <w:rPr>
          <w:rFonts w:ascii="Arial" w:eastAsia="Calibri" w:hAnsi="Arial" w:cs="Arial"/>
          <w:bCs/>
          <w:szCs w:val="22"/>
          <w:lang w:val="en-IN"/>
        </w:rPr>
        <w:t>signaling</w:t>
      </w:r>
      <w:proofErr w:type="spellEnd"/>
      <w:r w:rsidRPr="004E4DD3">
        <w:rPr>
          <w:rFonts w:ascii="Arial" w:eastAsia="Calibri" w:hAnsi="Arial" w:cs="Arial"/>
          <w:bCs/>
          <w:szCs w:val="22"/>
          <w:lang w:val="en-IN"/>
        </w:rPr>
        <w:t xml:space="preserve"> cascades across biological systems (Zhan et</w:t>
      </w:r>
      <w:r w:rsidR="00602C70">
        <w:rPr>
          <w:rFonts w:ascii="Arial" w:eastAsia="Calibri" w:hAnsi="Arial" w:cs="Arial"/>
          <w:bCs/>
          <w:szCs w:val="22"/>
          <w:lang w:val="en-IN"/>
        </w:rPr>
        <w:t>.</w:t>
      </w:r>
      <w:r w:rsidRPr="004E4DD3">
        <w:rPr>
          <w:rFonts w:ascii="Arial" w:eastAsia="Calibri" w:hAnsi="Arial" w:cs="Arial"/>
          <w:bCs/>
          <w:szCs w:val="22"/>
          <w:lang w:val="en-IN"/>
        </w:rPr>
        <w:t xml:space="preserve"> al., 2026).</w:t>
      </w:r>
    </w:p>
    <w:p w14:paraId="12BD6DCB" w14:textId="40BFE579" w:rsidR="004E4DD3" w:rsidRPr="004E4DD3" w:rsidRDefault="004E4DD3" w:rsidP="004E4DD3">
      <w:pPr>
        <w:pStyle w:val="Body"/>
        <w:rPr>
          <w:rFonts w:ascii="Arial" w:eastAsia="Calibri" w:hAnsi="Arial" w:cs="Arial"/>
          <w:bCs/>
          <w:szCs w:val="22"/>
          <w:lang w:val="en-IN"/>
        </w:rPr>
      </w:pPr>
      <w:r w:rsidRPr="004E4DD3">
        <w:rPr>
          <w:rFonts w:ascii="Arial" w:eastAsia="Calibri" w:hAnsi="Arial" w:cs="Arial"/>
          <w:bCs/>
          <w:szCs w:val="22"/>
          <w:lang w:val="en-IN"/>
        </w:rPr>
        <w:t xml:space="preserve">Although both of these polyphenols have been extensively studied for their radioprotective, anti-cancer, antioxidative, and other properties, the radioprotective effects of quercetin in </w:t>
      </w:r>
      <w:r w:rsidRPr="004E4DD3">
        <w:rPr>
          <w:rFonts w:ascii="Arial" w:eastAsia="Calibri" w:hAnsi="Arial" w:cs="Arial"/>
          <w:bCs/>
          <w:i/>
          <w:iCs/>
          <w:szCs w:val="22"/>
          <w:lang w:val="en-IN"/>
        </w:rPr>
        <w:t>Drosophila melanogaster</w:t>
      </w:r>
      <w:r w:rsidRPr="004E4DD3">
        <w:rPr>
          <w:rFonts w:ascii="Arial" w:eastAsia="Calibri" w:hAnsi="Arial" w:cs="Arial"/>
          <w:bCs/>
          <w:szCs w:val="22"/>
          <w:lang w:val="en-IN"/>
        </w:rPr>
        <w:t>, an in vivo model, have not yet been fully explored (</w:t>
      </w:r>
      <w:r w:rsidR="008A204A">
        <w:rPr>
          <w:rFonts w:ascii="Arial" w:eastAsia="Calibri" w:hAnsi="Arial" w:cs="Arial"/>
          <w:bCs/>
          <w:szCs w:val="22"/>
          <w:lang w:val="en-IN"/>
        </w:rPr>
        <w:t xml:space="preserve">Boots et. al., 2008; </w:t>
      </w:r>
      <w:proofErr w:type="spellStart"/>
      <w:r w:rsidRPr="004E4DD3">
        <w:rPr>
          <w:rFonts w:ascii="Arial" w:eastAsia="Calibri" w:hAnsi="Arial" w:cs="Arial"/>
          <w:bCs/>
          <w:szCs w:val="22"/>
          <w:lang w:val="en-IN"/>
        </w:rPr>
        <w:t>Proshkina</w:t>
      </w:r>
      <w:proofErr w:type="spellEnd"/>
      <w:r w:rsidRPr="004E4DD3">
        <w:rPr>
          <w:rFonts w:ascii="Arial" w:eastAsia="Calibri" w:hAnsi="Arial" w:cs="Arial"/>
          <w:bCs/>
          <w:szCs w:val="22"/>
          <w:lang w:val="en-IN"/>
        </w:rPr>
        <w:t xml:space="preserve"> et al., 2016</w:t>
      </w:r>
      <w:r w:rsidR="00B65285">
        <w:rPr>
          <w:rFonts w:ascii="Arial" w:eastAsia="Calibri" w:hAnsi="Arial" w:cs="Arial"/>
          <w:bCs/>
          <w:szCs w:val="22"/>
          <w:lang w:val="en-IN"/>
        </w:rPr>
        <w:t>; Xu et. al., 2019</w:t>
      </w:r>
      <w:r w:rsidRPr="004E4DD3">
        <w:rPr>
          <w:rFonts w:ascii="Arial" w:eastAsia="Calibri" w:hAnsi="Arial" w:cs="Arial"/>
          <w:bCs/>
          <w:szCs w:val="22"/>
          <w:lang w:val="en-IN"/>
        </w:rPr>
        <w:t>). Upon radiation exposure, this exceptional model organism unveils an oxidative stress response akin to that in humans (</w:t>
      </w:r>
      <w:r w:rsidR="00190FB6" w:rsidRPr="008A204A">
        <w:rPr>
          <w:rFonts w:ascii="Arial" w:eastAsia="Calibri" w:hAnsi="Arial" w:cs="Arial"/>
          <w:bCs/>
          <w:szCs w:val="22"/>
        </w:rPr>
        <w:t>Pandey</w:t>
      </w:r>
      <w:r w:rsidR="00190FB6">
        <w:rPr>
          <w:rFonts w:ascii="Arial" w:eastAsia="Calibri" w:hAnsi="Arial" w:cs="Arial"/>
          <w:bCs/>
          <w:szCs w:val="22"/>
        </w:rPr>
        <w:t xml:space="preserve"> and</w:t>
      </w:r>
      <w:r w:rsidR="00190FB6" w:rsidRPr="008A204A">
        <w:rPr>
          <w:rFonts w:ascii="Arial" w:eastAsia="Calibri" w:hAnsi="Arial" w:cs="Arial"/>
          <w:bCs/>
          <w:szCs w:val="22"/>
        </w:rPr>
        <w:t xml:space="preserve"> Nichols</w:t>
      </w:r>
      <w:r w:rsidR="00190FB6">
        <w:rPr>
          <w:rFonts w:ascii="Arial" w:eastAsia="Calibri" w:hAnsi="Arial" w:cs="Arial"/>
          <w:bCs/>
          <w:szCs w:val="22"/>
        </w:rPr>
        <w:t xml:space="preserve">, 2011; </w:t>
      </w:r>
      <w:r w:rsidRPr="004E4DD3">
        <w:rPr>
          <w:rFonts w:ascii="Arial" w:eastAsia="Calibri" w:hAnsi="Arial" w:cs="Arial"/>
          <w:bCs/>
          <w:szCs w:val="22"/>
          <w:lang w:val="en-IN"/>
        </w:rPr>
        <w:t>Weber et</w:t>
      </w:r>
      <w:r w:rsidR="00057890">
        <w:rPr>
          <w:rFonts w:ascii="Arial" w:eastAsia="Calibri" w:hAnsi="Arial" w:cs="Arial"/>
          <w:bCs/>
          <w:szCs w:val="22"/>
          <w:lang w:val="en-IN"/>
        </w:rPr>
        <w:t>.</w:t>
      </w:r>
      <w:r w:rsidRPr="004E4DD3">
        <w:rPr>
          <w:rFonts w:ascii="Arial" w:eastAsia="Calibri" w:hAnsi="Arial" w:cs="Arial"/>
          <w:bCs/>
          <w:szCs w:val="22"/>
          <w:lang w:val="en-IN"/>
        </w:rPr>
        <w:t xml:space="preserve"> al., 2012). Hence, this insect serves as a baseline model across multiple domains, including </w:t>
      </w:r>
      <w:proofErr w:type="spellStart"/>
      <w:r w:rsidRPr="004E4DD3">
        <w:rPr>
          <w:rFonts w:ascii="Arial" w:eastAsia="Calibri" w:hAnsi="Arial" w:cs="Arial"/>
          <w:bCs/>
          <w:szCs w:val="22"/>
          <w:lang w:val="en-IN"/>
        </w:rPr>
        <w:t>behavioral</w:t>
      </w:r>
      <w:proofErr w:type="spellEnd"/>
      <w:r w:rsidRPr="004E4DD3">
        <w:rPr>
          <w:rFonts w:ascii="Arial" w:eastAsia="Calibri" w:hAnsi="Arial" w:cs="Arial"/>
          <w:bCs/>
          <w:szCs w:val="22"/>
          <w:lang w:val="en-IN"/>
        </w:rPr>
        <w:t xml:space="preserve"> biology, neurobiology, genetics, and developmental biology, owing to its cost-effective maintenance, rapid life cycle, and exceptional reproductive potential (</w:t>
      </w:r>
      <w:r w:rsidR="00555A60" w:rsidRPr="00555A60">
        <w:rPr>
          <w:rFonts w:ascii="Arial" w:eastAsia="Calibri" w:hAnsi="Arial" w:cs="Arial"/>
          <w:bCs/>
          <w:szCs w:val="22"/>
        </w:rPr>
        <w:t>Sokolowski</w:t>
      </w:r>
      <w:r w:rsidR="00555A60">
        <w:rPr>
          <w:rFonts w:ascii="Arial" w:eastAsia="Calibri" w:hAnsi="Arial" w:cs="Arial"/>
          <w:bCs/>
          <w:szCs w:val="22"/>
        </w:rPr>
        <w:t xml:space="preserve">, 2001; </w:t>
      </w:r>
      <w:r w:rsidRPr="004E4DD3">
        <w:rPr>
          <w:rFonts w:ascii="Arial" w:eastAsia="Calibri" w:hAnsi="Arial" w:cs="Arial"/>
          <w:bCs/>
          <w:szCs w:val="22"/>
          <w:lang w:val="en-IN"/>
        </w:rPr>
        <w:t xml:space="preserve">Victor </w:t>
      </w:r>
      <w:proofErr w:type="spellStart"/>
      <w:r w:rsidRPr="004E4DD3">
        <w:rPr>
          <w:rFonts w:ascii="Arial" w:eastAsia="Calibri" w:hAnsi="Arial" w:cs="Arial"/>
          <w:bCs/>
          <w:szCs w:val="22"/>
          <w:lang w:val="en-IN"/>
        </w:rPr>
        <w:t>Atoki</w:t>
      </w:r>
      <w:proofErr w:type="spellEnd"/>
      <w:r w:rsidRPr="004E4DD3">
        <w:rPr>
          <w:rFonts w:ascii="Arial" w:eastAsia="Calibri" w:hAnsi="Arial" w:cs="Arial"/>
          <w:bCs/>
          <w:szCs w:val="22"/>
          <w:lang w:val="en-IN"/>
        </w:rPr>
        <w:t xml:space="preserve"> et</w:t>
      </w:r>
      <w:r w:rsidR="00831E3E">
        <w:rPr>
          <w:rFonts w:ascii="Arial" w:eastAsia="Calibri" w:hAnsi="Arial" w:cs="Arial"/>
          <w:bCs/>
          <w:szCs w:val="22"/>
          <w:lang w:val="en-IN"/>
        </w:rPr>
        <w:t>.</w:t>
      </w:r>
      <w:r w:rsidRPr="004E4DD3">
        <w:rPr>
          <w:rFonts w:ascii="Arial" w:eastAsia="Calibri" w:hAnsi="Arial" w:cs="Arial"/>
          <w:bCs/>
          <w:szCs w:val="22"/>
          <w:lang w:val="en-IN"/>
        </w:rPr>
        <w:t xml:space="preserve"> al., 2024). Following radiation, adult flies exhibit marked physiological, functional, and </w:t>
      </w:r>
      <w:proofErr w:type="spellStart"/>
      <w:r w:rsidRPr="004E4DD3">
        <w:rPr>
          <w:rFonts w:ascii="Arial" w:eastAsia="Calibri" w:hAnsi="Arial" w:cs="Arial"/>
          <w:bCs/>
          <w:szCs w:val="22"/>
          <w:lang w:val="en-IN"/>
        </w:rPr>
        <w:t>behavioral</w:t>
      </w:r>
      <w:proofErr w:type="spellEnd"/>
      <w:r w:rsidRPr="004E4DD3">
        <w:rPr>
          <w:rFonts w:ascii="Arial" w:eastAsia="Calibri" w:hAnsi="Arial" w:cs="Arial"/>
          <w:bCs/>
          <w:szCs w:val="22"/>
          <w:lang w:val="en-IN"/>
        </w:rPr>
        <w:t xml:space="preserve"> decline across</w:t>
      </w:r>
      <w:r w:rsidR="00CD339E">
        <w:rPr>
          <w:rFonts w:ascii="Arial" w:eastAsia="Calibri" w:hAnsi="Arial" w:cs="Arial"/>
          <w:bCs/>
          <w:szCs w:val="22"/>
          <w:lang w:val="en-IN"/>
        </w:rPr>
        <w:t xml:space="preserve"> </w:t>
      </w:r>
      <w:r w:rsidRPr="004E4DD3">
        <w:rPr>
          <w:rFonts w:ascii="Arial" w:eastAsia="Calibri" w:hAnsi="Arial" w:cs="Arial"/>
          <w:bCs/>
          <w:szCs w:val="22"/>
          <w:lang w:val="en-IN"/>
        </w:rPr>
        <w:t>multiple parameters, including locomotor impairment, stress sensitivity, altered phototactic and geotactic preferences</w:t>
      </w:r>
      <w:r w:rsidR="00215A1C">
        <w:rPr>
          <w:rFonts w:ascii="Arial" w:eastAsia="Calibri" w:hAnsi="Arial" w:cs="Arial"/>
          <w:bCs/>
          <w:szCs w:val="22"/>
          <w:lang w:val="en-IN"/>
        </w:rPr>
        <w:t xml:space="preserve"> (</w:t>
      </w:r>
      <w:r w:rsidR="00215A1C" w:rsidRPr="008A204A">
        <w:rPr>
          <w:rFonts w:ascii="Arial" w:eastAsia="Calibri" w:hAnsi="Arial" w:cs="Arial"/>
          <w:bCs/>
          <w:szCs w:val="22"/>
        </w:rPr>
        <w:t>Pandey</w:t>
      </w:r>
      <w:r w:rsidR="00215A1C">
        <w:rPr>
          <w:rFonts w:ascii="Arial" w:eastAsia="Calibri" w:hAnsi="Arial" w:cs="Arial"/>
          <w:bCs/>
          <w:szCs w:val="22"/>
        </w:rPr>
        <w:t xml:space="preserve"> and</w:t>
      </w:r>
      <w:r w:rsidR="00215A1C" w:rsidRPr="008A204A">
        <w:rPr>
          <w:rFonts w:ascii="Arial" w:eastAsia="Calibri" w:hAnsi="Arial" w:cs="Arial"/>
          <w:bCs/>
          <w:szCs w:val="22"/>
        </w:rPr>
        <w:t xml:space="preserve"> Nichols</w:t>
      </w:r>
      <w:r w:rsidR="00215A1C">
        <w:rPr>
          <w:rFonts w:ascii="Arial" w:eastAsia="Calibri" w:hAnsi="Arial" w:cs="Arial"/>
          <w:bCs/>
          <w:szCs w:val="22"/>
        </w:rPr>
        <w:t>, 2011)</w:t>
      </w:r>
      <w:r w:rsidR="00F1115C">
        <w:rPr>
          <w:rFonts w:ascii="Arial" w:eastAsia="Calibri" w:hAnsi="Arial" w:cs="Arial"/>
          <w:bCs/>
          <w:szCs w:val="22"/>
          <w:lang w:val="en-IN"/>
        </w:rPr>
        <w:t xml:space="preserve">. </w:t>
      </w:r>
      <w:r w:rsidRPr="004E4DD3">
        <w:rPr>
          <w:rFonts w:ascii="Arial" w:eastAsia="Calibri" w:hAnsi="Arial" w:cs="Arial"/>
          <w:bCs/>
          <w:szCs w:val="22"/>
          <w:lang w:val="en-IN"/>
        </w:rPr>
        <w:t xml:space="preserve">Adult flies naturally lose their ability to climb as they grow older, and measuring this age-dependent climbing </w:t>
      </w:r>
      <w:proofErr w:type="spellStart"/>
      <w:r w:rsidRPr="004E4DD3">
        <w:rPr>
          <w:rFonts w:ascii="Arial" w:eastAsia="Calibri" w:hAnsi="Arial" w:cs="Arial"/>
          <w:bCs/>
          <w:szCs w:val="22"/>
          <w:lang w:val="en-IN"/>
        </w:rPr>
        <w:t>behavior</w:t>
      </w:r>
      <w:proofErr w:type="spellEnd"/>
      <w:r w:rsidRPr="004E4DD3">
        <w:rPr>
          <w:rFonts w:ascii="Arial" w:eastAsia="Calibri" w:hAnsi="Arial" w:cs="Arial"/>
          <w:bCs/>
          <w:szCs w:val="22"/>
          <w:lang w:val="en-IN"/>
        </w:rPr>
        <w:t xml:space="preserve"> provides a direct way to test how radiation affects muscle control and brain health (Gargano et</w:t>
      </w:r>
      <w:r w:rsidR="00AE4685">
        <w:rPr>
          <w:rFonts w:ascii="Arial" w:eastAsia="Calibri" w:hAnsi="Arial" w:cs="Arial"/>
          <w:bCs/>
          <w:szCs w:val="22"/>
          <w:lang w:val="en-IN"/>
        </w:rPr>
        <w:t>.</w:t>
      </w:r>
      <w:r w:rsidRPr="004E4DD3">
        <w:rPr>
          <w:rFonts w:ascii="Arial" w:eastAsia="Calibri" w:hAnsi="Arial" w:cs="Arial"/>
          <w:bCs/>
          <w:szCs w:val="22"/>
          <w:lang w:val="en-IN"/>
        </w:rPr>
        <w:t xml:space="preserve"> al., 2005). Some key </w:t>
      </w:r>
      <w:proofErr w:type="spellStart"/>
      <w:r w:rsidRPr="004E4DD3">
        <w:rPr>
          <w:rFonts w:ascii="Arial" w:eastAsia="Calibri" w:hAnsi="Arial" w:cs="Arial"/>
          <w:bCs/>
          <w:szCs w:val="22"/>
          <w:lang w:val="en-IN"/>
        </w:rPr>
        <w:t>behavioral</w:t>
      </w:r>
      <w:proofErr w:type="spellEnd"/>
      <w:r w:rsidRPr="004E4DD3">
        <w:rPr>
          <w:rFonts w:ascii="Arial" w:eastAsia="Calibri" w:hAnsi="Arial" w:cs="Arial"/>
          <w:bCs/>
          <w:szCs w:val="22"/>
          <w:lang w:val="en-IN"/>
        </w:rPr>
        <w:t xml:space="preserve"> markers are</w:t>
      </w:r>
      <w:r w:rsidR="00D614EB">
        <w:rPr>
          <w:rFonts w:ascii="Arial" w:eastAsia="Calibri" w:hAnsi="Arial" w:cs="Arial"/>
          <w:bCs/>
          <w:szCs w:val="22"/>
          <w:lang w:val="en-IN"/>
        </w:rPr>
        <w:t xml:space="preserve"> for</w:t>
      </w:r>
      <w:r w:rsidRPr="004E4DD3">
        <w:rPr>
          <w:rFonts w:ascii="Arial" w:eastAsia="Calibri" w:hAnsi="Arial" w:cs="Arial"/>
          <w:bCs/>
          <w:szCs w:val="22"/>
          <w:lang w:val="en-IN"/>
        </w:rPr>
        <w:t xml:space="preserve"> </w:t>
      </w:r>
      <w:r w:rsidR="00F1115C">
        <w:rPr>
          <w:rFonts w:ascii="Arial" w:eastAsia="Calibri" w:hAnsi="Arial" w:cs="Arial"/>
          <w:bCs/>
          <w:szCs w:val="22"/>
          <w:lang w:val="en-IN"/>
        </w:rPr>
        <w:t>phototactic- geotactic preferences, post mechanical shock recovery</w:t>
      </w:r>
      <w:r w:rsidR="00D614EB">
        <w:rPr>
          <w:rFonts w:ascii="Arial" w:eastAsia="Calibri" w:hAnsi="Arial" w:cs="Arial"/>
          <w:bCs/>
          <w:szCs w:val="22"/>
          <w:lang w:val="en-IN"/>
        </w:rPr>
        <w:t xml:space="preserve"> and </w:t>
      </w:r>
      <w:r w:rsidRPr="004E4DD3">
        <w:rPr>
          <w:rFonts w:ascii="Arial" w:eastAsia="Calibri" w:hAnsi="Arial" w:cs="Arial"/>
          <w:bCs/>
          <w:szCs w:val="22"/>
          <w:lang w:val="en-IN"/>
        </w:rPr>
        <w:t>they reflect neuromuscular health in animals (</w:t>
      </w:r>
      <w:r w:rsidR="00AC00AC" w:rsidRPr="00AC00AC">
        <w:rPr>
          <w:rFonts w:ascii="Arial" w:eastAsia="Calibri" w:hAnsi="Arial" w:cs="Arial"/>
          <w:bCs/>
          <w:szCs w:val="22"/>
        </w:rPr>
        <w:t>Benzer</w:t>
      </w:r>
      <w:r w:rsidR="00AC00AC">
        <w:rPr>
          <w:rFonts w:ascii="Arial" w:eastAsia="Calibri" w:hAnsi="Arial" w:cs="Arial"/>
          <w:bCs/>
          <w:szCs w:val="22"/>
        </w:rPr>
        <w:t>, 1967</w:t>
      </w:r>
      <w:r w:rsidR="00215A1C">
        <w:rPr>
          <w:rFonts w:ascii="Arial" w:eastAsia="Calibri" w:hAnsi="Arial" w:cs="Arial"/>
          <w:bCs/>
          <w:szCs w:val="22"/>
          <w:lang w:val="en-IN"/>
        </w:rPr>
        <w:t xml:space="preserve">; </w:t>
      </w:r>
      <w:r w:rsidR="00215A1C" w:rsidRPr="00215A1C">
        <w:rPr>
          <w:rFonts w:ascii="Arial" w:eastAsia="Calibri" w:hAnsi="Arial" w:cs="Arial"/>
          <w:bCs/>
          <w:szCs w:val="22"/>
        </w:rPr>
        <w:t xml:space="preserve">Kuebler </w:t>
      </w:r>
      <w:r w:rsidR="00215A1C">
        <w:rPr>
          <w:rFonts w:ascii="Arial" w:eastAsia="Calibri" w:hAnsi="Arial" w:cs="Arial"/>
          <w:bCs/>
          <w:szCs w:val="22"/>
        </w:rPr>
        <w:t>and</w:t>
      </w:r>
      <w:r w:rsidR="00215A1C" w:rsidRPr="00215A1C">
        <w:rPr>
          <w:rFonts w:ascii="Arial" w:eastAsia="Calibri" w:hAnsi="Arial" w:cs="Arial"/>
          <w:bCs/>
          <w:szCs w:val="22"/>
        </w:rPr>
        <w:t> Tanouye</w:t>
      </w:r>
      <w:r w:rsidR="00215A1C">
        <w:rPr>
          <w:rFonts w:ascii="Arial" w:eastAsia="Calibri" w:hAnsi="Arial" w:cs="Arial"/>
          <w:bCs/>
          <w:szCs w:val="22"/>
        </w:rPr>
        <w:t>, 2000</w:t>
      </w:r>
      <w:r w:rsidRPr="004E4DD3">
        <w:rPr>
          <w:rFonts w:ascii="Arial" w:eastAsia="Calibri" w:hAnsi="Arial" w:cs="Arial"/>
          <w:bCs/>
          <w:szCs w:val="22"/>
          <w:lang w:val="en-IN"/>
        </w:rPr>
        <w:t xml:space="preserve">). However, quercetin’s ability to prevent radiation-induced </w:t>
      </w:r>
      <w:proofErr w:type="spellStart"/>
      <w:r w:rsidRPr="004E4DD3">
        <w:rPr>
          <w:rFonts w:ascii="Arial" w:eastAsia="Calibri" w:hAnsi="Arial" w:cs="Arial"/>
          <w:bCs/>
          <w:szCs w:val="22"/>
          <w:lang w:val="en-IN"/>
        </w:rPr>
        <w:t>behavioral</w:t>
      </w:r>
      <w:proofErr w:type="spellEnd"/>
      <w:r w:rsidRPr="004E4DD3">
        <w:rPr>
          <w:rFonts w:ascii="Arial" w:eastAsia="Calibri" w:hAnsi="Arial" w:cs="Arial"/>
          <w:bCs/>
          <w:szCs w:val="22"/>
          <w:lang w:val="en-IN"/>
        </w:rPr>
        <w:t xml:space="preserve"> decline remains </w:t>
      </w:r>
      <w:r w:rsidRPr="004E4DD3">
        <w:rPr>
          <w:rFonts w:ascii="Arial" w:eastAsia="Calibri" w:hAnsi="Arial" w:cs="Arial"/>
          <w:bCs/>
          <w:szCs w:val="22"/>
          <w:lang w:val="en-IN"/>
        </w:rPr>
        <w:lastRenderedPageBreak/>
        <w:t xml:space="preserve">incompletely understood (Xu </w:t>
      </w:r>
      <w:r w:rsidRPr="00347CCE">
        <w:rPr>
          <w:rFonts w:ascii="Arial" w:eastAsia="Calibri" w:hAnsi="Arial" w:cs="Arial"/>
          <w:bCs/>
          <w:szCs w:val="22"/>
          <w:lang w:val="en-IN"/>
        </w:rPr>
        <w:t>et</w:t>
      </w:r>
      <w:r w:rsidR="00347CCE">
        <w:rPr>
          <w:rFonts w:ascii="Arial" w:eastAsia="Calibri" w:hAnsi="Arial" w:cs="Arial"/>
          <w:bCs/>
          <w:szCs w:val="22"/>
          <w:lang w:val="en-IN"/>
        </w:rPr>
        <w:t>.</w:t>
      </w:r>
      <w:r w:rsidRPr="00347CCE">
        <w:rPr>
          <w:rFonts w:ascii="Arial" w:eastAsia="Calibri" w:hAnsi="Arial" w:cs="Arial"/>
          <w:bCs/>
          <w:szCs w:val="22"/>
          <w:lang w:val="en-IN"/>
        </w:rPr>
        <w:t xml:space="preserve"> al.,</w:t>
      </w:r>
      <w:r w:rsidRPr="004E4DD3">
        <w:rPr>
          <w:rFonts w:ascii="Arial" w:eastAsia="Calibri" w:hAnsi="Arial" w:cs="Arial"/>
          <w:bCs/>
          <w:szCs w:val="22"/>
          <w:lang w:val="en-IN"/>
        </w:rPr>
        <w:t xml:space="preserve"> 2019). The current study investigates the radioprotective efficacy of quercetin pre-treatment against UV-C radiation induced damage in </w:t>
      </w:r>
      <w:r w:rsidRPr="004E4DD3">
        <w:rPr>
          <w:rFonts w:ascii="Arial" w:eastAsia="Calibri" w:hAnsi="Arial" w:cs="Arial"/>
          <w:bCs/>
          <w:i/>
          <w:iCs/>
          <w:szCs w:val="22"/>
          <w:lang w:val="en-IN"/>
        </w:rPr>
        <w:t>Drosophila</w:t>
      </w:r>
      <w:r w:rsidRPr="004E4DD3">
        <w:rPr>
          <w:rFonts w:ascii="Arial" w:eastAsia="Calibri" w:hAnsi="Arial" w:cs="Arial"/>
          <w:bCs/>
          <w:szCs w:val="22"/>
          <w:lang w:val="en-IN"/>
        </w:rPr>
        <w:t xml:space="preserve"> </w:t>
      </w:r>
      <w:r w:rsidRPr="004E4DD3">
        <w:rPr>
          <w:rFonts w:ascii="Arial" w:eastAsia="Calibri" w:hAnsi="Arial" w:cs="Arial"/>
          <w:bCs/>
          <w:i/>
          <w:iCs/>
          <w:szCs w:val="22"/>
          <w:lang w:val="en-IN"/>
        </w:rPr>
        <w:t xml:space="preserve">melanogaster. </w:t>
      </w:r>
      <w:r w:rsidRPr="004E4DD3">
        <w:rPr>
          <w:rFonts w:ascii="Arial" w:eastAsia="Calibri" w:hAnsi="Arial" w:cs="Arial"/>
          <w:bCs/>
          <w:szCs w:val="22"/>
          <w:lang w:val="en-IN"/>
        </w:rPr>
        <w:t>Specifically, we measured mechanical stress recovery, phototactic and geotactic preference,</w:t>
      </w:r>
      <w:r>
        <w:rPr>
          <w:rFonts w:ascii="Arial" w:eastAsia="Calibri" w:hAnsi="Arial" w:cs="Arial"/>
          <w:bCs/>
          <w:szCs w:val="22"/>
          <w:lang w:val="en-IN"/>
        </w:rPr>
        <w:t xml:space="preserve"> </w:t>
      </w:r>
      <w:r w:rsidRPr="004E4DD3">
        <w:rPr>
          <w:rFonts w:ascii="Arial" w:eastAsia="Calibri" w:hAnsi="Arial" w:cs="Arial"/>
          <w:bCs/>
          <w:szCs w:val="22"/>
          <w:lang w:val="en-IN"/>
        </w:rPr>
        <w:t>circadian rhythmicity</w:t>
      </w:r>
      <w:r>
        <w:rPr>
          <w:rFonts w:ascii="Arial" w:eastAsia="Calibri" w:hAnsi="Arial" w:cs="Arial"/>
          <w:bCs/>
          <w:szCs w:val="22"/>
          <w:lang w:val="en-IN"/>
        </w:rPr>
        <w:t xml:space="preserve"> and mating success</w:t>
      </w:r>
      <w:r w:rsidRPr="004E4DD3">
        <w:rPr>
          <w:rFonts w:ascii="Arial" w:eastAsia="Calibri" w:hAnsi="Arial" w:cs="Arial"/>
          <w:bCs/>
          <w:szCs w:val="22"/>
          <w:lang w:val="en-IN"/>
        </w:rPr>
        <w:t xml:space="preserve">. This study investigates the radioprotective potential of dietary quercetin supplementation on </w:t>
      </w:r>
      <w:proofErr w:type="spellStart"/>
      <w:r w:rsidRPr="004E4DD3">
        <w:rPr>
          <w:rFonts w:ascii="Arial" w:eastAsia="Calibri" w:hAnsi="Arial" w:cs="Arial"/>
          <w:bCs/>
          <w:szCs w:val="22"/>
          <w:lang w:val="en-IN"/>
        </w:rPr>
        <w:t>behavioral</w:t>
      </w:r>
      <w:proofErr w:type="spellEnd"/>
      <w:r w:rsidRPr="004E4DD3">
        <w:rPr>
          <w:rFonts w:ascii="Arial" w:eastAsia="Calibri" w:hAnsi="Arial" w:cs="Arial"/>
          <w:bCs/>
          <w:szCs w:val="22"/>
          <w:lang w:val="en-IN"/>
        </w:rPr>
        <w:t xml:space="preserve"> biomarkers in </w:t>
      </w:r>
      <w:r w:rsidRPr="004E4DD3">
        <w:rPr>
          <w:rFonts w:ascii="Arial" w:eastAsia="Calibri" w:hAnsi="Arial" w:cs="Arial"/>
          <w:bCs/>
          <w:i/>
          <w:iCs/>
          <w:szCs w:val="22"/>
          <w:lang w:val="en-IN"/>
        </w:rPr>
        <w:t>Drosophila melanogaster</w:t>
      </w:r>
      <w:r w:rsidRPr="004E4DD3">
        <w:rPr>
          <w:rFonts w:ascii="Arial" w:eastAsia="Calibri" w:hAnsi="Arial" w:cs="Arial"/>
          <w:bCs/>
          <w:szCs w:val="22"/>
          <w:lang w:val="en-IN"/>
        </w:rPr>
        <w:t xml:space="preserve"> exposed to UV-C radiation. These parameters serve as reliable functional biomarkers (Victor </w:t>
      </w:r>
      <w:proofErr w:type="spellStart"/>
      <w:r w:rsidRPr="004E4DD3">
        <w:rPr>
          <w:rFonts w:ascii="Arial" w:eastAsia="Calibri" w:hAnsi="Arial" w:cs="Arial"/>
          <w:bCs/>
          <w:szCs w:val="22"/>
          <w:lang w:val="en-IN"/>
        </w:rPr>
        <w:t>Atoki</w:t>
      </w:r>
      <w:proofErr w:type="spellEnd"/>
      <w:r w:rsidRPr="004E4DD3">
        <w:rPr>
          <w:rFonts w:ascii="Arial" w:eastAsia="Calibri" w:hAnsi="Arial" w:cs="Arial"/>
          <w:bCs/>
          <w:szCs w:val="22"/>
          <w:lang w:val="en-IN"/>
        </w:rPr>
        <w:t xml:space="preserve"> et</w:t>
      </w:r>
      <w:r w:rsidR="00755F56">
        <w:rPr>
          <w:rFonts w:ascii="Arial" w:eastAsia="Calibri" w:hAnsi="Arial" w:cs="Arial"/>
          <w:bCs/>
          <w:szCs w:val="22"/>
          <w:lang w:val="en-IN"/>
        </w:rPr>
        <w:t>.</w:t>
      </w:r>
      <w:r w:rsidRPr="004E4DD3">
        <w:rPr>
          <w:rFonts w:ascii="Arial" w:eastAsia="Calibri" w:hAnsi="Arial" w:cs="Arial"/>
          <w:bCs/>
          <w:szCs w:val="22"/>
          <w:lang w:val="en-IN"/>
        </w:rPr>
        <w:t xml:space="preserve"> al., 2024) for assessing UV radiation-induced toxicity and provide a sensitive </w:t>
      </w:r>
      <w:proofErr w:type="spellStart"/>
      <w:r w:rsidRPr="004E4DD3">
        <w:rPr>
          <w:rFonts w:ascii="Arial" w:eastAsia="Calibri" w:hAnsi="Arial" w:cs="Arial"/>
          <w:bCs/>
          <w:szCs w:val="22"/>
          <w:lang w:val="en-IN"/>
        </w:rPr>
        <w:t>behavioral</w:t>
      </w:r>
      <w:proofErr w:type="spellEnd"/>
      <w:r w:rsidRPr="004E4DD3">
        <w:rPr>
          <w:rFonts w:ascii="Arial" w:eastAsia="Calibri" w:hAnsi="Arial" w:cs="Arial"/>
          <w:bCs/>
          <w:szCs w:val="22"/>
          <w:lang w:val="en-IN"/>
        </w:rPr>
        <w:t xml:space="preserve"> assay to quantify neuromuscular integrity, motor coordination decline, and radiation-induced physiological aging over time,</w:t>
      </w:r>
      <w:r w:rsidR="00F1413C">
        <w:rPr>
          <w:rFonts w:ascii="Arial" w:eastAsia="Calibri" w:hAnsi="Arial" w:cs="Arial"/>
          <w:bCs/>
          <w:szCs w:val="22"/>
          <w:lang w:val="en-IN"/>
        </w:rPr>
        <w:t xml:space="preserve"> mating </w:t>
      </w:r>
      <w:proofErr w:type="spellStart"/>
      <w:r w:rsidR="00F1413C">
        <w:rPr>
          <w:rFonts w:ascii="Arial" w:eastAsia="Calibri" w:hAnsi="Arial" w:cs="Arial"/>
          <w:bCs/>
          <w:szCs w:val="22"/>
          <w:lang w:val="en-IN"/>
        </w:rPr>
        <w:t>behavior</w:t>
      </w:r>
      <w:proofErr w:type="spellEnd"/>
      <w:r w:rsidRPr="004E4DD3">
        <w:rPr>
          <w:rFonts w:ascii="Arial" w:eastAsia="Calibri" w:hAnsi="Arial" w:cs="Arial"/>
          <w:bCs/>
          <w:szCs w:val="22"/>
          <w:lang w:val="en-IN"/>
        </w:rPr>
        <w:t xml:space="preserve"> highlighting the potential role of quercetin as a natural radioprotective agent.</w:t>
      </w:r>
    </w:p>
    <w:p w14:paraId="5517AFAA" w14:textId="77777777" w:rsidR="00790ADA" w:rsidRPr="00FB3A86" w:rsidRDefault="00790ADA" w:rsidP="00441B6F">
      <w:pPr>
        <w:pStyle w:val="Body"/>
        <w:spacing w:after="0"/>
        <w:rPr>
          <w:rFonts w:ascii="Arial" w:hAnsi="Arial" w:cs="Arial"/>
        </w:rPr>
      </w:pPr>
    </w:p>
    <w:p w14:paraId="08BAFE6D" w14:textId="6BEB83EF" w:rsidR="007F7B32" w:rsidRDefault="00902823" w:rsidP="00153002">
      <w:pPr>
        <w:pStyle w:val="AbstHead"/>
        <w:spacing w:after="0"/>
        <w:rPr>
          <w:rFonts w:ascii="Arial" w:hAnsi="Arial" w:cs="Arial"/>
        </w:rPr>
      </w:pPr>
      <w:r>
        <w:rPr>
          <w:rFonts w:ascii="Arial" w:hAnsi="Arial" w:cs="Arial"/>
        </w:rPr>
        <w:t>2. material and method</w:t>
      </w:r>
      <w:r w:rsidR="00000F8F">
        <w:rPr>
          <w:rFonts w:ascii="Arial" w:hAnsi="Arial" w:cs="Arial"/>
        </w:rPr>
        <w:t xml:space="preserve">s </w:t>
      </w:r>
    </w:p>
    <w:p w14:paraId="08BF6422" w14:textId="77777777" w:rsidR="00790ADA" w:rsidRPr="00FB3A86" w:rsidRDefault="00790ADA" w:rsidP="00441B6F">
      <w:pPr>
        <w:pStyle w:val="AbstHead"/>
        <w:spacing w:after="0"/>
        <w:jc w:val="both"/>
        <w:rPr>
          <w:rFonts w:ascii="Arial" w:hAnsi="Arial" w:cs="Arial"/>
        </w:rPr>
      </w:pPr>
    </w:p>
    <w:p w14:paraId="62E5A412" w14:textId="77777777" w:rsidR="00F73E61" w:rsidRDefault="00F73E61" w:rsidP="00153002">
      <w:pPr>
        <w:pStyle w:val="Body"/>
        <w:spacing w:after="0"/>
        <w:jc w:val="left"/>
        <w:rPr>
          <w:rFonts w:ascii="Arial" w:hAnsi="Arial" w:cs="Arial"/>
          <w:b/>
          <w:sz w:val="22"/>
        </w:rPr>
      </w:pPr>
      <w:r w:rsidRPr="00C30A0F">
        <w:rPr>
          <w:rFonts w:ascii="Arial" w:hAnsi="Arial" w:cs="Arial"/>
          <w:b/>
          <w:caps/>
          <w:sz w:val="22"/>
        </w:rPr>
        <w:t xml:space="preserve">2.1 </w:t>
      </w:r>
      <w:r w:rsidRPr="00F73E61">
        <w:rPr>
          <w:rFonts w:ascii="Arial" w:hAnsi="Arial" w:cs="Arial"/>
          <w:b/>
          <w:sz w:val="22"/>
        </w:rPr>
        <w:t>Maintenance and fly stocks</w:t>
      </w:r>
    </w:p>
    <w:p w14:paraId="0418A40F" w14:textId="36A4949A" w:rsidR="00831504" w:rsidRPr="00831504" w:rsidRDefault="00F73E61" w:rsidP="00F73E61">
      <w:pPr>
        <w:pStyle w:val="Body"/>
        <w:spacing w:after="0"/>
        <w:rPr>
          <w:rFonts w:ascii="Arial" w:hAnsi="Arial" w:cs="Arial"/>
        </w:rPr>
      </w:pPr>
      <w:r>
        <w:rPr>
          <w:rFonts w:ascii="Arial" w:hAnsi="Arial" w:cs="Arial"/>
        </w:rPr>
        <w:t xml:space="preserve"> </w:t>
      </w:r>
    </w:p>
    <w:p w14:paraId="4D7614AB" w14:textId="0F67197C" w:rsidR="00020D70" w:rsidRPr="00020D70" w:rsidRDefault="00020D70" w:rsidP="00020D70">
      <w:pPr>
        <w:pStyle w:val="Body"/>
        <w:rPr>
          <w:rFonts w:ascii="Arial" w:hAnsi="Arial" w:cs="Arial"/>
          <w:lang w:val="en-IN"/>
        </w:rPr>
      </w:pPr>
      <w:r w:rsidRPr="00020D70">
        <w:rPr>
          <w:rFonts w:ascii="Arial" w:hAnsi="Arial" w:cs="Arial"/>
          <w:lang w:val="en-IN"/>
        </w:rPr>
        <w:t xml:space="preserve">Oregon R wild-type </w:t>
      </w:r>
      <w:r w:rsidRPr="00020D70">
        <w:rPr>
          <w:rFonts w:ascii="Arial" w:hAnsi="Arial" w:cs="Arial"/>
          <w:i/>
          <w:iCs/>
          <w:lang w:val="en-IN"/>
        </w:rPr>
        <w:t xml:space="preserve">Drosophila melanogaster </w:t>
      </w:r>
      <w:r w:rsidRPr="00020D70">
        <w:rPr>
          <w:rFonts w:ascii="Arial" w:hAnsi="Arial" w:cs="Arial"/>
          <w:lang w:val="en-IN"/>
        </w:rPr>
        <w:t xml:space="preserve">was used in all experiments. The college laboratory’s BOD stock </w:t>
      </w:r>
      <w:proofErr w:type="spellStart"/>
      <w:r w:rsidRPr="00020D70">
        <w:rPr>
          <w:rFonts w:ascii="Arial" w:hAnsi="Arial" w:cs="Arial"/>
          <w:lang w:val="en-IN"/>
        </w:rPr>
        <w:t>center</w:t>
      </w:r>
      <w:proofErr w:type="spellEnd"/>
      <w:r w:rsidRPr="00020D70">
        <w:rPr>
          <w:rFonts w:ascii="Arial" w:hAnsi="Arial" w:cs="Arial"/>
          <w:lang w:val="en-IN"/>
        </w:rPr>
        <w:t xml:space="preserve"> houses and incubates all flies. Flies were reared on standard CSY culture medium (cornmeal 31.25 g, brown sugar 31.25 g, Baker's yeast 18.75 g, agar </w:t>
      </w:r>
      <w:proofErr w:type="spellStart"/>
      <w:r w:rsidRPr="00020D70">
        <w:rPr>
          <w:rFonts w:ascii="Arial" w:hAnsi="Arial" w:cs="Arial"/>
          <w:lang w:val="en-IN"/>
        </w:rPr>
        <w:t>agar</w:t>
      </w:r>
      <w:proofErr w:type="spellEnd"/>
      <w:r w:rsidRPr="00020D70">
        <w:rPr>
          <w:rFonts w:ascii="Arial" w:hAnsi="Arial" w:cs="Arial"/>
          <w:lang w:val="en-IN"/>
        </w:rPr>
        <w:t xml:space="preserve"> 6.25 g) with propionic acid and nipagin dissolved in 1 ml ethanol (Poddar</w:t>
      </w:r>
      <w:r w:rsidR="00352C13">
        <w:rPr>
          <w:rFonts w:ascii="Arial" w:hAnsi="Arial" w:cs="Arial"/>
          <w:lang w:val="en-IN"/>
        </w:rPr>
        <w:t>.</w:t>
      </w:r>
      <w:r w:rsidRPr="00020D70">
        <w:rPr>
          <w:rFonts w:ascii="Arial" w:hAnsi="Arial" w:cs="Arial"/>
          <w:lang w:val="en-IN"/>
        </w:rPr>
        <w:t xml:space="preserve"> et al., 2002). Incubation conditions were set at 24°C with relative humidity (Šarić et. al., 2007).</w:t>
      </w:r>
    </w:p>
    <w:p w14:paraId="6B6A4119" w14:textId="2ABB4581" w:rsidR="00831504" w:rsidRDefault="00F73E61" w:rsidP="00153002">
      <w:pPr>
        <w:pStyle w:val="Body"/>
        <w:spacing w:after="0"/>
        <w:jc w:val="left"/>
        <w:rPr>
          <w:rFonts w:ascii="Arial" w:hAnsi="Arial" w:cs="Arial"/>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sidRPr="00F73E61">
        <w:rPr>
          <w:rFonts w:ascii="Arial" w:hAnsi="Arial" w:cs="Arial"/>
          <w:b/>
          <w:sz w:val="22"/>
          <w:szCs w:val="22"/>
        </w:rPr>
        <w:t>Quercetin</w:t>
      </w:r>
      <w:r w:rsidR="00831504" w:rsidRPr="00F73E61">
        <w:rPr>
          <w:rFonts w:ascii="Arial" w:hAnsi="Arial" w:cs="Arial"/>
          <w:sz w:val="22"/>
          <w:szCs w:val="22"/>
        </w:rPr>
        <w:t xml:space="preserve"> </w:t>
      </w:r>
      <w:r w:rsidR="009A34AF" w:rsidRPr="00F73E61">
        <w:rPr>
          <w:rFonts w:ascii="Arial" w:hAnsi="Arial" w:cs="Arial"/>
          <w:b/>
          <w:bCs/>
          <w:sz w:val="22"/>
          <w:szCs w:val="22"/>
        </w:rPr>
        <w:t>diet and pre-</w:t>
      </w:r>
      <w:r w:rsidR="00831504" w:rsidRPr="00F73E61">
        <w:rPr>
          <w:rFonts w:ascii="Arial" w:hAnsi="Arial" w:cs="Arial"/>
          <w:b/>
          <w:bCs/>
          <w:sz w:val="22"/>
          <w:szCs w:val="22"/>
        </w:rPr>
        <w:t>treatment</w:t>
      </w:r>
    </w:p>
    <w:p w14:paraId="1FE52FC7" w14:textId="77777777" w:rsidR="00F73E61" w:rsidRPr="00F73E61" w:rsidRDefault="00F73E61" w:rsidP="00F73E61">
      <w:pPr>
        <w:pStyle w:val="Body"/>
        <w:spacing w:after="0"/>
        <w:rPr>
          <w:rFonts w:ascii="Arial" w:hAnsi="Arial" w:cs="Arial"/>
          <w:b/>
          <w:sz w:val="22"/>
        </w:rPr>
      </w:pPr>
    </w:p>
    <w:p w14:paraId="1D477FAF" w14:textId="30AA8F0C" w:rsidR="009A34AF" w:rsidRPr="00956A6E" w:rsidRDefault="007357F7" w:rsidP="00831504">
      <w:pPr>
        <w:pStyle w:val="Body"/>
        <w:rPr>
          <w:rFonts w:ascii="Arial" w:hAnsi="Arial" w:cs="Arial"/>
          <w:lang w:val="en-IN"/>
        </w:rPr>
      </w:pPr>
      <w:r>
        <w:rPr>
          <w:rFonts w:ascii="Arial" w:hAnsi="Arial" w:cs="Arial"/>
        </w:rPr>
        <w:t xml:space="preserve">Culture </w:t>
      </w:r>
      <w:r w:rsidR="00903B82" w:rsidRPr="00903B82">
        <w:rPr>
          <w:rFonts w:ascii="Arial" w:hAnsi="Arial" w:cs="Arial"/>
          <w:lang w:val="en-IN"/>
        </w:rPr>
        <w:t>Culture media were prepared according to the protocol of Poddar et. al. (2002). 100 µM quercetin (Sigma-Aldrich) was added to the quercetin-treated culture sets: pre-</w:t>
      </w:r>
      <w:r w:rsidR="00B34F4C">
        <w:rPr>
          <w:rFonts w:ascii="Arial" w:hAnsi="Arial" w:cs="Arial"/>
          <w:lang w:val="en-IN"/>
        </w:rPr>
        <w:t>Q</w:t>
      </w:r>
      <w:r w:rsidR="00903B82" w:rsidRPr="00903B82">
        <w:rPr>
          <w:rFonts w:ascii="Arial" w:hAnsi="Arial" w:cs="Arial"/>
          <w:lang w:val="en-IN"/>
        </w:rPr>
        <w:t xml:space="preserve"> -treated</w:t>
      </w:r>
      <w:r w:rsidR="00B34F4C">
        <w:rPr>
          <w:rFonts w:ascii="Arial" w:hAnsi="Arial" w:cs="Arial"/>
          <w:lang w:val="en-IN"/>
        </w:rPr>
        <w:t xml:space="preserve"> </w:t>
      </w:r>
      <w:proofErr w:type="gramStart"/>
      <w:r w:rsidR="00B34F4C">
        <w:rPr>
          <w:rFonts w:ascii="Arial" w:hAnsi="Arial" w:cs="Arial"/>
          <w:lang w:val="en-IN"/>
        </w:rPr>
        <w:t>and</w:t>
      </w:r>
      <w:r w:rsidR="00903B82" w:rsidRPr="00903B82">
        <w:rPr>
          <w:rFonts w:ascii="Arial" w:hAnsi="Arial" w:cs="Arial"/>
          <w:lang w:val="en-IN"/>
        </w:rPr>
        <w:t xml:space="preserve">  Q</w:t>
      </w:r>
      <w:proofErr w:type="gramEnd"/>
      <w:r w:rsidR="00903B82" w:rsidRPr="00903B82">
        <w:rPr>
          <w:rFonts w:ascii="Arial" w:hAnsi="Arial" w:cs="Arial"/>
          <w:lang w:val="en-IN"/>
        </w:rPr>
        <w:t xml:space="preserve"> + UV-treated. The vial is filled with 5 mL of culture medium and is plugged with sterilized cotton</w:t>
      </w:r>
    </w:p>
    <w:p w14:paraId="019FC457" w14:textId="77B7AA8B" w:rsidR="009A34AF" w:rsidRDefault="00F73E61" w:rsidP="00153002">
      <w:pPr>
        <w:pStyle w:val="Body"/>
        <w:jc w:val="left"/>
        <w:rPr>
          <w:rFonts w:ascii="Arial" w:hAnsi="Arial" w:cs="Arial"/>
        </w:rPr>
      </w:pPr>
      <w:r>
        <w:rPr>
          <w:rFonts w:ascii="Arial" w:hAnsi="Arial" w:cs="Arial"/>
          <w:b/>
          <w:sz w:val="22"/>
          <w:szCs w:val="22"/>
        </w:rPr>
        <w:t xml:space="preserve">2.3 </w:t>
      </w:r>
      <w:r w:rsidRPr="00F73E61">
        <w:rPr>
          <w:rFonts w:ascii="Arial" w:hAnsi="Arial" w:cs="Arial"/>
          <w:b/>
          <w:bCs/>
          <w:sz w:val="22"/>
          <w:szCs w:val="22"/>
        </w:rPr>
        <w:t>Experimental design and animal group</w:t>
      </w:r>
      <w:r>
        <w:rPr>
          <w:rFonts w:ascii="Arial" w:hAnsi="Arial" w:cs="Arial"/>
        </w:rPr>
        <w:t xml:space="preserve"> </w:t>
      </w:r>
    </w:p>
    <w:p w14:paraId="66504D99" w14:textId="4A167523" w:rsidR="00831504" w:rsidRPr="00831504" w:rsidRDefault="009A34AF" w:rsidP="00831504">
      <w:pPr>
        <w:pStyle w:val="Body"/>
        <w:rPr>
          <w:rFonts w:ascii="Arial" w:hAnsi="Arial" w:cs="Arial"/>
        </w:rPr>
      </w:pPr>
      <w:r>
        <w:rPr>
          <w:rFonts w:ascii="Arial" w:hAnsi="Arial" w:cs="Arial"/>
        </w:rPr>
        <w:t>Flies were assigned to four main experimental cohorts</w:t>
      </w:r>
      <w:r w:rsidR="00831504" w:rsidRPr="00831504">
        <w:rPr>
          <w:rFonts w:ascii="Arial" w:hAnsi="Arial" w:cs="Arial"/>
        </w:rPr>
        <w:t xml:space="preserve"> - control (C)</w:t>
      </w:r>
      <w:r w:rsidR="00E30296">
        <w:rPr>
          <w:rFonts w:ascii="Arial" w:hAnsi="Arial" w:cs="Arial"/>
        </w:rPr>
        <w:t>: wild type flies fed with normal standardized diet &amp; no irradiation given</w:t>
      </w:r>
      <w:r w:rsidR="00831504" w:rsidRPr="00831504">
        <w:rPr>
          <w:rFonts w:ascii="Arial" w:hAnsi="Arial" w:cs="Arial"/>
        </w:rPr>
        <w:t>, quercetin pre-treated (pre-Q treated)</w:t>
      </w:r>
      <w:r w:rsidR="00E30296">
        <w:rPr>
          <w:rFonts w:ascii="Arial" w:hAnsi="Arial" w:cs="Arial"/>
        </w:rPr>
        <w:t>: Non-irradiated flies fed with quercetin supplemented diet</w:t>
      </w:r>
      <w:r w:rsidR="00831504" w:rsidRPr="00831504">
        <w:rPr>
          <w:rFonts w:ascii="Arial" w:hAnsi="Arial" w:cs="Arial"/>
        </w:rPr>
        <w:t>, UV treated (UV)</w:t>
      </w:r>
      <w:r w:rsidR="00E30296">
        <w:rPr>
          <w:rFonts w:ascii="Arial" w:hAnsi="Arial" w:cs="Arial"/>
        </w:rPr>
        <w:t>: UV-CV irradiated flies with standard control diet</w:t>
      </w:r>
      <w:r w:rsidR="00831504" w:rsidRPr="00831504">
        <w:rPr>
          <w:rFonts w:ascii="Arial" w:hAnsi="Arial" w:cs="Arial"/>
        </w:rPr>
        <w:t>, UV and quercetin treated (Q+UV)</w:t>
      </w:r>
      <w:r w:rsidR="00E30296">
        <w:rPr>
          <w:rFonts w:ascii="Arial" w:hAnsi="Arial" w:cs="Arial"/>
        </w:rPr>
        <w:t>: flies were pre-treated with quercetin and then UV-C rays were given</w:t>
      </w:r>
      <w:r w:rsidR="00831504" w:rsidRPr="00831504">
        <w:rPr>
          <w:rFonts w:ascii="Arial" w:hAnsi="Arial" w:cs="Arial"/>
        </w:rPr>
        <w:t xml:space="preserve">. </w:t>
      </w:r>
    </w:p>
    <w:p w14:paraId="31BDC79E" w14:textId="0D34AD02" w:rsidR="00831504" w:rsidRPr="00831504" w:rsidRDefault="00F73E61" w:rsidP="00153002">
      <w:pPr>
        <w:pStyle w:val="Body"/>
        <w:jc w:val="left"/>
        <w:rPr>
          <w:rFonts w:ascii="Arial" w:hAnsi="Arial" w:cs="Arial"/>
        </w:rPr>
      </w:pPr>
      <w:r>
        <w:rPr>
          <w:rFonts w:ascii="Arial" w:hAnsi="Arial" w:cs="Arial"/>
          <w:b/>
          <w:sz w:val="22"/>
          <w:szCs w:val="22"/>
        </w:rPr>
        <w:t>2.4</w:t>
      </w:r>
      <w:r>
        <w:rPr>
          <w:rFonts w:ascii="Arial" w:hAnsi="Arial" w:cs="Arial"/>
          <w:b/>
          <w:bCs/>
          <w:sz w:val="22"/>
          <w:szCs w:val="22"/>
        </w:rPr>
        <w:t xml:space="preserve"> E</w:t>
      </w:r>
      <w:r w:rsidRPr="00F73E61">
        <w:rPr>
          <w:rFonts w:ascii="Arial" w:hAnsi="Arial" w:cs="Arial"/>
          <w:b/>
          <w:bCs/>
          <w:sz w:val="22"/>
          <w:szCs w:val="22"/>
        </w:rPr>
        <w:t>xposure</w:t>
      </w:r>
      <w:r w:rsidR="00831504" w:rsidRPr="00F73E61">
        <w:rPr>
          <w:rFonts w:ascii="Arial" w:hAnsi="Arial" w:cs="Arial"/>
          <w:b/>
          <w:bCs/>
          <w:sz w:val="22"/>
          <w:szCs w:val="22"/>
        </w:rPr>
        <w:t xml:space="preserve"> to UV radiation</w:t>
      </w:r>
    </w:p>
    <w:p w14:paraId="271DA7F3" w14:textId="608530D4" w:rsidR="00502516" w:rsidRDefault="00C35664" w:rsidP="00831504">
      <w:pPr>
        <w:pStyle w:val="Body"/>
        <w:spacing w:after="0"/>
        <w:rPr>
          <w:rFonts w:ascii="Arial" w:hAnsi="Arial" w:cs="Arial"/>
        </w:rPr>
      </w:pPr>
      <w:r>
        <w:rPr>
          <w:rFonts w:ascii="Arial" w:hAnsi="Arial" w:cs="Arial"/>
        </w:rPr>
        <w:t xml:space="preserve">In this experiment, </w:t>
      </w:r>
      <w:r w:rsidR="000668B1">
        <w:rPr>
          <w:rFonts w:ascii="Arial" w:hAnsi="Arial" w:cs="Arial"/>
        </w:rPr>
        <w:t>u</w:t>
      </w:r>
      <w:r w:rsidR="00907631" w:rsidRPr="00907631">
        <w:rPr>
          <w:rFonts w:ascii="Arial" w:hAnsi="Arial" w:cs="Arial"/>
        </w:rPr>
        <w:t xml:space="preserve">ltraviolet stress was </w:t>
      </w:r>
      <w:r w:rsidR="000668B1">
        <w:rPr>
          <w:rFonts w:ascii="Arial" w:hAnsi="Arial" w:cs="Arial"/>
        </w:rPr>
        <w:t>induced using UV-C radiation (360J/m</w:t>
      </w:r>
      <w:r w:rsidR="000668B1" w:rsidRPr="000668B1">
        <w:rPr>
          <w:rFonts w:ascii="Arial" w:hAnsi="Arial" w:cs="Arial"/>
          <w:vertAlign w:val="superscript"/>
        </w:rPr>
        <w:t>2</w:t>
      </w:r>
      <w:r w:rsidR="000668B1">
        <w:rPr>
          <w:rFonts w:ascii="Arial" w:hAnsi="Arial" w:cs="Arial"/>
        </w:rPr>
        <w:t>), which served as the primary source of ultraviolet exposure</w:t>
      </w:r>
      <w:r>
        <w:rPr>
          <w:rFonts w:ascii="Arial" w:hAnsi="Arial" w:cs="Arial"/>
        </w:rPr>
        <w:t xml:space="preserve">. </w:t>
      </w:r>
      <w:r w:rsidR="00594385" w:rsidRPr="00594385">
        <w:rPr>
          <w:rFonts w:ascii="Arial" w:hAnsi="Arial" w:cs="Arial"/>
        </w:rPr>
        <w:t>Each sample in the UV-C and Q+UV groups received a total exposure duration of 120 seconds</w:t>
      </w:r>
      <w:r w:rsidR="00831504" w:rsidRPr="00831504">
        <w:rPr>
          <w:rFonts w:ascii="Arial" w:hAnsi="Arial" w:cs="Arial"/>
        </w:rPr>
        <w:t>.</w:t>
      </w:r>
      <w:r w:rsidR="00594385">
        <w:rPr>
          <w:rFonts w:ascii="Arial" w:hAnsi="Arial" w:cs="Arial"/>
        </w:rPr>
        <w:t xml:space="preserve"> </w:t>
      </w:r>
      <w:r w:rsidR="00594385" w:rsidRPr="00594385">
        <w:rPr>
          <w:rFonts w:ascii="Arial" w:hAnsi="Arial" w:cs="Arial"/>
        </w:rPr>
        <w:t>For the Q+UV set, flies were pre-fed quercetin prior to radiation exposure. This setup allowed for the direct assessment of quercetin's protective efficacy under acute environmental stress</w:t>
      </w:r>
      <w:r w:rsidR="009C74C9">
        <w:rPr>
          <w:rFonts w:ascii="Arial" w:hAnsi="Arial" w:cs="Arial"/>
        </w:rPr>
        <w:t>.</w:t>
      </w:r>
      <w:r w:rsidR="00831504" w:rsidRPr="00831504">
        <w:rPr>
          <w:rFonts w:ascii="Arial" w:hAnsi="Arial" w:cs="Arial"/>
        </w:rPr>
        <w:t xml:space="preserve"> </w:t>
      </w:r>
    </w:p>
    <w:p w14:paraId="173C1912" w14:textId="77777777" w:rsidR="008B7810" w:rsidRDefault="008B7810" w:rsidP="00831504">
      <w:pPr>
        <w:pStyle w:val="Body"/>
        <w:spacing w:after="0"/>
        <w:rPr>
          <w:rFonts w:ascii="Arial" w:hAnsi="Arial" w:cs="Arial"/>
        </w:rPr>
      </w:pPr>
    </w:p>
    <w:p w14:paraId="46CA0239" w14:textId="6FCA1196" w:rsidR="00EB16DC" w:rsidRDefault="00F73E61" w:rsidP="00153002">
      <w:pPr>
        <w:pStyle w:val="Body"/>
        <w:spacing w:after="0"/>
        <w:jc w:val="left"/>
        <w:rPr>
          <w:rFonts w:ascii="Arial" w:hAnsi="Arial" w:cs="Arial"/>
          <w:b/>
          <w:sz w:val="22"/>
          <w:szCs w:val="22"/>
        </w:rPr>
      </w:pPr>
      <w:r>
        <w:rPr>
          <w:rFonts w:ascii="Arial" w:hAnsi="Arial" w:cs="Arial"/>
          <w:b/>
          <w:sz w:val="22"/>
          <w:szCs w:val="22"/>
        </w:rPr>
        <w:t>2.5</w:t>
      </w:r>
      <w:r w:rsidR="00EB16DC">
        <w:rPr>
          <w:rFonts w:ascii="Arial" w:hAnsi="Arial" w:cs="Arial"/>
          <w:b/>
          <w:sz w:val="22"/>
          <w:szCs w:val="22"/>
        </w:rPr>
        <w:t xml:space="preserve"> Neuromuscular and motor kinetics </w:t>
      </w:r>
      <w:r w:rsidR="00A503BF">
        <w:rPr>
          <w:rFonts w:ascii="Arial" w:hAnsi="Arial" w:cs="Arial"/>
          <w:b/>
          <w:sz w:val="22"/>
          <w:szCs w:val="22"/>
        </w:rPr>
        <w:t>study</w:t>
      </w:r>
    </w:p>
    <w:p w14:paraId="4E664352" w14:textId="77777777" w:rsidR="00F62A4F" w:rsidRDefault="00F62A4F" w:rsidP="0067253C">
      <w:pPr>
        <w:pStyle w:val="Body"/>
        <w:spacing w:after="0"/>
        <w:rPr>
          <w:rFonts w:ascii="Arial" w:hAnsi="Arial" w:cs="Arial"/>
          <w:b/>
          <w:sz w:val="22"/>
          <w:szCs w:val="22"/>
        </w:rPr>
      </w:pPr>
    </w:p>
    <w:p w14:paraId="66EE9FF2" w14:textId="63B60A2B" w:rsidR="00EB16DC" w:rsidRDefault="00EB16DC" w:rsidP="00153002">
      <w:pPr>
        <w:pStyle w:val="Body"/>
        <w:spacing w:after="0"/>
        <w:jc w:val="left"/>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5</w:t>
      </w:r>
      <w:r w:rsidRPr="00902823">
        <w:rPr>
          <w:rFonts w:ascii="Arial" w:hAnsi="Arial" w:cs="Arial"/>
          <w:b/>
          <w:u w:val="single"/>
        </w:rPr>
        <w:t>.1</w:t>
      </w:r>
      <w:r>
        <w:rPr>
          <w:rFonts w:ascii="Arial" w:hAnsi="Arial" w:cs="Arial"/>
          <w:b/>
          <w:u w:val="single"/>
        </w:rPr>
        <w:t xml:space="preserve"> </w:t>
      </w:r>
      <w:r w:rsidRPr="00EB16DC">
        <w:rPr>
          <w:rFonts w:ascii="Arial" w:hAnsi="Arial" w:cs="Arial"/>
          <w:b/>
          <w:u w:val="single"/>
        </w:rPr>
        <w:t>Acute Negative Geotaxis assay</w:t>
      </w:r>
      <w:r w:rsidRPr="00FB3A86">
        <w:rPr>
          <w:rFonts w:ascii="Arial" w:hAnsi="Arial" w:cs="Arial"/>
        </w:rPr>
        <w:t xml:space="preserve"> </w:t>
      </w:r>
    </w:p>
    <w:p w14:paraId="07649883" w14:textId="77777777" w:rsidR="00F62A4F" w:rsidRDefault="00F62A4F" w:rsidP="0067253C">
      <w:pPr>
        <w:pStyle w:val="Body"/>
        <w:spacing w:after="0"/>
        <w:rPr>
          <w:rFonts w:ascii="Arial" w:hAnsi="Arial" w:cs="Arial"/>
        </w:rPr>
      </w:pPr>
    </w:p>
    <w:p w14:paraId="41A9DC64" w14:textId="190C1112" w:rsidR="00F62A4F" w:rsidRDefault="00E64CBF" w:rsidP="00E64CBF">
      <w:pPr>
        <w:pStyle w:val="Body"/>
        <w:rPr>
          <w:rFonts w:ascii="Arial" w:hAnsi="Arial" w:cs="Arial"/>
        </w:rPr>
      </w:pPr>
      <w:r w:rsidRPr="00E64CBF">
        <w:rPr>
          <w:rFonts w:ascii="Arial" w:hAnsi="Arial" w:cs="Arial"/>
          <w:lang w:val="en-IN"/>
        </w:rPr>
        <w:t xml:space="preserve">To evaluate functional recovery and motor coordination, a Rapid Iterative Negative Geotaxis (RING) assay was performed to assess locomotor ability and neuromuscular function in </w:t>
      </w:r>
      <w:r w:rsidRPr="00E64CBF">
        <w:rPr>
          <w:rFonts w:ascii="Arial" w:hAnsi="Arial" w:cs="Arial"/>
          <w:i/>
          <w:iCs/>
          <w:lang w:val="en-IN"/>
        </w:rPr>
        <w:t>Drosophila melanogaster,</w:t>
      </w:r>
      <w:r w:rsidRPr="00E64CBF">
        <w:rPr>
          <w:rFonts w:ascii="Arial" w:hAnsi="Arial" w:cs="Arial"/>
          <w:lang w:val="en-IN"/>
        </w:rPr>
        <w:t xml:space="preserve"> following Gargano et</w:t>
      </w:r>
      <w:r w:rsidR="00B34F4C">
        <w:rPr>
          <w:rFonts w:ascii="Arial" w:hAnsi="Arial" w:cs="Arial"/>
          <w:lang w:val="en-IN"/>
        </w:rPr>
        <w:t>.</w:t>
      </w:r>
      <w:r w:rsidRPr="00E64CBF">
        <w:rPr>
          <w:rFonts w:ascii="Arial" w:hAnsi="Arial" w:cs="Arial"/>
          <w:lang w:val="en-IN"/>
        </w:rPr>
        <w:t xml:space="preserve"> al. (2005) with minor modifications.</w:t>
      </w:r>
      <w:r>
        <w:rPr>
          <w:rFonts w:ascii="Arial" w:hAnsi="Arial" w:cs="Arial"/>
          <w:lang w:val="en-IN"/>
        </w:rPr>
        <w:t xml:space="preserve"> </w:t>
      </w:r>
      <w:r w:rsidR="00F62A4F" w:rsidRPr="00C373CB">
        <w:rPr>
          <w:rFonts w:ascii="Arial" w:hAnsi="Arial" w:cs="Arial"/>
        </w:rPr>
        <w:t xml:space="preserve">A </w:t>
      </w:r>
      <w:proofErr w:type="spellStart"/>
      <w:r w:rsidR="00F62A4F" w:rsidRPr="00C373CB">
        <w:rPr>
          <w:rFonts w:ascii="Arial" w:hAnsi="Arial" w:cs="Arial"/>
        </w:rPr>
        <w:lastRenderedPageBreak/>
        <w:t>thermocol</w:t>
      </w:r>
      <w:proofErr w:type="spellEnd"/>
      <w:r w:rsidR="00F62A4F" w:rsidRPr="00C373CB">
        <w:rPr>
          <w:rFonts w:ascii="Arial" w:hAnsi="Arial" w:cs="Arial"/>
        </w:rPr>
        <w:t xml:space="preserve"> sheet was placed flat on a sturdy table with a white background. Four glass tubes (12cm) were marked at 4</w:t>
      </w:r>
      <w:r w:rsidR="00907631">
        <w:rPr>
          <w:rFonts w:ascii="Arial" w:hAnsi="Arial" w:cs="Arial"/>
        </w:rPr>
        <w:t xml:space="preserve"> </w:t>
      </w:r>
      <w:r w:rsidR="00F62A4F" w:rsidRPr="00C373CB">
        <w:rPr>
          <w:rFonts w:ascii="Arial" w:hAnsi="Arial" w:cs="Arial"/>
        </w:rPr>
        <w:t>cm &amp; 8</w:t>
      </w:r>
      <w:r w:rsidR="00907631">
        <w:rPr>
          <w:rFonts w:ascii="Arial" w:hAnsi="Arial" w:cs="Arial"/>
        </w:rPr>
        <w:t xml:space="preserve"> </w:t>
      </w:r>
      <w:r w:rsidR="00F62A4F" w:rsidRPr="00C373CB">
        <w:rPr>
          <w:rFonts w:ascii="Arial" w:hAnsi="Arial" w:cs="Arial"/>
        </w:rPr>
        <w:t xml:space="preserve">cm height using a permanent marker from the bottom of the tube as a threshold for climbing activity of the flies. Eighteen freshly eclosed flies </w:t>
      </w:r>
      <w:r w:rsidR="00594385">
        <w:rPr>
          <w:rFonts w:ascii="Arial" w:hAnsi="Arial" w:cs="Arial"/>
        </w:rPr>
        <w:t>from the 4 experimental sets (i.e., C, Q, UV &amp; Q+UV) were placed on the marked test tubes &amp; were capped with a cotton plug</w:t>
      </w:r>
      <w:r w:rsidR="00F62A4F" w:rsidRPr="00C373CB">
        <w:rPr>
          <w:rFonts w:ascii="Arial" w:hAnsi="Arial" w:cs="Arial"/>
        </w:rPr>
        <w:t xml:space="preserve">. In a </w:t>
      </w:r>
      <w:r w:rsidR="00907631">
        <w:rPr>
          <w:rFonts w:ascii="Arial" w:hAnsi="Arial" w:cs="Arial"/>
        </w:rPr>
        <w:t>well-lit room facing a white wall, the rack containing the test tubes was placed on a</w:t>
      </w:r>
      <w:r w:rsidR="00F62A4F" w:rsidRPr="00C373CB">
        <w:rPr>
          <w:rFonts w:ascii="Arial" w:hAnsi="Arial" w:cs="Arial"/>
        </w:rPr>
        <w:t xml:space="preserve"> flat surface. A hardbound notebook was placed on top of the row of plugged test tubes in the rack. Next</w:t>
      </w:r>
      <w:r w:rsidR="00907631">
        <w:rPr>
          <w:rFonts w:ascii="Arial" w:hAnsi="Arial" w:cs="Arial"/>
        </w:rPr>
        <w:t xml:space="preserve">, holding the rack with the assay tubes and the notebook, the entire setup was tapped thrice in quick succession to let all the flies in the tubes fall to the </w:t>
      </w:r>
      <w:r w:rsidR="00F62A4F" w:rsidRPr="00C373CB">
        <w:rPr>
          <w:rFonts w:ascii="Arial" w:hAnsi="Arial" w:cs="Arial"/>
        </w:rPr>
        <w:t xml:space="preserve">bottom. A camera with a tripod capturing the entire arena </w:t>
      </w:r>
      <w:r w:rsidR="00594385">
        <w:rPr>
          <w:rFonts w:ascii="Arial" w:hAnsi="Arial" w:cs="Arial"/>
        </w:rPr>
        <w:t>was turned on immediately to start recording the geotaxis experiment (60 seconds),</w:t>
      </w:r>
      <w:r w:rsidR="00C732D9">
        <w:rPr>
          <w:rFonts w:ascii="Arial" w:hAnsi="Arial" w:cs="Arial"/>
        </w:rPr>
        <w:t xml:space="preserve"> and the result was noted down. </w:t>
      </w:r>
    </w:p>
    <w:p w14:paraId="0092B694" w14:textId="77777777" w:rsidR="00EB16DC" w:rsidRDefault="00EB16DC" w:rsidP="0067253C">
      <w:pPr>
        <w:pStyle w:val="Body"/>
        <w:spacing w:after="0"/>
        <w:rPr>
          <w:rFonts w:ascii="Arial" w:hAnsi="Arial" w:cs="Arial"/>
          <w:b/>
          <w:sz w:val="22"/>
          <w:szCs w:val="22"/>
        </w:rPr>
      </w:pPr>
    </w:p>
    <w:p w14:paraId="7DD66EC0" w14:textId="0D2B70E6" w:rsidR="00F62A4F" w:rsidRDefault="00F62A4F" w:rsidP="00153002">
      <w:pPr>
        <w:pStyle w:val="Body"/>
        <w:spacing w:after="0"/>
        <w:jc w:val="left"/>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5</w:t>
      </w:r>
      <w:r w:rsidRPr="00902823">
        <w:rPr>
          <w:rFonts w:ascii="Arial" w:hAnsi="Arial" w:cs="Arial"/>
          <w:b/>
          <w:u w:val="single"/>
        </w:rPr>
        <w:t>.</w:t>
      </w:r>
      <w:r>
        <w:rPr>
          <w:rFonts w:ascii="Arial" w:hAnsi="Arial" w:cs="Arial"/>
          <w:b/>
          <w:u w:val="single"/>
        </w:rPr>
        <w:t xml:space="preserve">2 </w:t>
      </w:r>
      <w:r w:rsidRPr="00F62A4F">
        <w:rPr>
          <w:rFonts w:ascii="Arial" w:hAnsi="Arial" w:cs="Arial"/>
          <w:b/>
          <w:u w:val="single"/>
        </w:rPr>
        <w:t>Age dependent climbing activity</w:t>
      </w:r>
      <w:r w:rsidRPr="00FB3A86">
        <w:rPr>
          <w:rFonts w:ascii="Arial" w:hAnsi="Arial" w:cs="Arial"/>
        </w:rPr>
        <w:t xml:space="preserve"> </w:t>
      </w:r>
    </w:p>
    <w:p w14:paraId="7E825D97" w14:textId="77777777" w:rsidR="00F05871" w:rsidRDefault="00F05871" w:rsidP="0067253C">
      <w:pPr>
        <w:pStyle w:val="Body"/>
        <w:spacing w:after="0"/>
        <w:rPr>
          <w:rFonts w:ascii="Arial" w:hAnsi="Arial" w:cs="Arial"/>
        </w:rPr>
      </w:pPr>
    </w:p>
    <w:p w14:paraId="76360CFC" w14:textId="62CC0722" w:rsidR="00F62A4F" w:rsidRPr="00C90A9A" w:rsidRDefault="00C90A9A" w:rsidP="00F73E61">
      <w:pPr>
        <w:pStyle w:val="Body"/>
        <w:rPr>
          <w:rFonts w:ascii="Arial" w:hAnsi="Arial" w:cs="Arial"/>
          <w:lang w:val="en-IN"/>
        </w:rPr>
      </w:pPr>
      <w:r w:rsidRPr="00C90A9A">
        <w:rPr>
          <w:rFonts w:ascii="Arial" w:hAnsi="Arial" w:cs="Arial"/>
          <w:lang w:val="en-IN"/>
        </w:rPr>
        <w:t xml:space="preserve">Age-dependent locomotor activity was evaluated across four experimental groups (C, </w:t>
      </w:r>
      <w:r w:rsidR="00225638">
        <w:rPr>
          <w:rFonts w:ascii="Arial" w:hAnsi="Arial" w:cs="Arial"/>
          <w:lang w:val="en-IN"/>
        </w:rPr>
        <w:t>pre-</w:t>
      </w:r>
      <w:r w:rsidRPr="00C90A9A">
        <w:rPr>
          <w:rFonts w:ascii="Arial" w:hAnsi="Arial" w:cs="Arial"/>
          <w:lang w:val="en-IN"/>
        </w:rPr>
        <w:t>Q, UV, and Q+UV) at six time points (Days 3, 6, 9, 12, 15, and 18 post-</w:t>
      </w:r>
      <w:proofErr w:type="spellStart"/>
      <w:r w:rsidRPr="00C90A9A">
        <w:rPr>
          <w:rFonts w:ascii="Arial" w:hAnsi="Arial" w:cs="Arial"/>
          <w:lang w:val="en-IN"/>
        </w:rPr>
        <w:t>eclosion</w:t>
      </w:r>
      <w:proofErr w:type="spellEnd"/>
      <w:r w:rsidRPr="00C90A9A">
        <w:rPr>
          <w:rFonts w:ascii="Arial" w:hAnsi="Arial" w:cs="Arial"/>
          <w:lang w:val="en-IN"/>
        </w:rPr>
        <w:t>)</w:t>
      </w:r>
      <w:r w:rsidR="00225638">
        <w:rPr>
          <w:rFonts w:ascii="Arial" w:hAnsi="Arial" w:cs="Arial"/>
          <w:lang w:val="en-IN"/>
        </w:rPr>
        <w:t xml:space="preserve"> </w:t>
      </w:r>
      <w:r w:rsidR="00225638" w:rsidRPr="00225638">
        <w:rPr>
          <w:rFonts w:ascii="Arial" w:hAnsi="Arial" w:cs="Arial"/>
        </w:rPr>
        <w:t>following established developmental monitoring timelines (</w:t>
      </w:r>
      <w:proofErr w:type="spellStart"/>
      <w:r w:rsidR="00225638" w:rsidRPr="00225638">
        <w:rPr>
          <w:rFonts w:ascii="Arial" w:hAnsi="Arial" w:cs="Arial"/>
        </w:rPr>
        <w:t>Grotewiel</w:t>
      </w:r>
      <w:proofErr w:type="spellEnd"/>
      <w:r w:rsidR="00225638" w:rsidRPr="00225638">
        <w:rPr>
          <w:rFonts w:ascii="Arial" w:hAnsi="Arial" w:cs="Arial"/>
        </w:rPr>
        <w:t xml:space="preserve"> et</w:t>
      </w:r>
      <w:r w:rsidR="00B37074">
        <w:rPr>
          <w:rFonts w:ascii="Arial" w:hAnsi="Arial" w:cs="Arial"/>
        </w:rPr>
        <w:t>.</w:t>
      </w:r>
      <w:r w:rsidR="00225638" w:rsidRPr="00225638">
        <w:rPr>
          <w:rFonts w:ascii="Arial" w:hAnsi="Arial" w:cs="Arial"/>
        </w:rPr>
        <w:t xml:space="preserve"> al., 2005)</w:t>
      </w:r>
      <w:r w:rsidRPr="00C90A9A">
        <w:rPr>
          <w:rFonts w:ascii="Arial" w:hAnsi="Arial" w:cs="Arial"/>
          <w:lang w:val="en-IN"/>
        </w:rPr>
        <w:t xml:space="preserve">. The total sample size was 200 flies (N = 50 flies/ cohort, tested across three independent biological replicates). The experimental cohorts were monitored in a 250 mL </w:t>
      </w:r>
      <w:proofErr w:type="spellStart"/>
      <w:r w:rsidRPr="00C90A9A">
        <w:rPr>
          <w:rFonts w:ascii="Arial" w:hAnsi="Arial" w:cs="Arial"/>
          <w:lang w:val="en-IN"/>
        </w:rPr>
        <w:t>Borosil</w:t>
      </w:r>
      <w:proofErr w:type="spellEnd"/>
      <w:r w:rsidRPr="00C90A9A">
        <w:rPr>
          <w:rFonts w:ascii="Arial" w:hAnsi="Arial" w:cs="Arial"/>
          <w:lang w:val="en-IN"/>
        </w:rPr>
        <w:t xml:space="preserve"> glass cylinder covered with a lid. Locomotor activity was quantified by recording the total number of flies reaching a height of 25 cm within a fixed interval at each 3-day milestone</w:t>
      </w:r>
      <w:r w:rsidR="007E5256">
        <w:rPr>
          <w:rFonts w:ascii="Arial" w:hAnsi="Arial" w:cs="Arial"/>
          <w:lang w:val="en-IN"/>
        </w:rPr>
        <w:t xml:space="preserve"> using adapted vertical column climbing protocols </w:t>
      </w:r>
      <w:r w:rsidR="007E5256" w:rsidRPr="007E5256">
        <w:rPr>
          <w:rFonts w:ascii="Arial" w:hAnsi="Arial" w:cs="Arial"/>
        </w:rPr>
        <w:t>(Arking &amp; Wells, 1990; Rhodenizer et</w:t>
      </w:r>
      <w:r w:rsidR="00B37074">
        <w:rPr>
          <w:rFonts w:ascii="Arial" w:hAnsi="Arial" w:cs="Arial"/>
        </w:rPr>
        <w:t>.</w:t>
      </w:r>
      <w:r w:rsidR="007E5256" w:rsidRPr="007E5256">
        <w:rPr>
          <w:rFonts w:ascii="Arial" w:hAnsi="Arial" w:cs="Arial"/>
        </w:rPr>
        <w:t xml:space="preserve"> al., 2008).</w:t>
      </w:r>
    </w:p>
    <w:p w14:paraId="2B4538DE" w14:textId="39DFCBF5" w:rsidR="0067253C" w:rsidRPr="0067253C" w:rsidRDefault="0067253C" w:rsidP="00153002">
      <w:pPr>
        <w:pStyle w:val="Body"/>
        <w:spacing w:after="0"/>
        <w:jc w:val="left"/>
        <w:rPr>
          <w:rFonts w:ascii="Arial" w:hAnsi="Arial" w:cs="Arial"/>
          <w:b/>
          <w:bCs/>
          <w:sz w:val="22"/>
          <w:szCs w:val="22"/>
        </w:rPr>
      </w:pPr>
      <w:r w:rsidRPr="0067253C">
        <w:rPr>
          <w:rFonts w:ascii="Arial" w:hAnsi="Arial" w:cs="Arial"/>
          <w:b/>
          <w:bCs/>
          <w:sz w:val="22"/>
          <w:szCs w:val="22"/>
        </w:rPr>
        <w:t xml:space="preserve">2.6 </w:t>
      </w:r>
      <w:r w:rsidR="00F62A4F">
        <w:rPr>
          <w:rFonts w:ascii="Arial" w:hAnsi="Arial" w:cs="Arial"/>
          <w:b/>
          <w:bCs/>
          <w:sz w:val="22"/>
          <w:szCs w:val="22"/>
        </w:rPr>
        <w:t xml:space="preserve">Sensory perception and orientational </w:t>
      </w:r>
      <w:proofErr w:type="spellStart"/>
      <w:r w:rsidR="00F62A4F">
        <w:rPr>
          <w:rFonts w:ascii="Arial" w:hAnsi="Arial" w:cs="Arial"/>
          <w:b/>
          <w:bCs/>
          <w:sz w:val="22"/>
          <w:szCs w:val="22"/>
        </w:rPr>
        <w:t>behaviour</w:t>
      </w:r>
      <w:proofErr w:type="spellEnd"/>
      <w:r w:rsidR="00F62A4F">
        <w:rPr>
          <w:rFonts w:ascii="Arial" w:hAnsi="Arial" w:cs="Arial"/>
          <w:b/>
          <w:bCs/>
          <w:sz w:val="22"/>
          <w:szCs w:val="22"/>
        </w:rPr>
        <w:t xml:space="preserve"> </w:t>
      </w:r>
      <w:r w:rsidR="00A503BF">
        <w:rPr>
          <w:rFonts w:ascii="Arial" w:hAnsi="Arial" w:cs="Arial"/>
          <w:b/>
          <w:bCs/>
          <w:sz w:val="22"/>
          <w:szCs w:val="22"/>
        </w:rPr>
        <w:t xml:space="preserve">study </w:t>
      </w:r>
      <w:r w:rsidR="00F62A4F">
        <w:rPr>
          <w:rFonts w:ascii="Arial" w:hAnsi="Arial" w:cs="Arial"/>
          <w:b/>
          <w:bCs/>
          <w:sz w:val="22"/>
          <w:szCs w:val="22"/>
        </w:rPr>
        <w:t>(</w:t>
      </w:r>
      <w:r w:rsidRPr="0067253C">
        <w:rPr>
          <w:rFonts w:ascii="Arial" w:hAnsi="Arial" w:cs="Arial"/>
          <w:b/>
          <w:bCs/>
          <w:sz w:val="22"/>
          <w:szCs w:val="22"/>
        </w:rPr>
        <w:t xml:space="preserve">Phototactic </w:t>
      </w:r>
      <w:r w:rsidR="00F62A4F">
        <w:rPr>
          <w:rFonts w:ascii="Arial" w:hAnsi="Arial" w:cs="Arial"/>
          <w:b/>
          <w:bCs/>
          <w:sz w:val="22"/>
          <w:szCs w:val="22"/>
        </w:rPr>
        <w:t>preference as</w:t>
      </w:r>
      <w:r w:rsidRPr="0067253C">
        <w:rPr>
          <w:rFonts w:ascii="Arial" w:hAnsi="Arial" w:cs="Arial"/>
          <w:b/>
          <w:bCs/>
          <w:sz w:val="22"/>
          <w:szCs w:val="22"/>
        </w:rPr>
        <w:t>say</w:t>
      </w:r>
      <w:r w:rsidR="00F62A4F">
        <w:rPr>
          <w:rFonts w:ascii="Arial" w:hAnsi="Arial" w:cs="Arial"/>
          <w:b/>
          <w:bCs/>
          <w:sz w:val="22"/>
          <w:szCs w:val="22"/>
        </w:rPr>
        <w:t>)</w:t>
      </w:r>
    </w:p>
    <w:p w14:paraId="19A35F43" w14:textId="77777777" w:rsidR="0067253C" w:rsidRDefault="0067253C" w:rsidP="0067253C">
      <w:pPr>
        <w:pStyle w:val="Body"/>
        <w:spacing w:after="0"/>
        <w:rPr>
          <w:rFonts w:ascii="Arial" w:hAnsi="Arial" w:cs="Arial"/>
        </w:rPr>
      </w:pPr>
    </w:p>
    <w:p w14:paraId="3C652D43" w14:textId="1211F743" w:rsidR="00CB73EA" w:rsidRPr="00CB73EA" w:rsidRDefault="00CB73EA" w:rsidP="00CB73EA">
      <w:pPr>
        <w:pStyle w:val="Body"/>
        <w:rPr>
          <w:rFonts w:ascii="Arial" w:hAnsi="Arial" w:cs="Arial"/>
          <w:lang w:val="en-IN"/>
        </w:rPr>
      </w:pPr>
      <w:r w:rsidRPr="00CB73EA">
        <w:rPr>
          <w:rFonts w:ascii="Arial" w:hAnsi="Arial" w:cs="Arial"/>
          <w:lang w:val="en-IN"/>
        </w:rPr>
        <w:t xml:space="preserve">Phototactic </w:t>
      </w:r>
      <w:proofErr w:type="spellStart"/>
      <w:r w:rsidRPr="00CB73EA">
        <w:rPr>
          <w:rFonts w:ascii="Arial" w:hAnsi="Arial" w:cs="Arial"/>
          <w:lang w:val="en-IN"/>
        </w:rPr>
        <w:t>behavior</w:t>
      </w:r>
      <w:proofErr w:type="spellEnd"/>
      <w:r w:rsidRPr="00CB73EA">
        <w:rPr>
          <w:rFonts w:ascii="Arial" w:hAnsi="Arial" w:cs="Arial"/>
          <w:lang w:val="en-IN"/>
        </w:rPr>
        <w:t xml:space="preserve"> was tested in 10-day-old flies using a custom T-maze built from three clean glass vials</w:t>
      </w:r>
      <w:r w:rsidR="009856C8">
        <w:rPr>
          <w:rFonts w:ascii="Arial" w:hAnsi="Arial" w:cs="Arial"/>
          <w:lang w:val="en-IN"/>
        </w:rPr>
        <w:t xml:space="preserve"> </w:t>
      </w:r>
      <w:r w:rsidR="009856C8" w:rsidRPr="009856C8">
        <w:rPr>
          <w:rFonts w:ascii="Arial" w:hAnsi="Arial" w:cs="Arial"/>
        </w:rPr>
        <w:t xml:space="preserve">adapted from standard binary choice phototaxis assay protocols (Benzer, 1967; </w:t>
      </w:r>
      <w:r w:rsidR="00003ECB">
        <w:rPr>
          <w:rFonts w:ascii="Arial" w:hAnsi="Arial" w:cs="Arial"/>
        </w:rPr>
        <w:t>Halder, 1964</w:t>
      </w:r>
      <w:r w:rsidR="007E4D95">
        <w:rPr>
          <w:rFonts w:ascii="Arial" w:hAnsi="Arial" w:cs="Arial"/>
        </w:rPr>
        <w:t xml:space="preserve">). </w:t>
      </w:r>
      <w:r w:rsidRPr="00CB73EA">
        <w:rPr>
          <w:rFonts w:ascii="Arial" w:hAnsi="Arial" w:cs="Arial"/>
          <w:lang w:val="en-IN"/>
        </w:rPr>
        <w:t>The maze included a central introduction chamber and two choice arms attached with transparent tape.</w:t>
      </w:r>
      <w:r>
        <w:rPr>
          <w:rFonts w:ascii="Arial" w:hAnsi="Arial" w:cs="Arial"/>
          <w:lang w:val="en-IN"/>
        </w:rPr>
        <w:t xml:space="preserve">  </w:t>
      </w:r>
      <w:r w:rsidRPr="00CB73EA">
        <w:rPr>
          <w:rFonts w:ascii="Arial" w:hAnsi="Arial" w:cs="Arial"/>
          <w:lang w:val="en-IN"/>
        </w:rPr>
        <w:t>The two arms were joined using a T-connector, with one arm covered in black tape to eliminate light (dark arm) and the opposing clear arm lit by an LED (light arm).</w:t>
      </w:r>
      <w:r>
        <w:rPr>
          <w:rFonts w:ascii="Arial" w:hAnsi="Arial" w:cs="Arial"/>
          <w:lang w:val="en-IN"/>
        </w:rPr>
        <w:t xml:space="preserve"> </w:t>
      </w:r>
      <w:r w:rsidRPr="00CB73EA">
        <w:rPr>
          <w:rFonts w:ascii="Arial" w:hAnsi="Arial" w:cs="Arial"/>
          <w:lang w:val="en-IN"/>
        </w:rPr>
        <w:t>Tests used 10 flies per trial across three biological replicates per cohort (N = 120 flies).</w:t>
      </w:r>
      <w:r>
        <w:rPr>
          <w:rFonts w:ascii="Arial" w:hAnsi="Arial" w:cs="Arial"/>
          <w:lang w:val="en-IN"/>
        </w:rPr>
        <w:t xml:space="preserve"> </w:t>
      </w:r>
      <w:r w:rsidRPr="00CB73EA">
        <w:rPr>
          <w:rFonts w:ascii="Arial" w:hAnsi="Arial" w:cs="Arial"/>
          <w:lang w:val="en-IN"/>
        </w:rPr>
        <w:t>Flies were placed in the central chamber and given 10 seconds to choose between the light and dark arms once the LED was turned on</w:t>
      </w:r>
      <w:r w:rsidR="00EA5BA4">
        <w:rPr>
          <w:rFonts w:ascii="Arial" w:hAnsi="Arial" w:cs="Arial"/>
          <w:lang w:val="en-IN"/>
        </w:rPr>
        <w:t xml:space="preserve"> (</w:t>
      </w:r>
      <w:r w:rsidR="00E77BD8">
        <w:rPr>
          <w:rFonts w:ascii="Arial" w:hAnsi="Arial" w:cs="Arial"/>
        </w:rPr>
        <w:t>V</w:t>
      </w:r>
      <w:r w:rsidR="00EA5BA4">
        <w:rPr>
          <w:rFonts w:ascii="Arial" w:hAnsi="Arial" w:cs="Arial"/>
        </w:rPr>
        <w:t>an</w:t>
      </w:r>
      <w:r w:rsidR="00AB57F4">
        <w:rPr>
          <w:rFonts w:ascii="Arial" w:hAnsi="Arial" w:cs="Arial"/>
        </w:rPr>
        <w:t>g</w:t>
      </w:r>
      <w:r w:rsidR="00EA5BA4">
        <w:rPr>
          <w:rFonts w:ascii="Arial" w:hAnsi="Arial" w:cs="Arial"/>
        </w:rPr>
        <w:t xml:space="preserve"> et. al., 2012)</w:t>
      </w:r>
      <w:r w:rsidRPr="00CB73EA">
        <w:rPr>
          <w:rFonts w:ascii="Arial" w:hAnsi="Arial" w:cs="Arial"/>
          <w:lang w:val="en-IN"/>
        </w:rPr>
        <w:t>.</w:t>
      </w:r>
      <w:r>
        <w:rPr>
          <w:rFonts w:ascii="Arial" w:hAnsi="Arial" w:cs="Arial"/>
          <w:lang w:val="en-IN"/>
        </w:rPr>
        <w:t xml:space="preserve"> </w:t>
      </w:r>
      <w:r w:rsidRPr="00CB73EA">
        <w:rPr>
          <w:rFonts w:ascii="Arial" w:hAnsi="Arial" w:cs="Arial"/>
          <w:lang w:val="en-IN"/>
        </w:rPr>
        <w:t>Positive (+</w:t>
      </w:r>
      <w:proofErr w:type="spellStart"/>
      <w:r w:rsidRPr="00CB73EA">
        <w:rPr>
          <w:rFonts w:ascii="Arial" w:hAnsi="Arial" w:cs="Arial"/>
          <w:lang w:val="en-IN"/>
        </w:rPr>
        <w:t>ve</w:t>
      </w:r>
      <w:proofErr w:type="spellEnd"/>
      <w:r w:rsidRPr="00CB73EA">
        <w:rPr>
          <w:rFonts w:ascii="Arial" w:hAnsi="Arial" w:cs="Arial"/>
          <w:lang w:val="en-IN"/>
        </w:rPr>
        <w:t>) and negative (-</w:t>
      </w:r>
      <w:proofErr w:type="spellStart"/>
      <w:r w:rsidRPr="00CB73EA">
        <w:rPr>
          <w:rFonts w:ascii="Arial" w:hAnsi="Arial" w:cs="Arial"/>
          <w:lang w:val="en-IN"/>
        </w:rPr>
        <w:t>ve</w:t>
      </w:r>
      <w:proofErr w:type="spellEnd"/>
      <w:r w:rsidRPr="00CB73EA">
        <w:rPr>
          <w:rFonts w:ascii="Arial" w:hAnsi="Arial" w:cs="Arial"/>
          <w:lang w:val="en-IN"/>
        </w:rPr>
        <w:t>) phototaxis counts were recorded immediately after the 10-second interval.</w:t>
      </w:r>
    </w:p>
    <w:p w14:paraId="49E12571" w14:textId="77777777" w:rsidR="0067253C" w:rsidRDefault="0067253C" w:rsidP="0067253C">
      <w:pPr>
        <w:pStyle w:val="Body"/>
        <w:spacing w:after="0"/>
        <w:rPr>
          <w:rFonts w:ascii="Arial" w:hAnsi="Arial" w:cs="Arial"/>
        </w:rPr>
      </w:pPr>
    </w:p>
    <w:p w14:paraId="209CC43E" w14:textId="314E9596" w:rsidR="00F62A4F" w:rsidRDefault="0067253C" w:rsidP="00153002">
      <w:pPr>
        <w:pStyle w:val="Body"/>
        <w:spacing w:after="0"/>
        <w:jc w:val="left"/>
        <w:rPr>
          <w:rFonts w:ascii="Arial" w:hAnsi="Arial" w:cs="Arial"/>
          <w:b/>
          <w:bCs/>
          <w:sz w:val="22"/>
          <w:szCs w:val="22"/>
        </w:rPr>
      </w:pPr>
      <w:r w:rsidRPr="0067253C">
        <w:rPr>
          <w:rFonts w:ascii="Arial" w:hAnsi="Arial" w:cs="Arial"/>
          <w:b/>
          <w:bCs/>
          <w:sz w:val="22"/>
          <w:szCs w:val="22"/>
        </w:rPr>
        <w:t>2.7</w:t>
      </w:r>
      <w:r w:rsidR="00F62A4F">
        <w:rPr>
          <w:rFonts w:ascii="Arial" w:hAnsi="Arial" w:cs="Arial"/>
          <w:b/>
          <w:bCs/>
          <w:sz w:val="22"/>
          <w:szCs w:val="22"/>
        </w:rPr>
        <w:t xml:space="preserve"> Stress vulnerability and mechanical shock recovery</w:t>
      </w:r>
      <w:r w:rsidR="00A503BF">
        <w:rPr>
          <w:rFonts w:ascii="Arial" w:hAnsi="Arial" w:cs="Arial"/>
          <w:b/>
          <w:bCs/>
          <w:sz w:val="22"/>
          <w:szCs w:val="22"/>
        </w:rPr>
        <w:t xml:space="preserve"> study</w:t>
      </w:r>
      <w:r w:rsidR="0020155D">
        <w:rPr>
          <w:rFonts w:ascii="Arial" w:hAnsi="Arial" w:cs="Arial"/>
          <w:b/>
          <w:bCs/>
          <w:sz w:val="22"/>
          <w:szCs w:val="22"/>
        </w:rPr>
        <w:t xml:space="preserve"> (Vortex assay for </w:t>
      </w:r>
      <w:r w:rsidR="0020155D" w:rsidRPr="0067253C">
        <w:rPr>
          <w:rFonts w:ascii="Arial" w:hAnsi="Arial" w:cs="Arial"/>
          <w:b/>
          <w:bCs/>
          <w:sz w:val="22"/>
          <w:szCs w:val="22"/>
        </w:rPr>
        <w:t>Mechanical shock recovery</w:t>
      </w:r>
      <w:r w:rsidR="0020155D">
        <w:rPr>
          <w:rFonts w:ascii="Arial" w:hAnsi="Arial" w:cs="Arial"/>
          <w:b/>
          <w:bCs/>
          <w:sz w:val="22"/>
          <w:szCs w:val="22"/>
        </w:rPr>
        <w:t>)</w:t>
      </w:r>
    </w:p>
    <w:p w14:paraId="7D36B877" w14:textId="77777777" w:rsidR="00F62A4F" w:rsidRDefault="0067253C" w:rsidP="00F62A4F">
      <w:pPr>
        <w:pStyle w:val="Body"/>
        <w:spacing w:after="0"/>
        <w:rPr>
          <w:rFonts w:ascii="Arial" w:hAnsi="Arial" w:cs="Arial"/>
          <w:b/>
          <w:bCs/>
          <w:sz w:val="22"/>
          <w:szCs w:val="22"/>
        </w:rPr>
      </w:pPr>
      <w:r w:rsidRPr="0067253C">
        <w:rPr>
          <w:rFonts w:ascii="Arial" w:hAnsi="Arial" w:cs="Arial"/>
          <w:b/>
          <w:bCs/>
          <w:sz w:val="22"/>
          <w:szCs w:val="22"/>
        </w:rPr>
        <w:t xml:space="preserve"> </w:t>
      </w:r>
    </w:p>
    <w:p w14:paraId="0208D06A" w14:textId="0F3157D3" w:rsidR="00FB3F0D" w:rsidRPr="00013A41" w:rsidRDefault="00A90365" w:rsidP="00FB3F0D">
      <w:pPr>
        <w:pStyle w:val="Body"/>
        <w:rPr>
          <w:rFonts w:ascii="Arial" w:hAnsi="Arial" w:cs="Arial"/>
          <w:color w:val="000000"/>
          <w:lang w:val="en-IN"/>
        </w:rPr>
      </w:pPr>
      <w:r w:rsidRPr="00013A41">
        <w:rPr>
          <w:rFonts w:ascii="Arial" w:hAnsi="Arial" w:cs="Arial"/>
          <w:color w:val="000000"/>
          <w:lang w:val="en-IN"/>
        </w:rPr>
        <w:t xml:space="preserve">Post-seizure recovery was evaluated in 30-day-old flies across four groups (C, </w:t>
      </w:r>
      <w:r w:rsidR="00C82A3A">
        <w:rPr>
          <w:rFonts w:ascii="Arial" w:hAnsi="Arial" w:cs="Arial"/>
          <w:color w:val="000000"/>
          <w:lang w:val="en-IN"/>
        </w:rPr>
        <w:t>pre-</w:t>
      </w:r>
      <w:r w:rsidRPr="00013A41">
        <w:rPr>
          <w:rFonts w:ascii="Arial" w:hAnsi="Arial" w:cs="Arial"/>
          <w:color w:val="000000"/>
          <w:lang w:val="en-IN"/>
        </w:rPr>
        <w:t>Q, UV, and Q+UV). Flies were tested in batches of 5 per empty glass vial (n = 5 flies/vial, 3 replicates per group; N=60 flies). Vials were placed on a benchtop vortex mixer (REMI, CM 101) and vortexed at maximum speed for 20 seconds to induce mechanical paralysis and seizures</w:t>
      </w:r>
      <w:r w:rsidR="00C47692">
        <w:rPr>
          <w:rFonts w:ascii="Arial" w:hAnsi="Arial" w:cs="Arial"/>
          <w:color w:val="000000"/>
          <w:lang w:val="en-IN"/>
        </w:rPr>
        <w:t xml:space="preserve">, </w:t>
      </w:r>
      <w:r w:rsidR="00C47692" w:rsidRPr="00C47692">
        <w:rPr>
          <w:rFonts w:ascii="Arial" w:hAnsi="Arial" w:cs="Arial"/>
          <w:color w:val="000000"/>
        </w:rPr>
        <w:t xml:space="preserve">following established bang-sensitive vortex assay protocols with minor modifications (Kuebler &amp; Tanouye, 2000; </w:t>
      </w:r>
      <w:r w:rsidR="002A49E6" w:rsidRPr="002A49E6">
        <w:rPr>
          <w:rFonts w:ascii="Arial" w:hAnsi="Arial" w:cs="Arial"/>
          <w:color w:val="000000"/>
        </w:rPr>
        <w:t>Fischer</w:t>
      </w:r>
      <w:r w:rsidR="002A49E6">
        <w:rPr>
          <w:rFonts w:ascii="Arial" w:hAnsi="Arial" w:cs="Arial"/>
          <w:color w:val="000000"/>
        </w:rPr>
        <w:t xml:space="preserve"> et. al., 2024</w:t>
      </w:r>
      <w:r w:rsidR="00C47692" w:rsidRPr="00C47692">
        <w:rPr>
          <w:rFonts w:ascii="Arial" w:hAnsi="Arial" w:cs="Arial"/>
          <w:color w:val="000000"/>
        </w:rPr>
        <w:t>).</w:t>
      </w:r>
      <w:r w:rsidRPr="00013A41">
        <w:rPr>
          <w:rFonts w:ascii="Arial" w:hAnsi="Arial" w:cs="Arial"/>
          <w:color w:val="000000"/>
          <w:lang w:val="en-IN"/>
        </w:rPr>
        <w:t xml:space="preserve"> Characteristic seizure </w:t>
      </w:r>
      <w:proofErr w:type="spellStart"/>
      <w:r w:rsidRPr="00013A41">
        <w:rPr>
          <w:rFonts w:ascii="Arial" w:hAnsi="Arial" w:cs="Arial"/>
          <w:color w:val="000000"/>
          <w:lang w:val="en-IN"/>
        </w:rPr>
        <w:t>behaviors</w:t>
      </w:r>
      <w:proofErr w:type="spellEnd"/>
      <w:r w:rsidRPr="00013A41">
        <w:rPr>
          <w:rFonts w:ascii="Arial" w:hAnsi="Arial" w:cs="Arial"/>
          <w:color w:val="000000"/>
          <w:lang w:val="en-IN"/>
        </w:rPr>
        <w:t>, including leg twitching, wing flapping, paralysis, and proboscis extension, were monitored post-</w:t>
      </w:r>
      <w:proofErr w:type="spellStart"/>
      <w:r w:rsidRPr="00013A41">
        <w:rPr>
          <w:rFonts w:ascii="Arial" w:hAnsi="Arial" w:cs="Arial"/>
          <w:color w:val="000000"/>
          <w:lang w:val="en-IN"/>
        </w:rPr>
        <w:t>vortexing</w:t>
      </w:r>
      <w:proofErr w:type="spellEnd"/>
      <w:r w:rsidR="00C47692">
        <w:rPr>
          <w:rFonts w:ascii="Arial" w:hAnsi="Arial" w:cs="Arial"/>
          <w:color w:val="000000"/>
          <w:lang w:val="en-IN"/>
        </w:rPr>
        <w:t xml:space="preserve"> </w:t>
      </w:r>
      <w:r w:rsidR="00C47692" w:rsidRPr="00C47692">
        <w:rPr>
          <w:rFonts w:ascii="Arial" w:hAnsi="Arial" w:cs="Arial"/>
          <w:color w:val="000000"/>
        </w:rPr>
        <w:t>(Song &amp; Tanouye, 2008)</w:t>
      </w:r>
      <w:r w:rsidRPr="00013A41">
        <w:rPr>
          <w:rFonts w:ascii="Arial" w:hAnsi="Arial" w:cs="Arial"/>
          <w:color w:val="000000"/>
          <w:lang w:val="en-IN"/>
        </w:rPr>
        <w:t xml:space="preserve">. The time required for flies in each vial to recover normal upright posture was recorded across three independent trials. Post-seizure recovery kinetics and cumulative recovery rates were </w:t>
      </w:r>
      <w:proofErr w:type="spellStart"/>
      <w:r w:rsidRPr="00013A41">
        <w:rPr>
          <w:rFonts w:ascii="Arial" w:hAnsi="Arial" w:cs="Arial"/>
          <w:color w:val="000000"/>
          <w:lang w:val="en-IN"/>
        </w:rPr>
        <w:t>analyzed</w:t>
      </w:r>
      <w:proofErr w:type="spellEnd"/>
      <w:r w:rsidRPr="00013A41">
        <w:rPr>
          <w:rFonts w:ascii="Arial" w:hAnsi="Arial" w:cs="Arial"/>
          <w:color w:val="000000"/>
          <w:lang w:val="en-IN"/>
        </w:rPr>
        <w:t xml:space="preserve"> using Kaplan-Meier survival curves.</w:t>
      </w:r>
    </w:p>
    <w:p w14:paraId="0FE0DF88" w14:textId="2651A8BF" w:rsidR="0067253C" w:rsidRDefault="0067253C" w:rsidP="0067253C">
      <w:pPr>
        <w:pStyle w:val="Body"/>
        <w:spacing w:after="0"/>
        <w:rPr>
          <w:rFonts w:ascii="Arial" w:hAnsi="Arial" w:cs="Arial"/>
        </w:rPr>
      </w:pPr>
    </w:p>
    <w:p w14:paraId="31B12F68" w14:textId="6EA904F5" w:rsidR="008C0F2A" w:rsidRDefault="008C0F2A" w:rsidP="008C0F2A">
      <w:pPr>
        <w:pStyle w:val="Body"/>
        <w:spacing w:after="0"/>
        <w:jc w:val="left"/>
        <w:rPr>
          <w:rFonts w:ascii="Arial" w:hAnsi="Arial" w:cs="Arial"/>
          <w:b/>
          <w:bCs/>
          <w:sz w:val="22"/>
          <w:szCs w:val="22"/>
        </w:rPr>
      </w:pPr>
      <w:r w:rsidRPr="008C0F2A">
        <w:rPr>
          <w:rFonts w:ascii="Arial" w:hAnsi="Arial" w:cs="Arial"/>
          <w:b/>
          <w:bCs/>
          <w:sz w:val="22"/>
          <w:szCs w:val="22"/>
        </w:rPr>
        <w:lastRenderedPageBreak/>
        <w:t>2.</w:t>
      </w:r>
      <w:r w:rsidR="00762EF6">
        <w:rPr>
          <w:rFonts w:ascii="Arial" w:hAnsi="Arial" w:cs="Arial"/>
          <w:b/>
          <w:bCs/>
          <w:sz w:val="22"/>
          <w:szCs w:val="22"/>
        </w:rPr>
        <w:t>10</w:t>
      </w:r>
      <w:r w:rsidRPr="008C0F2A">
        <w:rPr>
          <w:rFonts w:ascii="Arial" w:hAnsi="Arial" w:cs="Arial"/>
          <w:b/>
          <w:bCs/>
          <w:sz w:val="22"/>
          <w:szCs w:val="22"/>
        </w:rPr>
        <w:t xml:space="preserve"> Statistical tools</w:t>
      </w:r>
    </w:p>
    <w:p w14:paraId="4F858883" w14:textId="77777777" w:rsidR="009D6EA4" w:rsidRPr="008C0F2A" w:rsidRDefault="009D6EA4" w:rsidP="008C0F2A">
      <w:pPr>
        <w:pStyle w:val="Body"/>
        <w:spacing w:after="0"/>
        <w:jc w:val="left"/>
        <w:rPr>
          <w:rFonts w:ascii="Arial" w:hAnsi="Arial" w:cs="Arial"/>
          <w:b/>
          <w:bCs/>
          <w:sz w:val="22"/>
          <w:szCs w:val="22"/>
        </w:rPr>
      </w:pPr>
    </w:p>
    <w:p w14:paraId="0163A97D" w14:textId="32A3E6D9" w:rsidR="00631A6E" w:rsidRPr="00631A6E" w:rsidRDefault="00631A6E" w:rsidP="00631A6E">
      <w:pPr>
        <w:pStyle w:val="Body"/>
        <w:rPr>
          <w:rFonts w:ascii="Arial" w:hAnsi="Arial" w:cs="Arial"/>
          <w:lang w:val="en-IN"/>
        </w:rPr>
      </w:pPr>
      <w:r w:rsidRPr="00631A6E">
        <w:rPr>
          <w:rFonts w:ascii="Arial" w:hAnsi="Arial" w:cs="Arial"/>
          <w:lang w:val="en-IN"/>
        </w:rPr>
        <w:t>Experimental differences among the study groups (C, Pre-Q, UV, and Q+UV) were evaluated using One-Way Analysis of Variance (ANOVA</w:t>
      </w:r>
      <w:r w:rsidR="005D507F">
        <w:rPr>
          <w:rFonts w:ascii="Arial" w:hAnsi="Arial" w:cs="Arial"/>
          <w:lang w:val="en-IN"/>
        </w:rPr>
        <w:t>;</w:t>
      </w:r>
      <w:r w:rsidR="00F67293">
        <w:rPr>
          <w:rFonts w:ascii="Arial" w:hAnsi="Arial" w:cs="Arial"/>
          <w:lang w:val="en-IN"/>
        </w:rPr>
        <w:t xml:space="preserve"> </w:t>
      </w:r>
      <w:r w:rsidR="00F67293" w:rsidRPr="00F67293">
        <w:rPr>
          <w:rFonts w:ascii="Arial" w:hAnsi="Arial" w:cs="Arial"/>
        </w:rPr>
        <w:t>Sokal and Rohlf, 2012</w:t>
      </w:r>
      <w:r w:rsidRPr="00631A6E">
        <w:rPr>
          <w:rFonts w:ascii="Arial" w:hAnsi="Arial" w:cs="Arial"/>
          <w:lang w:val="en-IN"/>
        </w:rPr>
        <w:t>), followed by Tukey’s Honest Significant Difference (HSD) post-hoc test for multiple comparisons</w:t>
      </w:r>
      <w:r w:rsidR="00D37948">
        <w:rPr>
          <w:rFonts w:ascii="Arial" w:hAnsi="Arial" w:cs="Arial"/>
          <w:lang w:val="en-IN"/>
        </w:rPr>
        <w:t xml:space="preserve"> (p&lt;0.05</w:t>
      </w:r>
      <w:r w:rsidR="005D507F">
        <w:rPr>
          <w:rFonts w:ascii="Arial" w:hAnsi="Arial" w:cs="Arial"/>
          <w:lang w:val="en-IN"/>
        </w:rPr>
        <w:t>;</w:t>
      </w:r>
      <w:r w:rsidR="0080019C">
        <w:rPr>
          <w:rFonts w:ascii="Arial" w:hAnsi="Arial" w:cs="Arial"/>
          <w:lang w:val="en-IN"/>
        </w:rPr>
        <w:t xml:space="preserve"> </w:t>
      </w:r>
      <w:r w:rsidR="0080019C" w:rsidRPr="009B6061">
        <w:rPr>
          <w:rFonts w:ascii="Arial" w:hAnsi="Arial" w:cs="Arial"/>
        </w:rPr>
        <w:t>Tukey, 1949</w:t>
      </w:r>
      <w:r w:rsidR="005D507F">
        <w:rPr>
          <w:rFonts w:ascii="Arial" w:hAnsi="Arial" w:cs="Arial"/>
        </w:rPr>
        <w:t>; Zar, 2010</w:t>
      </w:r>
      <w:r w:rsidR="00D37948">
        <w:rPr>
          <w:rFonts w:ascii="Arial" w:hAnsi="Arial" w:cs="Arial"/>
          <w:lang w:val="en-IN"/>
        </w:rPr>
        <w:t>)</w:t>
      </w:r>
      <w:r w:rsidR="00655249">
        <w:rPr>
          <w:rFonts w:ascii="Arial" w:hAnsi="Arial" w:cs="Arial"/>
          <w:lang w:val="en-IN"/>
        </w:rPr>
        <w:t>.</w:t>
      </w:r>
      <w:r w:rsidR="00D37948">
        <w:rPr>
          <w:rFonts w:ascii="Arial" w:hAnsi="Arial" w:cs="Arial"/>
          <w:lang w:val="en-IN"/>
        </w:rPr>
        <w:t xml:space="preserve"> </w:t>
      </w:r>
      <w:r w:rsidR="00D37948" w:rsidRPr="00D37948">
        <w:rPr>
          <w:rFonts w:ascii="Arial" w:hAnsi="Arial" w:cs="Arial"/>
          <w:lang w:val="en-IN"/>
        </w:rPr>
        <w:t>Group-wise differences against the control baseline were statistically evaluated at each age interval using Dunnett’s post-hoc multiple comparison test</w:t>
      </w:r>
      <w:r w:rsidR="00D37948">
        <w:rPr>
          <w:rFonts w:ascii="Arial" w:hAnsi="Arial" w:cs="Arial"/>
          <w:lang w:val="en-IN"/>
        </w:rPr>
        <w:t xml:space="preserve"> (p&lt;0.05</w:t>
      </w:r>
      <w:r w:rsidR="009B6061">
        <w:rPr>
          <w:rFonts w:ascii="Arial" w:hAnsi="Arial" w:cs="Arial"/>
          <w:lang w:val="en-IN"/>
        </w:rPr>
        <w:t xml:space="preserve">, </w:t>
      </w:r>
      <w:r w:rsidR="0080019C" w:rsidRPr="0080019C">
        <w:rPr>
          <w:rFonts w:ascii="Arial" w:hAnsi="Arial" w:cs="Arial"/>
        </w:rPr>
        <w:t>Dunnett, 1955</w:t>
      </w:r>
      <w:r w:rsidR="0080019C">
        <w:rPr>
          <w:rFonts w:ascii="Arial" w:hAnsi="Arial" w:cs="Arial"/>
        </w:rPr>
        <w:t xml:space="preserve">). </w:t>
      </w:r>
      <w:r w:rsidR="00655249" w:rsidRPr="00655249">
        <w:rPr>
          <w:rFonts w:ascii="Arial" w:hAnsi="Arial" w:cs="Arial"/>
          <w:lang w:val="en-IN"/>
        </w:rPr>
        <w:t xml:space="preserve">Post-seizure recovery kinetics were evaluated by plotting cumulative </w:t>
      </w:r>
      <w:r w:rsidR="004461C2">
        <w:rPr>
          <w:rFonts w:ascii="Arial" w:hAnsi="Arial" w:cs="Arial"/>
          <w:lang w:val="en-IN"/>
        </w:rPr>
        <w:t>probabilities of unrecovered</w:t>
      </w:r>
      <w:r w:rsidR="00655249" w:rsidRPr="00655249">
        <w:rPr>
          <w:rFonts w:ascii="Arial" w:hAnsi="Arial" w:cs="Arial"/>
          <w:lang w:val="en-IN"/>
        </w:rPr>
        <w:t xml:space="preserve"> using Kaplan-Meier curves</w:t>
      </w:r>
      <w:r w:rsidR="00F50DCC">
        <w:rPr>
          <w:rFonts w:ascii="Arial" w:hAnsi="Arial" w:cs="Arial"/>
          <w:lang w:val="en-IN"/>
        </w:rPr>
        <w:t xml:space="preserve"> </w:t>
      </w:r>
      <w:r w:rsidR="00F50DCC" w:rsidRPr="00F50DCC">
        <w:rPr>
          <w:rFonts w:ascii="Arial" w:hAnsi="Arial" w:cs="Arial"/>
        </w:rPr>
        <w:t>(Kaplan &amp; Meier, 1958)</w:t>
      </w:r>
      <w:r w:rsidR="00655249" w:rsidRPr="00655249">
        <w:rPr>
          <w:rFonts w:ascii="Arial" w:hAnsi="Arial" w:cs="Arial"/>
          <w:lang w:val="en-IN"/>
        </w:rPr>
        <w:t xml:space="preserve">. Differences in median and complete recovery times across experimental cohorts were </w:t>
      </w:r>
      <w:proofErr w:type="spellStart"/>
      <w:r w:rsidR="00655249" w:rsidRPr="00655249">
        <w:rPr>
          <w:rFonts w:ascii="Arial" w:hAnsi="Arial" w:cs="Arial"/>
          <w:lang w:val="en-IN"/>
        </w:rPr>
        <w:t>analyzed</w:t>
      </w:r>
      <w:proofErr w:type="spellEnd"/>
      <w:r w:rsidR="00655249" w:rsidRPr="00655249">
        <w:rPr>
          <w:rFonts w:ascii="Arial" w:hAnsi="Arial" w:cs="Arial"/>
          <w:lang w:val="en-IN"/>
        </w:rPr>
        <w:t xml:space="preserve"> using the non-parametric Log-Rank (Mantel-Cox)</w:t>
      </w:r>
      <w:r w:rsidR="00C2356D">
        <w:rPr>
          <w:rFonts w:ascii="Arial" w:hAnsi="Arial" w:cs="Arial"/>
          <w:lang w:val="en-IN"/>
        </w:rPr>
        <w:t xml:space="preserve"> statistical</w:t>
      </w:r>
      <w:r w:rsidR="00655249" w:rsidRPr="00655249">
        <w:rPr>
          <w:rFonts w:ascii="Arial" w:hAnsi="Arial" w:cs="Arial"/>
          <w:lang w:val="en-IN"/>
        </w:rPr>
        <w:t xml:space="preserve"> test</w:t>
      </w:r>
      <w:r w:rsidR="00E64C23">
        <w:rPr>
          <w:rFonts w:ascii="Arial" w:hAnsi="Arial" w:cs="Arial"/>
          <w:lang w:val="en-IN"/>
        </w:rPr>
        <w:t xml:space="preserve"> </w:t>
      </w:r>
      <w:r w:rsidR="00E64C23" w:rsidRPr="00E64C23">
        <w:rPr>
          <w:rFonts w:ascii="Arial" w:hAnsi="Arial" w:cs="Arial"/>
        </w:rPr>
        <w:t>(Mantel, 1966)</w:t>
      </w:r>
      <w:r w:rsidR="00655249" w:rsidRPr="00655249">
        <w:rPr>
          <w:rFonts w:ascii="Arial" w:hAnsi="Arial" w:cs="Arial"/>
          <w:lang w:val="en-IN"/>
        </w:rPr>
        <w:t>.</w:t>
      </w:r>
      <w:r w:rsidR="00C11A5E">
        <w:rPr>
          <w:rFonts w:ascii="Arial" w:hAnsi="Arial" w:cs="Arial"/>
          <w:lang w:val="en-IN"/>
        </w:rPr>
        <w:t xml:space="preserve"> </w:t>
      </w:r>
      <w:r w:rsidR="00C11A5E" w:rsidRPr="00C11A5E">
        <w:rPr>
          <w:rFonts w:ascii="Arial" w:hAnsi="Arial" w:cs="Arial"/>
          <w:lang w:val="en-IN"/>
        </w:rPr>
        <w:t xml:space="preserve">Descriptive </w:t>
      </w:r>
      <w:proofErr w:type="spellStart"/>
      <w:r w:rsidR="00C11A5E" w:rsidRPr="00C11A5E">
        <w:rPr>
          <w:rFonts w:ascii="Arial" w:hAnsi="Arial" w:cs="Arial"/>
          <w:lang w:val="en-IN"/>
        </w:rPr>
        <w:t>behavioral</w:t>
      </w:r>
      <w:proofErr w:type="spellEnd"/>
      <w:r w:rsidR="00C11A5E" w:rsidRPr="00C11A5E">
        <w:rPr>
          <w:rFonts w:ascii="Arial" w:hAnsi="Arial" w:cs="Arial"/>
          <w:lang w:val="en-IN"/>
        </w:rPr>
        <w:t xml:space="preserve"> data (courtship latency and copulation duration) are presented as </w:t>
      </w:r>
      <m:oMath>
        <m:r>
          <m:rPr>
            <m:nor/>
          </m:rPr>
          <w:rPr>
            <w:rFonts w:ascii="Arial" w:hAnsi="Arial" w:cs="Arial"/>
            <w:i/>
            <w:iCs/>
            <w:lang w:val="en-IN"/>
          </w:rPr>
          <m:t>Mean</m:t>
        </m:r>
        <m:r>
          <w:rPr>
            <w:rFonts w:ascii="Cambria Math" w:hAnsi="Cambria Math" w:cs="Arial"/>
            <w:lang w:val="en-IN"/>
          </w:rPr>
          <m:t>±</m:t>
        </m:r>
        <m:r>
          <m:rPr>
            <m:nor/>
          </m:rPr>
          <w:rPr>
            <w:rFonts w:ascii="Arial" w:hAnsi="Arial" w:cs="Arial"/>
            <w:i/>
            <w:iCs/>
            <w:lang w:val="en-IN"/>
          </w:rPr>
          <m:t>Standard Deviation (SD</m:t>
        </m:r>
        <m:r>
          <m:rPr>
            <m:nor/>
          </m:rPr>
          <w:rPr>
            <w:rFonts w:ascii="Arial" w:hAnsi="Arial" w:cs="Arial"/>
            <w:lang w:val="en-IN"/>
          </w:rPr>
          <m:t>)</m:t>
        </m:r>
      </m:oMath>
      <w:r w:rsidR="00C11A5E" w:rsidRPr="00C11A5E">
        <w:rPr>
          <w:rFonts w:ascii="Arial" w:hAnsi="Arial" w:cs="Arial"/>
          <w:lang w:val="en-IN"/>
        </w:rPr>
        <w:t xml:space="preserve"> to accurately represent sample population dispersion</w:t>
      </w:r>
      <w:r w:rsidR="00C11A5E">
        <w:rPr>
          <w:rFonts w:ascii="Arial" w:hAnsi="Arial" w:cs="Arial"/>
          <w:lang w:val="en-IN"/>
        </w:rPr>
        <w:t>.</w:t>
      </w:r>
    </w:p>
    <w:p w14:paraId="78161918" w14:textId="77777777" w:rsidR="00902823" w:rsidRDefault="00000F8F" w:rsidP="00153002">
      <w:pPr>
        <w:pStyle w:val="Head1"/>
        <w:spacing w:after="0"/>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02CDA53C" w14:textId="77777777" w:rsidR="00790ADA" w:rsidRDefault="00790ADA" w:rsidP="00441B6F">
      <w:pPr>
        <w:pStyle w:val="Head1"/>
        <w:spacing w:after="0"/>
        <w:jc w:val="both"/>
        <w:rPr>
          <w:rFonts w:ascii="Arial" w:hAnsi="Arial" w:cs="Arial"/>
          <w:b w:val="0"/>
          <w:bCs/>
          <w:sz w:val="20"/>
        </w:rPr>
      </w:pPr>
    </w:p>
    <w:p w14:paraId="1175ADCF" w14:textId="11E57BDF" w:rsidR="004C3971" w:rsidRPr="00D52B58" w:rsidRDefault="00D91ED4" w:rsidP="00EA1504">
      <w:pPr>
        <w:pStyle w:val="Body"/>
        <w:rPr>
          <w:rFonts w:ascii="Arial" w:hAnsi="Arial" w:cs="Arial"/>
          <w:b/>
          <w:bCs/>
        </w:rPr>
      </w:pPr>
      <w:r w:rsidRPr="00D91ED4">
        <w:rPr>
          <w:rFonts w:ascii="Arial" w:hAnsi="Arial" w:cs="Arial"/>
          <w:bCs/>
          <w:lang w:val="en-IN"/>
        </w:rPr>
        <w:t>Plant-derived dietary supplements often reduce radiation damage by neutralizing harmful free radicals (</w:t>
      </w:r>
      <w:r w:rsidR="004221CB">
        <w:rPr>
          <w:rFonts w:ascii="Arial" w:hAnsi="Arial" w:cs="Arial"/>
          <w:bCs/>
          <w:lang w:val="en-IN"/>
        </w:rPr>
        <w:t xml:space="preserve">Boots et. al., 2008, </w:t>
      </w:r>
      <w:r w:rsidRPr="00D91ED4">
        <w:rPr>
          <w:rFonts w:ascii="Arial" w:hAnsi="Arial" w:cs="Arial"/>
          <w:bCs/>
          <w:lang w:val="en-IN"/>
        </w:rPr>
        <w:t>Lu et</w:t>
      </w:r>
      <w:r w:rsidR="009165FC">
        <w:rPr>
          <w:rFonts w:ascii="Arial" w:hAnsi="Arial" w:cs="Arial"/>
          <w:bCs/>
          <w:lang w:val="en-IN"/>
        </w:rPr>
        <w:t>.</w:t>
      </w:r>
      <w:r w:rsidRPr="00D91ED4">
        <w:rPr>
          <w:rFonts w:ascii="Arial" w:hAnsi="Arial" w:cs="Arial"/>
          <w:bCs/>
          <w:lang w:val="en-IN"/>
        </w:rPr>
        <w:t xml:space="preserve"> al., 2025). Some effective indicators of such radiation induced damages are - decreased motor activit</w:t>
      </w:r>
      <w:r w:rsidR="00EA1504">
        <w:rPr>
          <w:rFonts w:ascii="Arial" w:hAnsi="Arial" w:cs="Arial"/>
          <w:bCs/>
          <w:lang w:val="en-IN"/>
        </w:rPr>
        <w:t>y</w:t>
      </w:r>
      <w:r w:rsidRPr="00D91ED4">
        <w:rPr>
          <w:rFonts w:ascii="Arial" w:hAnsi="Arial" w:cs="Arial"/>
          <w:bCs/>
          <w:lang w:val="en-IN"/>
        </w:rPr>
        <w:t>, radiation-induced nerve and muscle damage in model organisms (Hunter et</w:t>
      </w:r>
      <w:r w:rsidR="009165FC">
        <w:rPr>
          <w:rFonts w:ascii="Arial" w:hAnsi="Arial" w:cs="Arial"/>
          <w:bCs/>
          <w:lang w:val="en-IN"/>
        </w:rPr>
        <w:t>.</w:t>
      </w:r>
      <w:r w:rsidRPr="00D91ED4">
        <w:rPr>
          <w:rFonts w:ascii="Arial" w:hAnsi="Arial" w:cs="Arial"/>
          <w:bCs/>
          <w:lang w:val="en-IN"/>
        </w:rPr>
        <w:t xml:space="preserve"> al., 1985). Radiation exposure damages sensory and motor pathways, impairing an animal's positive phototactic response, negative geotactic recovery from physical stress, and daily </w:t>
      </w:r>
      <w:proofErr w:type="spellStart"/>
      <w:r w:rsidRPr="00D91ED4">
        <w:rPr>
          <w:rFonts w:ascii="Arial" w:hAnsi="Arial" w:cs="Arial"/>
          <w:bCs/>
          <w:lang w:val="en-IN"/>
        </w:rPr>
        <w:t>behavior</w:t>
      </w:r>
      <w:proofErr w:type="spellEnd"/>
      <w:r w:rsidRPr="00D91ED4">
        <w:rPr>
          <w:rFonts w:ascii="Arial" w:hAnsi="Arial" w:cs="Arial"/>
          <w:bCs/>
          <w:lang w:val="en-IN"/>
        </w:rPr>
        <w:t xml:space="preserve"> (</w:t>
      </w:r>
      <w:proofErr w:type="spellStart"/>
      <w:r w:rsidRPr="00D91ED4">
        <w:rPr>
          <w:rFonts w:ascii="Arial" w:hAnsi="Arial" w:cs="Arial"/>
          <w:bCs/>
          <w:lang w:val="en-IN"/>
        </w:rPr>
        <w:t>Balentova</w:t>
      </w:r>
      <w:proofErr w:type="spellEnd"/>
      <w:r w:rsidRPr="00D91ED4">
        <w:rPr>
          <w:rFonts w:ascii="Arial" w:hAnsi="Arial" w:cs="Arial"/>
          <w:bCs/>
          <w:lang w:val="en-IN"/>
        </w:rPr>
        <w:t>, 2015; Praharaj et</w:t>
      </w:r>
      <w:r w:rsidR="009165FC">
        <w:rPr>
          <w:rFonts w:ascii="Arial" w:hAnsi="Arial" w:cs="Arial"/>
          <w:bCs/>
          <w:lang w:val="en-IN"/>
        </w:rPr>
        <w:t>.</w:t>
      </w:r>
      <w:r w:rsidRPr="00D91ED4">
        <w:rPr>
          <w:rFonts w:ascii="Arial" w:hAnsi="Arial" w:cs="Arial"/>
          <w:bCs/>
          <w:lang w:val="en-IN"/>
        </w:rPr>
        <w:t xml:space="preserve"> al., 2026). </w:t>
      </w:r>
    </w:p>
    <w:p w14:paraId="39CCF4B5" w14:textId="4B0252F7" w:rsidR="00D52B58" w:rsidRDefault="00A40359" w:rsidP="00153002">
      <w:pPr>
        <w:pStyle w:val="Body"/>
        <w:spacing w:after="0"/>
        <w:jc w:val="left"/>
        <w:rPr>
          <w:rFonts w:ascii="Arial" w:hAnsi="Arial" w:cs="Arial"/>
          <w:b/>
          <w:sz w:val="22"/>
          <w:szCs w:val="22"/>
        </w:rPr>
      </w:pPr>
      <w:r>
        <w:rPr>
          <w:rFonts w:ascii="Arial" w:hAnsi="Arial" w:cs="Arial"/>
          <w:b/>
          <w:sz w:val="22"/>
          <w:szCs w:val="22"/>
        </w:rPr>
        <w:t>3.1 Neuromuscular and motor kinetics study</w:t>
      </w:r>
    </w:p>
    <w:p w14:paraId="769CB890" w14:textId="77777777" w:rsidR="00D52B58" w:rsidRPr="00D52B58" w:rsidRDefault="00D52B58" w:rsidP="00153002">
      <w:pPr>
        <w:pStyle w:val="Body"/>
        <w:spacing w:after="0"/>
        <w:jc w:val="left"/>
        <w:rPr>
          <w:rFonts w:ascii="Arial" w:hAnsi="Arial" w:cs="Arial"/>
          <w:bCs/>
        </w:rPr>
      </w:pPr>
    </w:p>
    <w:p w14:paraId="6AAE8806" w14:textId="0F639A25" w:rsidR="008C0F2A" w:rsidRDefault="008C0F2A" w:rsidP="008C0F2A">
      <w:pPr>
        <w:pStyle w:val="Body"/>
        <w:spacing w:after="0"/>
        <w:jc w:val="left"/>
        <w:rPr>
          <w:rFonts w:ascii="Arial" w:hAnsi="Arial" w:cs="Arial"/>
          <w:b/>
          <w:u w:val="single"/>
        </w:rPr>
      </w:pPr>
      <w:r w:rsidRPr="008C0F2A">
        <w:rPr>
          <w:rFonts w:ascii="Arial" w:hAnsi="Arial" w:cs="Arial"/>
          <w:b/>
          <w:sz w:val="22"/>
          <w:szCs w:val="22"/>
          <w:u w:val="single"/>
        </w:rPr>
        <w:t>3.1.1</w:t>
      </w:r>
      <w:r>
        <w:rPr>
          <w:rFonts w:ascii="Arial" w:hAnsi="Arial" w:cs="Arial"/>
          <w:b/>
          <w:sz w:val="22"/>
          <w:szCs w:val="22"/>
          <w:u w:val="single"/>
        </w:rPr>
        <w:t xml:space="preserve"> </w:t>
      </w:r>
      <w:r w:rsidR="00E32DB6" w:rsidRPr="008C0F2A">
        <w:rPr>
          <w:rFonts w:ascii="Arial" w:hAnsi="Arial" w:cs="Arial"/>
          <w:b/>
          <w:u w:val="single"/>
        </w:rPr>
        <w:t>Negative Geotaxis assay</w:t>
      </w:r>
    </w:p>
    <w:p w14:paraId="6F75B5B9" w14:textId="77777777" w:rsidR="00D91ED4" w:rsidRDefault="00D91ED4" w:rsidP="008C0F2A">
      <w:pPr>
        <w:pStyle w:val="Body"/>
        <w:spacing w:after="0"/>
        <w:jc w:val="left"/>
        <w:rPr>
          <w:rFonts w:ascii="Arial" w:hAnsi="Arial" w:cs="Arial"/>
        </w:rPr>
      </w:pPr>
    </w:p>
    <w:p w14:paraId="6FE3C80D" w14:textId="77286C5C" w:rsidR="0083154C" w:rsidRPr="0083154C" w:rsidRDefault="007903CE" w:rsidP="0083154C">
      <w:pPr>
        <w:pStyle w:val="Body"/>
        <w:rPr>
          <w:rFonts w:ascii="Arial" w:hAnsi="Arial" w:cs="Arial"/>
          <w:lang w:val="en-IN"/>
        </w:rPr>
      </w:pPr>
      <w:r w:rsidRPr="007903CE">
        <w:rPr>
          <w:rFonts w:ascii="Arial" w:hAnsi="Arial" w:cs="Arial"/>
          <w:lang w:val="en-IN"/>
        </w:rPr>
        <w:t xml:space="preserve">To evaluate the acute protective effect of quercetin on motor function, negative geotaxis performance was assessed across all experimental groups. </w:t>
      </w:r>
      <w:r w:rsidR="00083097" w:rsidRPr="00083097">
        <w:rPr>
          <w:rFonts w:ascii="Arial" w:hAnsi="Arial" w:cs="Arial"/>
          <w:lang w:val="en-IN"/>
        </w:rPr>
        <w:t xml:space="preserve">The number of flies crossing the 8cm threshold level after 60 seconds was recorded. Using the obtained data % of flies crossing the 8 cm distance in the given time interval was recorded, followed by the mean % of the same in 3 replicates. Combined violin and box-and-whisker plots were generated (Fig. 1) using the free version of Flourish Studio online software. The box-and-whisker plot and a violin plot were used.  It combines a box plot with a density curve to highlight the data's spread and peak concentrations across the four experimental groups. These two statistical tools helped display the distribution, medians, quartiles, interquartile ranges, and individual data points. The violin plot also shows the median, quartiles, and overall shape. Both the C and pre-Q treated groups maintained near-maximal climbing performance (median ~98%), confirming that quercetin does not cause baseline motor toxicity. UV-C exposure severely reduced climbing success (median ~35%). In the Q+UV groups, there was a significant rescue in motor performance (median ~78%). Exposure to UV-C radiation impaired flies' innate tendency to climb upward, i.e., their negative geotactic </w:t>
      </w:r>
      <w:proofErr w:type="spellStart"/>
      <w:r w:rsidR="00083097" w:rsidRPr="00083097">
        <w:rPr>
          <w:rFonts w:ascii="Arial" w:hAnsi="Arial" w:cs="Arial"/>
          <w:lang w:val="en-IN"/>
        </w:rPr>
        <w:t>behavior</w:t>
      </w:r>
      <w:proofErr w:type="spellEnd"/>
      <w:r w:rsidR="00083097" w:rsidRPr="00083097">
        <w:rPr>
          <w:rFonts w:ascii="Arial" w:hAnsi="Arial" w:cs="Arial"/>
          <w:lang w:val="en-IN"/>
        </w:rPr>
        <w:t>, whereas quercetin pre-treatment in the Q+UV groups restored this normal upward-climbing preference despite UV-C radiation-induced stress. This result strongly demonstrates the protective effect of flavonoid quercetin against UV-C radiation damage</w:t>
      </w:r>
      <w:r w:rsidR="00B4650E">
        <w:rPr>
          <w:rFonts w:ascii="Arial" w:hAnsi="Arial" w:cs="Arial"/>
          <w:lang w:val="en-IN"/>
        </w:rPr>
        <w:t>.</w:t>
      </w:r>
    </w:p>
    <w:p w14:paraId="5123EABD" w14:textId="35FFC933" w:rsidR="00C7311F" w:rsidRDefault="00C7311F" w:rsidP="00B92023">
      <w:pPr>
        <w:pStyle w:val="Body"/>
        <w:spacing w:after="0"/>
        <w:rPr>
          <w:noProof/>
          <w14:ligatures w14:val="standardContextual"/>
        </w:rPr>
      </w:pPr>
    </w:p>
    <w:p w14:paraId="617E07EC" w14:textId="53779414" w:rsidR="00C7311F" w:rsidRDefault="00C7311F" w:rsidP="00441B6F">
      <w:pPr>
        <w:pStyle w:val="Body"/>
        <w:spacing w:after="0"/>
        <w:rPr>
          <w:noProof/>
          <w14:ligatures w14:val="standardContextual"/>
        </w:rPr>
      </w:pPr>
      <w:r>
        <w:rPr>
          <w:rFonts w:ascii="Arial" w:hAnsi="Arial"/>
          <w:b/>
          <w:noProof/>
        </w:rPr>
        <w:lastRenderedPageBreak/>
        <w:drawing>
          <wp:anchor distT="0" distB="0" distL="114300" distR="114300" simplePos="0" relativeHeight="251654144" behindDoc="1" locked="0" layoutInCell="1" allowOverlap="1" wp14:anchorId="7672DF6F" wp14:editId="3C3A0B14">
            <wp:simplePos x="0" y="0"/>
            <wp:positionH relativeFrom="column">
              <wp:posOffset>344805</wp:posOffset>
            </wp:positionH>
            <wp:positionV relativeFrom="paragraph">
              <wp:posOffset>11430</wp:posOffset>
            </wp:positionV>
            <wp:extent cx="4190365" cy="2270760"/>
            <wp:effectExtent l="19050" t="19050" r="19685" b="15240"/>
            <wp:wrapTight wrapText="bothSides">
              <wp:wrapPolygon edited="0">
                <wp:start x="-98" y="-181"/>
                <wp:lineTo x="-98" y="21564"/>
                <wp:lineTo x="21603" y="21564"/>
                <wp:lineTo x="21603" y="-181"/>
                <wp:lineTo x="-98" y="-181"/>
              </wp:wrapPolygon>
            </wp:wrapTight>
            <wp:docPr id="13606973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97337" name="Picture 136069733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90365" cy="2270760"/>
                    </a:xfrm>
                    <a:prstGeom prst="rect">
                      <a:avLst/>
                    </a:prstGeom>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p>
    <w:p w14:paraId="2D8CC708" w14:textId="45890791" w:rsidR="00C7311F" w:rsidRDefault="00C7311F" w:rsidP="00441B6F">
      <w:pPr>
        <w:pStyle w:val="Body"/>
        <w:spacing w:after="0"/>
        <w:rPr>
          <w:rFonts w:ascii="Arial" w:hAnsi="Arial"/>
          <w:b/>
        </w:rPr>
      </w:pPr>
    </w:p>
    <w:p w14:paraId="086B779C" w14:textId="2D101CC6" w:rsidR="00E32DB6" w:rsidRDefault="00E32DB6" w:rsidP="00441B6F">
      <w:pPr>
        <w:pStyle w:val="Body"/>
        <w:spacing w:after="0"/>
        <w:rPr>
          <w:rFonts w:ascii="Arial" w:hAnsi="Arial"/>
          <w:b/>
        </w:rPr>
      </w:pPr>
    </w:p>
    <w:p w14:paraId="32683621" w14:textId="693D93AB" w:rsidR="00E32DB6" w:rsidRDefault="00E32DB6" w:rsidP="00441B6F">
      <w:pPr>
        <w:pStyle w:val="Body"/>
        <w:spacing w:after="0"/>
        <w:rPr>
          <w:rFonts w:ascii="Arial" w:hAnsi="Arial"/>
          <w:b/>
        </w:rPr>
      </w:pPr>
    </w:p>
    <w:p w14:paraId="4F48DE83" w14:textId="2054E181" w:rsidR="00E32DB6" w:rsidRDefault="00E32DB6" w:rsidP="00441B6F">
      <w:pPr>
        <w:pStyle w:val="Body"/>
        <w:spacing w:after="0"/>
        <w:rPr>
          <w:rFonts w:ascii="Arial" w:hAnsi="Arial" w:cs="Arial"/>
        </w:rPr>
      </w:pPr>
    </w:p>
    <w:p w14:paraId="18E12493" w14:textId="1FD910A9" w:rsidR="00E32DB6" w:rsidRDefault="00E32DB6" w:rsidP="00441B6F">
      <w:pPr>
        <w:pStyle w:val="Body"/>
        <w:spacing w:after="0"/>
        <w:rPr>
          <w:rFonts w:ascii="Arial" w:hAnsi="Arial" w:cs="Arial"/>
        </w:rPr>
      </w:pPr>
    </w:p>
    <w:p w14:paraId="4F971065" w14:textId="03A90F1C" w:rsidR="00E32DB6" w:rsidRDefault="00E32DB6" w:rsidP="00441B6F">
      <w:pPr>
        <w:pStyle w:val="Body"/>
        <w:spacing w:after="0"/>
        <w:rPr>
          <w:rFonts w:ascii="Arial" w:hAnsi="Arial" w:cs="Arial"/>
        </w:rPr>
      </w:pPr>
    </w:p>
    <w:p w14:paraId="4A1F427F" w14:textId="54119FF2" w:rsidR="00E32DB6" w:rsidRDefault="00E32DB6" w:rsidP="00441B6F">
      <w:pPr>
        <w:pStyle w:val="Body"/>
        <w:spacing w:after="0"/>
        <w:rPr>
          <w:rFonts w:ascii="Arial" w:hAnsi="Arial" w:cs="Arial"/>
        </w:rPr>
      </w:pPr>
    </w:p>
    <w:p w14:paraId="73352C9C" w14:textId="6A838AFA" w:rsidR="00E32DB6" w:rsidRDefault="00E32DB6" w:rsidP="00441B6F">
      <w:pPr>
        <w:pStyle w:val="Body"/>
        <w:spacing w:after="0"/>
        <w:rPr>
          <w:rFonts w:ascii="Arial" w:hAnsi="Arial" w:cs="Arial"/>
        </w:rPr>
      </w:pPr>
    </w:p>
    <w:p w14:paraId="1310F8E8" w14:textId="4F40B379" w:rsidR="00E32DB6" w:rsidRDefault="00E32DB6" w:rsidP="00441B6F">
      <w:pPr>
        <w:pStyle w:val="Body"/>
        <w:spacing w:after="0"/>
        <w:rPr>
          <w:rFonts w:ascii="Arial" w:hAnsi="Arial" w:cs="Arial"/>
        </w:rPr>
      </w:pPr>
    </w:p>
    <w:p w14:paraId="0696137A" w14:textId="6F3928E4" w:rsidR="00E32DB6" w:rsidRDefault="00E32DB6" w:rsidP="00441B6F">
      <w:pPr>
        <w:pStyle w:val="Body"/>
        <w:spacing w:after="0"/>
        <w:rPr>
          <w:rFonts w:ascii="Arial" w:hAnsi="Arial" w:cs="Arial"/>
        </w:rPr>
      </w:pPr>
    </w:p>
    <w:p w14:paraId="381A903B" w14:textId="77777777" w:rsidR="00126AF7" w:rsidRDefault="00126AF7" w:rsidP="00441B6F">
      <w:pPr>
        <w:pStyle w:val="Body"/>
        <w:spacing w:after="0"/>
        <w:rPr>
          <w:rFonts w:ascii="Arial" w:hAnsi="Arial" w:cs="Arial"/>
        </w:rPr>
      </w:pPr>
    </w:p>
    <w:p w14:paraId="01B05364" w14:textId="0367CE85" w:rsidR="00E32DB6" w:rsidRDefault="00E32DB6" w:rsidP="00441B6F">
      <w:pPr>
        <w:pStyle w:val="Body"/>
        <w:spacing w:after="0"/>
        <w:rPr>
          <w:rFonts w:ascii="Arial" w:hAnsi="Arial" w:cs="Arial"/>
        </w:rPr>
      </w:pPr>
    </w:p>
    <w:p w14:paraId="2EFAB162" w14:textId="77777777" w:rsidR="00E32DB6" w:rsidRDefault="00E32DB6" w:rsidP="00441B6F">
      <w:pPr>
        <w:pStyle w:val="Body"/>
        <w:spacing w:after="0"/>
        <w:rPr>
          <w:rFonts w:ascii="Arial" w:hAnsi="Arial" w:cs="Arial"/>
        </w:rPr>
      </w:pPr>
    </w:p>
    <w:p w14:paraId="0EE59686" w14:textId="77777777" w:rsidR="00E32DB6" w:rsidRDefault="00E32DB6" w:rsidP="00441B6F">
      <w:pPr>
        <w:pStyle w:val="Body"/>
        <w:spacing w:after="0"/>
        <w:rPr>
          <w:rFonts w:ascii="Arial" w:hAnsi="Arial" w:cs="Arial"/>
        </w:rPr>
      </w:pPr>
    </w:p>
    <w:p w14:paraId="2B277D35" w14:textId="77777777" w:rsidR="00DA7E58" w:rsidRDefault="00DA7E58" w:rsidP="00441B6F">
      <w:pPr>
        <w:pStyle w:val="Body"/>
        <w:spacing w:after="0"/>
        <w:rPr>
          <w:rFonts w:ascii="Arial" w:hAnsi="Arial" w:cs="Arial"/>
        </w:rPr>
      </w:pPr>
    </w:p>
    <w:p w14:paraId="5348A73A" w14:textId="2AB01723" w:rsidR="00DA7E58" w:rsidRPr="00DA7E58" w:rsidRDefault="00DA7E58" w:rsidP="00DA7E58">
      <w:pPr>
        <w:autoSpaceDE w:val="0"/>
        <w:autoSpaceDN w:val="0"/>
        <w:adjustRightInd w:val="0"/>
        <w:jc w:val="both"/>
        <w:rPr>
          <w:rFonts w:ascii="Arial" w:hAnsi="Arial" w:cs="Arial"/>
          <w:b/>
          <w:bCs/>
          <w:i/>
          <w:iCs/>
          <w:szCs w:val="22"/>
        </w:rPr>
      </w:pPr>
      <w:r>
        <w:rPr>
          <w:rFonts w:ascii="Arial" w:hAnsi="Arial" w:cs="Arial"/>
          <w:b/>
          <w:bCs/>
          <w:szCs w:val="22"/>
        </w:rPr>
        <w:t>Fig.</w:t>
      </w:r>
      <w:r w:rsidRPr="008247A6">
        <w:rPr>
          <w:rFonts w:ascii="Arial" w:hAnsi="Arial" w:cs="Arial"/>
          <w:b/>
          <w:bCs/>
          <w:szCs w:val="22"/>
        </w:rPr>
        <w:t xml:space="preserve"> 1</w:t>
      </w:r>
      <w:r>
        <w:rPr>
          <w:rFonts w:ascii="Arial" w:hAnsi="Arial" w:cs="Arial"/>
          <w:b/>
          <w:bCs/>
          <w:szCs w:val="22"/>
        </w:rPr>
        <w:t>.</w:t>
      </w:r>
      <w:r w:rsidRPr="008247A6">
        <w:rPr>
          <w:rFonts w:ascii="Arial" w:hAnsi="Arial" w:cs="Arial"/>
          <w:b/>
          <w:bCs/>
          <w:szCs w:val="22"/>
        </w:rPr>
        <w:t xml:space="preserve"> </w:t>
      </w:r>
      <w:r w:rsidR="00B10E78" w:rsidRPr="00B10E78">
        <w:rPr>
          <w:rFonts w:ascii="Arial" w:hAnsi="Arial" w:cs="Arial"/>
          <w:b/>
          <w:bCs/>
          <w:szCs w:val="22"/>
        </w:rPr>
        <w:t>Evaluation of Quercetin protection against UV-induced locomotor deficits using violin and box-and-whisker plots in</w:t>
      </w:r>
      <w:r w:rsidR="00B10E78" w:rsidRPr="00B10E78">
        <w:rPr>
          <w:rFonts w:ascii="Arial" w:hAnsi="Arial" w:cs="Arial"/>
          <w:b/>
          <w:bCs/>
          <w:i/>
          <w:iCs/>
          <w:szCs w:val="22"/>
        </w:rPr>
        <w:t xml:space="preserve"> Drosophila melanogaster</w:t>
      </w:r>
    </w:p>
    <w:p w14:paraId="3CB642D3" w14:textId="60688173" w:rsidR="00271C4D" w:rsidRPr="00271C4D" w:rsidRDefault="00271C4D" w:rsidP="00271C4D">
      <w:pPr>
        <w:pStyle w:val="Body"/>
        <w:rPr>
          <w:rFonts w:ascii="Arial" w:hAnsi="Arial" w:cs="Arial"/>
          <w:i/>
          <w:iCs/>
          <w:sz w:val="18"/>
          <w:szCs w:val="18"/>
          <w:lang w:val="en-IN"/>
        </w:rPr>
      </w:pPr>
      <w:r w:rsidRPr="00271C4D">
        <w:rPr>
          <w:rFonts w:ascii="Arial" w:hAnsi="Arial" w:cs="Arial"/>
          <w:i/>
          <w:iCs/>
          <w:sz w:val="18"/>
          <w:szCs w:val="18"/>
          <w:lang w:val="en-IN"/>
        </w:rPr>
        <w:t xml:space="preserve">Violin and embedded box plots (generated in Flourish Studio) show data distributions, medians, </w:t>
      </w:r>
      <w:r>
        <w:rPr>
          <w:rFonts w:ascii="Arial" w:hAnsi="Arial" w:cs="Arial"/>
          <w:i/>
          <w:iCs/>
          <w:sz w:val="18"/>
          <w:szCs w:val="18"/>
          <w:lang w:val="en-IN"/>
        </w:rPr>
        <w:t>inter quartile ranges (</w:t>
      </w:r>
      <w:r w:rsidRPr="00271C4D">
        <w:rPr>
          <w:rFonts w:ascii="Arial" w:hAnsi="Arial" w:cs="Arial"/>
          <w:i/>
          <w:iCs/>
          <w:sz w:val="18"/>
          <w:szCs w:val="18"/>
          <w:lang w:val="en-IN"/>
        </w:rPr>
        <w:t>IQR</w:t>
      </w:r>
      <w:r>
        <w:rPr>
          <w:rFonts w:ascii="Arial" w:hAnsi="Arial" w:cs="Arial"/>
          <w:i/>
          <w:iCs/>
          <w:sz w:val="18"/>
          <w:szCs w:val="18"/>
          <w:lang w:val="en-IN"/>
        </w:rPr>
        <w:t>)</w:t>
      </w:r>
      <w:r w:rsidRPr="00271C4D">
        <w:rPr>
          <w:rFonts w:ascii="Arial" w:hAnsi="Arial" w:cs="Arial"/>
          <w:i/>
          <w:iCs/>
          <w:sz w:val="18"/>
          <w:szCs w:val="18"/>
          <w:lang w:val="en-IN"/>
        </w:rPr>
        <w:t>, and individual replicates (</w:t>
      </w:r>
      <m:oMath>
        <m:r>
          <w:rPr>
            <w:rFonts w:ascii="Cambria Math" w:hAnsi="Cambria Math" w:cs="Arial"/>
            <w:sz w:val="18"/>
            <w:szCs w:val="18"/>
            <w:lang w:val="en-IN"/>
          </w:rPr>
          <m:t>n=3</m:t>
        </m:r>
      </m:oMath>
      <w:r w:rsidRPr="00271C4D">
        <w:rPr>
          <w:rFonts w:ascii="Arial" w:hAnsi="Arial" w:cs="Arial"/>
          <w:i/>
          <w:iCs/>
          <w:sz w:val="18"/>
          <w:szCs w:val="18"/>
          <w:lang w:val="en-IN"/>
        </w:rPr>
        <w:t>), with group differences evaluated by One-Way ANOVA and Tukey’s post-hoc test.</w:t>
      </w:r>
    </w:p>
    <w:p w14:paraId="7BA5D40D" w14:textId="17C90227" w:rsidR="00DB27A1" w:rsidRDefault="00DB27A1" w:rsidP="00DB27A1">
      <w:pPr>
        <w:pStyle w:val="Body"/>
        <w:spacing w:after="0"/>
        <w:jc w:val="left"/>
        <w:rPr>
          <w:rFonts w:ascii="Arial" w:hAnsi="Arial" w:cs="Arial"/>
          <w:b/>
          <w:u w:val="single"/>
        </w:rPr>
      </w:pPr>
      <w:r>
        <w:rPr>
          <w:rFonts w:ascii="Arial" w:hAnsi="Arial" w:cs="Arial"/>
          <w:b/>
          <w:u w:val="single"/>
        </w:rPr>
        <w:t xml:space="preserve">3.1.2 </w:t>
      </w:r>
      <w:r w:rsidR="008C0F2A" w:rsidRPr="00F62A4F">
        <w:rPr>
          <w:rFonts w:ascii="Arial" w:hAnsi="Arial" w:cs="Arial"/>
          <w:b/>
          <w:u w:val="single"/>
        </w:rPr>
        <w:t>Age dependent climbing</w:t>
      </w:r>
      <w:r w:rsidR="008930B3">
        <w:rPr>
          <w:rFonts w:ascii="Arial" w:hAnsi="Arial" w:cs="Arial"/>
          <w:b/>
          <w:u w:val="single"/>
        </w:rPr>
        <w:t xml:space="preserve"> activity</w:t>
      </w:r>
    </w:p>
    <w:p w14:paraId="49E4785A" w14:textId="77777777" w:rsidR="00D91ED4" w:rsidRPr="000545A7" w:rsidRDefault="00D91ED4" w:rsidP="00DB27A1">
      <w:pPr>
        <w:pStyle w:val="Body"/>
        <w:spacing w:after="0"/>
        <w:jc w:val="left"/>
        <w:rPr>
          <w:rFonts w:ascii="Arial" w:hAnsi="Arial" w:cs="Arial"/>
          <w:b/>
          <w:u w:val="single"/>
        </w:rPr>
      </w:pPr>
    </w:p>
    <w:p w14:paraId="24154789" w14:textId="7FBDC878" w:rsidR="00E61CA9" w:rsidRPr="00A42251" w:rsidRDefault="00C707C1" w:rsidP="00E61CA9">
      <w:pPr>
        <w:pStyle w:val="Body"/>
        <w:rPr>
          <w:rFonts w:ascii="Arial" w:hAnsi="Arial" w:cs="Arial"/>
          <w:lang w:val="en-IN"/>
        </w:rPr>
      </w:pPr>
      <w:r w:rsidRPr="00C707C1">
        <w:rPr>
          <w:rFonts w:ascii="Arial" w:hAnsi="Arial" w:cs="Arial"/>
          <w:lang w:val="en-IN"/>
        </w:rPr>
        <w:t xml:space="preserve">Negative geotaxis was evaluated across six time points (Days 3–18) to assess age-dependent neuromuscular function in </w:t>
      </w:r>
      <w:r w:rsidRPr="00C707C1">
        <w:rPr>
          <w:rFonts w:ascii="Arial" w:hAnsi="Arial" w:cs="Arial"/>
          <w:i/>
          <w:iCs/>
          <w:lang w:val="en-IN"/>
        </w:rPr>
        <w:t>Drosophila melanogaster</w:t>
      </w:r>
      <w:r w:rsidRPr="00C707C1">
        <w:rPr>
          <w:rFonts w:ascii="Arial" w:hAnsi="Arial" w:cs="Arial"/>
          <w:lang w:val="en-IN"/>
        </w:rPr>
        <w:t xml:space="preserve"> </w:t>
      </w:r>
      <w:r w:rsidRPr="00DA54FC">
        <w:rPr>
          <w:rFonts w:ascii="Arial" w:hAnsi="Arial" w:cs="Arial"/>
          <w:lang w:val="en-IN"/>
        </w:rPr>
        <w:t>(Fig. 2).</w:t>
      </w:r>
      <w:r w:rsidR="00BF4B68">
        <w:rPr>
          <w:rFonts w:ascii="Arial" w:hAnsi="Arial" w:cs="Arial"/>
          <w:lang w:val="en-IN"/>
        </w:rPr>
        <w:t xml:space="preserve"> C</w:t>
      </w:r>
      <w:r w:rsidR="00BF4B68" w:rsidRPr="00BF4B68">
        <w:rPr>
          <w:rFonts w:ascii="Arial" w:hAnsi="Arial" w:cs="Arial"/>
          <w:lang w:val="en-IN"/>
        </w:rPr>
        <w:t xml:space="preserve">ohorts subjected to control (C), </w:t>
      </w:r>
      <w:r w:rsidR="00996878">
        <w:rPr>
          <w:rFonts w:ascii="Arial" w:hAnsi="Arial" w:cs="Arial"/>
          <w:lang w:val="en-IN"/>
        </w:rPr>
        <w:t>pre-</w:t>
      </w:r>
      <w:r w:rsidR="00BF4B68" w:rsidRPr="00BF4B68">
        <w:rPr>
          <w:rFonts w:ascii="Arial" w:hAnsi="Arial" w:cs="Arial"/>
          <w:lang w:val="en-IN"/>
        </w:rPr>
        <w:t xml:space="preserve">Q), UV-C radiation (UV), and quercetin pre-treatment prior to UV-C exposure (Q+UV) were evaluated using a negative geotaxis assay at 3-day intervals to assess age-specific locomotor activity. UV-C exposure induced a severe, progressive decline in motor capacity compared to control cohorts </w:t>
      </w:r>
      <w:r w:rsidR="00570832">
        <w:rPr>
          <w:rFonts w:ascii="Arial" w:hAnsi="Arial" w:cs="Arial"/>
          <w:lang w:val="en-IN"/>
        </w:rPr>
        <w:t xml:space="preserve">(C and pre-Q) </w:t>
      </w:r>
      <w:r w:rsidR="00BF4B68" w:rsidRPr="00BF4B68">
        <w:rPr>
          <w:rFonts w:ascii="Arial" w:hAnsi="Arial" w:cs="Arial"/>
          <w:lang w:val="en-IN"/>
        </w:rPr>
        <w:t xml:space="preserve">over </w:t>
      </w:r>
      <w:r w:rsidR="00570832">
        <w:rPr>
          <w:rFonts w:ascii="Arial" w:hAnsi="Arial" w:cs="Arial"/>
          <w:lang w:val="en-IN"/>
        </w:rPr>
        <w:t>18 days</w:t>
      </w:r>
      <w:r w:rsidR="00BF4B68" w:rsidRPr="00BF4B68">
        <w:rPr>
          <w:rFonts w:ascii="Arial" w:hAnsi="Arial" w:cs="Arial"/>
          <w:lang w:val="en-IN"/>
        </w:rPr>
        <w:t>.</w:t>
      </w:r>
      <w:r w:rsidR="00570832">
        <w:rPr>
          <w:rFonts w:ascii="Arial" w:hAnsi="Arial" w:cs="Arial"/>
          <w:lang w:val="en-IN"/>
        </w:rPr>
        <w:t xml:space="preserve"> </w:t>
      </w:r>
      <w:r w:rsidR="00570832" w:rsidRPr="00570832">
        <w:rPr>
          <w:rFonts w:ascii="Arial" w:hAnsi="Arial" w:cs="Arial"/>
          <w:lang w:val="en-IN"/>
        </w:rPr>
        <w:t>Dunnett’s post-hoc test showed</w:t>
      </w:r>
      <w:r w:rsidR="0009281D">
        <w:rPr>
          <w:rFonts w:ascii="Arial" w:hAnsi="Arial" w:cs="Arial"/>
          <w:lang w:val="en-IN"/>
        </w:rPr>
        <w:t xml:space="preserve"> </w:t>
      </w:r>
      <w:r w:rsidR="0009281D" w:rsidRPr="00C707C1">
        <w:rPr>
          <w:rFonts w:ascii="Arial" w:hAnsi="Arial" w:cs="Arial"/>
          <w:lang w:val="en-IN"/>
        </w:rPr>
        <w:t>(Table 1</w:t>
      </w:r>
      <w:r w:rsidR="00D91ED4">
        <w:rPr>
          <w:rFonts w:ascii="Arial" w:hAnsi="Arial" w:cs="Arial"/>
          <w:lang w:val="en-IN"/>
        </w:rPr>
        <w:t>.</w:t>
      </w:r>
      <w:r w:rsidR="0009281D" w:rsidRPr="00C707C1">
        <w:rPr>
          <w:rFonts w:ascii="Arial" w:hAnsi="Arial" w:cs="Arial"/>
          <w:lang w:val="en-IN"/>
        </w:rPr>
        <w:t>)</w:t>
      </w:r>
      <w:r w:rsidR="00570832" w:rsidRPr="00570832">
        <w:rPr>
          <w:rFonts w:ascii="Arial" w:hAnsi="Arial" w:cs="Arial"/>
          <w:lang w:val="en-IN"/>
        </w:rPr>
        <w:t xml:space="preserve"> that quercetin alone (Q) caused no significant change from control levels, confirming it is non-toxic</w:t>
      </w:r>
      <w:r w:rsidR="002F5CFD">
        <w:rPr>
          <w:rFonts w:ascii="Arial" w:hAnsi="Arial" w:cs="Arial"/>
          <w:lang w:val="en-IN"/>
        </w:rPr>
        <w:t xml:space="preserve"> </w:t>
      </w:r>
      <w:r w:rsidR="002F5CFD" w:rsidRPr="002F5CFD">
        <w:rPr>
          <w:rFonts w:ascii="Arial" w:hAnsi="Arial" w:cs="Arial"/>
          <w:i/>
          <w:iCs/>
          <w:lang w:val="en-IN"/>
        </w:rPr>
        <w:t>(</w:t>
      </w:r>
      <w:r w:rsidR="002F5CFD">
        <w:rPr>
          <w:rFonts w:ascii="Arial" w:hAnsi="Arial" w:cs="Arial"/>
          <w:i/>
          <w:iCs/>
          <w:lang w:val="en-IN"/>
        </w:rPr>
        <w:t xml:space="preserve">p &gt; </w:t>
      </w:r>
      <w:proofErr w:type="gramStart"/>
      <w:r w:rsidR="002F5CFD">
        <w:rPr>
          <w:rFonts w:ascii="Arial" w:hAnsi="Arial" w:cs="Arial"/>
          <w:i/>
          <w:iCs/>
          <w:lang w:val="en-IN"/>
        </w:rPr>
        <w:t>0.05</w:t>
      </w:r>
      <w:r w:rsidR="00570832" w:rsidRPr="00570832">
        <w:rPr>
          <w:rFonts w:ascii="Arial" w:hAnsi="Arial" w:cs="Arial"/>
          <w:lang w:val="en-IN"/>
        </w:rPr>
        <w:t xml:space="preserve"> </w:t>
      </w:r>
      <w:r w:rsidR="002F5CFD">
        <w:rPr>
          <w:rFonts w:ascii="Arial" w:hAnsi="Arial" w:cs="Arial"/>
          <w:lang w:val="en-IN"/>
        </w:rPr>
        <w:t>)</w:t>
      </w:r>
      <w:proofErr w:type="gramEnd"/>
      <w:r w:rsidR="002F5CFD">
        <w:rPr>
          <w:rFonts w:ascii="Arial" w:hAnsi="Arial" w:cs="Arial"/>
          <w:lang w:val="en-IN"/>
        </w:rPr>
        <w:t>.</w:t>
      </w:r>
      <w:r w:rsidR="00B81D12">
        <w:rPr>
          <w:rFonts w:ascii="Arial" w:hAnsi="Arial" w:cs="Arial"/>
          <w:lang w:val="en-IN"/>
        </w:rPr>
        <w:t xml:space="preserve"> </w:t>
      </w:r>
      <w:r w:rsidR="00570832" w:rsidRPr="00570832">
        <w:rPr>
          <w:rFonts w:ascii="Arial" w:hAnsi="Arial" w:cs="Arial"/>
          <w:lang w:val="en-IN"/>
        </w:rPr>
        <w:t>UV-C exposure severely impaired mobility, dropping climbing scores to near-zero by Day 18</w:t>
      </w:r>
      <w:r w:rsidR="00B81D12">
        <w:rPr>
          <w:rFonts w:ascii="Arial" w:hAnsi="Arial" w:cs="Arial"/>
          <w:lang w:val="en-IN"/>
        </w:rPr>
        <w:t xml:space="preserve"> (2.00±1.15;</w:t>
      </w:r>
      <w:r w:rsidR="00B81D12" w:rsidRPr="00543577">
        <w:rPr>
          <w:rFonts w:ascii="Arial" w:hAnsi="Arial" w:cs="Arial"/>
          <w:i/>
          <w:iCs/>
          <w:lang w:val="en-IN"/>
        </w:rPr>
        <w:t xml:space="preserve"> p &lt; 0.01</w:t>
      </w:r>
      <w:r w:rsidR="00B81D12">
        <w:rPr>
          <w:rFonts w:ascii="Arial" w:hAnsi="Arial" w:cs="Arial"/>
          <w:lang w:val="en-IN"/>
        </w:rPr>
        <w:t>)</w:t>
      </w:r>
      <w:r w:rsidR="00570832" w:rsidRPr="00570832">
        <w:rPr>
          <w:rFonts w:ascii="Arial" w:hAnsi="Arial" w:cs="Arial"/>
          <w:lang w:val="en-IN"/>
        </w:rPr>
        <w:t>.</w:t>
      </w:r>
      <w:r w:rsidR="00570832">
        <w:rPr>
          <w:rFonts w:ascii="Arial" w:hAnsi="Arial" w:cs="Arial"/>
          <w:lang w:val="en-IN"/>
        </w:rPr>
        <w:t xml:space="preserve"> </w:t>
      </w:r>
      <w:r w:rsidR="00570832" w:rsidRPr="00570832">
        <w:rPr>
          <w:rFonts w:ascii="Arial" w:hAnsi="Arial" w:cs="Arial"/>
          <w:lang w:val="en-IN"/>
        </w:rPr>
        <w:t xml:space="preserve">Quercetin pre-treatment (Q+UV) significantly protected flies from radiation damage across all time </w:t>
      </w:r>
      <w:r w:rsidR="00570832" w:rsidRPr="00AA1594">
        <w:rPr>
          <w:rFonts w:ascii="Arial" w:hAnsi="Arial" w:cs="Arial"/>
          <w:i/>
          <w:iCs/>
          <w:lang w:val="en-IN"/>
        </w:rPr>
        <w:t>points</w:t>
      </w:r>
      <w:r w:rsidR="00AA1594" w:rsidRPr="00AA1594">
        <w:rPr>
          <w:rFonts w:ascii="Arial" w:hAnsi="Arial" w:cs="Arial"/>
          <w:i/>
          <w:iCs/>
          <w:lang w:val="en-IN"/>
        </w:rPr>
        <w:t xml:space="preserve"> (p &lt; 0.05)</w:t>
      </w:r>
      <w:r w:rsidR="00570832" w:rsidRPr="00570832">
        <w:rPr>
          <w:rFonts w:ascii="Arial" w:hAnsi="Arial" w:cs="Arial"/>
          <w:lang w:val="en-IN"/>
        </w:rPr>
        <w:t>.</w:t>
      </w:r>
      <w:r w:rsidR="00570832">
        <w:rPr>
          <w:rFonts w:ascii="Arial" w:hAnsi="Arial" w:cs="Arial"/>
          <w:lang w:val="en-IN"/>
        </w:rPr>
        <w:t xml:space="preserve"> </w:t>
      </w:r>
      <w:r w:rsidR="00570832" w:rsidRPr="00570832">
        <w:rPr>
          <w:rFonts w:ascii="Arial" w:hAnsi="Arial" w:cs="Arial"/>
          <w:lang w:val="en-IN"/>
        </w:rPr>
        <w:t>By Day 18, Q+UV flies kept</w:t>
      </w:r>
      <w:r w:rsidR="005D08B6">
        <w:rPr>
          <w:rFonts w:ascii="Arial" w:hAnsi="Arial" w:cs="Arial"/>
          <w:lang w:val="en-IN"/>
        </w:rPr>
        <w:t xml:space="preserve"> 71.6%</w:t>
      </w:r>
      <w:r w:rsidR="00570832" w:rsidRPr="00570832">
        <w:rPr>
          <w:rFonts w:ascii="Arial" w:hAnsi="Arial" w:cs="Arial"/>
          <w:lang w:val="en-IN"/>
        </w:rPr>
        <w:t xml:space="preserve"> of control climbing capacity</w:t>
      </w:r>
      <w:r w:rsidR="00D549A3">
        <w:rPr>
          <w:rFonts w:ascii="Arial" w:hAnsi="Arial" w:cs="Arial"/>
          <w:lang w:val="en-IN"/>
        </w:rPr>
        <w:t xml:space="preserve"> (17.67±1.45 vs 24.67</w:t>
      </w:r>
      <w:r w:rsidR="00F36AD4">
        <w:rPr>
          <w:rFonts w:ascii="Arial" w:hAnsi="Arial" w:cs="Arial"/>
          <w:lang w:val="en-IN"/>
        </w:rPr>
        <w:t xml:space="preserve">±0.88), showing </w:t>
      </w:r>
      <w:r w:rsidR="00570832" w:rsidRPr="00570832">
        <w:rPr>
          <w:rFonts w:ascii="Arial" w:hAnsi="Arial" w:cs="Arial"/>
          <w:lang w:val="en-IN"/>
        </w:rPr>
        <w:t>long-lasting protection</w:t>
      </w:r>
      <w:r w:rsidR="0009281D">
        <w:rPr>
          <w:rFonts w:ascii="Arial" w:hAnsi="Arial" w:cs="Arial"/>
          <w:lang w:val="en-IN"/>
        </w:rPr>
        <w:t>.</w:t>
      </w:r>
      <w:r w:rsidR="00A42251">
        <w:rPr>
          <w:rFonts w:ascii="Arial" w:hAnsi="Arial" w:cs="Arial"/>
          <w:lang w:val="en-IN"/>
        </w:rPr>
        <w:t xml:space="preserve"> </w:t>
      </w:r>
      <w:r w:rsidR="00A42251" w:rsidRPr="00A42251">
        <w:rPr>
          <w:rFonts w:ascii="Arial" w:hAnsi="Arial" w:cs="Arial"/>
          <w:lang w:val="en-IN"/>
        </w:rPr>
        <w:t xml:space="preserve">This statistical protection highlights the potency of </w:t>
      </w:r>
      <w:r w:rsidR="0009281D">
        <w:rPr>
          <w:rFonts w:ascii="Arial" w:hAnsi="Arial" w:cs="Arial"/>
          <w:lang w:val="en-IN"/>
        </w:rPr>
        <w:t xml:space="preserve">this </w:t>
      </w:r>
      <w:r w:rsidR="00A42251" w:rsidRPr="00A42251">
        <w:rPr>
          <w:rFonts w:ascii="Arial" w:hAnsi="Arial" w:cs="Arial"/>
          <w:lang w:val="en-IN"/>
        </w:rPr>
        <w:t xml:space="preserve">antioxidant against radiation induced stress. </w:t>
      </w:r>
    </w:p>
    <w:p w14:paraId="2DC8E0E4" w14:textId="6F1E40EB" w:rsidR="00BF7AAB" w:rsidRDefault="0039610D" w:rsidP="00FF0E86">
      <w:pPr>
        <w:pStyle w:val="Body"/>
        <w:rPr>
          <w:rFonts w:ascii="Arial" w:hAnsi="Arial" w:cs="Arial"/>
          <w:lang w:val="en-IN"/>
        </w:rPr>
      </w:pPr>
      <w:r>
        <w:rPr>
          <w:noProof/>
        </w:rPr>
        <w:lastRenderedPageBreak/>
        <w:drawing>
          <wp:anchor distT="0" distB="0" distL="114300" distR="114300" simplePos="0" relativeHeight="251700224" behindDoc="1" locked="0" layoutInCell="1" allowOverlap="1" wp14:anchorId="76AD73AD" wp14:editId="6986EB0B">
            <wp:simplePos x="0" y="0"/>
            <wp:positionH relativeFrom="column">
              <wp:posOffset>442595</wp:posOffset>
            </wp:positionH>
            <wp:positionV relativeFrom="paragraph">
              <wp:posOffset>635</wp:posOffset>
            </wp:positionV>
            <wp:extent cx="4572000" cy="3059430"/>
            <wp:effectExtent l="0" t="0" r="0" b="7620"/>
            <wp:wrapTight wrapText="bothSides">
              <wp:wrapPolygon edited="0">
                <wp:start x="0" y="0"/>
                <wp:lineTo x="0" y="21519"/>
                <wp:lineTo x="21510" y="21519"/>
                <wp:lineTo x="21510" y="0"/>
                <wp:lineTo x="0" y="0"/>
              </wp:wrapPolygon>
            </wp:wrapTight>
            <wp:docPr id="185898268" name="Chart 1">
              <a:extLst xmlns:a="http://schemas.openxmlformats.org/drawingml/2006/main">
                <a:ext uri="{FF2B5EF4-FFF2-40B4-BE49-F238E27FC236}">
                  <a16:creationId xmlns:a16="http://schemas.microsoft.com/office/drawing/2014/main" id="{3BE2AA9E-22CC-4D65-C31F-489C03842F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24267A7C" w14:textId="77777777" w:rsidR="00BF7AAB" w:rsidRDefault="00BF7AAB" w:rsidP="00FF0E86">
      <w:pPr>
        <w:pStyle w:val="Body"/>
        <w:rPr>
          <w:rFonts w:ascii="Arial" w:hAnsi="Arial" w:cs="Arial"/>
          <w:lang w:val="en-IN"/>
        </w:rPr>
      </w:pPr>
    </w:p>
    <w:p w14:paraId="727E55D3" w14:textId="77777777" w:rsidR="00BF7AAB" w:rsidRDefault="00BF7AAB" w:rsidP="00FF0E86">
      <w:pPr>
        <w:pStyle w:val="Body"/>
        <w:rPr>
          <w:rFonts w:ascii="Arial" w:hAnsi="Arial" w:cs="Arial"/>
          <w:lang w:val="en-IN"/>
        </w:rPr>
      </w:pPr>
    </w:p>
    <w:p w14:paraId="1DD602D0" w14:textId="77777777" w:rsidR="00BF7AAB" w:rsidRDefault="00BF7AAB" w:rsidP="00FF0E86">
      <w:pPr>
        <w:pStyle w:val="Body"/>
        <w:rPr>
          <w:rFonts w:ascii="Arial" w:hAnsi="Arial" w:cs="Arial"/>
          <w:lang w:val="en-IN"/>
        </w:rPr>
      </w:pPr>
    </w:p>
    <w:p w14:paraId="68299FD6" w14:textId="77777777" w:rsidR="00BF7AAB" w:rsidRDefault="00BF7AAB" w:rsidP="00FF0E86">
      <w:pPr>
        <w:pStyle w:val="Body"/>
        <w:rPr>
          <w:rFonts w:ascii="Arial" w:hAnsi="Arial" w:cs="Arial"/>
          <w:lang w:val="en-IN"/>
        </w:rPr>
      </w:pPr>
    </w:p>
    <w:p w14:paraId="604BC88C" w14:textId="77777777" w:rsidR="0039610D" w:rsidRDefault="0039610D" w:rsidP="00FF0E86">
      <w:pPr>
        <w:pStyle w:val="Body"/>
        <w:rPr>
          <w:rFonts w:ascii="Arial" w:hAnsi="Arial" w:cs="Arial"/>
          <w:lang w:val="en-IN"/>
        </w:rPr>
      </w:pPr>
    </w:p>
    <w:p w14:paraId="2EDE6264" w14:textId="77777777" w:rsidR="0039610D" w:rsidRDefault="0039610D" w:rsidP="00FF0E86">
      <w:pPr>
        <w:pStyle w:val="Body"/>
        <w:rPr>
          <w:rFonts w:ascii="Arial" w:hAnsi="Arial" w:cs="Arial"/>
          <w:lang w:val="en-IN"/>
        </w:rPr>
      </w:pPr>
    </w:p>
    <w:p w14:paraId="2DE63EEF" w14:textId="77777777" w:rsidR="0039610D" w:rsidRDefault="0039610D" w:rsidP="00FF0E86">
      <w:pPr>
        <w:pStyle w:val="Body"/>
        <w:rPr>
          <w:rFonts w:ascii="Arial" w:hAnsi="Arial" w:cs="Arial"/>
          <w:lang w:val="en-IN"/>
        </w:rPr>
      </w:pPr>
    </w:p>
    <w:p w14:paraId="7AA2D230" w14:textId="77777777" w:rsidR="0039610D" w:rsidRDefault="0039610D" w:rsidP="00FF0E86">
      <w:pPr>
        <w:pStyle w:val="Body"/>
        <w:rPr>
          <w:rFonts w:ascii="Arial" w:hAnsi="Arial" w:cs="Arial"/>
          <w:lang w:val="en-IN"/>
        </w:rPr>
      </w:pPr>
    </w:p>
    <w:p w14:paraId="1D0C9B0D" w14:textId="77777777" w:rsidR="0039610D" w:rsidRDefault="0039610D" w:rsidP="00FF0E86">
      <w:pPr>
        <w:pStyle w:val="Body"/>
        <w:rPr>
          <w:rFonts w:ascii="Arial" w:hAnsi="Arial" w:cs="Arial"/>
          <w:lang w:val="en-IN"/>
        </w:rPr>
      </w:pPr>
    </w:p>
    <w:p w14:paraId="2956A7D6" w14:textId="77777777" w:rsidR="00E90F3C" w:rsidRDefault="00E90F3C" w:rsidP="00FF0E86">
      <w:pPr>
        <w:pStyle w:val="Body"/>
        <w:rPr>
          <w:rFonts w:ascii="Arial" w:hAnsi="Arial" w:cs="Arial"/>
          <w:lang w:val="en-IN"/>
        </w:rPr>
      </w:pPr>
    </w:p>
    <w:p w14:paraId="21B97E59" w14:textId="77777777" w:rsidR="00425401" w:rsidRDefault="00425401" w:rsidP="004427D5">
      <w:pPr>
        <w:autoSpaceDE w:val="0"/>
        <w:autoSpaceDN w:val="0"/>
        <w:adjustRightInd w:val="0"/>
        <w:jc w:val="both"/>
        <w:rPr>
          <w:rFonts w:ascii="Arial" w:hAnsi="Arial" w:cs="Arial"/>
          <w:b/>
          <w:bCs/>
          <w:szCs w:val="22"/>
        </w:rPr>
      </w:pPr>
    </w:p>
    <w:p w14:paraId="36EB142B" w14:textId="1BFAEF62" w:rsidR="004427D5" w:rsidRDefault="004427D5" w:rsidP="004427D5">
      <w:pPr>
        <w:autoSpaceDE w:val="0"/>
        <w:autoSpaceDN w:val="0"/>
        <w:adjustRightInd w:val="0"/>
        <w:jc w:val="both"/>
        <w:rPr>
          <w:rFonts w:ascii="Arial" w:hAnsi="Arial" w:cs="Arial"/>
          <w:b/>
          <w:bCs/>
          <w:szCs w:val="22"/>
        </w:rPr>
      </w:pPr>
      <w:r>
        <w:rPr>
          <w:rFonts w:ascii="Arial" w:hAnsi="Arial" w:cs="Arial"/>
          <w:b/>
          <w:bCs/>
          <w:szCs w:val="22"/>
        </w:rPr>
        <w:t>Fig.</w:t>
      </w:r>
      <w:r w:rsidRPr="008247A6">
        <w:rPr>
          <w:rFonts w:ascii="Arial" w:hAnsi="Arial" w:cs="Arial"/>
          <w:b/>
          <w:bCs/>
          <w:szCs w:val="22"/>
        </w:rPr>
        <w:t xml:space="preserve"> </w:t>
      </w:r>
      <w:r>
        <w:rPr>
          <w:rFonts w:ascii="Arial" w:hAnsi="Arial" w:cs="Arial"/>
          <w:b/>
          <w:bCs/>
          <w:szCs w:val="22"/>
        </w:rPr>
        <w:t>2.</w:t>
      </w:r>
      <w:r w:rsidRPr="008247A6">
        <w:rPr>
          <w:rFonts w:ascii="Arial" w:hAnsi="Arial" w:cs="Arial"/>
          <w:b/>
          <w:bCs/>
          <w:szCs w:val="22"/>
        </w:rPr>
        <w:t xml:space="preserve"> </w:t>
      </w:r>
      <w:r w:rsidR="00BF4B68" w:rsidRPr="00BF4B68">
        <w:rPr>
          <w:rFonts w:ascii="Arial" w:hAnsi="Arial" w:cs="Arial"/>
          <w:b/>
          <w:bCs/>
          <w:szCs w:val="22"/>
        </w:rPr>
        <w:t xml:space="preserve">Age-specific locomotor activity and climbing performance in </w:t>
      </w:r>
      <w:r w:rsidR="00BF4B68" w:rsidRPr="00BF4B68">
        <w:rPr>
          <w:rFonts w:ascii="Arial" w:hAnsi="Arial" w:cs="Arial"/>
          <w:b/>
          <w:bCs/>
          <w:i/>
          <w:iCs/>
          <w:szCs w:val="22"/>
        </w:rPr>
        <w:t>Drosophila</w:t>
      </w:r>
      <w:r w:rsidR="00BF4B68" w:rsidRPr="00BF4B68">
        <w:rPr>
          <w:rFonts w:ascii="Arial" w:hAnsi="Arial" w:cs="Arial"/>
          <w:b/>
          <w:bCs/>
          <w:szCs w:val="22"/>
        </w:rPr>
        <w:t xml:space="preserve"> </w:t>
      </w:r>
      <w:r w:rsidR="009C2514">
        <w:rPr>
          <w:rFonts w:ascii="Arial" w:hAnsi="Arial" w:cs="Arial"/>
          <w:b/>
          <w:bCs/>
          <w:szCs w:val="22"/>
        </w:rPr>
        <w:t xml:space="preserve">melanogaster </w:t>
      </w:r>
      <w:r w:rsidR="00BF4B68" w:rsidRPr="00BF4B68">
        <w:rPr>
          <w:rFonts w:ascii="Arial" w:hAnsi="Arial" w:cs="Arial"/>
          <w:b/>
          <w:bCs/>
          <w:szCs w:val="22"/>
        </w:rPr>
        <w:t>across experimental cohorts over 1</w:t>
      </w:r>
      <w:r w:rsidR="003D5424">
        <w:rPr>
          <w:rFonts w:ascii="Arial" w:hAnsi="Arial" w:cs="Arial"/>
          <w:b/>
          <w:bCs/>
          <w:szCs w:val="22"/>
        </w:rPr>
        <w:t>8</w:t>
      </w:r>
      <w:r w:rsidR="00BF4B68" w:rsidRPr="00BF4B68">
        <w:rPr>
          <w:rFonts w:ascii="Arial" w:hAnsi="Arial" w:cs="Arial"/>
          <w:b/>
          <w:bCs/>
          <w:szCs w:val="22"/>
        </w:rPr>
        <w:t xml:space="preserve"> days. </w:t>
      </w:r>
    </w:p>
    <w:p w14:paraId="2E59F226" w14:textId="62D7E8F4" w:rsidR="00845A34" w:rsidRPr="00845A34" w:rsidRDefault="00845A34" w:rsidP="00845A34">
      <w:pPr>
        <w:autoSpaceDE w:val="0"/>
        <w:autoSpaceDN w:val="0"/>
        <w:adjustRightInd w:val="0"/>
        <w:jc w:val="both"/>
        <w:rPr>
          <w:rFonts w:ascii="Arial" w:hAnsi="Arial" w:cs="Arial"/>
          <w:i/>
          <w:iCs/>
          <w:sz w:val="18"/>
          <w:szCs w:val="18"/>
          <w:lang w:val="en-IN"/>
        </w:rPr>
      </w:pPr>
      <m:oMath>
        <m:r>
          <m:rPr>
            <m:nor/>
          </m:rPr>
          <w:rPr>
            <w:rFonts w:ascii="Arial" w:hAnsi="Arial" w:cs="Arial"/>
            <w:i/>
            <w:iCs/>
            <w:sz w:val="18"/>
            <w:szCs w:val="18"/>
            <w:lang w:val="en-IN"/>
          </w:rPr>
          <m:t>Mean</m:t>
        </m:r>
        <m:r>
          <w:rPr>
            <w:rFonts w:ascii="Cambria Math" w:hAnsi="Cambria Math" w:cs="Arial"/>
            <w:sz w:val="18"/>
            <w:szCs w:val="18"/>
            <w:lang w:val="en-IN"/>
          </w:rPr>
          <m:t>±</m:t>
        </m:r>
        <m:r>
          <m:rPr>
            <m:nor/>
          </m:rPr>
          <w:rPr>
            <w:rFonts w:ascii="Arial" w:hAnsi="Arial" w:cs="Arial"/>
            <w:i/>
            <w:iCs/>
            <w:sz w:val="18"/>
            <w:szCs w:val="18"/>
            <w:lang w:val="en-IN"/>
          </w:rPr>
          <m:t>SE</m:t>
        </m:r>
      </m:oMath>
      <w:r w:rsidRPr="00845A34">
        <w:rPr>
          <w:rFonts w:ascii="Arial" w:hAnsi="Arial" w:cs="Arial"/>
          <w:i/>
          <w:iCs/>
          <w:sz w:val="18"/>
          <w:szCs w:val="18"/>
          <w:lang w:val="en-IN"/>
        </w:rPr>
        <w:t xml:space="preserve"> values represent the total number of flies successfully exhibiting target climbing responses across three independent experimental replicates (</w:t>
      </w:r>
      <m:oMath>
        <m:r>
          <w:rPr>
            <w:rFonts w:ascii="Cambria Math" w:hAnsi="Cambria Math" w:cs="Arial"/>
            <w:sz w:val="18"/>
            <w:szCs w:val="18"/>
            <w:lang w:val="en-IN"/>
          </w:rPr>
          <m:t>n=3</m:t>
        </m:r>
      </m:oMath>
      <w:r w:rsidRPr="00845A34">
        <w:rPr>
          <w:rFonts w:ascii="Arial" w:hAnsi="Arial" w:cs="Arial"/>
          <w:i/>
          <w:iCs/>
          <w:sz w:val="18"/>
          <w:szCs w:val="18"/>
          <w:lang w:val="en-IN"/>
        </w:rPr>
        <w:t xml:space="preserve"> per cohort).</w:t>
      </w:r>
    </w:p>
    <w:p w14:paraId="19B10B9C" w14:textId="05A28D0B" w:rsidR="00DE5FC4" w:rsidRDefault="00FB42AD" w:rsidP="00FB42AD">
      <w:pPr>
        <w:autoSpaceDE w:val="0"/>
        <w:autoSpaceDN w:val="0"/>
        <w:adjustRightInd w:val="0"/>
        <w:jc w:val="both"/>
        <w:rPr>
          <w:rFonts w:ascii="Arial" w:hAnsi="Arial" w:cs="Arial"/>
          <w:i/>
          <w:iCs/>
          <w:sz w:val="18"/>
          <w:szCs w:val="18"/>
          <w:lang w:val="en-IN"/>
        </w:rPr>
      </w:pPr>
      <w:r>
        <w:rPr>
          <w:rFonts w:ascii="Arial" w:hAnsi="Arial" w:cs="Arial"/>
          <w:i/>
          <w:iCs/>
          <w:sz w:val="18"/>
          <w:szCs w:val="18"/>
          <w:lang w:val="en-IN"/>
        </w:rPr>
        <w:t xml:space="preserve">Experimental groups: </w:t>
      </w:r>
      <w:r w:rsidRPr="00FB42AD">
        <w:rPr>
          <w:rFonts w:ascii="Arial" w:hAnsi="Arial" w:cs="Arial"/>
          <w:i/>
          <w:iCs/>
          <w:sz w:val="18"/>
          <w:szCs w:val="18"/>
          <w:lang w:val="en-IN"/>
        </w:rPr>
        <w:t xml:space="preserve">Significance levels from </w:t>
      </w:r>
      <w:r>
        <w:rPr>
          <w:rFonts w:ascii="Arial" w:hAnsi="Arial" w:cs="Arial"/>
          <w:i/>
          <w:iCs/>
          <w:sz w:val="18"/>
          <w:szCs w:val="18"/>
          <w:lang w:val="en-IN"/>
        </w:rPr>
        <w:t>normal control</w:t>
      </w:r>
      <w:r w:rsidRPr="00FB42AD">
        <w:rPr>
          <w:rFonts w:ascii="Arial" w:hAnsi="Arial" w:cs="Arial"/>
          <w:i/>
          <w:iCs/>
          <w:sz w:val="18"/>
          <w:szCs w:val="18"/>
          <w:lang w:val="en-IN"/>
        </w:rPr>
        <w:t xml:space="preserve"> </w:t>
      </w:r>
      <w:r w:rsidRPr="00FB42AD">
        <w:rPr>
          <w:rFonts w:ascii="Arial" w:hAnsi="Arial" w:cs="Arial"/>
          <w:b/>
          <w:bCs/>
          <w:i/>
          <w:iCs/>
          <w:sz w:val="18"/>
          <w:szCs w:val="18"/>
          <w:lang w:val="en-IN"/>
        </w:rPr>
        <w:t>*</w:t>
      </w:r>
      <w:r w:rsidRPr="00FB42AD">
        <w:rPr>
          <w:rFonts w:ascii="Arial" w:hAnsi="Arial" w:cs="Arial"/>
          <w:i/>
          <w:iCs/>
          <w:sz w:val="18"/>
          <w:szCs w:val="18"/>
          <w:lang w:val="en-IN"/>
        </w:rPr>
        <w:t xml:space="preserve"> </w:t>
      </w:r>
      <m:oMath>
        <m:r>
          <w:rPr>
            <w:rFonts w:ascii="Cambria Math" w:hAnsi="Cambria Math" w:cs="Arial"/>
            <w:sz w:val="18"/>
            <w:szCs w:val="18"/>
            <w:lang w:val="en-IN"/>
          </w:rPr>
          <m:t>p&lt;0.05</m:t>
        </m:r>
      </m:oMath>
      <w:r w:rsidRPr="00FB42AD">
        <w:rPr>
          <w:rFonts w:ascii="Arial" w:hAnsi="Arial" w:cs="Arial"/>
          <w:i/>
          <w:iCs/>
          <w:sz w:val="18"/>
          <w:szCs w:val="18"/>
          <w:lang w:val="en-IN"/>
        </w:rPr>
        <w:t xml:space="preserve">, </w:t>
      </w:r>
      <w:r w:rsidRPr="00FB42AD">
        <w:rPr>
          <w:rFonts w:ascii="Arial" w:hAnsi="Arial" w:cs="Arial"/>
          <w:b/>
          <w:bCs/>
          <w:i/>
          <w:iCs/>
          <w:sz w:val="18"/>
          <w:szCs w:val="18"/>
          <w:lang w:val="en-IN"/>
        </w:rPr>
        <w:t>**</w:t>
      </w:r>
      <w:r w:rsidRPr="00FB42AD">
        <w:rPr>
          <w:rFonts w:ascii="Arial" w:hAnsi="Arial" w:cs="Arial"/>
          <w:i/>
          <w:iCs/>
          <w:sz w:val="18"/>
          <w:szCs w:val="18"/>
          <w:lang w:val="en-IN"/>
        </w:rPr>
        <w:t xml:space="preserve"> </w:t>
      </w:r>
      <m:oMath>
        <m:r>
          <w:rPr>
            <w:rFonts w:ascii="Cambria Math" w:hAnsi="Cambria Math" w:cs="Arial"/>
            <w:sz w:val="18"/>
            <w:szCs w:val="18"/>
            <w:lang w:val="en-IN"/>
          </w:rPr>
          <m:t>p&lt;0.01</m:t>
        </m:r>
      </m:oMath>
      <w:r w:rsidR="00CE0597">
        <w:rPr>
          <w:rFonts w:ascii="Arial" w:hAnsi="Arial" w:cs="Arial"/>
          <w:i/>
          <w:iCs/>
          <w:sz w:val="18"/>
          <w:szCs w:val="18"/>
          <w:lang w:val="en-IN"/>
        </w:rPr>
        <w:t>.</w:t>
      </w:r>
    </w:p>
    <w:p w14:paraId="6300C4D0" w14:textId="77777777" w:rsidR="00CD1AC8" w:rsidRDefault="00CD1AC8" w:rsidP="00FB42AD">
      <w:pPr>
        <w:autoSpaceDE w:val="0"/>
        <w:autoSpaceDN w:val="0"/>
        <w:adjustRightInd w:val="0"/>
        <w:jc w:val="both"/>
        <w:rPr>
          <w:rFonts w:ascii="Arial" w:hAnsi="Arial" w:cs="Arial"/>
          <w:i/>
          <w:iCs/>
          <w:sz w:val="18"/>
          <w:szCs w:val="18"/>
          <w:lang w:val="en-IN"/>
        </w:rPr>
      </w:pPr>
    </w:p>
    <w:p w14:paraId="3A35F535" w14:textId="77777777" w:rsidR="00E90F3C" w:rsidRPr="00FB42AD" w:rsidRDefault="00E90F3C" w:rsidP="00FB42AD">
      <w:pPr>
        <w:autoSpaceDE w:val="0"/>
        <w:autoSpaceDN w:val="0"/>
        <w:adjustRightInd w:val="0"/>
        <w:jc w:val="both"/>
        <w:rPr>
          <w:rFonts w:ascii="Arial" w:hAnsi="Arial" w:cs="Arial"/>
          <w:i/>
          <w:iCs/>
          <w:sz w:val="18"/>
          <w:szCs w:val="18"/>
          <w:lang w:val="en-IN"/>
        </w:rPr>
      </w:pPr>
    </w:p>
    <w:p w14:paraId="66B82AA6" w14:textId="780117F6" w:rsidR="00E90F3C" w:rsidRPr="00E90F3C" w:rsidRDefault="006127B4" w:rsidP="00E90F3C">
      <w:pPr>
        <w:pStyle w:val="Body"/>
        <w:rPr>
          <w:rFonts w:ascii="Arial" w:hAnsi="Arial" w:cs="Arial"/>
          <w:b/>
          <w:bCs/>
          <w:sz w:val="22"/>
          <w:szCs w:val="22"/>
          <w:lang w:val="en-IN"/>
        </w:rPr>
      </w:pPr>
      <w:r>
        <w:rPr>
          <w:rFonts w:ascii="Arial" w:hAnsi="Arial" w:cs="Arial"/>
          <w:b/>
          <w:bCs/>
          <w:sz w:val="22"/>
          <w:szCs w:val="22"/>
        </w:rPr>
        <w:t xml:space="preserve">Table 1. </w:t>
      </w:r>
      <w:r>
        <w:rPr>
          <w:rFonts w:ascii="Arial" w:hAnsi="Arial" w:cs="Arial"/>
          <w:b/>
          <w:bCs/>
          <w:sz w:val="22"/>
          <w:szCs w:val="22"/>
        </w:rPr>
        <w:tab/>
      </w:r>
      <w:r w:rsidR="00E90F3C" w:rsidRPr="00E90F3C">
        <w:rPr>
          <w:rFonts w:ascii="Arial" w:hAnsi="Arial" w:cs="Arial"/>
          <w:b/>
          <w:bCs/>
          <w:sz w:val="22"/>
          <w:szCs w:val="22"/>
          <w:lang w:val="en-IN"/>
        </w:rPr>
        <w:t>Longitudinal Analysis of Age-Specific Locomotor Activity (</w:t>
      </w:r>
      <w:r w:rsidR="00E90F3C" w:rsidRPr="00E90F3C">
        <w:rPr>
          <w:rFonts w:ascii="Arial" w:hAnsi="Arial" w:cs="Arial"/>
          <w:b/>
          <w:bCs/>
          <w:i/>
          <w:iCs/>
          <w:sz w:val="22"/>
          <w:szCs w:val="22"/>
          <w:lang w:val="en-IN"/>
        </w:rPr>
        <w:t>Drosophila</w:t>
      </w:r>
      <w:r w:rsidR="00E90F3C" w:rsidRPr="00E90F3C">
        <w:rPr>
          <w:rFonts w:ascii="Arial" w:hAnsi="Arial" w:cs="Arial"/>
          <w:b/>
          <w:bCs/>
          <w:sz w:val="22"/>
          <w:szCs w:val="22"/>
          <w:lang w:val="en-IN"/>
        </w:rPr>
        <w:t xml:space="preserve"> Climbing Assay) and Dunnett’s Post-Hoc Comparisons Against Baseline Control Across 18 Days.</w:t>
      </w:r>
    </w:p>
    <w:tbl>
      <w:tblPr>
        <w:tblW w:w="10099" w:type="dxa"/>
        <w:tblInd w:w="-942" w:type="dxa"/>
        <w:tblBorders>
          <w:top w:val="single" w:sz="8" w:space="0" w:color="CCCCCC"/>
          <w:bottom w:val="single" w:sz="8" w:space="0" w:color="CCCCCC"/>
          <w:insideH w:val="single" w:sz="8" w:space="0" w:color="CCCCCC"/>
        </w:tblBorders>
        <w:tblLook w:val="04A0" w:firstRow="1" w:lastRow="0" w:firstColumn="1" w:lastColumn="0" w:noHBand="0" w:noVBand="1"/>
      </w:tblPr>
      <w:tblGrid>
        <w:gridCol w:w="816"/>
        <w:gridCol w:w="1383"/>
        <w:gridCol w:w="927"/>
        <w:gridCol w:w="816"/>
        <w:gridCol w:w="1195"/>
        <w:gridCol w:w="650"/>
        <w:gridCol w:w="794"/>
        <w:gridCol w:w="1228"/>
        <w:gridCol w:w="895"/>
        <w:gridCol w:w="1395"/>
      </w:tblGrid>
      <w:tr w:rsidR="00CD1AC8" w:rsidRPr="00E90F3C" w14:paraId="2C8FFBE5" w14:textId="77777777" w:rsidTr="0090288F">
        <w:trPr>
          <w:trHeight w:val="1030"/>
        </w:trPr>
        <w:tc>
          <w:tcPr>
            <w:tcW w:w="816" w:type="dxa"/>
            <w:tcBorders>
              <w:top w:val="single" w:sz="12" w:space="0" w:color="0D0D0D" w:themeColor="text1" w:themeTint="F2"/>
              <w:bottom w:val="single" w:sz="12" w:space="0" w:color="0D0D0D" w:themeColor="text1" w:themeTint="F2"/>
            </w:tcBorders>
            <w:vAlign w:val="bottom"/>
            <w:hideMark/>
          </w:tcPr>
          <w:p w14:paraId="53B4EB6C"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Time points</w:t>
            </w:r>
          </w:p>
        </w:tc>
        <w:tc>
          <w:tcPr>
            <w:tcW w:w="1383" w:type="dxa"/>
            <w:tcBorders>
              <w:top w:val="single" w:sz="12" w:space="0" w:color="0D0D0D" w:themeColor="text1" w:themeTint="F2"/>
              <w:bottom w:val="single" w:sz="12" w:space="0" w:color="0D0D0D" w:themeColor="text1" w:themeTint="F2"/>
            </w:tcBorders>
            <w:vAlign w:val="bottom"/>
            <w:hideMark/>
          </w:tcPr>
          <w:p w14:paraId="5EB86A18"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Comparison vs Control (C)</w:t>
            </w:r>
          </w:p>
        </w:tc>
        <w:tc>
          <w:tcPr>
            <w:tcW w:w="927" w:type="dxa"/>
            <w:tcBorders>
              <w:top w:val="single" w:sz="12" w:space="0" w:color="0D0D0D" w:themeColor="text1" w:themeTint="F2"/>
              <w:bottom w:val="single" w:sz="12" w:space="0" w:color="0D0D0D" w:themeColor="text1" w:themeTint="F2"/>
            </w:tcBorders>
            <w:vAlign w:val="bottom"/>
            <w:hideMark/>
          </w:tcPr>
          <w:p w14:paraId="63CB0F15"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Mean Control</w:t>
            </w:r>
          </w:p>
        </w:tc>
        <w:tc>
          <w:tcPr>
            <w:tcW w:w="816" w:type="dxa"/>
            <w:tcBorders>
              <w:top w:val="single" w:sz="12" w:space="0" w:color="0D0D0D" w:themeColor="text1" w:themeTint="F2"/>
              <w:bottom w:val="single" w:sz="12" w:space="0" w:color="0D0D0D" w:themeColor="text1" w:themeTint="F2"/>
            </w:tcBorders>
            <w:vAlign w:val="bottom"/>
            <w:hideMark/>
          </w:tcPr>
          <w:p w14:paraId="000E75D8"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Mean Group</w:t>
            </w:r>
          </w:p>
        </w:tc>
        <w:tc>
          <w:tcPr>
            <w:tcW w:w="1195" w:type="dxa"/>
            <w:tcBorders>
              <w:top w:val="single" w:sz="12" w:space="0" w:color="0D0D0D" w:themeColor="text1" w:themeTint="F2"/>
              <w:bottom w:val="single" w:sz="12" w:space="0" w:color="0D0D0D" w:themeColor="text1" w:themeTint="F2"/>
            </w:tcBorders>
            <w:vAlign w:val="bottom"/>
            <w:hideMark/>
          </w:tcPr>
          <w:p w14:paraId="45CB9172"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Mean Difference</w:t>
            </w:r>
          </w:p>
        </w:tc>
        <w:tc>
          <w:tcPr>
            <w:tcW w:w="650" w:type="dxa"/>
            <w:tcBorders>
              <w:top w:val="single" w:sz="12" w:space="0" w:color="0D0D0D" w:themeColor="text1" w:themeTint="F2"/>
              <w:bottom w:val="single" w:sz="12" w:space="0" w:color="0D0D0D" w:themeColor="text1" w:themeTint="F2"/>
            </w:tcBorders>
            <w:vAlign w:val="bottom"/>
            <w:hideMark/>
          </w:tcPr>
          <w:p w14:paraId="2D97A22D"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MSE</w:t>
            </w:r>
          </w:p>
        </w:tc>
        <w:tc>
          <w:tcPr>
            <w:tcW w:w="794" w:type="dxa"/>
            <w:tcBorders>
              <w:top w:val="single" w:sz="12" w:space="0" w:color="0D0D0D" w:themeColor="text1" w:themeTint="F2"/>
              <w:bottom w:val="single" w:sz="12" w:space="0" w:color="0D0D0D" w:themeColor="text1" w:themeTint="F2"/>
            </w:tcBorders>
            <w:vAlign w:val="bottom"/>
            <w:hideMark/>
          </w:tcPr>
          <w:p w14:paraId="2D355EB5" w14:textId="77777777" w:rsidR="00CD1AC8" w:rsidRPr="00E90F3C" w:rsidRDefault="00CD1AC8" w:rsidP="00CD1AC8">
            <w:pPr>
              <w:rPr>
                <w:rFonts w:ascii="Arial" w:hAnsi="Arial" w:cs="Arial"/>
                <w:b/>
                <w:bCs/>
                <w:color w:val="000000"/>
                <w:lang w:val="en-IN" w:eastAsia="en-IN"/>
              </w:rPr>
            </w:pPr>
            <w:proofErr w:type="spellStart"/>
            <w:r w:rsidRPr="00E90F3C">
              <w:rPr>
                <w:rFonts w:ascii="Arial" w:hAnsi="Arial" w:cs="Arial"/>
                <w:b/>
                <w:bCs/>
                <w:color w:val="000000"/>
                <w:lang w:val="en-IN" w:eastAsia="en-IN"/>
              </w:rPr>
              <w:t>SEdiff</w:t>
            </w:r>
            <w:proofErr w:type="spellEnd"/>
            <w:r w:rsidRPr="00E90F3C">
              <w:rPr>
                <w:rFonts w:ascii="Arial" w:hAnsi="Arial" w:cs="Arial"/>
                <w:b/>
                <w:bCs/>
                <w:color w:val="000000"/>
                <w:lang w:val="en-IN" w:eastAsia="en-IN"/>
              </w:rPr>
              <w:t>​</w:t>
            </w:r>
          </w:p>
        </w:tc>
        <w:tc>
          <w:tcPr>
            <w:tcW w:w="1228" w:type="dxa"/>
            <w:tcBorders>
              <w:top w:val="single" w:sz="12" w:space="0" w:color="0D0D0D" w:themeColor="text1" w:themeTint="F2"/>
              <w:bottom w:val="single" w:sz="12" w:space="0" w:color="0D0D0D" w:themeColor="text1" w:themeTint="F2"/>
            </w:tcBorders>
            <w:vAlign w:val="bottom"/>
            <w:hideMark/>
          </w:tcPr>
          <w:p w14:paraId="737F0EBB"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Calculated Dunnett q</w:t>
            </w:r>
          </w:p>
        </w:tc>
        <w:tc>
          <w:tcPr>
            <w:tcW w:w="895" w:type="dxa"/>
            <w:tcBorders>
              <w:top w:val="single" w:sz="12" w:space="0" w:color="0D0D0D" w:themeColor="text1" w:themeTint="F2"/>
              <w:bottom w:val="single" w:sz="12" w:space="0" w:color="0D0D0D" w:themeColor="text1" w:themeTint="F2"/>
            </w:tcBorders>
            <w:vAlign w:val="bottom"/>
            <w:hideMark/>
          </w:tcPr>
          <w:p w14:paraId="6C6518FD"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Critical Value CD0.05​</w:t>
            </w:r>
          </w:p>
        </w:tc>
        <w:tc>
          <w:tcPr>
            <w:tcW w:w="1395" w:type="dxa"/>
            <w:tcBorders>
              <w:top w:val="single" w:sz="12" w:space="0" w:color="0D0D0D" w:themeColor="text1" w:themeTint="F2"/>
              <w:bottom w:val="single" w:sz="12" w:space="0" w:color="0D0D0D" w:themeColor="text1" w:themeTint="F2"/>
            </w:tcBorders>
            <w:noWrap/>
            <w:vAlign w:val="center"/>
            <w:hideMark/>
          </w:tcPr>
          <w:p w14:paraId="7D7C81E4" w14:textId="77777777" w:rsidR="00CD1AC8" w:rsidRPr="00E90F3C" w:rsidRDefault="00CD1AC8" w:rsidP="00CD1AC8">
            <w:pPr>
              <w:rPr>
                <w:rFonts w:ascii="Arial" w:hAnsi="Arial" w:cs="Arial"/>
                <w:b/>
                <w:bCs/>
                <w:color w:val="000000"/>
                <w:lang w:val="en-IN" w:eastAsia="en-IN"/>
              </w:rPr>
            </w:pPr>
            <w:r w:rsidRPr="00E90F3C">
              <w:rPr>
                <w:rFonts w:ascii="Arial" w:hAnsi="Arial" w:cs="Arial"/>
                <w:b/>
                <w:bCs/>
                <w:color w:val="000000"/>
                <w:lang w:val="en-IN" w:eastAsia="en-IN"/>
              </w:rPr>
              <w:t>Significance Level</w:t>
            </w:r>
          </w:p>
        </w:tc>
      </w:tr>
      <w:tr w:rsidR="00CD1AC8" w:rsidRPr="00CD1AC8" w14:paraId="4C3DC852" w14:textId="77777777" w:rsidTr="0090288F">
        <w:trPr>
          <w:trHeight w:val="300"/>
        </w:trPr>
        <w:tc>
          <w:tcPr>
            <w:tcW w:w="816" w:type="dxa"/>
            <w:tcBorders>
              <w:top w:val="single" w:sz="12" w:space="0" w:color="0D0D0D" w:themeColor="text1" w:themeTint="F2"/>
              <w:bottom w:val="nil"/>
            </w:tcBorders>
            <w:vAlign w:val="bottom"/>
            <w:hideMark/>
          </w:tcPr>
          <w:p w14:paraId="2ABF419B"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3</w:t>
            </w:r>
          </w:p>
        </w:tc>
        <w:tc>
          <w:tcPr>
            <w:tcW w:w="1383" w:type="dxa"/>
            <w:tcBorders>
              <w:top w:val="single" w:sz="12" w:space="0" w:color="0D0D0D" w:themeColor="text1" w:themeTint="F2"/>
              <w:bottom w:val="nil"/>
            </w:tcBorders>
            <w:vAlign w:val="bottom"/>
            <w:hideMark/>
          </w:tcPr>
          <w:p w14:paraId="0644A0BE"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 vs C</w:t>
            </w:r>
          </w:p>
        </w:tc>
        <w:tc>
          <w:tcPr>
            <w:tcW w:w="927" w:type="dxa"/>
            <w:tcBorders>
              <w:top w:val="single" w:sz="12" w:space="0" w:color="0D0D0D" w:themeColor="text1" w:themeTint="F2"/>
              <w:bottom w:val="nil"/>
            </w:tcBorders>
            <w:vAlign w:val="bottom"/>
            <w:hideMark/>
          </w:tcPr>
          <w:p w14:paraId="11D74CC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w:t>
            </w:r>
          </w:p>
        </w:tc>
        <w:tc>
          <w:tcPr>
            <w:tcW w:w="816" w:type="dxa"/>
            <w:tcBorders>
              <w:top w:val="single" w:sz="12" w:space="0" w:color="0D0D0D" w:themeColor="text1" w:themeTint="F2"/>
              <w:bottom w:val="nil"/>
            </w:tcBorders>
            <w:vAlign w:val="bottom"/>
            <w:hideMark/>
          </w:tcPr>
          <w:p w14:paraId="0BAA1BA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47.33</w:t>
            </w:r>
          </w:p>
        </w:tc>
        <w:tc>
          <w:tcPr>
            <w:tcW w:w="1195" w:type="dxa"/>
            <w:tcBorders>
              <w:top w:val="single" w:sz="12" w:space="0" w:color="0D0D0D" w:themeColor="text1" w:themeTint="F2"/>
              <w:bottom w:val="nil"/>
            </w:tcBorders>
            <w:vAlign w:val="bottom"/>
            <w:hideMark/>
          </w:tcPr>
          <w:p w14:paraId="17F3C4F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650" w:type="dxa"/>
            <w:tcBorders>
              <w:top w:val="single" w:sz="12" w:space="0" w:color="0D0D0D" w:themeColor="text1" w:themeTint="F2"/>
              <w:bottom w:val="nil"/>
            </w:tcBorders>
            <w:vAlign w:val="bottom"/>
            <w:hideMark/>
          </w:tcPr>
          <w:p w14:paraId="7DD6FAE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4.92</w:t>
            </w:r>
          </w:p>
        </w:tc>
        <w:tc>
          <w:tcPr>
            <w:tcW w:w="794" w:type="dxa"/>
            <w:tcBorders>
              <w:top w:val="single" w:sz="12" w:space="0" w:color="0D0D0D" w:themeColor="text1" w:themeTint="F2"/>
              <w:bottom w:val="nil"/>
            </w:tcBorders>
            <w:vAlign w:val="bottom"/>
            <w:hideMark/>
          </w:tcPr>
          <w:p w14:paraId="3B64A0A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1.81</w:t>
            </w:r>
          </w:p>
        </w:tc>
        <w:tc>
          <w:tcPr>
            <w:tcW w:w="1228" w:type="dxa"/>
            <w:tcBorders>
              <w:top w:val="single" w:sz="12" w:space="0" w:color="0D0D0D" w:themeColor="text1" w:themeTint="F2"/>
              <w:bottom w:val="nil"/>
            </w:tcBorders>
            <w:vAlign w:val="bottom"/>
            <w:hideMark/>
          </w:tcPr>
          <w:p w14:paraId="1E74D33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0.92</w:t>
            </w:r>
          </w:p>
        </w:tc>
        <w:tc>
          <w:tcPr>
            <w:tcW w:w="895" w:type="dxa"/>
            <w:tcBorders>
              <w:top w:val="single" w:sz="12" w:space="0" w:color="0D0D0D" w:themeColor="text1" w:themeTint="F2"/>
              <w:bottom w:val="nil"/>
            </w:tcBorders>
            <w:vAlign w:val="bottom"/>
            <w:hideMark/>
          </w:tcPr>
          <w:p w14:paraId="02D7613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5.21</w:t>
            </w:r>
          </w:p>
        </w:tc>
        <w:tc>
          <w:tcPr>
            <w:tcW w:w="1395" w:type="dxa"/>
            <w:tcBorders>
              <w:top w:val="single" w:sz="12" w:space="0" w:color="0D0D0D" w:themeColor="text1" w:themeTint="F2"/>
              <w:bottom w:val="nil"/>
            </w:tcBorders>
            <w:vAlign w:val="bottom"/>
            <w:hideMark/>
          </w:tcPr>
          <w:p w14:paraId="1BBA117E"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ns</w:t>
            </w:r>
          </w:p>
        </w:tc>
      </w:tr>
      <w:tr w:rsidR="00CD1AC8" w:rsidRPr="00CD1AC8" w14:paraId="4E86942F" w14:textId="77777777" w:rsidTr="0090288F">
        <w:trPr>
          <w:trHeight w:val="530"/>
        </w:trPr>
        <w:tc>
          <w:tcPr>
            <w:tcW w:w="816" w:type="dxa"/>
            <w:tcBorders>
              <w:top w:val="nil"/>
              <w:bottom w:val="nil"/>
            </w:tcBorders>
            <w:vAlign w:val="bottom"/>
            <w:hideMark/>
          </w:tcPr>
          <w:p w14:paraId="793ACF72"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60354A90"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777A63C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w:t>
            </w:r>
          </w:p>
        </w:tc>
        <w:tc>
          <w:tcPr>
            <w:tcW w:w="816" w:type="dxa"/>
            <w:tcBorders>
              <w:top w:val="nil"/>
              <w:bottom w:val="nil"/>
            </w:tcBorders>
            <w:vAlign w:val="bottom"/>
            <w:hideMark/>
          </w:tcPr>
          <w:p w14:paraId="2D52D7F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26.33</w:t>
            </w:r>
          </w:p>
        </w:tc>
        <w:tc>
          <w:tcPr>
            <w:tcW w:w="1195" w:type="dxa"/>
            <w:tcBorders>
              <w:top w:val="nil"/>
              <w:bottom w:val="nil"/>
            </w:tcBorders>
            <w:vAlign w:val="bottom"/>
            <w:hideMark/>
          </w:tcPr>
          <w:p w14:paraId="5E33A5D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-22.67</w:t>
            </w:r>
          </w:p>
        </w:tc>
        <w:tc>
          <w:tcPr>
            <w:tcW w:w="650" w:type="dxa"/>
            <w:tcBorders>
              <w:top w:val="nil"/>
              <w:bottom w:val="nil"/>
            </w:tcBorders>
            <w:vAlign w:val="bottom"/>
            <w:hideMark/>
          </w:tcPr>
          <w:p w14:paraId="7E6E597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4.92</w:t>
            </w:r>
          </w:p>
        </w:tc>
        <w:tc>
          <w:tcPr>
            <w:tcW w:w="794" w:type="dxa"/>
            <w:tcBorders>
              <w:top w:val="nil"/>
              <w:bottom w:val="nil"/>
            </w:tcBorders>
            <w:vAlign w:val="bottom"/>
            <w:hideMark/>
          </w:tcPr>
          <w:p w14:paraId="6A6BDA3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1.81</w:t>
            </w:r>
          </w:p>
        </w:tc>
        <w:tc>
          <w:tcPr>
            <w:tcW w:w="1228" w:type="dxa"/>
            <w:tcBorders>
              <w:top w:val="nil"/>
              <w:bottom w:val="nil"/>
            </w:tcBorders>
            <w:vAlign w:val="bottom"/>
            <w:hideMark/>
          </w:tcPr>
          <w:p w14:paraId="469F46A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12.52</w:t>
            </w:r>
          </w:p>
        </w:tc>
        <w:tc>
          <w:tcPr>
            <w:tcW w:w="895" w:type="dxa"/>
            <w:tcBorders>
              <w:top w:val="nil"/>
              <w:bottom w:val="nil"/>
            </w:tcBorders>
            <w:vAlign w:val="bottom"/>
            <w:hideMark/>
          </w:tcPr>
          <w:p w14:paraId="6767146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5.21</w:t>
            </w:r>
          </w:p>
        </w:tc>
        <w:tc>
          <w:tcPr>
            <w:tcW w:w="1395" w:type="dxa"/>
            <w:tcBorders>
              <w:top w:val="nil"/>
              <w:bottom w:val="nil"/>
            </w:tcBorders>
            <w:vAlign w:val="bottom"/>
            <w:hideMark/>
          </w:tcPr>
          <w:p w14:paraId="78862D58" w14:textId="279C9396"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787EDA50" w14:textId="77777777" w:rsidTr="0090288F">
        <w:trPr>
          <w:trHeight w:val="530"/>
        </w:trPr>
        <w:tc>
          <w:tcPr>
            <w:tcW w:w="816" w:type="dxa"/>
            <w:tcBorders>
              <w:top w:val="nil"/>
              <w:bottom w:val="nil"/>
            </w:tcBorders>
            <w:vAlign w:val="bottom"/>
            <w:hideMark/>
          </w:tcPr>
          <w:p w14:paraId="1BEFBBCC"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7044A17"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5A9B2B0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w:t>
            </w:r>
          </w:p>
        </w:tc>
        <w:tc>
          <w:tcPr>
            <w:tcW w:w="816" w:type="dxa"/>
            <w:tcBorders>
              <w:top w:val="nil"/>
              <w:bottom w:val="nil"/>
            </w:tcBorders>
            <w:vAlign w:val="bottom"/>
            <w:hideMark/>
          </w:tcPr>
          <w:p w14:paraId="0DCF4B4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w:t>
            </w:r>
          </w:p>
        </w:tc>
        <w:tc>
          <w:tcPr>
            <w:tcW w:w="1195" w:type="dxa"/>
            <w:tcBorders>
              <w:top w:val="nil"/>
              <w:bottom w:val="nil"/>
            </w:tcBorders>
            <w:vAlign w:val="bottom"/>
            <w:hideMark/>
          </w:tcPr>
          <w:p w14:paraId="64875CB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-10</w:t>
            </w:r>
          </w:p>
        </w:tc>
        <w:tc>
          <w:tcPr>
            <w:tcW w:w="650" w:type="dxa"/>
            <w:tcBorders>
              <w:top w:val="nil"/>
              <w:bottom w:val="nil"/>
            </w:tcBorders>
            <w:vAlign w:val="bottom"/>
            <w:hideMark/>
          </w:tcPr>
          <w:p w14:paraId="37FD0A1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4.92</w:t>
            </w:r>
          </w:p>
        </w:tc>
        <w:tc>
          <w:tcPr>
            <w:tcW w:w="794" w:type="dxa"/>
            <w:tcBorders>
              <w:top w:val="nil"/>
              <w:bottom w:val="nil"/>
            </w:tcBorders>
            <w:vAlign w:val="bottom"/>
            <w:hideMark/>
          </w:tcPr>
          <w:p w14:paraId="0177CE0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1.81</w:t>
            </w:r>
          </w:p>
        </w:tc>
        <w:tc>
          <w:tcPr>
            <w:tcW w:w="1228" w:type="dxa"/>
            <w:tcBorders>
              <w:top w:val="nil"/>
              <w:bottom w:val="nil"/>
            </w:tcBorders>
            <w:vAlign w:val="bottom"/>
            <w:hideMark/>
          </w:tcPr>
          <w:p w14:paraId="6C27773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5.52</w:t>
            </w:r>
          </w:p>
        </w:tc>
        <w:tc>
          <w:tcPr>
            <w:tcW w:w="895" w:type="dxa"/>
            <w:tcBorders>
              <w:top w:val="nil"/>
              <w:bottom w:val="nil"/>
            </w:tcBorders>
            <w:vAlign w:val="bottom"/>
            <w:hideMark/>
          </w:tcPr>
          <w:p w14:paraId="4115A4A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5.21</w:t>
            </w:r>
          </w:p>
        </w:tc>
        <w:tc>
          <w:tcPr>
            <w:tcW w:w="1395" w:type="dxa"/>
            <w:tcBorders>
              <w:top w:val="nil"/>
              <w:bottom w:val="nil"/>
            </w:tcBorders>
            <w:vAlign w:val="bottom"/>
            <w:hideMark/>
          </w:tcPr>
          <w:p w14:paraId="765A1259" w14:textId="14F74555"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47D885C9" w14:textId="77777777" w:rsidTr="0090288F">
        <w:trPr>
          <w:trHeight w:val="300"/>
        </w:trPr>
        <w:tc>
          <w:tcPr>
            <w:tcW w:w="816" w:type="dxa"/>
            <w:tcBorders>
              <w:top w:val="nil"/>
              <w:bottom w:val="nil"/>
            </w:tcBorders>
            <w:vAlign w:val="bottom"/>
            <w:hideMark/>
          </w:tcPr>
          <w:p w14:paraId="358A242D"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6</w:t>
            </w:r>
          </w:p>
        </w:tc>
        <w:tc>
          <w:tcPr>
            <w:tcW w:w="1383" w:type="dxa"/>
            <w:tcBorders>
              <w:top w:val="nil"/>
              <w:bottom w:val="nil"/>
            </w:tcBorders>
            <w:vAlign w:val="bottom"/>
            <w:hideMark/>
          </w:tcPr>
          <w:p w14:paraId="0F9AA898"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 vs C</w:t>
            </w:r>
          </w:p>
        </w:tc>
        <w:tc>
          <w:tcPr>
            <w:tcW w:w="927" w:type="dxa"/>
            <w:tcBorders>
              <w:top w:val="nil"/>
              <w:bottom w:val="nil"/>
            </w:tcBorders>
            <w:vAlign w:val="bottom"/>
            <w:hideMark/>
          </w:tcPr>
          <w:p w14:paraId="3B42855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w:t>
            </w:r>
          </w:p>
        </w:tc>
        <w:tc>
          <w:tcPr>
            <w:tcW w:w="816" w:type="dxa"/>
            <w:tcBorders>
              <w:top w:val="nil"/>
              <w:bottom w:val="nil"/>
            </w:tcBorders>
            <w:vAlign w:val="bottom"/>
            <w:hideMark/>
          </w:tcPr>
          <w:p w14:paraId="020153D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44.67</w:t>
            </w:r>
          </w:p>
        </w:tc>
        <w:tc>
          <w:tcPr>
            <w:tcW w:w="1195" w:type="dxa"/>
            <w:tcBorders>
              <w:top w:val="nil"/>
              <w:bottom w:val="nil"/>
            </w:tcBorders>
            <w:vAlign w:val="bottom"/>
            <w:hideMark/>
          </w:tcPr>
          <w:p w14:paraId="07F90ECF"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0.67</w:t>
            </w:r>
          </w:p>
        </w:tc>
        <w:tc>
          <w:tcPr>
            <w:tcW w:w="650" w:type="dxa"/>
            <w:tcBorders>
              <w:top w:val="nil"/>
              <w:bottom w:val="nil"/>
            </w:tcBorders>
            <w:vAlign w:val="bottom"/>
            <w:hideMark/>
          </w:tcPr>
          <w:p w14:paraId="78B9D02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4.42</w:t>
            </w:r>
          </w:p>
        </w:tc>
        <w:tc>
          <w:tcPr>
            <w:tcW w:w="794" w:type="dxa"/>
            <w:tcBorders>
              <w:top w:val="nil"/>
              <w:bottom w:val="nil"/>
            </w:tcBorders>
            <w:vAlign w:val="bottom"/>
            <w:hideMark/>
          </w:tcPr>
          <w:p w14:paraId="0B7428E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1.72</w:t>
            </w:r>
          </w:p>
        </w:tc>
        <w:tc>
          <w:tcPr>
            <w:tcW w:w="1228" w:type="dxa"/>
            <w:tcBorders>
              <w:top w:val="nil"/>
              <w:bottom w:val="nil"/>
            </w:tcBorders>
            <w:vAlign w:val="bottom"/>
            <w:hideMark/>
          </w:tcPr>
          <w:p w14:paraId="0252EDE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0.39</w:t>
            </w:r>
          </w:p>
        </w:tc>
        <w:tc>
          <w:tcPr>
            <w:tcW w:w="895" w:type="dxa"/>
            <w:tcBorders>
              <w:top w:val="nil"/>
              <w:bottom w:val="nil"/>
            </w:tcBorders>
            <w:vAlign w:val="bottom"/>
            <w:hideMark/>
          </w:tcPr>
          <w:p w14:paraId="427CAC2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4.94</w:t>
            </w:r>
          </w:p>
        </w:tc>
        <w:tc>
          <w:tcPr>
            <w:tcW w:w="1395" w:type="dxa"/>
            <w:tcBorders>
              <w:top w:val="nil"/>
              <w:bottom w:val="nil"/>
            </w:tcBorders>
            <w:vAlign w:val="bottom"/>
            <w:hideMark/>
          </w:tcPr>
          <w:p w14:paraId="43E51EB9"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ns</w:t>
            </w:r>
          </w:p>
        </w:tc>
      </w:tr>
      <w:tr w:rsidR="00CD1AC8" w:rsidRPr="00CD1AC8" w14:paraId="08A9F606" w14:textId="77777777" w:rsidTr="0090288F">
        <w:trPr>
          <w:trHeight w:val="530"/>
        </w:trPr>
        <w:tc>
          <w:tcPr>
            <w:tcW w:w="816" w:type="dxa"/>
            <w:tcBorders>
              <w:top w:val="nil"/>
              <w:bottom w:val="nil"/>
            </w:tcBorders>
            <w:vAlign w:val="bottom"/>
            <w:hideMark/>
          </w:tcPr>
          <w:p w14:paraId="58913D0B"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6DFC4B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618A3B4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w:t>
            </w:r>
          </w:p>
        </w:tc>
        <w:tc>
          <w:tcPr>
            <w:tcW w:w="816" w:type="dxa"/>
            <w:tcBorders>
              <w:top w:val="nil"/>
              <w:bottom w:val="nil"/>
            </w:tcBorders>
            <w:vAlign w:val="bottom"/>
            <w:hideMark/>
          </w:tcPr>
          <w:p w14:paraId="0F11FA3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23.67</w:t>
            </w:r>
          </w:p>
        </w:tc>
        <w:tc>
          <w:tcPr>
            <w:tcW w:w="1195" w:type="dxa"/>
            <w:tcBorders>
              <w:top w:val="nil"/>
              <w:bottom w:val="nil"/>
            </w:tcBorders>
            <w:vAlign w:val="bottom"/>
            <w:hideMark/>
          </w:tcPr>
          <w:p w14:paraId="3FB9433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-20.33</w:t>
            </w:r>
          </w:p>
        </w:tc>
        <w:tc>
          <w:tcPr>
            <w:tcW w:w="650" w:type="dxa"/>
            <w:tcBorders>
              <w:top w:val="nil"/>
              <w:bottom w:val="nil"/>
            </w:tcBorders>
            <w:vAlign w:val="bottom"/>
            <w:hideMark/>
          </w:tcPr>
          <w:p w14:paraId="415434A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4.42</w:t>
            </w:r>
          </w:p>
        </w:tc>
        <w:tc>
          <w:tcPr>
            <w:tcW w:w="794" w:type="dxa"/>
            <w:tcBorders>
              <w:top w:val="nil"/>
              <w:bottom w:val="nil"/>
            </w:tcBorders>
            <w:vAlign w:val="bottom"/>
            <w:hideMark/>
          </w:tcPr>
          <w:p w14:paraId="5675A45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1.72</w:t>
            </w:r>
          </w:p>
        </w:tc>
        <w:tc>
          <w:tcPr>
            <w:tcW w:w="1228" w:type="dxa"/>
            <w:tcBorders>
              <w:top w:val="nil"/>
              <w:bottom w:val="nil"/>
            </w:tcBorders>
            <w:vAlign w:val="bottom"/>
            <w:hideMark/>
          </w:tcPr>
          <w:p w14:paraId="7A2D9E9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11.85</w:t>
            </w:r>
          </w:p>
        </w:tc>
        <w:tc>
          <w:tcPr>
            <w:tcW w:w="895" w:type="dxa"/>
            <w:tcBorders>
              <w:top w:val="nil"/>
              <w:bottom w:val="nil"/>
            </w:tcBorders>
            <w:vAlign w:val="bottom"/>
            <w:hideMark/>
          </w:tcPr>
          <w:p w14:paraId="432A585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4.94</w:t>
            </w:r>
          </w:p>
        </w:tc>
        <w:tc>
          <w:tcPr>
            <w:tcW w:w="1395" w:type="dxa"/>
            <w:tcBorders>
              <w:top w:val="nil"/>
              <w:bottom w:val="nil"/>
            </w:tcBorders>
            <w:vAlign w:val="bottom"/>
            <w:hideMark/>
          </w:tcPr>
          <w:p w14:paraId="4A8C6FCD" w14:textId="48C9CBCF"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745A7DA9" w14:textId="77777777" w:rsidTr="0090288F">
        <w:trPr>
          <w:trHeight w:val="530"/>
        </w:trPr>
        <w:tc>
          <w:tcPr>
            <w:tcW w:w="816" w:type="dxa"/>
            <w:tcBorders>
              <w:top w:val="nil"/>
              <w:bottom w:val="nil"/>
            </w:tcBorders>
            <w:vAlign w:val="bottom"/>
            <w:hideMark/>
          </w:tcPr>
          <w:p w14:paraId="7B5002E4"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478BE64E"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5D0F136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w:t>
            </w:r>
          </w:p>
        </w:tc>
        <w:tc>
          <w:tcPr>
            <w:tcW w:w="816" w:type="dxa"/>
            <w:tcBorders>
              <w:top w:val="nil"/>
              <w:bottom w:val="nil"/>
            </w:tcBorders>
            <w:vAlign w:val="bottom"/>
            <w:hideMark/>
          </w:tcPr>
          <w:p w14:paraId="2667504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38</w:t>
            </w:r>
          </w:p>
        </w:tc>
        <w:tc>
          <w:tcPr>
            <w:tcW w:w="1195" w:type="dxa"/>
            <w:tcBorders>
              <w:top w:val="nil"/>
              <w:bottom w:val="nil"/>
            </w:tcBorders>
            <w:vAlign w:val="bottom"/>
            <w:hideMark/>
          </w:tcPr>
          <w:p w14:paraId="6480483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-6</w:t>
            </w:r>
          </w:p>
        </w:tc>
        <w:tc>
          <w:tcPr>
            <w:tcW w:w="650" w:type="dxa"/>
            <w:tcBorders>
              <w:top w:val="nil"/>
              <w:bottom w:val="nil"/>
            </w:tcBorders>
            <w:vAlign w:val="bottom"/>
            <w:hideMark/>
          </w:tcPr>
          <w:p w14:paraId="285ECF8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4.42</w:t>
            </w:r>
          </w:p>
        </w:tc>
        <w:tc>
          <w:tcPr>
            <w:tcW w:w="794" w:type="dxa"/>
            <w:tcBorders>
              <w:top w:val="nil"/>
              <w:bottom w:val="nil"/>
            </w:tcBorders>
            <w:vAlign w:val="bottom"/>
            <w:hideMark/>
          </w:tcPr>
          <w:p w14:paraId="584B4ED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1.72</w:t>
            </w:r>
          </w:p>
        </w:tc>
        <w:tc>
          <w:tcPr>
            <w:tcW w:w="1228" w:type="dxa"/>
            <w:tcBorders>
              <w:top w:val="nil"/>
              <w:bottom w:val="nil"/>
            </w:tcBorders>
            <w:vAlign w:val="bottom"/>
            <w:hideMark/>
          </w:tcPr>
          <w:p w14:paraId="5C1BA8A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w:t>
            </w:r>
          </w:p>
        </w:tc>
        <w:tc>
          <w:tcPr>
            <w:tcW w:w="895" w:type="dxa"/>
            <w:tcBorders>
              <w:top w:val="nil"/>
              <w:bottom w:val="nil"/>
            </w:tcBorders>
            <w:vAlign w:val="bottom"/>
            <w:hideMark/>
          </w:tcPr>
          <w:p w14:paraId="2C21EAC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4.94</w:t>
            </w:r>
          </w:p>
        </w:tc>
        <w:tc>
          <w:tcPr>
            <w:tcW w:w="1395" w:type="dxa"/>
            <w:tcBorders>
              <w:top w:val="nil"/>
              <w:bottom w:val="nil"/>
            </w:tcBorders>
            <w:vAlign w:val="bottom"/>
            <w:hideMark/>
          </w:tcPr>
          <w:p w14:paraId="2C37D105"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p&lt;0.05 (</w:t>
            </w:r>
            <w:r w:rsidRPr="00A06B12">
              <w:rPr>
                <w:rFonts w:ascii="Cambria Math" w:hAnsi="Cambria Math" w:cs="Cambria Math"/>
                <w:i/>
                <w:iCs/>
                <w:color w:val="000000"/>
                <w:lang w:val="en-IN" w:eastAsia="en-IN"/>
              </w:rPr>
              <w:t>∗</w:t>
            </w:r>
            <w:r w:rsidRPr="00A06B12">
              <w:rPr>
                <w:rFonts w:ascii="Arial" w:hAnsi="Arial" w:cs="Arial"/>
                <w:i/>
                <w:iCs/>
                <w:color w:val="000000"/>
                <w:lang w:val="en-IN" w:eastAsia="en-IN"/>
              </w:rPr>
              <w:t>)</w:t>
            </w:r>
          </w:p>
        </w:tc>
      </w:tr>
      <w:tr w:rsidR="00CD1AC8" w:rsidRPr="00CD1AC8" w14:paraId="1F162667" w14:textId="77777777" w:rsidTr="0090288F">
        <w:trPr>
          <w:trHeight w:val="300"/>
        </w:trPr>
        <w:tc>
          <w:tcPr>
            <w:tcW w:w="816" w:type="dxa"/>
            <w:tcBorders>
              <w:top w:val="nil"/>
              <w:bottom w:val="nil"/>
            </w:tcBorders>
            <w:vAlign w:val="bottom"/>
            <w:hideMark/>
          </w:tcPr>
          <w:p w14:paraId="4E93BC39"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9</w:t>
            </w:r>
          </w:p>
        </w:tc>
        <w:tc>
          <w:tcPr>
            <w:tcW w:w="1383" w:type="dxa"/>
            <w:tcBorders>
              <w:top w:val="nil"/>
              <w:bottom w:val="nil"/>
            </w:tcBorders>
            <w:vAlign w:val="bottom"/>
            <w:hideMark/>
          </w:tcPr>
          <w:p w14:paraId="14A8AC0E"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 vs C</w:t>
            </w:r>
          </w:p>
        </w:tc>
        <w:tc>
          <w:tcPr>
            <w:tcW w:w="927" w:type="dxa"/>
            <w:tcBorders>
              <w:top w:val="nil"/>
              <w:bottom w:val="nil"/>
            </w:tcBorders>
            <w:vAlign w:val="bottom"/>
            <w:hideMark/>
          </w:tcPr>
          <w:p w14:paraId="25DD444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36.33</w:t>
            </w:r>
          </w:p>
        </w:tc>
        <w:tc>
          <w:tcPr>
            <w:tcW w:w="816" w:type="dxa"/>
            <w:tcBorders>
              <w:top w:val="nil"/>
              <w:bottom w:val="nil"/>
            </w:tcBorders>
            <w:vAlign w:val="bottom"/>
            <w:hideMark/>
          </w:tcPr>
          <w:p w14:paraId="3491B55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33.67</w:t>
            </w:r>
          </w:p>
        </w:tc>
        <w:tc>
          <w:tcPr>
            <w:tcW w:w="1195" w:type="dxa"/>
            <w:tcBorders>
              <w:top w:val="nil"/>
              <w:bottom w:val="nil"/>
            </w:tcBorders>
            <w:vAlign w:val="bottom"/>
            <w:hideMark/>
          </w:tcPr>
          <w:p w14:paraId="54E7422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-2.67</w:t>
            </w:r>
          </w:p>
        </w:tc>
        <w:tc>
          <w:tcPr>
            <w:tcW w:w="650" w:type="dxa"/>
            <w:tcBorders>
              <w:top w:val="nil"/>
              <w:bottom w:val="nil"/>
            </w:tcBorders>
            <w:vAlign w:val="bottom"/>
            <w:hideMark/>
          </w:tcPr>
          <w:p w14:paraId="46E24AD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w:t>
            </w:r>
          </w:p>
        </w:tc>
        <w:tc>
          <w:tcPr>
            <w:tcW w:w="794" w:type="dxa"/>
            <w:tcBorders>
              <w:top w:val="nil"/>
              <w:bottom w:val="nil"/>
            </w:tcBorders>
            <w:vAlign w:val="bottom"/>
            <w:hideMark/>
          </w:tcPr>
          <w:p w14:paraId="725E883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1.37</w:t>
            </w:r>
          </w:p>
        </w:tc>
        <w:tc>
          <w:tcPr>
            <w:tcW w:w="1228" w:type="dxa"/>
            <w:tcBorders>
              <w:top w:val="nil"/>
              <w:bottom w:val="nil"/>
            </w:tcBorders>
            <w:vAlign w:val="bottom"/>
            <w:hideMark/>
          </w:tcPr>
          <w:p w14:paraId="2F9CFCA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1.94</w:t>
            </w:r>
          </w:p>
        </w:tc>
        <w:tc>
          <w:tcPr>
            <w:tcW w:w="895" w:type="dxa"/>
            <w:tcBorders>
              <w:top w:val="nil"/>
              <w:bottom w:val="nil"/>
            </w:tcBorders>
            <w:vAlign w:val="bottom"/>
            <w:hideMark/>
          </w:tcPr>
          <w:p w14:paraId="3495559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3.96</w:t>
            </w:r>
          </w:p>
        </w:tc>
        <w:tc>
          <w:tcPr>
            <w:tcW w:w="1395" w:type="dxa"/>
            <w:tcBorders>
              <w:top w:val="nil"/>
              <w:bottom w:val="nil"/>
            </w:tcBorders>
            <w:vAlign w:val="bottom"/>
            <w:hideMark/>
          </w:tcPr>
          <w:p w14:paraId="6000F078"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ns</w:t>
            </w:r>
          </w:p>
        </w:tc>
      </w:tr>
      <w:tr w:rsidR="00CD1AC8" w:rsidRPr="00CD1AC8" w14:paraId="5C1ABD59" w14:textId="77777777" w:rsidTr="0090288F">
        <w:trPr>
          <w:trHeight w:val="530"/>
        </w:trPr>
        <w:tc>
          <w:tcPr>
            <w:tcW w:w="816" w:type="dxa"/>
            <w:tcBorders>
              <w:top w:val="nil"/>
              <w:bottom w:val="nil"/>
            </w:tcBorders>
            <w:vAlign w:val="bottom"/>
            <w:hideMark/>
          </w:tcPr>
          <w:p w14:paraId="2FCC0C18"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lastRenderedPageBreak/>
              <w:t> </w:t>
            </w:r>
          </w:p>
        </w:tc>
        <w:tc>
          <w:tcPr>
            <w:tcW w:w="1383" w:type="dxa"/>
            <w:tcBorders>
              <w:top w:val="nil"/>
              <w:bottom w:val="nil"/>
            </w:tcBorders>
            <w:vAlign w:val="bottom"/>
            <w:hideMark/>
          </w:tcPr>
          <w:p w14:paraId="41F8C3EB"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7F80E7F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36.33</w:t>
            </w:r>
          </w:p>
        </w:tc>
        <w:tc>
          <w:tcPr>
            <w:tcW w:w="816" w:type="dxa"/>
            <w:tcBorders>
              <w:top w:val="nil"/>
              <w:bottom w:val="nil"/>
            </w:tcBorders>
            <w:vAlign w:val="bottom"/>
            <w:hideMark/>
          </w:tcPr>
          <w:p w14:paraId="0F5091A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21.33</w:t>
            </w:r>
          </w:p>
        </w:tc>
        <w:tc>
          <w:tcPr>
            <w:tcW w:w="1195" w:type="dxa"/>
            <w:tcBorders>
              <w:top w:val="nil"/>
              <w:bottom w:val="nil"/>
            </w:tcBorders>
            <w:vAlign w:val="bottom"/>
            <w:hideMark/>
          </w:tcPr>
          <w:p w14:paraId="20F17FA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w:t>
            </w:r>
          </w:p>
        </w:tc>
        <w:tc>
          <w:tcPr>
            <w:tcW w:w="650" w:type="dxa"/>
            <w:tcBorders>
              <w:top w:val="nil"/>
              <w:bottom w:val="nil"/>
            </w:tcBorders>
            <w:vAlign w:val="bottom"/>
            <w:hideMark/>
          </w:tcPr>
          <w:p w14:paraId="6BBBE3E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w:t>
            </w:r>
          </w:p>
        </w:tc>
        <w:tc>
          <w:tcPr>
            <w:tcW w:w="794" w:type="dxa"/>
            <w:tcBorders>
              <w:top w:val="nil"/>
              <w:bottom w:val="nil"/>
            </w:tcBorders>
            <w:vAlign w:val="bottom"/>
            <w:hideMark/>
          </w:tcPr>
          <w:p w14:paraId="2223809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1.37</w:t>
            </w:r>
          </w:p>
        </w:tc>
        <w:tc>
          <w:tcPr>
            <w:tcW w:w="1228" w:type="dxa"/>
            <w:tcBorders>
              <w:top w:val="nil"/>
              <w:bottom w:val="nil"/>
            </w:tcBorders>
            <w:vAlign w:val="bottom"/>
            <w:hideMark/>
          </w:tcPr>
          <w:p w14:paraId="47081E8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10.91</w:t>
            </w:r>
          </w:p>
        </w:tc>
        <w:tc>
          <w:tcPr>
            <w:tcW w:w="895" w:type="dxa"/>
            <w:tcBorders>
              <w:top w:val="nil"/>
              <w:bottom w:val="nil"/>
            </w:tcBorders>
            <w:vAlign w:val="bottom"/>
            <w:hideMark/>
          </w:tcPr>
          <w:p w14:paraId="1D890C4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3.96</w:t>
            </w:r>
          </w:p>
        </w:tc>
        <w:tc>
          <w:tcPr>
            <w:tcW w:w="1395" w:type="dxa"/>
            <w:tcBorders>
              <w:top w:val="nil"/>
              <w:bottom w:val="nil"/>
            </w:tcBorders>
            <w:vAlign w:val="bottom"/>
            <w:hideMark/>
          </w:tcPr>
          <w:p w14:paraId="2DA989DD" w14:textId="137BED76"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6C91BD3C" w14:textId="77777777" w:rsidTr="0090288F">
        <w:trPr>
          <w:trHeight w:val="530"/>
        </w:trPr>
        <w:tc>
          <w:tcPr>
            <w:tcW w:w="816" w:type="dxa"/>
            <w:tcBorders>
              <w:top w:val="nil"/>
              <w:bottom w:val="nil"/>
            </w:tcBorders>
            <w:vAlign w:val="bottom"/>
            <w:hideMark/>
          </w:tcPr>
          <w:p w14:paraId="08DEE5EA"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6A26E8AB"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71B8DDD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36.33</w:t>
            </w:r>
          </w:p>
        </w:tc>
        <w:tc>
          <w:tcPr>
            <w:tcW w:w="816" w:type="dxa"/>
            <w:tcBorders>
              <w:top w:val="nil"/>
              <w:bottom w:val="nil"/>
            </w:tcBorders>
            <w:vAlign w:val="bottom"/>
            <w:hideMark/>
          </w:tcPr>
          <w:p w14:paraId="5C231BE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31.67</w:t>
            </w:r>
          </w:p>
        </w:tc>
        <w:tc>
          <w:tcPr>
            <w:tcW w:w="1195" w:type="dxa"/>
            <w:tcBorders>
              <w:top w:val="nil"/>
              <w:bottom w:val="nil"/>
            </w:tcBorders>
            <w:vAlign w:val="bottom"/>
            <w:hideMark/>
          </w:tcPr>
          <w:p w14:paraId="49F3548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-4.67</w:t>
            </w:r>
          </w:p>
        </w:tc>
        <w:tc>
          <w:tcPr>
            <w:tcW w:w="650" w:type="dxa"/>
            <w:tcBorders>
              <w:top w:val="nil"/>
              <w:bottom w:val="nil"/>
            </w:tcBorders>
            <w:vAlign w:val="bottom"/>
            <w:hideMark/>
          </w:tcPr>
          <w:p w14:paraId="16FD809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w:t>
            </w:r>
          </w:p>
        </w:tc>
        <w:tc>
          <w:tcPr>
            <w:tcW w:w="794" w:type="dxa"/>
            <w:tcBorders>
              <w:top w:val="nil"/>
              <w:bottom w:val="nil"/>
            </w:tcBorders>
            <w:vAlign w:val="bottom"/>
            <w:hideMark/>
          </w:tcPr>
          <w:p w14:paraId="163A6B9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1.37</w:t>
            </w:r>
          </w:p>
        </w:tc>
        <w:tc>
          <w:tcPr>
            <w:tcW w:w="1228" w:type="dxa"/>
            <w:tcBorders>
              <w:top w:val="nil"/>
              <w:bottom w:val="nil"/>
            </w:tcBorders>
            <w:vAlign w:val="bottom"/>
            <w:hideMark/>
          </w:tcPr>
          <w:p w14:paraId="5A3E075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w:t>
            </w:r>
          </w:p>
        </w:tc>
        <w:tc>
          <w:tcPr>
            <w:tcW w:w="895" w:type="dxa"/>
            <w:tcBorders>
              <w:top w:val="nil"/>
              <w:bottom w:val="nil"/>
            </w:tcBorders>
            <w:vAlign w:val="bottom"/>
            <w:hideMark/>
          </w:tcPr>
          <w:p w14:paraId="18ACC17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3.96</w:t>
            </w:r>
          </w:p>
        </w:tc>
        <w:tc>
          <w:tcPr>
            <w:tcW w:w="1395" w:type="dxa"/>
            <w:tcBorders>
              <w:top w:val="nil"/>
              <w:bottom w:val="nil"/>
            </w:tcBorders>
            <w:vAlign w:val="bottom"/>
            <w:hideMark/>
          </w:tcPr>
          <w:p w14:paraId="3686CDCB" w14:textId="7777777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p&lt;0.05 (</w:t>
            </w:r>
            <w:r w:rsidRPr="00A06B12">
              <w:rPr>
                <w:rFonts w:ascii="Cambria Math" w:hAnsi="Cambria Math" w:cs="Cambria Math"/>
                <w:i/>
                <w:iCs/>
                <w:color w:val="000000"/>
                <w:lang w:val="en-IN" w:eastAsia="en-IN"/>
              </w:rPr>
              <w:t>∗</w:t>
            </w:r>
            <w:r w:rsidRPr="00A06B12">
              <w:rPr>
                <w:rFonts w:ascii="Arial" w:hAnsi="Arial" w:cs="Arial"/>
                <w:i/>
                <w:iCs/>
                <w:color w:val="000000"/>
                <w:lang w:val="en-IN" w:eastAsia="en-IN"/>
              </w:rPr>
              <w:t>)</w:t>
            </w:r>
          </w:p>
        </w:tc>
      </w:tr>
      <w:tr w:rsidR="00CD1AC8" w:rsidRPr="00CD1AC8" w14:paraId="2D1FC0B1" w14:textId="77777777" w:rsidTr="0090288F">
        <w:trPr>
          <w:trHeight w:val="300"/>
        </w:trPr>
        <w:tc>
          <w:tcPr>
            <w:tcW w:w="816" w:type="dxa"/>
            <w:tcBorders>
              <w:top w:val="nil"/>
              <w:bottom w:val="nil"/>
            </w:tcBorders>
            <w:vAlign w:val="bottom"/>
            <w:hideMark/>
          </w:tcPr>
          <w:p w14:paraId="2E15947E"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12</w:t>
            </w:r>
          </w:p>
        </w:tc>
        <w:tc>
          <w:tcPr>
            <w:tcW w:w="1383" w:type="dxa"/>
            <w:tcBorders>
              <w:top w:val="nil"/>
              <w:bottom w:val="nil"/>
            </w:tcBorders>
            <w:vAlign w:val="bottom"/>
            <w:hideMark/>
          </w:tcPr>
          <w:p w14:paraId="0CEE7C9E"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 vs C</w:t>
            </w:r>
          </w:p>
        </w:tc>
        <w:tc>
          <w:tcPr>
            <w:tcW w:w="927" w:type="dxa"/>
            <w:tcBorders>
              <w:top w:val="nil"/>
              <w:bottom w:val="nil"/>
            </w:tcBorders>
            <w:vAlign w:val="bottom"/>
            <w:hideMark/>
          </w:tcPr>
          <w:p w14:paraId="342F80E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33.33</w:t>
            </w:r>
          </w:p>
        </w:tc>
        <w:tc>
          <w:tcPr>
            <w:tcW w:w="816" w:type="dxa"/>
            <w:tcBorders>
              <w:top w:val="nil"/>
              <w:bottom w:val="nil"/>
            </w:tcBorders>
            <w:vAlign w:val="bottom"/>
            <w:hideMark/>
          </w:tcPr>
          <w:p w14:paraId="1D701C8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31.33</w:t>
            </w:r>
          </w:p>
        </w:tc>
        <w:tc>
          <w:tcPr>
            <w:tcW w:w="1195" w:type="dxa"/>
            <w:tcBorders>
              <w:top w:val="nil"/>
              <w:bottom w:val="nil"/>
            </w:tcBorders>
            <w:vAlign w:val="bottom"/>
            <w:hideMark/>
          </w:tcPr>
          <w:p w14:paraId="7102D98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w:t>
            </w:r>
          </w:p>
        </w:tc>
        <w:tc>
          <w:tcPr>
            <w:tcW w:w="650" w:type="dxa"/>
            <w:tcBorders>
              <w:top w:val="nil"/>
              <w:bottom w:val="nil"/>
            </w:tcBorders>
            <w:vAlign w:val="bottom"/>
            <w:hideMark/>
          </w:tcPr>
          <w:p w14:paraId="1561021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2.33</w:t>
            </w:r>
          </w:p>
        </w:tc>
        <w:tc>
          <w:tcPr>
            <w:tcW w:w="794" w:type="dxa"/>
            <w:tcBorders>
              <w:top w:val="nil"/>
              <w:bottom w:val="nil"/>
            </w:tcBorders>
            <w:vAlign w:val="bottom"/>
            <w:hideMark/>
          </w:tcPr>
          <w:p w14:paraId="459AF12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w:t>
            </w:r>
          </w:p>
        </w:tc>
        <w:tc>
          <w:tcPr>
            <w:tcW w:w="1228" w:type="dxa"/>
            <w:tcBorders>
              <w:top w:val="nil"/>
              <w:bottom w:val="nil"/>
            </w:tcBorders>
            <w:vAlign w:val="bottom"/>
            <w:hideMark/>
          </w:tcPr>
          <w:p w14:paraId="6422E84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w:t>
            </w:r>
          </w:p>
        </w:tc>
        <w:tc>
          <w:tcPr>
            <w:tcW w:w="895" w:type="dxa"/>
            <w:tcBorders>
              <w:top w:val="nil"/>
              <w:bottom w:val="nil"/>
            </w:tcBorders>
            <w:vAlign w:val="bottom"/>
            <w:hideMark/>
          </w:tcPr>
          <w:p w14:paraId="2A357D4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3.59</w:t>
            </w:r>
          </w:p>
        </w:tc>
        <w:tc>
          <w:tcPr>
            <w:tcW w:w="1395" w:type="dxa"/>
            <w:tcBorders>
              <w:top w:val="nil"/>
              <w:bottom w:val="nil"/>
            </w:tcBorders>
            <w:vAlign w:val="bottom"/>
            <w:hideMark/>
          </w:tcPr>
          <w:p w14:paraId="6112E673" w14:textId="76EF3B83" w:rsidR="00CD1AC8" w:rsidRPr="00A06B12" w:rsidRDefault="00E90F3C" w:rsidP="00CD1AC8">
            <w:pPr>
              <w:rPr>
                <w:rFonts w:ascii="Arial" w:hAnsi="Arial" w:cs="Arial"/>
                <w:i/>
                <w:iCs/>
                <w:color w:val="000000"/>
                <w:lang w:val="en-IN" w:eastAsia="en-IN"/>
              </w:rPr>
            </w:pPr>
            <w:r w:rsidRPr="00A06B12">
              <w:rPr>
                <w:rFonts w:ascii="Arial" w:hAnsi="Arial" w:cs="Arial"/>
                <w:i/>
                <w:iCs/>
                <w:color w:val="000000"/>
                <w:lang w:val="en-IN" w:eastAsia="en-IN"/>
              </w:rPr>
              <w:t>n</w:t>
            </w:r>
            <w:r w:rsidR="00CD1AC8" w:rsidRPr="00A06B12">
              <w:rPr>
                <w:rFonts w:ascii="Arial" w:hAnsi="Arial" w:cs="Arial"/>
                <w:i/>
                <w:iCs/>
                <w:color w:val="000000"/>
                <w:lang w:val="en-IN" w:eastAsia="en-IN"/>
              </w:rPr>
              <w:t>s</w:t>
            </w:r>
          </w:p>
        </w:tc>
      </w:tr>
      <w:tr w:rsidR="00CD1AC8" w:rsidRPr="00CD1AC8" w14:paraId="62484986" w14:textId="77777777" w:rsidTr="0090288F">
        <w:trPr>
          <w:trHeight w:val="530"/>
        </w:trPr>
        <w:tc>
          <w:tcPr>
            <w:tcW w:w="816" w:type="dxa"/>
            <w:tcBorders>
              <w:top w:val="nil"/>
              <w:bottom w:val="nil"/>
            </w:tcBorders>
            <w:vAlign w:val="bottom"/>
            <w:hideMark/>
          </w:tcPr>
          <w:p w14:paraId="363003E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6B122781"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32826C5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33.33</w:t>
            </w:r>
          </w:p>
        </w:tc>
        <w:tc>
          <w:tcPr>
            <w:tcW w:w="816" w:type="dxa"/>
            <w:tcBorders>
              <w:top w:val="nil"/>
              <w:bottom w:val="nil"/>
            </w:tcBorders>
            <w:vAlign w:val="bottom"/>
            <w:hideMark/>
          </w:tcPr>
          <w:p w14:paraId="5083DFD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13.67</w:t>
            </w:r>
          </w:p>
        </w:tc>
        <w:tc>
          <w:tcPr>
            <w:tcW w:w="1195" w:type="dxa"/>
            <w:tcBorders>
              <w:top w:val="nil"/>
              <w:bottom w:val="nil"/>
            </w:tcBorders>
            <w:vAlign w:val="bottom"/>
            <w:hideMark/>
          </w:tcPr>
          <w:p w14:paraId="6E2FDDF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-19.67</w:t>
            </w:r>
          </w:p>
        </w:tc>
        <w:tc>
          <w:tcPr>
            <w:tcW w:w="650" w:type="dxa"/>
            <w:tcBorders>
              <w:top w:val="nil"/>
              <w:bottom w:val="nil"/>
            </w:tcBorders>
            <w:vAlign w:val="bottom"/>
            <w:hideMark/>
          </w:tcPr>
          <w:p w14:paraId="3D639E9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2.33</w:t>
            </w:r>
          </w:p>
        </w:tc>
        <w:tc>
          <w:tcPr>
            <w:tcW w:w="794" w:type="dxa"/>
            <w:tcBorders>
              <w:top w:val="nil"/>
              <w:bottom w:val="nil"/>
            </w:tcBorders>
            <w:vAlign w:val="bottom"/>
            <w:hideMark/>
          </w:tcPr>
          <w:p w14:paraId="31C8719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w:t>
            </w:r>
          </w:p>
        </w:tc>
        <w:tc>
          <w:tcPr>
            <w:tcW w:w="1228" w:type="dxa"/>
            <w:tcBorders>
              <w:top w:val="nil"/>
              <w:bottom w:val="nil"/>
            </w:tcBorders>
            <w:vAlign w:val="bottom"/>
            <w:hideMark/>
          </w:tcPr>
          <w:p w14:paraId="71BB243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15.77</w:t>
            </w:r>
          </w:p>
        </w:tc>
        <w:tc>
          <w:tcPr>
            <w:tcW w:w="895" w:type="dxa"/>
            <w:tcBorders>
              <w:top w:val="nil"/>
              <w:bottom w:val="nil"/>
            </w:tcBorders>
            <w:vAlign w:val="bottom"/>
            <w:hideMark/>
          </w:tcPr>
          <w:p w14:paraId="33695B2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3.59</w:t>
            </w:r>
          </w:p>
        </w:tc>
        <w:tc>
          <w:tcPr>
            <w:tcW w:w="1395" w:type="dxa"/>
            <w:tcBorders>
              <w:top w:val="nil"/>
              <w:bottom w:val="nil"/>
            </w:tcBorders>
            <w:vAlign w:val="bottom"/>
            <w:hideMark/>
          </w:tcPr>
          <w:p w14:paraId="6BDB974D" w14:textId="1610EF40"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0FD978C8" w14:textId="77777777" w:rsidTr="0090288F">
        <w:trPr>
          <w:trHeight w:val="530"/>
        </w:trPr>
        <w:tc>
          <w:tcPr>
            <w:tcW w:w="816" w:type="dxa"/>
            <w:tcBorders>
              <w:top w:val="nil"/>
              <w:bottom w:val="nil"/>
            </w:tcBorders>
            <w:vAlign w:val="bottom"/>
            <w:hideMark/>
          </w:tcPr>
          <w:p w14:paraId="0A3990E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D78544B"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6C46967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33.33</w:t>
            </w:r>
          </w:p>
        </w:tc>
        <w:tc>
          <w:tcPr>
            <w:tcW w:w="816" w:type="dxa"/>
            <w:tcBorders>
              <w:top w:val="nil"/>
              <w:bottom w:val="nil"/>
            </w:tcBorders>
            <w:vAlign w:val="bottom"/>
            <w:hideMark/>
          </w:tcPr>
          <w:p w14:paraId="6B0634A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28.33</w:t>
            </w:r>
          </w:p>
        </w:tc>
        <w:tc>
          <w:tcPr>
            <w:tcW w:w="1195" w:type="dxa"/>
            <w:tcBorders>
              <w:top w:val="nil"/>
              <w:bottom w:val="nil"/>
            </w:tcBorders>
            <w:vAlign w:val="bottom"/>
            <w:hideMark/>
          </w:tcPr>
          <w:p w14:paraId="681FE9E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-5</w:t>
            </w:r>
          </w:p>
        </w:tc>
        <w:tc>
          <w:tcPr>
            <w:tcW w:w="650" w:type="dxa"/>
            <w:tcBorders>
              <w:top w:val="nil"/>
              <w:bottom w:val="nil"/>
            </w:tcBorders>
            <w:vAlign w:val="bottom"/>
            <w:hideMark/>
          </w:tcPr>
          <w:p w14:paraId="2B5E068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2.33</w:t>
            </w:r>
          </w:p>
        </w:tc>
        <w:tc>
          <w:tcPr>
            <w:tcW w:w="794" w:type="dxa"/>
            <w:tcBorders>
              <w:top w:val="nil"/>
              <w:bottom w:val="nil"/>
            </w:tcBorders>
            <w:vAlign w:val="bottom"/>
            <w:hideMark/>
          </w:tcPr>
          <w:p w14:paraId="512D7CA7"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1.25</w:t>
            </w:r>
          </w:p>
        </w:tc>
        <w:tc>
          <w:tcPr>
            <w:tcW w:w="1228" w:type="dxa"/>
            <w:tcBorders>
              <w:top w:val="nil"/>
              <w:bottom w:val="nil"/>
            </w:tcBorders>
            <w:vAlign w:val="bottom"/>
            <w:hideMark/>
          </w:tcPr>
          <w:p w14:paraId="5913E61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4.01</w:t>
            </w:r>
          </w:p>
        </w:tc>
        <w:tc>
          <w:tcPr>
            <w:tcW w:w="895" w:type="dxa"/>
            <w:tcBorders>
              <w:top w:val="nil"/>
              <w:bottom w:val="nil"/>
            </w:tcBorders>
            <w:vAlign w:val="bottom"/>
            <w:hideMark/>
          </w:tcPr>
          <w:p w14:paraId="6B6DD40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3.59</w:t>
            </w:r>
          </w:p>
        </w:tc>
        <w:tc>
          <w:tcPr>
            <w:tcW w:w="1395" w:type="dxa"/>
            <w:tcBorders>
              <w:top w:val="nil"/>
              <w:bottom w:val="nil"/>
            </w:tcBorders>
            <w:vAlign w:val="bottom"/>
            <w:hideMark/>
          </w:tcPr>
          <w:p w14:paraId="6F6BA658" w14:textId="4B071E16"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21DF0DE0" w14:textId="77777777" w:rsidTr="0090288F">
        <w:trPr>
          <w:trHeight w:val="300"/>
        </w:trPr>
        <w:tc>
          <w:tcPr>
            <w:tcW w:w="816" w:type="dxa"/>
            <w:tcBorders>
              <w:top w:val="nil"/>
              <w:bottom w:val="nil"/>
            </w:tcBorders>
            <w:vAlign w:val="bottom"/>
            <w:hideMark/>
          </w:tcPr>
          <w:p w14:paraId="24FB390B"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15</w:t>
            </w:r>
          </w:p>
        </w:tc>
        <w:tc>
          <w:tcPr>
            <w:tcW w:w="1383" w:type="dxa"/>
            <w:tcBorders>
              <w:top w:val="nil"/>
              <w:bottom w:val="nil"/>
            </w:tcBorders>
            <w:vAlign w:val="bottom"/>
            <w:hideMark/>
          </w:tcPr>
          <w:p w14:paraId="54C8312A"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 vs C</w:t>
            </w:r>
          </w:p>
        </w:tc>
        <w:tc>
          <w:tcPr>
            <w:tcW w:w="927" w:type="dxa"/>
            <w:tcBorders>
              <w:top w:val="nil"/>
              <w:bottom w:val="nil"/>
            </w:tcBorders>
            <w:vAlign w:val="bottom"/>
            <w:hideMark/>
          </w:tcPr>
          <w:p w14:paraId="1F12EDC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30</w:t>
            </w:r>
          </w:p>
        </w:tc>
        <w:tc>
          <w:tcPr>
            <w:tcW w:w="816" w:type="dxa"/>
            <w:tcBorders>
              <w:top w:val="nil"/>
              <w:bottom w:val="nil"/>
            </w:tcBorders>
            <w:vAlign w:val="bottom"/>
            <w:hideMark/>
          </w:tcPr>
          <w:p w14:paraId="3437C24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25.67</w:t>
            </w:r>
          </w:p>
        </w:tc>
        <w:tc>
          <w:tcPr>
            <w:tcW w:w="1195" w:type="dxa"/>
            <w:tcBorders>
              <w:top w:val="nil"/>
              <w:bottom w:val="nil"/>
            </w:tcBorders>
            <w:vAlign w:val="bottom"/>
            <w:hideMark/>
          </w:tcPr>
          <w:p w14:paraId="5A2419D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-4.33</w:t>
            </w:r>
          </w:p>
        </w:tc>
        <w:tc>
          <w:tcPr>
            <w:tcW w:w="650" w:type="dxa"/>
            <w:tcBorders>
              <w:top w:val="nil"/>
              <w:bottom w:val="nil"/>
            </w:tcBorders>
            <w:vAlign w:val="bottom"/>
            <w:hideMark/>
          </w:tcPr>
          <w:p w14:paraId="3600525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4.17</w:t>
            </w:r>
          </w:p>
        </w:tc>
        <w:tc>
          <w:tcPr>
            <w:tcW w:w="794" w:type="dxa"/>
            <w:tcBorders>
              <w:top w:val="nil"/>
              <w:bottom w:val="nil"/>
            </w:tcBorders>
            <w:vAlign w:val="bottom"/>
            <w:hideMark/>
          </w:tcPr>
          <w:p w14:paraId="456338B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1228" w:type="dxa"/>
            <w:tcBorders>
              <w:top w:val="nil"/>
              <w:bottom w:val="nil"/>
            </w:tcBorders>
            <w:vAlign w:val="bottom"/>
            <w:hideMark/>
          </w:tcPr>
          <w:p w14:paraId="0A83499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w:t>
            </w:r>
          </w:p>
        </w:tc>
        <w:tc>
          <w:tcPr>
            <w:tcW w:w="895" w:type="dxa"/>
            <w:tcBorders>
              <w:top w:val="nil"/>
              <w:bottom w:val="nil"/>
            </w:tcBorders>
            <w:vAlign w:val="bottom"/>
            <w:hideMark/>
          </w:tcPr>
          <w:p w14:paraId="69AA73B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4.8</w:t>
            </w:r>
          </w:p>
        </w:tc>
        <w:tc>
          <w:tcPr>
            <w:tcW w:w="1395" w:type="dxa"/>
            <w:tcBorders>
              <w:top w:val="nil"/>
              <w:bottom w:val="nil"/>
            </w:tcBorders>
            <w:vAlign w:val="bottom"/>
            <w:hideMark/>
          </w:tcPr>
          <w:p w14:paraId="4B2692EB" w14:textId="6CA7F2BD" w:rsidR="00CD1AC8" w:rsidRPr="00A06B12" w:rsidRDefault="00E90F3C" w:rsidP="00CD1AC8">
            <w:pPr>
              <w:rPr>
                <w:rFonts w:ascii="Arial" w:hAnsi="Arial" w:cs="Arial"/>
                <w:i/>
                <w:iCs/>
                <w:color w:val="000000"/>
                <w:lang w:val="en-IN" w:eastAsia="en-IN"/>
              </w:rPr>
            </w:pPr>
            <w:r w:rsidRPr="00A06B12">
              <w:rPr>
                <w:rFonts w:ascii="Arial" w:hAnsi="Arial" w:cs="Arial"/>
                <w:i/>
                <w:iCs/>
                <w:color w:val="000000"/>
                <w:lang w:val="en-IN" w:eastAsia="en-IN"/>
              </w:rPr>
              <w:t>n</w:t>
            </w:r>
            <w:r w:rsidR="00CD1AC8" w:rsidRPr="00A06B12">
              <w:rPr>
                <w:rFonts w:ascii="Arial" w:hAnsi="Arial" w:cs="Arial"/>
                <w:i/>
                <w:iCs/>
                <w:color w:val="000000"/>
                <w:lang w:val="en-IN" w:eastAsia="en-IN"/>
              </w:rPr>
              <w:t>s</w:t>
            </w:r>
          </w:p>
        </w:tc>
      </w:tr>
      <w:tr w:rsidR="00CD1AC8" w:rsidRPr="00CD1AC8" w14:paraId="575EA8A9" w14:textId="77777777" w:rsidTr="0090288F">
        <w:trPr>
          <w:trHeight w:val="530"/>
        </w:trPr>
        <w:tc>
          <w:tcPr>
            <w:tcW w:w="816" w:type="dxa"/>
            <w:tcBorders>
              <w:top w:val="nil"/>
              <w:bottom w:val="nil"/>
            </w:tcBorders>
            <w:vAlign w:val="bottom"/>
            <w:hideMark/>
          </w:tcPr>
          <w:p w14:paraId="05240F50"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536C27BC"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773D2F8F"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30</w:t>
            </w:r>
          </w:p>
        </w:tc>
        <w:tc>
          <w:tcPr>
            <w:tcW w:w="816" w:type="dxa"/>
            <w:tcBorders>
              <w:top w:val="nil"/>
              <w:bottom w:val="nil"/>
            </w:tcBorders>
            <w:vAlign w:val="bottom"/>
            <w:hideMark/>
          </w:tcPr>
          <w:p w14:paraId="0156801B"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6.33</w:t>
            </w:r>
          </w:p>
        </w:tc>
        <w:tc>
          <w:tcPr>
            <w:tcW w:w="1195" w:type="dxa"/>
            <w:tcBorders>
              <w:top w:val="nil"/>
              <w:bottom w:val="nil"/>
            </w:tcBorders>
            <w:vAlign w:val="bottom"/>
            <w:hideMark/>
          </w:tcPr>
          <w:p w14:paraId="6E7D48B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-23.67</w:t>
            </w:r>
          </w:p>
        </w:tc>
        <w:tc>
          <w:tcPr>
            <w:tcW w:w="650" w:type="dxa"/>
            <w:tcBorders>
              <w:top w:val="nil"/>
              <w:bottom w:val="nil"/>
            </w:tcBorders>
            <w:vAlign w:val="bottom"/>
            <w:hideMark/>
          </w:tcPr>
          <w:p w14:paraId="575BD4E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4.17</w:t>
            </w:r>
          </w:p>
        </w:tc>
        <w:tc>
          <w:tcPr>
            <w:tcW w:w="794" w:type="dxa"/>
            <w:tcBorders>
              <w:top w:val="nil"/>
              <w:bottom w:val="nil"/>
            </w:tcBorders>
            <w:vAlign w:val="bottom"/>
            <w:hideMark/>
          </w:tcPr>
          <w:p w14:paraId="79034BF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1228" w:type="dxa"/>
            <w:tcBorders>
              <w:top w:val="nil"/>
              <w:bottom w:val="nil"/>
            </w:tcBorders>
            <w:vAlign w:val="bottom"/>
            <w:hideMark/>
          </w:tcPr>
          <w:p w14:paraId="0E85A5A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14.2</w:t>
            </w:r>
          </w:p>
        </w:tc>
        <w:tc>
          <w:tcPr>
            <w:tcW w:w="895" w:type="dxa"/>
            <w:tcBorders>
              <w:top w:val="nil"/>
              <w:bottom w:val="nil"/>
            </w:tcBorders>
            <w:vAlign w:val="bottom"/>
            <w:hideMark/>
          </w:tcPr>
          <w:p w14:paraId="38310BF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4.8</w:t>
            </w:r>
          </w:p>
        </w:tc>
        <w:tc>
          <w:tcPr>
            <w:tcW w:w="1395" w:type="dxa"/>
            <w:tcBorders>
              <w:top w:val="nil"/>
              <w:bottom w:val="nil"/>
            </w:tcBorders>
            <w:vAlign w:val="bottom"/>
            <w:hideMark/>
          </w:tcPr>
          <w:p w14:paraId="4CA45506" w14:textId="6397C147"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3432D22C" w14:textId="77777777" w:rsidTr="0090288F">
        <w:trPr>
          <w:trHeight w:val="530"/>
        </w:trPr>
        <w:tc>
          <w:tcPr>
            <w:tcW w:w="816" w:type="dxa"/>
            <w:tcBorders>
              <w:top w:val="nil"/>
              <w:bottom w:val="nil"/>
            </w:tcBorders>
            <w:vAlign w:val="bottom"/>
            <w:hideMark/>
          </w:tcPr>
          <w:p w14:paraId="6579414C"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77CADBA5"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bottom w:val="nil"/>
            </w:tcBorders>
            <w:vAlign w:val="bottom"/>
            <w:hideMark/>
          </w:tcPr>
          <w:p w14:paraId="3C593D6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30</w:t>
            </w:r>
          </w:p>
        </w:tc>
        <w:tc>
          <w:tcPr>
            <w:tcW w:w="816" w:type="dxa"/>
            <w:tcBorders>
              <w:top w:val="nil"/>
              <w:bottom w:val="nil"/>
            </w:tcBorders>
            <w:vAlign w:val="bottom"/>
            <w:hideMark/>
          </w:tcPr>
          <w:p w14:paraId="4694969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23</w:t>
            </w:r>
          </w:p>
        </w:tc>
        <w:tc>
          <w:tcPr>
            <w:tcW w:w="1195" w:type="dxa"/>
            <w:tcBorders>
              <w:top w:val="nil"/>
              <w:bottom w:val="nil"/>
            </w:tcBorders>
            <w:vAlign w:val="bottom"/>
            <w:hideMark/>
          </w:tcPr>
          <w:p w14:paraId="4D611AD5"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-7</w:t>
            </w:r>
          </w:p>
        </w:tc>
        <w:tc>
          <w:tcPr>
            <w:tcW w:w="650" w:type="dxa"/>
            <w:tcBorders>
              <w:top w:val="nil"/>
              <w:bottom w:val="nil"/>
            </w:tcBorders>
            <w:vAlign w:val="bottom"/>
            <w:hideMark/>
          </w:tcPr>
          <w:p w14:paraId="214F3546"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4.17</w:t>
            </w:r>
          </w:p>
        </w:tc>
        <w:tc>
          <w:tcPr>
            <w:tcW w:w="794" w:type="dxa"/>
            <w:tcBorders>
              <w:top w:val="nil"/>
              <w:bottom w:val="nil"/>
            </w:tcBorders>
            <w:vAlign w:val="bottom"/>
            <w:hideMark/>
          </w:tcPr>
          <w:p w14:paraId="76BB746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1.67</w:t>
            </w:r>
          </w:p>
        </w:tc>
        <w:tc>
          <w:tcPr>
            <w:tcW w:w="1228" w:type="dxa"/>
            <w:tcBorders>
              <w:top w:val="nil"/>
              <w:bottom w:val="nil"/>
            </w:tcBorders>
            <w:vAlign w:val="bottom"/>
            <w:hideMark/>
          </w:tcPr>
          <w:p w14:paraId="106C7EB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4.2</w:t>
            </w:r>
          </w:p>
        </w:tc>
        <w:tc>
          <w:tcPr>
            <w:tcW w:w="895" w:type="dxa"/>
            <w:tcBorders>
              <w:top w:val="nil"/>
              <w:bottom w:val="nil"/>
            </w:tcBorders>
            <w:vAlign w:val="bottom"/>
            <w:hideMark/>
          </w:tcPr>
          <w:p w14:paraId="2D44EA8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4.8</w:t>
            </w:r>
          </w:p>
        </w:tc>
        <w:tc>
          <w:tcPr>
            <w:tcW w:w="1395" w:type="dxa"/>
            <w:tcBorders>
              <w:top w:val="nil"/>
              <w:bottom w:val="nil"/>
            </w:tcBorders>
            <w:vAlign w:val="bottom"/>
            <w:hideMark/>
          </w:tcPr>
          <w:p w14:paraId="47E4EBB1" w14:textId="2E34989B"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24FAC46F" w14:textId="77777777" w:rsidTr="0090288F">
        <w:trPr>
          <w:trHeight w:val="300"/>
        </w:trPr>
        <w:tc>
          <w:tcPr>
            <w:tcW w:w="816" w:type="dxa"/>
            <w:tcBorders>
              <w:top w:val="nil"/>
              <w:bottom w:val="nil"/>
            </w:tcBorders>
            <w:vAlign w:val="bottom"/>
            <w:hideMark/>
          </w:tcPr>
          <w:p w14:paraId="1CB5B8E7"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Day 18</w:t>
            </w:r>
          </w:p>
        </w:tc>
        <w:tc>
          <w:tcPr>
            <w:tcW w:w="1383" w:type="dxa"/>
            <w:tcBorders>
              <w:top w:val="nil"/>
              <w:bottom w:val="nil"/>
            </w:tcBorders>
            <w:vAlign w:val="bottom"/>
            <w:hideMark/>
          </w:tcPr>
          <w:p w14:paraId="0283445F"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 vs C</w:t>
            </w:r>
          </w:p>
        </w:tc>
        <w:tc>
          <w:tcPr>
            <w:tcW w:w="927" w:type="dxa"/>
            <w:tcBorders>
              <w:top w:val="nil"/>
              <w:bottom w:val="nil"/>
            </w:tcBorders>
            <w:vAlign w:val="bottom"/>
            <w:hideMark/>
          </w:tcPr>
          <w:p w14:paraId="00E2AACF"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24.67</w:t>
            </w:r>
          </w:p>
        </w:tc>
        <w:tc>
          <w:tcPr>
            <w:tcW w:w="816" w:type="dxa"/>
            <w:tcBorders>
              <w:top w:val="nil"/>
              <w:bottom w:val="nil"/>
            </w:tcBorders>
            <w:vAlign w:val="bottom"/>
            <w:hideMark/>
          </w:tcPr>
          <w:p w14:paraId="12BF86D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22</w:t>
            </w:r>
          </w:p>
        </w:tc>
        <w:tc>
          <w:tcPr>
            <w:tcW w:w="1195" w:type="dxa"/>
            <w:tcBorders>
              <w:top w:val="nil"/>
              <w:bottom w:val="nil"/>
            </w:tcBorders>
            <w:vAlign w:val="bottom"/>
            <w:hideMark/>
          </w:tcPr>
          <w:p w14:paraId="58A3D29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-2.67</w:t>
            </w:r>
          </w:p>
        </w:tc>
        <w:tc>
          <w:tcPr>
            <w:tcW w:w="650" w:type="dxa"/>
            <w:tcBorders>
              <w:top w:val="nil"/>
              <w:bottom w:val="nil"/>
            </w:tcBorders>
            <w:vAlign w:val="bottom"/>
            <w:hideMark/>
          </w:tcPr>
          <w:p w14:paraId="1FD1D8CE"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3.42</w:t>
            </w:r>
          </w:p>
        </w:tc>
        <w:tc>
          <w:tcPr>
            <w:tcW w:w="794" w:type="dxa"/>
            <w:tcBorders>
              <w:top w:val="nil"/>
              <w:bottom w:val="nil"/>
            </w:tcBorders>
            <w:vAlign w:val="bottom"/>
            <w:hideMark/>
          </w:tcPr>
          <w:p w14:paraId="50771181"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1.51</w:t>
            </w:r>
          </w:p>
        </w:tc>
        <w:tc>
          <w:tcPr>
            <w:tcW w:w="1228" w:type="dxa"/>
            <w:tcBorders>
              <w:top w:val="nil"/>
              <w:bottom w:val="nil"/>
            </w:tcBorders>
            <w:vAlign w:val="bottom"/>
            <w:hideMark/>
          </w:tcPr>
          <w:p w14:paraId="02E7645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1.77</w:t>
            </w:r>
          </w:p>
        </w:tc>
        <w:tc>
          <w:tcPr>
            <w:tcW w:w="895" w:type="dxa"/>
            <w:tcBorders>
              <w:top w:val="nil"/>
              <w:bottom w:val="nil"/>
            </w:tcBorders>
            <w:vAlign w:val="bottom"/>
            <w:hideMark/>
          </w:tcPr>
          <w:p w14:paraId="02006B32"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4.35</w:t>
            </w:r>
          </w:p>
        </w:tc>
        <w:tc>
          <w:tcPr>
            <w:tcW w:w="1395" w:type="dxa"/>
            <w:tcBorders>
              <w:top w:val="nil"/>
              <w:bottom w:val="nil"/>
            </w:tcBorders>
            <w:vAlign w:val="bottom"/>
            <w:hideMark/>
          </w:tcPr>
          <w:p w14:paraId="651D02A1" w14:textId="78FF4BE0" w:rsidR="00CD1AC8" w:rsidRPr="00A06B12" w:rsidRDefault="00E90F3C" w:rsidP="00CD1AC8">
            <w:pPr>
              <w:rPr>
                <w:rFonts w:ascii="Arial" w:hAnsi="Arial" w:cs="Arial"/>
                <w:i/>
                <w:iCs/>
                <w:color w:val="000000"/>
                <w:lang w:val="en-IN" w:eastAsia="en-IN"/>
              </w:rPr>
            </w:pPr>
            <w:r w:rsidRPr="00A06B12">
              <w:rPr>
                <w:rFonts w:ascii="Arial" w:hAnsi="Arial" w:cs="Arial"/>
                <w:i/>
                <w:iCs/>
                <w:color w:val="000000"/>
                <w:lang w:val="en-IN" w:eastAsia="en-IN"/>
              </w:rPr>
              <w:t>n</w:t>
            </w:r>
            <w:r w:rsidR="00CD1AC8" w:rsidRPr="00A06B12">
              <w:rPr>
                <w:rFonts w:ascii="Arial" w:hAnsi="Arial" w:cs="Arial"/>
                <w:i/>
                <w:iCs/>
                <w:color w:val="000000"/>
                <w:lang w:val="en-IN" w:eastAsia="en-IN"/>
              </w:rPr>
              <w:t>s</w:t>
            </w:r>
          </w:p>
        </w:tc>
      </w:tr>
      <w:tr w:rsidR="00CD1AC8" w:rsidRPr="00CD1AC8" w14:paraId="5816C209" w14:textId="77777777" w:rsidTr="0090288F">
        <w:trPr>
          <w:trHeight w:val="530"/>
        </w:trPr>
        <w:tc>
          <w:tcPr>
            <w:tcW w:w="816" w:type="dxa"/>
            <w:tcBorders>
              <w:top w:val="nil"/>
              <w:bottom w:val="nil"/>
            </w:tcBorders>
            <w:vAlign w:val="bottom"/>
            <w:hideMark/>
          </w:tcPr>
          <w:p w14:paraId="434EA260"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bottom w:val="nil"/>
            </w:tcBorders>
            <w:vAlign w:val="bottom"/>
            <w:hideMark/>
          </w:tcPr>
          <w:p w14:paraId="3AB824BA"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UV vs C</w:t>
            </w:r>
          </w:p>
        </w:tc>
        <w:tc>
          <w:tcPr>
            <w:tcW w:w="927" w:type="dxa"/>
            <w:tcBorders>
              <w:top w:val="nil"/>
              <w:bottom w:val="nil"/>
            </w:tcBorders>
            <w:vAlign w:val="bottom"/>
            <w:hideMark/>
          </w:tcPr>
          <w:p w14:paraId="4565C3F8"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24.67</w:t>
            </w:r>
          </w:p>
        </w:tc>
        <w:tc>
          <w:tcPr>
            <w:tcW w:w="816" w:type="dxa"/>
            <w:tcBorders>
              <w:top w:val="nil"/>
              <w:bottom w:val="nil"/>
            </w:tcBorders>
            <w:vAlign w:val="bottom"/>
            <w:hideMark/>
          </w:tcPr>
          <w:p w14:paraId="6C1BD71C"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w:t>
            </w:r>
          </w:p>
        </w:tc>
        <w:tc>
          <w:tcPr>
            <w:tcW w:w="1195" w:type="dxa"/>
            <w:tcBorders>
              <w:top w:val="nil"/>
              <w:bottom w:val="nil"/>
            </w:tcBorders>
            <w:vAlign w:val="bottom"/>
            <w:hideMark/>
          </w:tcPr>
          <w:p w14:paraId="03183B1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-22.67</w:t>
            </w:r>
          </w:p>
        </w:tc>
        <w:tc>
          <w:tcPr>
            <w:tcW w:w="650" w:type="dxa"/>
            <w:tcBorders>
              <w:top w:val="nil"/>
              <w:bottom w:val="nil"/>
            </w:tcBorders>
            <w:vAlign w:val="bottom"/>
            <w:hideMark/>
          </w:tcPr>
          <w:p w14:paraId="539FCD2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3.42</w:t>
            </w:r>
          </w:p>
        </w:tc>
        <w:tc>
          <w:tcPr>
            <w:tcW w:w="794" w:type="dxa"/>
            <w:tcBorders>
              <w:top w:val="nil"/>
              <w:bottom w:val="nil"/>
            </w:tcBorders>
            <w:vAlign w:val="bottom"/>
            <w:hideMark/>
          </w:tcPr>
          <w:p w14:paraId="348F1FCD"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1.51</w:t>
            </w:r>
          </w:p>
        </w:tc>
        <w:tc>
          <w:tcPr>
            <w:tcW w:w="1228" w:type="dxa"/>
            <w:tcBorders>
              <w:top w:val="nil"/>
              <w:bottom w:val="nil"/>
            </w:tcBorders>
            <w:vAlign w:val="bottom"/>
            <w:hideMark/>
          </w:tcPr>
          <w:p w14:paraId="71C3CDE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15.02</w:t>
            </w:r>
          </w:p>
        </w:tc>
        <w:tc>
          <w:tcPr>
            <w:tcW w:w="895" w:type="dxa"/>
            <w:tcBorders>
              <w:top w:val="nil"/>
              <w:bottom w:val="nil"/>
            </w:tcBorders>
            <w:vAlign w:val="bottom"/>
            <w:hideMark/>
          </w:tcPr>
          <w:p w14:paraId="7FBE9C8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4.35</w:t>
            </w:r>
          </w:p>
        </w:tc>
        <w:tc>
          <w:tcPr>
            <w:tcW w:w="1395" w:type="dxa"/>
            <w:tcBorders>
              <w:top w:val="nil"/>
              <w:bottom w:val="nil"/>
            </w:tcBorders>
            <w:vAlign w:val="bottom"/>
            <w:hideMark/>
          </w:tcPr>
          <w:p w14:paraId="4E882596" w14:textId="52EBBF08"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r w:rsidR="00CD1AC8" w:rsidRPr="00CD1AC8" w14:paraId="37E95FD6" w14:textId="77777777" w:rsidTr="0090288F">
        <w:trPr>
          <w:trHeight w:val="530"/>
        </w:trPr>
        <w:tc>
          <w:tcPr>
            <w:tcW w:w="816" w:type="dxa"/>
            <w:tcBorders>
              <w:top w:val="nil"/>
            </w:tcBorders>
            <w:vAlign w:val="bottom"/>
            <w:hideMark/>
          </w:tcPr>
          <w:p w14:paraId="7C1EA53D"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 </w:t>
            </w:r>
          </w:p>
        </w:tc>
        <w:tc>
          <w:tcPr>
            <w:tcW w:w="1383" w:type="dxa"/>
            <w:tcBorders>
              <w:top w:val="nil"/>
            </w:tcBorders>
            <w:vAlign w:val="bottom"/>
            <w:hideMark/>
          </w:tcPr>
          <w:p w14:paraId="3EB60A6C" w14:textId="77777777" w:rsidR="00CD1AC8" w:rsidRPr="00CD1AC8" w:rsidRDefault="00CD1AC8" w:rsidP="00CD1AC8">
            <w:pPr>
              <w:rPr>
                <w:rFonts w:ascii="Arial" w:hAnsi="Arial" w:cs="Arial"/>
                <w:color w:val="000000"/>
                <w:lang w:val="en-IN" w:eastAsia="en-IN"/>
              </w:rPr>
            </w:pPr>
            <w:r w:rsidRPr="00CD1AC8">
              <w:rPr>
                <w:rFonts w:ascii="Arial" w:hAnsi="Arial" w:cs="Arial"/>
                <w:color w:val="000000"/>
                <w:lang w:val="en-IN" w:eastAsia="en-IN"/>
              </w:rPr>
              <w:t>Q+UV vs C</w:t>
            </w:r>
          </w:p>
        </w:tc>
        <w:tc>
          <w:tcPr>
            <w:tcW w:w="927" w:type="dxa"/>
            <w:tcBorders>
              <w:top w:val="nil"/>
            </w:tcBorders>
            <w:vAlign w:val="bottom"/>
            <w:hideMark/>
          </w:tcPr>
          <w:p w14:paraId="68BAB569"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24.67</w:t>
            </w:r>
          </w:p>
        </w:tc>
        <w:tc>
          <w:tcPr>
            <w:tcW w:w="816" w:type="dxa"/>
            <w:tcBorders>
              <w:top w:val="nil"/>
            </w:tcBorders>
            <w:vAlign w:val="bottom"/>
            <w:hideMark/>
          </w:tcPr>
          <w:p w14:paraId="5DCE77B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17.67</w:t>
            </w:r>
          </w:p>
        </w:tc>
        <w:tc>
          <w:tcPr>
            <w:tcW w:w="1195" w:type="dxa"/>
            <w:tcBorders>
              <w:top w:val="nil"/>
            </w:tcBorders>
            <w:vAlign w:val="bottom"/>
            <w:hideMark/>
          </w:tcPr>
          <w:p w14:paraId="54D3FAB4"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-7</w:t>
            </w:r>
          </w:p>
        </w:tc>
        <w:tc>
          <w:tcPr>
            <w:tcW w:w="650" w:type="dxa"/>
            <w:tcBorders>
              <w:top w:val="nil"/>
            </w:tcBorders>
            <w:vAlign w:val="bottom"/>
            <w:hideMark/>
          </w:tcPr>
          <w:p w14:paraId="6345A6F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3.42</w:t>
            </w:r>
          </w:p>
        </w:tc>
        <w:tc>
          <w:tcPr>
            <w:tcW w:w="794" w:type="dxa"/>
            <w:tcBorders>
              <w:top w:val="nil"/>
            </w:tcBorders>
            <w:vAlign w:val="bottom"/>
            <w:hideMark/>
          </w:tcPr>
          <w:p w14:paraId="0222B723"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1.51</w:t>
            </w:r>
          </w:p>
        </w:tc>
        <w:tc>
          <w:tcPr>
            <w:tcW w:w="1228" w:type="dxa"/>
            <w:tcBorders>
              <w:top w:val="nil"/>
            </w:tcBorders>
            <w:vAlign w:val="bottom"/>
            <w:hideMark/>
          </w:tcPr>
          <w:p w14:paraId="08D85AB0"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4.64</w:t>
            </w:r>
          </w:p>
        </w:tc>
        <w:tc>
          <w:tcPr>
            <w:tcW w:w="895" w:type="dxa"/>
            <w:tcBorders>
              <w:top w:val="nil"/>
            </w:tcBorders>
            <w:vAlign w:val="bottom"/>
            <w:hideMark/>
          </w:tcPr>
          <w:p w14:paraId="6F1BC26A" w14:textId="77777777" w:rsidR="00CD1AC8" w:rsidRPr="00CD1AC8" w:rsidRDefault="00CD1AC8" w:rsidP="00CD1AC8">
            <w:pPr>
              <w:jc w:val="right"/>
              <w:rPr>
                <w:rFonts w:ascii="Arial" w:hAnsi="Arial" w:cs="Arial"/>
                <w:color w:val="000000"/>
                <w:lang w:val="en-IN" w:eastAsia="en-IN"/>
              </w:rPr>
            </w:pPr>
            <w:r w:rsidRPr="00CD1AC8">
              <w:rPr>
                <w:rFonts w:ascii="Arial" w:hAnsi="Arial" w:cs="Arial"/>
                <w:color w:val="000000"/>
                <w:lang w:val="en-IN" w:eastAsia="en-IN"/>
              </w:rPr>
              <w:t>4.35</w:t>
            </w:r>
          </w:p>
        </w:tc>
        <w:tc>
          <w:tcPr>
            <w:tcW w:w="1395" w:type="dxa"/>
            <w:tcBorders>
              <w:top w:val="nil"/>
            </w:tcBorders>
            <w:vAlign w:val="bottom"/>
            <w:hideMark/>
          </w:tcPr>
          <w:p w14:paraId="16FE6159" w14:textId="5738E1A0" w:rsidR="00CD1AC8" w:rsidRPr="00A06B12" w:rsidRDefault="00CD1AC8" w:rsidP="00CD1AC8">
            <w:pPr>
              <w:rPr>
                <w:rFonts w:ascii="Arial" w:hAnsi="Arial" w:cs="Arial"/>
                <w:i/>
                <w:iCs/>
                <w:color w:val="000000"/>
                <w:lang w:val="en-IN" w:eastAsia="en-IN"/>
              </w:rPr>
            </w:pPr>
            <w:r w:rsidRPr="00A06B12">
              <w:rPr>
                <w:rFonts w:ascii="Arial" w:hAnsi="Arial" w:cs="Arial"/>
                <w:i/>
                <w:iCs/>
                <w:color w:val="000000"/>
                <w:lang w:val="en-IN" w:eastAsia="en-IN"/>
              </w:rPr>
              <w:t xml:space="preserve">p&lt;0.01 </w:t>
            </w:r>
            <w:r w:rsidR="00E90F3C" w:rsidRPr="00A06B12">
              <w:rPr>
                <w:rFonts w:ascii="Arial" w:hAnsi="Arial" w:cs="Arial"/>
                <w:i/>
                <w:iCs/>
                <w:color w:val="000000"/>
                <w:lang w:val="en-IN" w:eastAsia="en-IN"/>
              </w:rPr>
              <w:t>(</w:t>
            </w:r>
            <w:r w:rsidRPr="00A06B12">
              <w:rPr>
                <w:rFonts w:ascii="Arial" w:hAnsi="Arial" w:cs="Arial"/>
                <w:i/>
                <w:iCs/>
                <w:color w:val="000000"/>
                <w:lang w:val="en-IN" w:eastAsia="en-IN"/>
              </w:rPr>
              <w:t>**</w:t>
            </w:r>
            <w:r w:rsidR="00E90F3C" w:rsidRPr="00A06B12">
              <w:rPr>
                <w:rFonts w:ascii="Arial" w:hAnsi="Arial" w:cs="Arial"/>
                <w:i/>
                <w:iCs/>
                <w:color w:val="000000"/>
                <w:lang w:val="en-IN" w:eastAsia="en-IN"/>
              </w:rPr>
              <w:t>)</w:t>
            </w:r>
          </w:p>
        </w:tc>
      </w:tr>
    </w:tbl>
    <w:p w14:paraId="48C66628" w14:textId="67C247A8" w:rsidR="006E0498" w:rsidRPr="000545A7" w:rsidRDefault="00E90F3C" w:rsidP="000545A7">
      <w:pPr>
        <w:pStyle w:val="Body"/>
        <w:rPr>
          <w:rFonts w:ascii="Arial" w:hAnsi="Arial" w:cs="Arial"/>
          <w:i/>
          <w:iCs/>
          <w:sz w:val="18"/>
          <w:szCs w:val="18"/>
          <w:lang w:val="en-IN"/>
        </w:rPr>
      </w:pPr>
      <w:r w:rsidRPr="00E90F3C">
        <w:rPr>
          <w:rFonts w:ascii="Arial" w:hAnsi="Arial" w:cs="Arial"/>
          <w:i/>
          <w:iCs/>
          <w:sz w:val="18"/>
          <w:szCs w:val="18"/>
          <w:lang w:val="en-IN"/>
        </w:rPr>
        <w:t xml:space="preserve">Values represent Mean </w:t>
      </w:r>
      <m:oMath>
        <m:r>
          <w:rPr>
            <w:rFonts w:ascii="Cambria Math" w:hAnsi="Cambria Math" w:cs="Arial"/>
            <w:sz w:val="18"/>
            <w:szCs w:val="18"/>
            <w:lang w:val="en-IN"/>
          </w:rPr>
          <m:t>±</m:t>
        </m:r>
      </m:oMath>
      <w:r w:rsidRPr="00E90F3C">
        <w:rPr>
          <w:rFonts w:ascii="Arial" w:hAnsi="Arial" w:cs="Arial"/>
          <w:i/>
          <w:iCs/>
          <w:sz w:val="18"/>
          <w:szCs w:val="18"/>
          <w:lang w:val="en-IN"/>
        </w:rPr>
        <w:t xml:space="preserve"> SEM (</w:t>
      </w:r>
      <m:oMath>
        <m:r>
          <w:rPr>
            <w:rFonts w:ascii="Cambria Math" w:hAnsi="Cambria Math" w:cs="Arial"/>
            <w:sz w:val="18"/>
            <w:szCs w:val="18"/>
            <w:lang w:val="en-IN"/>
          </w:rPr>
          <m:t>n=3</m:t>
        </m:r>
      </m:oMath>
      <w:r w:rsidRPr="00E90F3C">
        <w:rPr>
          <w:rFonts w:ascii="Arial" w:hAnsi="Arial" w:cs="Arial"/>
          <w:i/>
          <w:iCs/>
          <w:sz w:val="18"/>
          <w:szCs w:val="18"/>
          <w:lang w:val="en-IN"/>
        </w:rPr>
        <w:t xml:space="preserve"> replicates/cohort, 20 flies/replicate). Differences relative to Control (C) were determined via Two-Way ANOVA followed by Dunnett’s post-hoc test</w:t>
      </w:r>
      <w:r w:rsidR="0034108F">
        <w:rPr>
          <w:rFonts w:ascii="Arial" w:hAnsi="Arial" w:cs="Arial"/>
          <w:i/>
          <w:iCs/>
          <w:sz w:val="18"/>
          <w:szCs w:val="18"/>
          <w:lang w:val="en-IN"/>
        </w:rPr>
        <w:t xml:space="preserve"> (</w:t>
      </w:r>
      <w:proofErr w:type="spellStart"/>
      <w:r w:rsidR="0034108F">
        <w:rPr>
          <w:rFonts w:ascii="Arial" w:hAnsi="Arial" w:cs="Arial"/>
          <w:i/>
          <w:iCs/>
          <w:sz w:val="18"/>
          <w:szCs w:val="18"/>
          <w:lang w:val="en-IN"/>
        </w:rPr>
        <w:t>df</w:t>
      </w:r>
      <w:proofErr w:type="spellEnd"/>
      <w:r w:rsidR="0034108F">
        <w:rPr>
          <w:rFonts w:ascii="Arial" w:hAnsi="Arial" w:cs="Arial"/>
          <w:i/>
          <w:iCs/>
          <w:sz w:val="18"/>
          <w:szCs w:val="18"/>
          <w:lang w:val="en-IN"/>
        </w:rPr>
        <w:t xml:space="preserve"> = 8). *p &lt; 0.05, ** p &lt; 0.0</w:t>
      </w:r>
      <w:r w:rsidR="00367250">
        <w:rPr>
          <w:rFonts w:ascii="Arial" w:hAnsi="Arial" w:cs="Arial"/>
          <w:i/>
          <w:iCs/>
          <w:sz w:val="18"/>
          <w:szCs w:val="18"/>
          <w:lang w:val="en-IN"/>
        </w:rPr>
        <w:t>1;</w:t>
      </w:r>
      <w:r w:rsidR="0034108F">
        <w:rPr>
          <w:rFonts w:ascii="Arial" w:hAnsi="Arial" w:cs="Arial"/>
          <w:i/>
          <w:iCs/>
          <w:sz w:val="18"/>
          <w:szCs w:val="18"/>
          <w:lang w:val="en-IN"/>
        </w:rPr>
        <w:t xml:space="preserve"> ns = not significant (p &gt; 0.05).</w:t>
      </w:r>
    </w:p>
    <w:p w14:paraId="059E4507" w14:textId="3C10B27D" w:rsidR="00646C3C" w:rsidRPr="0067253C" w:rsidRDefault="00C05FD6" w:rsidP="00646C3C">
      <w:pPr>
        <w:pStyle w:val="Body"/>
        <w:spacing w:after="0"/>
        <w:jc w:val="left"/>
        <w:rPr>
          <w:rFonts w:ascii="Arial" w:hAnsi="Arial" w:cs="Arial"/>
          <w:b/>
          <w:bCs/>
          <w:sz w:val="22"/>
          <w:szCs w:val="22"/>
        </w:rPr>
      </w:pPr>
      <w:r>
        <w:rPr>
          <w:rFonts w:ascii="Arial" w:hAnsi="Arial" w:cs="Arial"/>
          <w:b/>
          <w:bCs/>
          <w:sz w:val="22"/>
          <w:szCs w:val="22"/>
        </w:rPr>
        <w:t>3.2 Sensory</w:t>
      </w:r>
      <w:r w:rsidR="00646C3C">
        <w:rPr>
          <w:rFonts w:ascii="Arial" w:hAnsi="Arial" w:cs="Arial"/>
          <w:b/>
          <w:bCs/>
          <w:sz w:val="22"/>
          <w:szCs w:val="22"/>
        </w:rPr>
        <w:t xml:space="preserve"> perception and orientational </w:t>
      </w:r>
      <w:proofErr w:type="spellStart"/>
      <w:r w:rsidR="00646C3C">
        <w:rPr>
          <w:rFonts w:ascii="Arial" w:hAnsi="Arial" w:cs="Arial"/>
          <w:b/>
          <w:bCs/>
          <w:sz w:val="22"/>
          <w:szCs w:val="22"/>
        </w:rPr>
        <w:t>behaviour</w:t>
      </w:r>
      <w:proofErr w:type="spellEnd"/>
      <w:r w:rsidR="00646C3C">
        <w:rPr>
          <w:rFonts w:ascii="Arial" w:hAnsi="Arial" w:cs="Arial"/>
          <w:b/>
          <w:bCs/>
          <w:sz w:val="22"/>
          <w:szCs w:val="22"/>
        </w:rPr>
        <w:t xml:space="preserve"> (</w:t>
      </w:r>
      <w:r w:rsidR="00646C3C" w:rsidRPr="0067253C">
        <w:rPr>
          <w:rFonts w:ascii="Arial" w:hAnsi="Arial" w:cs="Arial"/>
          <w:b/>
          <w:bCs/>
          <w:sz w:val="22"/>
          <w:szCs w:val="22"/>
        </w:rPr>
        <w:t xml:space="preserve">Phototactic </w:t>
      </w:r>
      <w:r w:rsidR="00646C3C">
        <w:rPr>
          <w:rFonts w:ascii="Arial" w:hAnsi="Arial" w:cs="Arial"/>
          <w:b/>
          <w:bCs/>
          <w:sz w:val="22"/>
          <w:szCs w:val="22"/>
        </w:rPr>
        <w:t>preference as</w:t>
      </w:r>
      <w:r w:rsidR="00646C3C" w:rsidRPr="0067253C">
        <w:rPr>
          <w:rFonts w:ascii="Arial" w:hAnsi="Arial" w:cs="Arial"/>
          <w:b/>
          <w:bCs/>
          <w:sz w:val="22"/>
          <w:szCs w:val="22"/>
        </w:rPr>
        <w:t>say</w:t>
      </w:r>
      <w:r w:rsidR="00646C3C">
        <w:rPr>
          <w:rFonts w:ascii="Arial" w:hAnsi="Arial" w:cs="Arial"/>
          <w:b/>
          <w:bCs/>
          <w:sz w:val="22"/>
          <w:szCs w:val="22"/>
        </w:rPr>
        <w:t>)</w:t>
      </w:r>
    </w:p>
    <w:p w14:paraId="4F5FED79" w14:textId="1DAB491A" w:rsidR="00391941" w:rsidRDefault="00391941" w:rsidP="00441B6F">
      <w:pPr>
        <w:pStyle w:val="Body"/>
        <w:spacing w:after="0"/>
        <w:rPr>
          <w:rFonts w:ascii="Arial" w:hAnsi="Arial" w:cs="Arial"/>
        </w:rPr>
      </w:pPr>
    </w:p>
    <w:p w14:paraId="4AD87A93" w14:textId="5DF3E109" w:rsidR="00A77AF2" w:rsidRPr="00A77AF2" w:rsidRDefault="00A77AF2" w:rsidP="00A77AF2">
      <w:pPr>
        <w:pStyle w:val="Body"/>
        <w:rPr>
          <w:rFonts w:ascii="Arial" w:hAnsi="Arial" w:cs="Arial"/>
          <w:lang w:val="en-IN"/>
        </w:rPr>
      </w:pPr>
      <w:r w:rsidRPr="00A77AF2">
        <w:rPr>
          <w:rFonts w:ascii="Arial" w:hAnsi="Arial" w:cs="Arial"/>
          <w:lang w:val="en-IN"/>
        </w:rPr>
        <w:t xml:space="preserve">Light seeking phototactic </w:t>
      </w:r>
      <w:proofErr w:type="spellStart"/>
      <w:r w:rsidRPr="00A77AF2">
        <w:rPr>
          <w:rFonts w:ascii="Arial" w:hAnsi="Arial" w:cs="Arial"/>
          <w:lang w:val="en-IN"/>
        </w:rPr>
        <w:t>behavior</w:t>
      </w:r>
      <w:proofErr w:type="spellEnd"/>
      <w:r w:rsidRPr="00A77AF2">
        <w:rPr>
          <w:rFonts w:ascii="Arial" w:hAnsi="Arial" w:cs="Arial"/>
          <w:lang w:val="en-IN"/>
        </w:rPr>
        <w:t xml:space="preserve"> was assessed across the four experimental groups to measure light-directed locomotor activity in </w:t>
      </w:r>
      <w:r w:rsidRPr="00A77AF2">
        <w:rPr>
          <w:rFonts w:ascii="Arial" w:hAnsi="Arial" w:cs="Arial"/>
          <w:i/>
          <w:iCs/>
          <w:lang w:val="en-IN"/>
        </w:rPr>
        <w:t>Drosophila melanogaster</w:t>
      </w:r>
      <w:r w:rsidRPr="00A77AF2">
        <w:rPr>
          <w:rFonts w:ascii="Arial" w:hAnsi="Arial" w:cs="Arial"/>
          <w:lang w:val="en-IN"/>
        </w:rPr>
        <w:t xml:space="preserve"> (Fig. 3). Both Control-C and </w:t>
      </w:r>
      <w:r>
        <w:rPr>
          <w:rFonts w:ascii="Arial" w:hAnsi="Arial" w:cs="Arial"/>
          <w:lang w:val="en-IN"/>
        </w:rPr>
        <w:t xml:space="preserve">pre-Q treated flies exhibited strong positive phototaxis, </w:t>
      </w:r>
      <w:r w:rsidRPr="00A77AF2">
        <w:rPr>
          <w:rFonts w:ascii="Arial" w:hAnsi="Arial" w:cs="Arial"/>
          <w:lang w:val="en-IN"/>
        </w:rPr>
        <w:t>moving toward light. Exposure to UV-C radiation significantly reduced photota</w:t>
      </w:r>
      <w:r w:rsidR="00D91ED4">
        <w:rPr>
          <w:rFonts w:ascii="Arial" w:hAnsi="Arial" w:cs="Arial"/>
          <w:lang w:val="en-IN"/>
        </w:rPr>
        <w:t xml:space="preserve">ctic </w:t>
      </w:r>
      <w:proofErr w:type="spellStart"/>
      <w:r w:rsidR="00D91ED4">
        <w:rPr>
          <w:rFonts w:ascii="Arial" w:hAnsi="Arial" w:cs="Arial"/>
          <w:lang w:val="en-IN"/>
        </w:rPr>
        <w:t>behavior</w:t>
      </w:r>
      <w:proofErr w:type="spellEnd"/>
      <w:r w:rsidRPr="00A77AF2">
        <w:rPr>
          <w:rFonts w:ascii="Arial" w:hAnsi="Arial" w:cs="Arial"/>
          <w:lang w:val="en-IN"/>
        </w:rPr>
        <w:t xml:space="preserve"> in flies, indicating impairment in their innate phototact</w:t>
      </w:r>
      <w:r w:rsidR="00D91ED4">
        <w:rPr>
          <w:rFonts w:ascii="Arial" w:hAnsi="Arial" w:cs="Arial"/>
          <w:lang w:val="en-IN"/>
        </w:rPr>
        <w:t>ic movement</w:t>
      </w:r>
      <w:r w:rsidRPr="00A77AF2">
        <w:rPr>
          <w:rFonts w:ascii="Arial" w:hAnsi="Arial" w:cs="Arial"/>
          <w:lang w:val="en-IN"/>
        </w:rPr>
        <w:t>. In the Q+UV groups, positive phototaxis was significantly restored compared to UV alone</w:t>
      </w:r>
      <w:r w:rsidR="00710428">
        <w:rPr>
          <w:rFonts w:ascii="Arial" w:hAnsi="Arial" w:cs="Arial"/>
          <w:lang w:val="en-IN"/>
        </w:rPr>
        <w:t xml:space="preserve"> (Tables 2 and 3)</w:t>
      </w:r>
      <w:r w:rsidRPr="00A77AF2">
        <w:rPr>
          <w:rFonts w:ascii="Arial" w:hAnsi="Arial" w:cs="Arial"/>
          <w:lang w:val="en-IN"/>
        </w:rPr>
        <w:t>.</w:t>
      </w:r>
    </w:p>
    <w:p w14:paraId="7B7E53A9" w14:textId="77777777" w:rsidR="00391941" w:rsidRDefault="00391941" w:rsidP="00441B6F">
      <w:pPr>
        <w:pStyle w:val="Body"/>
        <w:spacing w:after="0"/>
        <w:rPr>
          <w:rFonts w:ascii="Arial" w:hAnsi="Arial" w:cs="Arial"/>
        </w:rPr>
      </w:pPr>
    </w:p>
    <w:p w14:paraId="197CC943" w14:textId="78DA4D2E" w:rsidR="00391941" w:rsidRDefault="0000376E" w:rsidP="00441B6F">
      <w:pPr>
        <w:pStyle w:val="Body"/>
        <w:spacing w:after="0"/>
        <w:rPr>
          <w:rFonts w:ascii="Arial" w:hAnsi="Arial" w:cs="Arial"/>
        </w:rPr>
      </w:pPr>
      <w:r w:rsidRPr="00884203">
        <w:rPr>
          <w:b/>
          <w:bCs/>
          <w:noProof/>
        </w:rPr>
        <w:lastRenderedPageBreak/>
        <w:drawing>
          <wp:anchor distT="0" distB="0" distL="114300" distR="114300" simplePos="0" relativeHeight="251696128" behindDoc="1" locked="0" layoutInCell="1" allowOverlap="1" wp14:anchorId="16E26081" wp14:editId="35EEBF3A">
            <wp:simplePos x="0" y="0"/>
            <wp:positionH relativeFrom="column">
              <wp:posOffset>173907</wp:posOffset>
            </wp:positionH>
            <wp:positionV relativeFrom="paragraph">
              <wp:posOffset>126723</wp:posOffset>
            </wp:positionV>
            <wp:extent cx="4425950" cy="2743200"/>
            <wp:effectExtent l="0" t="0" r="12700" b="0"/>
            <wp:wrapTight wrapText="bothSides">
              <wp:wrapPolygon edited="0">
                <wp:start x="0" y="0"/>
                <wp:lineTo x="0" y="21450"/>
                <wp:lineTo x="21569" y="21450"/>
                <wp:lineTo x="21569" y="0"/>
                <wp:lineTo x="0" y="0"/>
              </wp:wrapPolygon>
            </wp:wrapTight>
            <wp:docPr id="2052535942" name="Chart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77C34242" w14:textId="077824A9" w:rsidR="003113FE" w:rsidRDefault="003113FE" w:rsidP="00441B6F">
      <w:pPr>
        <w:pStyle w:val="Body"/>
        <w:spacing w:after="0"/>
        <w:rPr>
          <w:rFonts w:ascii="Arial" w:hAnsi="Arial" w:cs="Arial"/>
        </w:rPr>
      </w:pPr>
    </w:p>
    <w:p w14:paraId="1B89D486" w14:textId="7F6C4D31" w:rsidR="003113FE" w:rsidRDefault="003113FE" w:rsidP="00441B6F">
      <w:pPr>
        <w:pStyle w:val="Body"/>
        <w:spacing w:after="0"/>
        <w:rPr>
          <w:rFonts w:ascii="Arial" w:hAnsi="Arial" w:cs="Arial"/>
        </w:rPr>
      </w:pPr>
    </w:p>
    <w:p w14:paraId="653AF497" w14:textId="1A6A0DA0" w:rsidR="003113FE" w:rsidRDefault="003113FE" w:rsidP="00441B6F">
      <w:pPr>
        <w:pStyle w:val="Body"/>
        <w:spacing w:after="0"/>
        <w:rPr>
          <w:rFonts w:ascii="Arial" w:hAnsi="Arial" w:cs="Arial"/>
        </w:rPr>
      </w:pPr>
    </w:p>
    <w:p w14:paraId="1F707C5B" w14:textId="243023F8" w:rsidR="003113FE" w:rsidRDefault="003113FE" w:rsidP="00441B6F">
      <w:pPr>
        <w:pStyle w:val="Body"/>
        <w:spacing w:after="0"/>
        <w:rPr>
          <w:rFonts w:ascii="Arial" w:hAnsi="Arial" w:cs="Arial"/>
        </w:rPr>
      </w:pPr>
    </w:p>
    <w:p w14:paraId="1C95E4F6" w14:textId="2888E9CD" w:rsidR="003113FE" w:rsidRDefault="003113FE" w:rsidP="00441B6F">
      <w:pPr>
        <w:pStyle w:val="Body"/>
        <w:spacing w:after="0"/>
        <w:rPr>
          <w:rFonts w:ascii="Arial" w:hAnsi="Arial" w:cs="Arial"/>
        </w:rPr>
      </w:pPr>
    </w:p>
    <w:p w14:paraId="207DAA07" w14:textId="77777777" w:rsidR="003113FE" w:rsidRDefault="003113FE" w:rsidP="00441B6F">
      <w:pPr>
        <w:pStyle w:val="Body"/>
        <w:spacing w:after="0"/>
        <w:rPr>
          <w:rFonts w:ascii="Arial" w:hAnsi="Arial" w:cs="Arial"/>
        </w:rPr>
      </w:pPr>
    </w:p>
    <w:p w14:paraId="18850DD2" w14:textId="213F5833" w:rsidR="003113FE" w:rsidRDefault="003113FE" w:rsidP="00441B6F">
      <w:pPr>
        <w:pStyle w:val="Body"/>
        <w:spacing w:after="0"/>
        <w:rPr>
          <w:rFonts w:ascii="Arial" w:hAnsi="Arial" w:cs="Arial"/>
        </w:rPr>
      </w:pPr>
    </w:p>
    <w:p w14:paraId="26343099" w14:textId="77777777" w:rsidR="00F50FC6" w:rsidRDefault="00F50FC6" w:rsidP="00441B6F">
      <w:pPr>
        <w:pStyle w:val="Body"/>
        <w:spacing w:after="0"/>
        <w:rPr>
          <w:rFonts w:ascii="Arial" w:hAnsi="Arial" w:cs="Arial"/>
        </w:rPr>
      </w:pPr>
    </w:p>
    <w:p w14:paraId="20D1D1DA" w14:textId="77777777" w:rsidR="00F50FC6" w:rsidRDefault="00F50FC6" w:rsidP="00441B6F">
      <w:pPr>
        <w:pStyle w:val="Body"/>
        <w:spacing w:after="0"/>
        <w:rPr>
          <w:rFonts w:ascii="Arial" w:hAnsi="Arial" w:cs="Arial"/>
        </w:rPr>
      </w:pPr>
    </w:p>
    <w:p w14:paraId="5437D948" w14:textId="77777777" w:rsidR="00F50FC6" w:rsidRDefault="00F50FC6" w:rsidP="00441B6F">
      <w:pPr>
        <w:pStyle w:val="Body"/>
        <w:spacing w:after="0"/>
        <w:rPr>
          <w:rFonts w:ascii="Arial" w:hAnsi="Arial" w:cs="Arial"/>
        </w:rPr>
      </w:pPr>
    </w:p>
    <w:p w14:paraId="47EDC0A0" w14:textId="77777777" w:rsidR="00F50FC6" w:rsidRDefault="00F50FC6" w:rsidP="00441B6F">
      <w:pPr>
        <w:pStyle w:val="Body"/>
        <w:spacing w:after="0"/>
        <w:rPr>
          <w:rFonts w:ascii="Arial" w:hAnsi="Arial" w:cs="Arial"/>
        </w:rPr>
      </w:pPr>
    </w:p>
    <w:p w14:paraId="4D7CCE87" w14:textId="77777777" w:rsidR="00F50FC6" w:rsidRDefault="00F50FC6" w:rsidP="00441B6F">
      <w:pPr>
        <w:pStyle w:val="Body"/>
        <w:spacing w:after="0"/>
        <w:rPr>
          <w:rFonts w:ascii="Arial" w:hAnsi="Arial" w:cs="Arial"/>
        </w:rPr>
      </w:pPr>
    </w:p>
    <w:p w14:paraId="6538AE38" w14:textId="77777777" w:rsidR="00F50FC6" w:rsidRDefault="00F50FC6" w:rsidP="00441B6F">
      <w:pPr>
        <w:pStyle w:val="Body"/>
        <w:spacing w:after="0"/>
        <w:rPr>
          <w:rFonts w:ascii="Arial" w:hAnsi="Arial" w:cs="Arial"/>
        </w:rPr>
      </w:pPr>
    </w:p>
    <w:p w14:paraId="412070C4" w14:textId="77777777" w:rsidR="00F50FC6" w:rsidRDefault="00F50FC6" w:rsidP="00441B6F">
      <w:pPr>
        <w:pStyle w:val="Body"/>
        <w:spacing w:after="0"/>
        <w:rPr>
          <w:rFonts w:ascii="Arial" w:hAnsi="Arial" w:cs="Arial"/>
        </w:rPr>
      </w:pPr>
    </w:p>
    <w:p w14:paraId="4BCC023E" w14:textId="77777777" w:rsidR="00F50FC6" w:rsidRDefault="00F50FC6" w:rsidP="00441B6F">
      <w:pPr>
        <w:pStyle w:val="Body"/>
        <w:spacing w:after="0"/>
        <w:rPr>
          <w:rFonts w:ascii="Arial" w:hAnsi="Arial" w:cs="Arial"/>
        </w:rPr>
      </w:pPr>
    </w:p>
    <w:p w14:paraId="5C83EC2B" w14:textId="77777777" w:rsidR="00F50FC6" w:rsidRDefault="00F50FC6" w:rsidP="00441B6F">
      <w:pPr>
        <w:pStyle w:val="Body"/>
        <w:spacing w:after="0"/>
        <w:rPr>
          <w:rFonts w:ascii="Arial" w:hAnsi="Arial" w:cs="Arial"/>
        </w:rPr>
      </w:pPr>
    </w:p>
    <w:p w14:paraId="6CF03612" w14:textId="77777777" w:rsidR="00F50FC6" w:rsidRDefault="00F50FC6" w:rsidP="00441B6F">
      <w:pPr>
        <w:pStyle w:val="Body"/>
        <w:spacing w:after="0"/>
        <w:rPr>
          <w:rFonts w:ascii="Arial" w:hAnsi="Arial" w:cs="Arial"/>
        </w:rPr>
      </w:pPr>
    </w:p>
    <w:p w14:paraId="69E792A3" w14:textId="77777777" w:rsidR="00F50FC6" w:rsidRDefault="00F50FC6" w:rsidP="00441B6F">
      <w:pPr>
        <w:pStyle w:val="Body"/>
        <w:spacing w:after="0"/>
        <w:rPr>
          <w:rFonts w:ascii="Arial" w:hAnsi="Arial" w:cs="Arial"/>
        </w:rPr>
      </w:pPr>
    </w:p>
    <w:p w14:paraId="0F0F519C" w14:textId="77777777" w:rsidR="00F50FC6" w:rsidRDefault="00F50FC6" w:rsidP="00441B6F">
      <w:pPr>
        <w:pStyle w:val="Body"/>
        <w:spacing w:after="0"/>
        <w:rPr>
          <w:rFonts w:ascii="Arial" w:hAnsi="Arial" w:cs="Arial"/>
        </w:rPr>
      </w:pPr>
    </w:p>
    <w:p w14:paraId="64B40C8F" w14:textId="77777777" w:rsidR="00F50FC6" w:rsidRDefault="00F50FC6" w:rsidP="00441B6F">
      <w:pPr>
        <w:pStyle w:val="Body"/>
        <w:spacing w:after="0"/>
        <w:rPr>
          <w:rFonts w:ascii="Arial" w:hAnsi="Arial" w:cs="Arial"/>
        </w:rPr>
      </w:pPr>
    </w:p>
    <w:p w14:paraId="0D10599D" w14:textId="74E11758" w:rsidR="00D91ED4" w:rsidRDefault="00F50FC6" w:rsidP="00F50FC6">
      <w:pPr>
        <w:pStyle w:val="Body"/>
        <w:rPr>
          <w:rFonts w:ascii="Arial" w:hAnsi="Arial" w:cs="Arial"/>
          <w:b/>
          <w:bCs/>
          <w:lang w:val="en-IN"/>
        </w:rPr>
      </w:pPr>
      <w:r>
        <w:rPr>
          <w:rFonts w:ascii="Arial" w:hAnsi="Arial" w:cs="Arial"/>
          <w:b/>
          <w:bCs/>
          <w:lang w:val="en-IN"/>
        </w:rPr>
        <w:t>Fig. 3.</w:t>
      </w:r>
      <w:r w:rsidR="00D91ED4">
        <w:rPr>
          <w:rFonts w:ascii="Arial" w:hAnsi="Arial" w:cs="Arial"/>
          <w:b/>
          <w:bCs/>
          <w:lang w:val="en-IN"/>
        </w:rPr>
        <w:t xml:space="preserve"> </w:t>
      </w:r>
      <w:r>
        <w:rPr>
          <w:rFonts w:ascii="Arial" w:hAnsi="Arial" w:cs="Arial"/>
          <w:b/>
          <w:bCs/>
          <w:lang w:val="en-IN"/>
        </w:rPr>
        <w:t xml:space="preserve"> </w:t>
      </w:r>
      <w:r w:rsidR="00C136EC" w:rsidRPr="00C136EC">
        <w:rPr>
          <w:rFonts w:ascii="Arial" w:hAnsi="Arial" w:cs="Arial"/>
          <w:b/>
          <w:bCs/>
        </w:rPr>
        <w:t xml:space="preserve">Assessment of phototactic behavior in </w:t>
      </w:r>
      <w:r w:rsidR="00C136EC" w:rsidRPr="00C136EC">
        <w:rPr>
          <w:rFonts w:ascii="Arial" w:hAnsi="Arial" w:cs="Arial"/>
          <w:b/>
          <w:bCs/>
          <w:i/>
          <w:iCs/>
        </w:rPr>
        <w:t>Drosophila melanogaster</w:t>
      </w:r>
      <w:r w:rsidR="00C136EC" w:rsidRPr="00C136EC">
        <w:rPr>
          <w:rFonts w:ascii="Arial" w:hAnsi="Arial" w:cs="Arial"/>
          <w:b/>
          <w:bCs/>
        </w:rPr>
        <w:t xml:space="preserve"> following UV</w:t>
      </w:r>
      <w:r w:rsidR="00C136EC">
        <w:rPr>
          <w:rFonts w:ascii="Arial" w:hAnsi="Arial" w:cs="Arial"/>
          <w:b/>
          <w:bCs/>
        </w:rPr>
        <w:t>-C</w:t>
      </w:r>
      <w:r w:rsidR="00C136EC" w:rsidRPr="00C136EC">
        <w:rPr>
          <w:rFonts w:ascii="Arial" w:hAnsi="Arial" w:cs="Arial"/>
          <w:b/>
          <w:bCs/>
        </w:rPr>
        <w:t xml:space="preserve"> exposure and </w:t>
      </w:r>
      <w:r w:rsidR="00C136EC">
        <w:rPr>
          <w:rFonts w:ascii="Arial" w:hAnsi="Arial" w:cs="Arial"/>
          <w:b/>
          <w:bCs/>
        </w:rPr>
        <w:t>q</w:t>
      </w:r>
      <w:r w:rsidR="00C136EC" w:rsidRPr="00C136EC">
        <w:rPr>
          <w:rFonts w:ascii="Arial" w:hAnsi="Arial" w:cs="Arial"/>
          <w:b/>
          <w:bCs/>
        </w:rPr>
        <w:t>uercetin pre-treatment</w:t>
      </w:r>
      <w:r w:rsidRPr="00F50FC6">
        <w:rPr>
          <w:rFonts w:ascii="Arial" w:hAnsi="Arial" w:cs="Arial"/>
          <w:b/>
          <w:bCs/>
          <w:lang w:val="en-IN"/>
        </w:rPr>
        <w:t>.</w:t>
      </w:r>
    </w:p>
    <w:p w14:paraId="7F9972C3" w14:textId="3BBA2FAC" w:rsidR="00F50FC6" w:rsidRPr="00C136EC" w:rsidRDefault="00F50FC6" w:rsidP="00F50FC6">
      <w:pPr>
        <w:pStyle w:val="Body"/>
        <w:rPr>
          <w:rFonts w:ascii="Arial" w:hAnsi="Arial" w:cs="Arial"/>
          <w:b/>
          <w:bCs/>
          <w:lang w:val="en-IN"/>
        </w:rPr>
      </w:pPr>
      <w:r w:rsidRPr="00C136EC">
        <w:rPr>
          <w:rFonts w:ascii="Arial" w:hAnsi="Arial" w:cs="Arial"/>
          <w:i/>
          <w:iCs/>
          <w:sz w:val="18"/>
          <w:szCs w:val="18"/>
          <w:lang w:val="en-IN"/>
        </w:rPr>
        <w:t>Bars indicate the mean number of flies moving toward (+</w:t>
      </w:r>
      <w:proofErr w:type="spellStart"/>
      <w:r w:rsidRPr="00C136EC">
        <w:rPr>
          <w:rFonts w:ascii="Arial" w:hAnsi="Arial" w:cs="Arial"/>
          <w:i/>
          <w:iCs/>
          <w:sz w:val="18"/>
          <w:szCs w:val="18"/>
          <w:lang w:val="en-IN"/>
        </w:rPr>
        <w:t>ve</w:t>
      </w:r>
      <w:proofErr w:type="spellEnd"/>
      <w:r w:rsidRPr="00C136EC">
        <w:rPr>
          <w:rFonts w:ascii="Arial" w:hAnsi="Arial" w:cs="Arial"/>
          <w:i/>
          <w:iCs/>
          <w:sz w:val="18"/>
          <w:szCs w:val="18"/>
          <w:lang w:val="en-IN"/>
        </w:rPr>
        <w:t>) or away from (-</w:t>
      </w:r>
      <w:proofErr w:type="spellStart"/>
      <w:r w:rsidRPr="00C136EC">
        <w:rPr>
          <w:rFonts w:ascii="Arial" w:hAnsi="Arial" w:cs="Arial"/>
          <w:i/>
          <w:iCs/>
          <w:sz w:val="18"/>
          <w:szCs w:val="18"/>
          <w:lang w:val="en-IN"/>
        </w:rPr>
        <w:t>ve</w:t>
      </w:r>
      <w:proofErr w:type="spellEnd"/>
      <w:r w:rsidRPr="00C136EC">
        <w:rPr>
          <w:rFonts w:ascii="Arial" w:hAnsi="Arial" w:cs="Arial"/>
          <w:i/>
          <w:iCs/>
          <w:sz w:val="18"/>
          <w:szCs w:val="18"/>
          <w:lang w:val="en-IN"/>
        </w:rPr>
        <w:t xml:space="preserve">) light. Error bars indicate </w:t>
      </w:r>
      <m:oMath>
        <m:r>
          <w:rPr>
            <w:rFonts w:ascii="Cambria Math" w:hAnsi="Cambria Math" w:cs="Arial"/>
            <w:sz w:val="18"/>
            <w:szCs w:val="18"/>
            <w:lang w:val="en-IN"/>
          </w:rPr>
          <m:t>±</m:t>
        </m:r>
      </m:oMath>
      <w:r w:rsidRPr="00C136EC">
        <w:rPr>
          <w:rFonts w:ascii="Arial" w:hAnsi="Arial" w:cs="Arial"/>
          <w:i/>
          <w:iCs/>
          <w:sz w:val="18"/>
          <w:szCs w:val="18"/>
          <w:lang w:val="en-IN"/>
        </w:rPr>
        <w:t xml:space="preserve"> SE</w:t>
      </w:r>
      <w:r w:rsidR="00D147A7">
        <w:rPr>
          <w:rFonts w:ascii="Arial" w:hAnsi="Arial" w:cs="Arial"/>
          <w:i/>
          <w:iCs/>
          <w:sz w:val="18"/>
          <w:szCs w:val="18"/>
          <w:lang w:val="en-IN"/>
        </w:rPr>
        <w:t xml:space="preserve"> (n=3).</w:t>
      </w:r>
      <w:r w:rsidRPr="00C136EC">
        <w:rPr>
          <w:rFonts w:ascii="Arial" w:hAnsi="Arial" w:cs="Arial"/>
          <w:i/>
          <w:iCs/>
          <w:sz w:val="18"/>
          <w:szCs w:val="18"/>
          <w:lang w:val="en-IN"/>
        </w:rPr>
        <w:t xml:space="preserve"> </w:t>
      </w:r>
    </w:p>
    <w:p w14:paraId="5EFC06A1" w14:textId="6367E4C4" w:rsidR="00255B93" w:rsidRPr="00CD3614" w:rsidRDefault="00B20C20" w:rsidP="00CD3614">
      <w:pPr>
        <w:pStyle w:val="Body"/>
        <w:rPr>
          <w:rFonts w:ascii="Arial" w:hAnsi="Arial" w:cs="Arial"/>
          <w:lang w:val="en-IN"/>
        </w:rPr>
      </w:pPr>
      <w:r w:rsidRPr="00B20C20">
        <w:rPr>
          <w:rFonts w:ascii="Arial" w:hAnsi="Arial" w:cs="Arial"/>
          <w:b/>
          <w:bCs/>
        </w:rPr>
        <w:t xml:space="preserve">Table </w:t>
      </w:r>
      <w:r w:rsidR="000A4603">
        <w:rPr>
          <w:rFonts w:ascii="Arial" w:hAnsi="Arial" w:cs="Arial"/>
          <w:b/>
          <w:bCs/>
        </w:rPr>
        <w:t>2</w:t>
      </w:r>
      <w:r w:rsidRPr="00B20C20">
        <w:rPr>
          <w:rFonts w:ascii="Arial" w:hAnsi="Arial" w:cs="Arial"/>
          <w:b/>
          <w:bCs/>
        </w:rPr>
        <w:t>.</w:t>
      </w:r>
      <w:r w:rsidRPr="00B20C20">
        <w:rPr>
          <w:rFonts w:ascii="Arial" w:hAnsi="Arial" w:cs="Arial"/>
          <w:b/>
          <w:bCs/>
        </w:rPr>
        <w:tab/>
      </w:r>
      <w:r w:rsidRPr="00B20C20">
        <w:rPr>
          <w:rFonts w:ascii="Arial" w:hAnsi="Arial" w:cs="Arial"/>
          <w:b/>
          <w:bCs/>
          <w:lang w:val="en-IN"/>
        </w:rPr>
        <w:t xml:space="preserve"> One-Way ANOVA for positive phototaxis response across 4 experimental groups</w:t>
      </w:r>
      <w:r w:rsidRPr="00B20C20">
        <w:rPr>
          <w:rFonts w:ascii="Arial" w:hAnsi="Arial" w:cs="Arial"/>
          <w:lang w:val="en-IN"/>
        </w:rPr>
        <w:t xml:space="preserve"> </w:t>
      </w:r>
    </w:p>
    <w:tbl>
      <w:tblPr>
        <w:tblStyle w:val="PlainTable5"/>
        <w:tblW w:w="8208" w:type="dxa"/>
        <w:tblLook w:val="04A0" w:firstRow="1" w:lastRow="0" w:firstColumn="1" w:lastColumn="0" w:noHBand="0" w:noVBand="1"/>
      </w:tblPr>
      <w:tblGrid>
        <w:gridCol w:w="1254"/>
        <w:gridCol w:w="1213"/>
        <w:gridCol w:w="1317"/>
        <w:gridCol w:w="1079"/>
        <w:gridCol w:w="1005"/>
        <w:gridCol w:w="945"/>
        <w:gridCol w:w="1395"/>
      </w:tblGrid>
      <w:tr w:rsidR="00B20C20" w:rsidRPr="002751B6" w14:paraId="6AB195C7" w14:textId="77777777" w:rsidTr="002751B6">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7F7F7F" w:themeColor="text1" w:themeTint="80"/>
            </w:tcBorders>
            <w:shd w:val="clear" w:color="auto" w:fill="auto"/>
            <w:hideMark/>
          </w:tcPr>
          <w:p w14:paraId="63F04151" w14:textId="77777777" w:rsidR="00B20C20" w:rsidRPr="002751B6" w:rsidRDefault="00B20C20" w:rsidP="00B20C20">
            <w:pPr>
              <w:pStyle w:val="Body"/>
              <w:rPr>
                <w:rFonts w:ascii="Arial" w:hAnsi="Arial" w:cs="Arial"/>
                <w:b/>
                <w:bCs/>
                <w:i w:val="0"/>
                <w:iCs w:val="0"/>
                <w:sz w:val="20"/>
                <w:lang w:val="en-IN"/>
              </w:rPr>
            </w:pPr>
            <w:r w:rsidRPr="002751B6">
              <w:rPr>
                <w:rFonts w:ascii="Arial" w:hAnsi="Arial" w:cs="Arial"/>
                <w:b/>
                <w:bCs/>
                <w:i w:val="0"/>
                <w:iCs w:val="0"/>
                <w:sz w:val="20"/>
                <w:lang w:val="en-IN"/>
              </w:rPr>
              <w:t>Source of Variation</w:t>
            </w:r>
          </w:p>
        </w:tc>
        <w:tc>
          <w:tcPr>
            <w:tcW w:w="0" w:type="auto"/>
            <w:tcBorders>
              <w:top w:val="single" w:sz="4" w:space="0" w:color="7F7F7F" w:themeColor="text1" w:themeTint="80"/>
            </w:tcBorders>
            <w:shd w:val="clear" w:color="auto" w:fill="auto"/>
            <w:hideMark/>
          </w:tcPr>
          <w:p w14:paraId="1306AA14"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Sum of Squares (SS)</w:t>
            </w:r>
          </w:p>
        </w:tc>
        <w:tc>
          <w:tcPr>
            <w:tcW w:w="0" w:type="auto"/>
            <w:tcBorders>
              <w:top w:val="single" w:sz="4" w:space="0" w:color="7F7F7F" w:themeColor="text1" w:themeTint="80"/>
            </w:tcBorders>
            <w:shd w:val="clear" w:color="auto" w:fill="auto"/>
            <w:hideMark/>
          </w:tcPr>
          <w:p w14:paraId="01B77917"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Degrees of Freedom (</w:t>
            </w:r>
            <w:proofErr w:type="spellStart"/>
            <w:r w:rsidRPr="002751B6">
              <w:rPr>
                <w:rFonts w:ascii="Arial" w:hAnsi="Arial" w:cs="Arial"/>
                <w:b/>
                <w:bCs/>
                <w:i w:val="0"/>
                <w:iCs w:val="0"/>
                <w:sz w:val="20"/>
                <w:lang w:val="en-IN"/>
              </w:rPr>
              <w:t>df</w:t>
            </w:r>
            <w:proofErr w:type="spellEnd"/>
            <w:r w:rsidRPr="002751B6">
              <w:rPr>
                <w:rFonts w:ascii="Arial" w:hAnsi="Arial" w:cs="Arial"/>
                <w:b/>
                <w:bCs/>
                <w:i w:val="0"/>
                <w:iCs w:val="0"/>
                <w:sz w:val="20"/>
                <w:lang w:val="en-IN"/>
              </w:rPr>
              <w:t>)</w:t>
            </w:r>
          </w:p>
        </w:tc>
        <w:tc>
          <w:tcPr>
            <w:tcW w:w="0" w:type="auto"/>
            <w:tcBorders>
              <w:top w:val="single" w:sz="4" w:space="0" w:color="7F7F7F" w:themeColor="text1" w:themeTint="80"/>
            </w:tcBorders>
            <w:shd w:val="clear" w:color="auto" w:fill="auto"/>
            <w:hideMark/>
          </w:tcPr>
          <w:p w14:paraId="76AD2731"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Mean Square (MS)</w:t>
            </w:r>
          </w:p>
        </w:tc>
        <w:tc>
          <w:tcPr>
            <w:tcW w:w="0" w:type="auto"/>
            <w:tcBorders>
              <w:top w:val="single" w:sz="4" w:space="0" w:color="7F7F7F" w:themeColor="text1" w:themeTint="80"/>
            </w:tcBorders>
            <w:shd w:val="clear" w:color="auto" w:fill="auto"/>
            <w:hideMark/>
          </w:tcPr>
          <w:p w14:paraId="6BC579B6"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F-statistic</w:t>
            </w:r>
          </w:p>
        </w:tc>
        <w:tc>
          <w:tcPr>
            <w:tcW w:w="0" w:type="auto"/>
            <w:tcBorders>
              <w:top w:val="single" w:sz="4" w:space="0" w:color="7F7F7F" w:themeColor="text1" w:themeTint="80"/>
            </w:tcBorders>
            <w:shd w:val="clear" w:color="auto" w:fill="auto"/>
            <w:hideMark/>
          </w:tcPr>
          <w:p w14:paraId="11DB3614" w14:textId="77777777" w:rsidR="00B20C20" w:rsidRPr="00895E22"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sz w:val="20"/>
                <w:lang w:val="en-IN"/>
              </w:rPr>
            </w:pPr>
            <w:r w:rsidRPr="00895E22">
              <w:rPr>
                <w:rFonts w:ascii="Arial" w:hAnsi="Arial" w:cs="Arial"/>
                <w:b/>
                <w:bCs/>
                <w:sz w:val="20"/>
                <w:lang w:val="en-IN"/>
              </w:rPr>
              <w:t>p-value</w:t>
            </w:r>
          </w:p>
        </w:tc>
        <w:tc>
          <w:tcPr>
            <w:tcW w:w="0" w:type="auto"/>
            <w:tcBorders>
              <w:top w:val="single" w:sz="4" w:space="0" w:color="7F7F7F" w:themeColor="text1" w:themeTint="80"/>
            </w:tcBorders>
            <w:shd w:val="clear" w:color="auto" w:fill="auto"/>
            <w:hideMark/>
          </w:tcPr>
          <w:p w14:paraId="21B65397" w14:textId="77777777" w:rsidR="00B20C20" w:rsidRPr="002751B6" w:rsidRDefault="00B20C20" w:rsidP="00B20C20">
            <w:pPr>
              <w:pStyle w:val="Body"/>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20"/>
                <w:lang w:val="en-IN"/>
              </w:rPr>
            </w:pPr>
            <w:r w:rsidRPr="002751B6">
              <w:rPr>
                <w:rFonts w:ascii="Arial" w:hAnsi="Arial" w:cs="Arial"/>
                <w:b/>
                <w:bCs/>
                <w:i w:val="0"/>
                <w:iCs w:val="0"/>
                <w:sz w:val="20"/>
                <w:lang w:val="en-IN"/>
              </w:rPr>
              <w:t>Significance</w:t>
            </w:r>
          </w:p>
        </w:tc>
      </w:tr>
      <w:tr w:rsidR="00B20C20" w:rsidRPr="002751B6" w14:paraId="0B5EEB85" w14:textId="77777777" w:rsidTr="002751B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right w:val="none" w:sz="0" w:space="0" w:color="auto"/>
            </w:tcBorders>
            <w:shd w:val="clear" w:color="auto" w:fill="auto"/>
            <w:hideMark/>
          </w:tcPr>
          <w:p w14:paraId="39CBEFE6" w14:textId="77777777" w:rsidR="00B20C20" w:rsidRPr="002751B6" w:rsidRDefault="00B20C20" w:rsidP="00B20C20">
            <w:pPr>
              <w:pStyle w:val="Body"/>
              <w:rPr>
                <w:rFonts w:ascii="Arial" w:hAnsi="Arial" w:cs="Arial"/>
                <w:i w:val="0"/>
                <w:iCs w:val="0"/>
                <w:sz w:val="20"/>
                <w:lang w:val="en-IN"/>
              </w:rPr>
            </w:pPr>
            <w:r w:rsidRPr="002751B6">
              <w:rPr>
                <w:rFonts w:ascii="Arial" w:hAnsi="Arial" w:cs="Arial"/>
                <w:i w:val="0"/>
                <w:iCs w:val="0"/>
                <w:sz w:val="20"/>
                <w:lang w:val="en-IN"/>
              </w:rPr>
              <w:t>Between Groups</w:t>
            </w:r>
          </w:p>
        </w:tc>
        <w:tc>
          <w:tcPr>
            <w:tcW w:w="0" w:type="auto"/>
            <w:tcBorders>
              <w:top w:val="single" w:sz="4" w:space="0" w:color="7F7F7F" w:themeColor="text1" w:themeTint="80"/>
            </w:tcBorders>
            <w:shd w:val="clear" w:color="auto" w:fill="auto"/>
            <w:hideMark/>
          </w:tcPr>
          <w:p w14:paraId="5FBF2704"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29.583</w:t>
            </w:r>
          </w:p>
        </w:tc>
        <w:tc>
          <w:tcPr>
            <w:tcW w:w="0" w:type="auto"/>
            <w:tcBorders>
              <w:top w:val="single" w:sz="4" w:space="0" w:color="7F7F7F" w:themeColor="text1" w:themeTint="80"/>
            </w:tcBorders>
            <w:shd w:val="clear" w:color="auto" w:fill="auto"/>
            <w:hideMark/>
          </w:tcPr>
          <w:p w14:paraId="4348A3D6"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3</w:t>
            </w:r>
          </w:p>
        </w:tc>
        <w:tc>
          <w:tcPr>
            <w:tcW w:w="0" w:type="auto"/>
            <w:tcBorders>
              <w:top w:val="single" w:sz="4" w:space="0" w:color="7F7F7F" w:themeColor="text1" w:themeTint="80"/>
            </w:tcBorders>
            <w:shd w:val="clear" w:color="auto" w:fill="auto"/>
            <w:hideMark/>
          </w:tcPr>
          <w:p w14:paraId="54C22B59"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9.861</w:t>
            </w:r>
          </w:p>
        </w:tc>
        <w:tc>
          <w:tcPr>
            <w:tcW w:w="0" w:type="auto"/>
            <w:tcBorders>
              <w:top w:val="single" w:sz="4" w:space="0" w:color="7F7F7F" w:themeColor="text1" w:themeTint="80"/>
            </w:tcBorders>
            <w:shd w:val="clear" w:color="auto" w:fill="auto"/>
            <w:hideMark/>
          </w:tcPr>
          <w:p w14:paraId="3805D0AC"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42.12</w:t>
            </w:r>
          </w:p>
        </w:tc>
        <w:tc>
          <w:tcPr>
            <w:tcW w:w="0" w:type="auto"/>
            <w:tcBorders>
              <w:top w:val="single" w:sz="4" w:space="0" w:color="7F7F7F" w:themeColor="text1" w:themeTint="80"/>
            </w:tcBorders>
            <w:shd w:val="clear" w:color="auto" w:fill="auto"/>
            <w:hideMark/>
          </w:tcPr>
          <w:p w14:paraId="52231A12" w14:textId="77777777" w:rsidR="00B20C20" w:rsidRPr="00895E22"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i/>
                <w:iCs/>
                <w:lang w:val="en-IN"/>
              </w:rPr>
            </w:pPr>
            <w:r w:rsidRPr="00895E22">
              <w:rPr>
                <w:rFonts w:ascii="Arial" w:hAnsi="Arial" w:cs="Arial"/>
                <w:i/>
                <w:iCs/>
                <w:lang w:val="en-IN"/>
              </w:rPr>
              <w:t>&lt;0.0001</w:t>
            </w:r>
          </w:p>
        </w:tc>
        <w:tc>
          <w:tcPr>
            <w:tcW w:w="0" w:type="auto"/>
            <w:tcBorders>
              <w:top w:val="single" w:sz="4" w:space="0" w:color="7F7F7F" w:themeColor="text1" w:themeTint="80"/>
            </w:tcBorders>
            <w:shd w:val="clear" w:color="auto" w:fill="auto"/>
            <w:hideMark/>
          </w:tcPr>
          <w:p w14:paraId="27ABF83C"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r>
      <w:tr w:rsidR="00B20C20" w:rsidRPr="002751B6" w14:paraId="7FA6A30D" w14:textId="77777777" w:rsidTr="002751B6">
        <w:trPr>
          <w:trHeight w:val="315"/>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537DF900" w14:textId="77777777" w:rsidR="00B20C20" w:rsidRPr="002751B6" w:rsidRDefault="00B20C20" w:rsidP="00B20C20">
            <w:pPr>
              <w:pStyle w:val="Body"/>
              <w:rPr>
                <w:rFonts w:ascii="Arial" w:hAnsi="Arial" w:cs="Arial"/>
                <w:i w:val="0"/>
                <w:iCs w:val="0"/>
                <w:sz w:val="20"/>
                <w:lang w:val="en-IN"/>
              </w:rPr>
            </w:pPr>
            <w:r w:rsidRPr="002751B6">
              <w:rPr>
                <w:rFonts w:ascii="Arial" w:hAnsi="Arial" w:cs="Arial"/>
                <w:i w:val="0"/>
                <w:iCs w:val="0"/>
                <w:sz w:val="20"/>
                <w:lang w:val="en-IN"/>
              </w:rPr>
              <w:t>Within Groups (Error)</w:t>
            </w:r>
          </w:p>
        </w:tc>
        <w:tc>
          <w:tcPr>
            <w:tcW w:w="0" w:type="auto"/>
            <w:tcBorders>
              <w:left w:val="nil"/>
            </w:tcBorders>
            <w:hideMark/>
          </w:tcPr>
          <w:p w14:paraId="22C64ADF"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1.873</w:t>
            </w:r>
          </w:p>
        </w:tc>
        <w:tc>
          <w:tcPr>
            <w:tcW w:w="0" w:type="auto"/>
            <w:hideMark/>
          </w:tcPr>
          <w:p w14:paraId="2C3306A2"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8</w:t>
            </w:r>
          </w:p>
        </w:tc>
        <w:tc>
          <w:tcPr>
            <w:tcW w:w="0" w:type="auto"/>
            <w:hideMark/>
          </w:tcPr>
          <w:p w14:paraId="3C92427A"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0.234</w:t>
            </w:r>
          </w:p>
        </w:tc>
        <w:tc>
          <w:tcPr>
            <w:tcW w:w="0" w:type="auto"/>
            <w:hideMark/>
          </w:tcPr>
          <w:p w14:paraId="520D230D"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hideMark/>
          </w:tcPr>
          <w:p w14:paraId="5D0696AB"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hideMark/>
          </w:tcPr>
          <w:p w14:paraId="60CEFC01" w14:textId="77777777" w:rsidR="00B20C20" w:rsidRPr="002751B6" w:rsidRDefault="00B20C20" w:rsidP="00B20C20">
            <w:pPr>
              <w:pStyle w:val="Body"/>
              <w:cnfStyle w:val="000000000000" w:firstRow="0" w:lastRow="0" w:firstColumn="0" w:lastColumn="0" w:oddVBand="0" w:evenVBand="0" w:oddHBand="0" w:evenHBand="0" w:firstRowFirstColumn="0" w:firstRowLastColumn="0" w:lastRowFirstColumn="0" w:lastRowLastColumn="0"/>
              <w:rPr>
                <w:rFonts w:ascii="Arial" w:hAnsi="Arial" w:cs="Arial"/>
                <w:lang w:val="en-IN"/>
              </w:rPr>
            </w:pPr>
            <w:r w:rsidRPr="002751B6">
              <w:rPr>
                <w:rFonts w:ascii="Arial" w:hAnsi="Arial" w:cs="Arial"/>
                <w:lang w:val="en-IN"/>
              </w:rPr>
              <w:t>—</w:t>
            </w:r>
          </w:p>
        </w:tc>
      </w:tr>
      <w:tr w:rsidR="00B20C20" w:rsidRPr="002751B6" w14:paraId="47EB599F" w14:textId="77777777" w:rsidTr="002751B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7F7F7F" w:themeColor="text1" w:themeTint="80"/>
              <w:right w:val="none" w:sz="0" w:space="0" w:color="auto"/>
            </w:tcBorders>
            <w:shd w:val="clear" w:color="auto" w:fill="auto"/>
            <w:hideMark/>
          </w:tcPr>
          <w:p w14:paraId="36CA311E" w14:textId="77777777" w:rsidR="00B20C20" w:rsidRPr="002751B6" w:rsidRDefault="00B20C20" w:rsidP="00B20C20">
            <w:pPr>
              <w:pStyle w:val="Body"/>
              <w:rPr>
                <w:rFonts w:ascii="Arial" w:hAnsi="Arial" w:cs="Arial"/>
                <w:i w:val="0"/>
                <w:iCs w:val="0"/>
                <w:sz w:val="20"/>
                <w:lang w:val="en-IN"/>
              </w:rPr>
            </w:pPr>
            <w:r w:rsidRPr="002751B6">
              <w:rPr>
                <w:rFonts w:ascii="Arial" w:hAnsi="Arial" w:cs="Arial"/>
                <w:i w:val="0"/>
                <w:iCs w:val="0"/>
                <w:sz w:val="20"/>
                <w:lang w:val="en-IN"/>
              </w:rPr>
              <w:t>Total</w:t>
            </w:r>
          </w:p>
        </w:tc>
        <w:tc>
          <w:tcPr>
            <w:tcW w:w="0" w:type="auto"/>
            <w:tcBorders>
              <w:bottom w:val="single" w:sz="4" w:space="0" w:color="7F7F7F" w:themeColor="text1" w:themeTint="80"/>
            </w:tcBorders>
            <w:shd w:val="clear" w:color="auto" w:fill="auto"/>
            <w:hideMark/>
          </w:tcPr>
          <w:p w14:paraId="05CB2E6F"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31.456</w:t>
            </w:r>
          </w:p>
        </w:tc>
        <w:tc>
          <w:tcPr>
            <w:tcW w:w="0" w:type="auto"/>
            <w:tcBorders>
              <w:bottom w:val="single" w:sz="4" w:space="0" w:color="7F7F7F" w:themeColor="text1" w:themeTint="80"/>
            </w:tcBorders>
            <w:shd w:val="clear" w:color="auto" w:fill="auto"/>
            <w:hideMark/>
          </w:tcPr>
          <w:p w14:paraId="5EC10654"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11</w:t>
            </w:r>
          </w:p>
        </w:tc>
        <w:tc>
          <w:tcPr>
            <w:tcW w:w="0" w:type="auto"/>
            <w:tcBorders>
              <w:bottom w:val="single" w:sz="4" w:space="0" w:color="7F7F7F" w:themeColor="text1" w:themeTint="80"/>
            </w:tcBorders>
            <w:shd w:val="clear" w:color="auto" w:fill="auto"/>
            <w:hideMark/>
          </w:tcPr>
          <w:p w14:paraId="2E1CB296"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tcBorders>
              <w:bottom w:val="single" w:sz="4" w:space="0" w:color="7F7F7F" w:themeColor="text1" w:themeTint="80"/>
            </w:tcBorders>
            <w:shd w:val="clear" w:color="auto" w:fill="auto"/>
            <w:hideMark/>
          </w:tcPr>
          <w:p w14:paraId="1DFBF7D1"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tcBorders>
              <w:bottom w:val="single" w:sz="4" w:space="0" w:color="7F7F7F" w:themeColor="text1" w:themeTint="80"/>
            </w:tcBorders>
            <w:shd w:val="clear" w:color="auto" w:fill="auto"/>
            <w:hideMark/>
          </w:tcPr>
          <w:p w14:paraId="665EBFCD"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c>
          <w:tcPr>
            <w:tcW w:w="0" w:type="auto"/>
            <w:tcBorders>
              <w:bottom w:val="single" w:sz="4" w:space="0" w:color="7F7F7F" w:themeColor="text1" w:themeTint="80"/>
            </w:tcBorders>
            <w:shd w:val="clear" w:color="auto" w:fill="auto"/>
            <w:hideMark/>
          </w:tcPr>
          <w:p w14:paraId="5BF1021F" w14:textId="77777777" w:rsidR="00B20C20" w:rsidRPr="002751B6" w:rsidRDefault="00B20C20" w:rsidP="00B20C20">
            <w:pPr>
              <w:pStyle w:val="Body"/>
              <w:cnfStyle w:val="000000100000" w:firstRow="0" w:lastRow="0" w:firstColumn="0" w:lastColumn="0" w:oddVBand="0" w:evenVBand="0" w:oddHBand="1" w:evenHBand="0" w:firstRowFirstColumn="0" w:firstRowLastColumn="0" w:lastRowFirstColumn="0" w:lastRowLastColumn="0"/>
              <w:rPr>
                <w:rFonts w:ascii="Arial" w:hAnsi="Arial" w:cs="Arial"/>
                <w:lang w:val="en-IN"/>
              </w:rPr>
            </w:pPr>
            <w:r w:rsidRPr="002751B6">
              <w:rPr>
                <w:rFonts w:ascii="Arial" w:hAnsi="Arial" w:cs="Arial"/>
                <w:lang w:val="en-IN"/>
              </w:rPr>
              <w:t>—</w:t>
            </w:r>
          </w:p>
        </w:tc>
      </w:tr>
    </w:tbl>
    <w:p w14:paraId="709D55A9" w14:textId="582B7AA7" w:rsidR="009B7B89" w:rsidRPr="009B7B89" w:rsidRDefault="00895E22" w:rsidP="001A3917">
      <w:pPr>
        <w:pStyle w:val="Body"/>
        <w:rPr>
          <w:rFonts w:ascii="Arial" w:hAnsi="Arial" w:cs="Arial"/>
          <w:i/>
          <w:lang w:val="en-IN"/>
        </w:rPr>
      </w:pPr>
      <w:r>
        <w:rPr>
          <w:rFonts w:ascii="Arial" w:hAnsi="Arial" w:cs="Arial"/>
          <w:i/>
          <w:iCs/>
          <w:lang w:val="en-IN"/>
        </w:rPr>
        <w:t xml:space="preserve">(n = 3 </w:t>
      </w:r>
      <w:r w:rsidR="002751B6" w:rsidRPr="00B20C20">
        <w:rPr>
          <w:rFonts w:ascii="Arial" w:hAnsi="Arial" w:cs="Arial"/>
          <w:i/>
          <w:iCs/>
          <w:lang w:val="en-IN"/>
        </w:rPr>
        <w:t>independent biological replicates per group,</w:t>
      </w:r>
      <w:r>
        <w:rPr>
          <w:rFonts w:ascii="Arial" w:hAnsi="Arial" w:cs="Arial"/>
          <w:i/>
          <w:iCs/>
          <w:lang w:val="en-IN"/>
        </w:rPr>
        <w:t xml:space="preserve"> N = 12</w:t>
      </w:r>
      <w:r w:rsidR="002751B6" w:rsidRPr="00B20C20">
        <w:rPr>
          <w:rFonts w:ascii="Arial" w:hAnsi="Arial" w:cs="Arial"/>
          <w:i/>
          <w:iCs/>
          <w:lang w:val="en-IN"/>
        </w:rPr>
        <w:t>).</w:t>
      </w:r>
      <w:r>
        <w:rPr>
          <w:rFonts w:ascii="Arial" w:hAnsi="Arial" w:cs="Arial"/>
          <w:i/>
          <w:iCs/>
          <w:lang w:val="en-IN"/>
        </w:rPr>
        <w:t xml:space="preserve"> MS</w:t>
      </w:r>
      <w:r w:rsidRPr="00895E22">
        <w:rPr>
          <w:rFonts w:ascii="Arial" w:hAnsi="Arial" w:cs="Arial"/>
          <w:i/>
          <w:iCs/>
          <w:vertAlign w:val="subscript"/>
          <w:lang w:val="en-IN"/>
        </w:rPr>
        <w:t>Error</w:t>
      </w:r>
      <w:r>
        <w:rPr>
          <w:rFonts w:ascii="Arial" w:hAnsi="Arial" w:cs="Arial"/>
          <w:i/>
          <w:iCs/>
          <w:lang w:val="en-IN"/>
        </w:rPr>
        <w:t xml:space="preserve"> = 0.234.</w:t>
      </w:r>
      <w:r w:rsidR="009B7B89">
        <w:rPr>
          <w:rFonts w:ascii="Arial" w:hAnsi="Arial" w:cs="Arial"/>
          <w:i/>
          <w:iCs/>
          <w:lang w:val="en-IN"/>
        </w:rPr>
        <w:t xml:space="preserve"> </w:t>
      </w:r>
      <w:r w:rsidR="002751B6" w:rsidRPr="00B20C20">
        <w:rPr>
          <w:rFonts w:ascii="Arial" w:hAnsi="Arial" w:cs="Arial"/>
          <w:i/>
          <w:iCs/>
          <w:lang w:val="en-IN"/>
        </w:rPr>
        <w:t xml:space="preserve">Significance level: **** </w:t>
      </w:r>
      <w:r>
        <w:rPr>
          <w:rFonts w:ascii="Arial" w:hAnsi="Arial" w:cs="Arial"/>
          <w:i/>
          <w:iCs/>
          <w:lang w:val="en-IN"/>
        </w:rPr>
        <w:t>(p &lt; 0.0001)</w:t>
      </w:r>
    </w:p>
    <w:p w14:paraId="277BE434" w14:textId="2D1097D3" w:rsidR="00EB321F" w:rsidRPr="00EB321F" w:rsidRDefault="00684463" w:rsidP="001A3917">
      <w:pPr>
        <w:pStyle w:val="Body"/>
        <w:rPr>
          <w:rFonts w:ascii="Arial" w:hAnsi="Arial" w:cs="Arial"/>
          <w:lang w:val="en-IN"/>
        </w:rPr>
      </w:pPr>
      <w:r w:rsidRPr="00684463">
        <w:rPr>
          <w:rFonts w:ascii="Arial" w:hAnsi="Arial" w:cs="Arial"/>
          <w:b/>
          <w:bCs/>
          <w:lang w:val="en-IN"/>
        </w:rPr>
        <w:t xml:space="preserve">Table </w:t>
      </w:r>
      <w:r w:rsidR="009F7A74">
        <w:rPr>
          <w:rFonts w:ascii="Arial" w:hAnsi="Arial" w:cs="Arial"/>
          <w:b/>
          <w:bCs/>
          <w:lang w:val="en-IN"/>
        </w:rPr>
        <w:t>3</w:t>
      </w:r>
      <w:r>
        <w:rPr>
          <w:rFonts w:ascii="Arial" w:hAnsi="Arial" w:cs="Arial"/>
          <w:b/>
          <w:bCs/>
          <w:lang w:val="en-IN"/>
        </w:rPr>
        <w:t>.</w:t>
      </w:r>
      <w:r>
        <w:rPr>
          <w:rFonts w:ascii="Arial" w:hAnsi="Arial" w:cs="Arial"/>
          <w:b/>
          <w:bCs/>
          <w:lang w:val="en-IN"/>
        </w:rPr>
        <w:tab/>
      </w:r>
      <w:r w:rsidR="00261198" w:rsidRPr="00261198">
        <w:rPr>
          <w:rFonts w:ascii="Arial" w:hAnsi="Arial" w:cs="Arial"/>
          <w:b/>
          <w:bCs/>
        </w:rPr>
        <w:t xml:space="preserve">Tukey’s HSD Post-Hoc Pairwise Comparisons </w:t>
      </w:r>
      <w:r w:rsidR="00CD3614" w:rsidRPr="00B20C20">
        <w:rPr>
          <w:rFonts w:ascii="Arial" w:hAnsi="Arial" w:cs="Arial"/>
          <w:b/>
          <w:bCs/>
          <w:lang w:val="en-IN"/>
        </w:rPr>
        <w:t>for positive phototaxis response across 4 experimental groups</w:t>
      </w:r>
      <w:r w:rsidR="00CD3614" w:rsidRPr="00261198">
        <w:rPr>
          <w:rFonts w:ascii="Arial" w:hAnsi="Arial" w:cs="Arial"/>
          <w:b/>
          <w:bCs/>
        </w:rPr>
        <w:t xml:space="preserve"> </w:t>
      </w:r>
    </w:p>
    <w:tbl>
      <w:tblPr>
        <w:tblpPr w:leftFromText="180" w:rightFromText="180" w:vertAnchor="text" w:horzAnchor="margin" w:tblpY="255"/>
        <w:tblW w:w="9010" w:type="dxa"/>
        <w:tblBorders>
          <w:top w:val="single" w:sz="8" w:space="0" w:color="CCCCCC"/>
          <w:bottom w:val="single" w:sz="8" w:space="0" w:color="CCCCCC"/>
        </w:tblBorders>
        <w:tblLayout w:type="fixed"/>
        <w:tblLook w:val="04A0" w:firstRow="1" w:lastRow="0" w:firstColumn="1" w:lastColumn="0" w:noHBand="0" w:noVBand="1"/>
      </w:tblPr>
      <w:tblGrid>
        <w:gridCol w:w="2419"/>
        <w:gridCol w:w="1654"/>
        <w:gridCol w:w="1144"/>
        <w:gridCol w:w="1250"/>
        <w:gridCol w:w="1144"/>
        <w:gridCol w:w="1399"/>
      </w:tblGrid>
      <w:tr w:rsidR="00EB321F" w:rsidRPr="00261198" w14:paraId="140DDED4" w14:textId="77777777" w:rsidTr="00EB321F">
        <w:trPr>
          <w:trHeight w:val="1192"/>
        </w:trPr>
        <w:tc>
          <w:tcPr>
            <w:tcW w:w="2419" w:type="dxa"/>
            <w:tcBorders>
              <w:top w:val="single" w:sz="8" w:space="0" w:color="000000" w:themeColor="text1"/>
              <w:bottom w:val="single" w:sz="8" w:space="0" w:color="000000" w:themeColor="text1"/>
            </w:tcBorders>
            <w:vAlign w:val="bottom"/>
            <w:hideMark/>
          </w:tcPr>
          <w:p w14:paraId="01137112" w14:textId="77777777" w:rsidR="00EB321F" w:rsidRPr="00261198" w:rsidRDefault="00EB321F" w:rsidP="00EB321F">
            <w:pPr>
              <w:ind w:right="324"/>
              <w:jc w:val="both"/>
              <w:rPr>
                <w:rFonts w:ascii="Arial" w:hAnsi="Arial" w:cs="Arial"/>
                <w:b/>
                <w:bCs/>
                <w:color w:val="000000"/>
                <w:lang w:val="en-IN" w:eastAsia="en-IN"/>
              </w:rPr>
            </w:pPr>
            <w:r w:rsidRPr="00261198">
              <w:rPr>
                <w:rFonts w:ascii="Arial" w:hAnsi="Arial" w:cs="Arial"/>
                <w:b/>
                <w:bCs/>
                <w:color w:val="000000"/>
                <w:lang w:val="en-IN" w:eastAsia="en-IN"/>
              </w:rPr>
              <w:lastRenderedPageBreak/>
              <w:t>Pairwise</w:t>
            </w:r>
            <w:r>
              <w:rPr>
                <w:rFonts w:ascii="Arial" w:hAnsi="Arial" w:cs="Arial"/>
                <w:b/>
                <w:bCs/>
                <w:color w:val="000000"/>
                <w:lang w:val="en-IN" w:eastAsia="en-IN"/>
              </w:rPr>
              <w:t xml:space="preserve"> </w:t>
            </w:r>
            <w:r w:rsidRPr="00261198">
              <w:rPr>
                <w:rFonts w:ascii="Arial" w:hAnsi="Arial" w:cs="Arial"/>
                <w:b/>
                <w:bCs/>
                <w:color w:val="000000"/>
                <w:lang w:val="en-IN" w:eastAsia="en-IN"/>
              </w:rPr>
              <w:t>Group Comparison</w:t>
            </w:r>
          </w:p>
        </w:tc>
        <w:tc>
          <w:tcPr>
            <w:tcW w:w="1654" w:type="dxa"/>
            <w:tcBorders>
              <w:top w:val="single" w:sz="8" w:space="0" w:color="000000" w:themeColor="text1"/>
              <w:bottom w:val="single" w:sz="8" w:space="0" w:color="000000" w:themeColor="text1"/>
            </w:tcBorders>
            <w:vAlign w:val="bottom"/>
            <w:hideMark/>
          </w:tcPr>
          <w:p w14:paraId="61E5654D"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Mean Difference (ΔXˉ)</w:t>
            </w:r>
          </w:p>
        </w:tc>
        <w:tc>
          <w:tcPr>
            <w:tcW w:w="1144" w:type="dxa"/>
            <w:tcBorders>
              <w:top w:val="single" w:sz="8" w:space="0" w:color="000000" w:themeColor="text1"/>
              <w:bottom w:val="single" w:sz="8" w:space="0" w:color="000000" w:themeColor="text1"/>
            </w:tcBorders>
            <w:vAlign w:val="bottom"/>
            <w:hideMark/>
          </w:tcPr>
          <w:p w14:paraId="386C29CB"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Standard Error (SEHSD​)</w:t>
            </w:r>
          </w:p>
        </w:tc>
        <w:tc>
          <w:tcPr>
            <w:tcW w:w="1250" w:type="dxa"/>
            <w:tcBorders>
              <w:top w:val="single" w:sz="8" w:space="0" w:color="000000" w:themeColor="text1"/>
              <w:bottom w:val="single" w:sz="8" w:space="0" w:color="000000" w:themeColor="text1"/>
            </w:tcBorders>
            <w:vAlign w:val="bottom"/>
            <w:hideMark/>
          </w:tcPr>
          <w:p w14:paraId="288C287D"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q-statistic</w:t>
            </w:r>
          </w:p>
        </w:tc>
        <w:tc>
          <w:tcPr>
            <w:tcW w:w="1144" w:type="dxa"/>
            <w:tcBorders>
              <w:top w:val="single" w:sz="8" w:space="0" w:color="000000" w:themeColor="text1"/>
              <w:bottom w:val="single" w:sz="8" w:space="0" w:color="000000" w:themeColor="text1"/>
            </w:tcBorders>
            <w:vAlign w:val="bottom"/>
            <w:hideMark/>
          </w:tcPr>
          <w:p w14:paraId="23FA11CA" w14:textId="77777777" w:rsidR="00EB321F"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Adjusted</w:t>
            </w:r>
            <w:r>
              <w:rPr>
                <w:rFonts w:ascii="Arial" w:hAnsi="Arial" w:cs="Arial"/>
                <w:b/>
                <w:bCs/>
                <w:color w:val="000000"/>
                <w:lang w:val="en-IN" w:eastAsia="en-IN"/>
              </w:rPr>
              <w:t xml:space="preserve"> </w:t>
            </w:r>
          </w:p>
          <w:p w14:paraId="4B8925B5"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p-value</w:t>
            </w:r>
          </w:p>
        </w:tc>
        <w:tc>
          <w:tcPr>
            <w:tcW w:w="1399" w:type="dxa"/>
            <w:tcBorders>
              <w:top w:val="single" w:sz="8" w:space="0" w:color="000000" w:themeColor="text1"/>
              <w:bottom w:val="single" w:sz="8" w:space="0" w:color="000000" w:themeColor="text1"/>
            </w:tcBorders>
            <w:vAlign w:val="bottom"/>
            <w:hideMark/>
          </w:tcPr>
          <w:p w14:paraId="67787ADA" w14:textId="77777777" w:rsidR="00EB321F" w:rsidRPr="00261198" w:rsidRDefault="00EB321F" w:rsidP="00EB321F">
            <w:pPr>
              <w:jc w:val="both"/>
              <w:rPr>
                <w:rFonts w:ascii="Arial" w:hAnsi="Arial" w:cs="Arial"/>
                <w:b/>
                <w:bCs/>
                <w:color w:val="000000"/>
                <w:lang w:val="en-IN" w:eastAsia="en-IN"/>
              </w:rPr>
            </w:pPr>
            <w:r w:rsidRPr="00261198">
              <w:rPr>
                <w:rFonts w:ascii="Arial" w:hAnsi="Arial" w:cs="Arial"/>
                <w:b/>
                <w:bCs/>
                <w:color w:val="000000"/>
                <w:lang w:val="en-IN" w:eastAsia="en-IN"/>
              </w:rPr>
              <w:t>Significance</w:t>
            </w:r>
          </w:p>
        </w:tc>
      </w:tr>
      <w:tr w:rsidR="00EB321F" w:rsidRPr="00261198" w14:paraId="6E28F5EE" w14:textId="77777777" w:rsidTr="00EB321F">
        <w:trPr>
          <w:trHeight w:val="876"/>
        </w:trPr>
        <w:tc>
          <w:tcPr>
            <w:tcW w:w="2419" w:type="dxa"/>
            <w:vAlign w:val="bottom"/>
            <w:hideMark/>
          </w:tcPr>
          <w:p w14:paraId="419B1E22" w14:textId="59117239"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C vs. UV</w:t>
            </w:r>
          </w:p>
        </w:tc>
        <w:tc>
          <w:tcPr>
            <w:tcW w:w="1654" w:type="dxa"/>
            <w:vAlign w:val="bottom"/>
            <w:hideMark/>
          </w:tcPr>
          <w:p w14:paraId="76DFE8AC"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4</w:t>
            </w:r>
          </w:p>
        </w:tc>
        <w:tc>
          <w:tcPr>
            <w:tcW w:w="1144" w:type="dxa"/>
            <w:vAlign w:val="bottom"/>
            <w:hideMark/>
          </w:tcPr>
          <w:p w14:paraId="06EE0506"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vAlign w:val="bottom"/>
            <w:hideMark/>
          </w:tcPr>
          <w:p w14:paraId="74437870"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14.32</w:t>
            </w:r>
          </w:p>
        </w:tc>
        <w:tc>
          <w:tcPr>
            <w:tcW w:w="1144" w:type="dxa"/>
            <w:vAlign w:val="bottom"/>
            <w:hideMark/>
          </w:tcPr>
          <w:p w14:paraId="5B7068E8"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&lt;0.0001</w:t>
            </w:r>
          </w:p>
        </w:tc>
        <w:tc>
          <w:tcPr>
            <w:tcW w:w="1399" w:type="dxa"/>
            <w:vAlign w:val="bottom"/>
            <w:hideMark/>
          </w:tcPr>
          <w:p w14:paraId="02756ED1"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r w:rsidR="00EB321F" w:rsidRPr="00261198" w14:paraId="268B82BF" w14:textId="77777777" w:rsidTr="00EB321F">
        <w:trPr>
          <w:trHeight w:val="876"/>
        </w:trPr>
        <w:tc>
          <w:tcPr>
            <w:tcW w:w="2419" w:type="dxa"/>
            <w:vAlign w:val="bottom"/>
            <w:hideMark/>
          </w:tcPr>
          <w:p w14:paraId="346F9989" w14:textId="58AFB1E1"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C vs. Q+UV</w:t>
            </w:r>
          </w:p>
        </w:tc>
        <w:tc>
          <w:tcPr>
            <w:tcW w:w="1654" w:type="dxa"/>
            <w:vAlign w:val="bottom"/>
            <w:hideMark/>
          </w:tcPr>
          <w:p w14:paraId="3861E0BB"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3</w:t>
            </w:r>
          </w:p>
        </w:tc>
        <w:tc>
          <w:tcPr>
            <w:tcW w:w="1144" w:type="dxa"/>
            <w:vAlign w:val="bottom"/>
            <w:hideMark/>
          </w:tcPr>
          <w:p w14:paraId="1DF7361C"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vAlign w:val="bottom"/>
            <w:hideMark/>
          </w:tcPr>
          <w:p w14:paraId="2FE39149"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10.74</w:t>
            </w:r>
          </w:p>
        </w:tc>
        <w:tc>
          <w:tcPr>
            <w:tcW w:w="1144" w:type="dxa"/>
            <w:vAlign w:val="bottom"/>
            <w:hideMark/>
          </w:tcPr>
          <w:p w14:paraId="48497170"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0.0002</w:t>
            </w:r>
          </w:p>
        </w:tc>
        <w:tc>
          <w:tcPr>
            <w:tcW w:w="1399" w:type="dxa"/>
            <w:vAlign w:val="bottom"/>
            <w:hideMark/>
          </w:tcPr>
          <w:p w14:paraId="4491C04F"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r w:rsidR="00EB321F" w:rsidRPr="00261198" w14:paraId="21EA0C29" w14:textId="77777777" w:rsidTr="00EB321F">
        <w:trPr>
          <w:trHeight w:val="876"/>
        </w:trPr>
        <w:tc>
          <w:tcPr>
            <w:tcW w:w="2419" w:type="dxa"/>
            <w:vAlign w:val="bottom"/>
            <w:hideMark/>
          </w:tcPr>
          <w:p w14:paraId="48D91C29" w14:textId="2707129F"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Q vs. UV</w:t>
            </w:r>
          </w:p>
        </w:tc>
        <w:tc>
          <w:tcPr>
            <w:tcW w:w="1654" w:type="dxa"/>
            <w:vAlign w:val="bottom"/>
            <w:hideMark/>
          </w:tcPr>
          <w:p w14:paraId="4C1A2F74"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3.33</w:t>
            </w:r>
          </w:p>
        </w:tc>
        <w:tc>
          <w:tcPr>
            <w:tcW w:w="1144" w:type="dxa"/>
            <w:vAlign w:val="bottom"/>
            <w:hideMark/>
          </w:tcPr>
          <w:p w14:paraId="239B57D3"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vAlign w:val="bottom"/>
            <w:hideMark/>
          </w:tcPr>
          <w:p w14:paraId="1984F599"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11.92</w:t>
            </w:r>
          </w:p>
        </w:tc>
        <w:tc>
          <w:tcPr>
            <w:tcW w:w="1144" w:type="dxa"/>
            <w:vAlign w:val="bottom"/>
            <w:hideMark/>
          </w:tcPr>
          <w:p w14:paraId="1CCEAE0C"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&lt;0.0001</w:t>
            </w:r>
          </w:p>
        </w:tc>
        <w:tc>
          <w:tcPr>
            <w:tcW w:w="1399" w:type="dxa"/>
            <w:vAlign w:val="bottom"/>
            <w:hideMark/>
          </w:tcPr>
          <w:p w14:paraId="3FF7D66E"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r w:rsidR="00EB321F" w:rsidRPr="00261198" w14:paraId="1FCA73D4" w14:textId="77777777" w:rsidTr="00EB321F">
        <w:trPr>
          <w:trHeight w:val="876"/>
        </w:trPr>
        <w:tc>
          <w:tcPr>
            <w:tcW w:w="2419" w:type="dxa"/>
            <w:tcBorders>
              <w:bottom w:val="single" w:sz="8" w:space="0" w:color="000000" w:themeColor="text1"/>
            </w:tcBorders>
            <w:vAlign w:val="bottom"/>
            <w:hideMark/>
          </w:tcPr>
          <w:p w14:paraId="2AE13E56" w14:textId="7BD9864E"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Q</w:t>
            </w:r>
            <w:r w:rsidR="00CD3614">
              <w:rPr>
                <w:rFonts w:ascii="Arial" w:hAnsi="Arial" w:cs="Arial"/>
                <w:color w:val="000000"/>
                <w:lang w:val="en-IN" w:eastAsia="en-IN"/>
              </w:rPr>
              <w:t xml:space="preserve"> </w:t>
            </w:r>
            <w:r w:rsidRPr="00261198">
              <w:rPr>
                <w:rFonts w:ascii="Arial" w:hAnsi="Arial" w:cs="Arial"/>
                <w:color w:val="000000"/>
                <w:lang w:val="en-IN" w:eastAsia="en-IN"/>
              </w:rPr>
              <w:t>vs. Q+UV</w:t>
            </w:r>
          </w:p>
        </w:tc>
        <w:tc>
          <w:tcPr>
            <w:tcW w:w="1654" w:type="dxa"/>
            <w:tcBorders>
              <w:bottom w:val="single" w:sz="8" w:space="0" w:color="000000" w:themeColor="text1"/>
            </w:tcBorders>
            <w:vAlign w:val="bottom"/>
            <w:hideMark/>
          </w:tcPr>
          <w:p w14:paraId="1E2140FC"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2.33</w:t>
            </w:r>
          </w:p>
        </w:tc>
        <w:tc>
          <w:tcPr>
            <w:tcW w:w="1144" w:type="dxa"/>
            <w:tcBorders>
              <w:bottom w:val="single" w:sz="8" w:space="0" w:color="000000" w:themeColor="text1"/>
            </w:tcBorders>
            <w:vAlign w:val="bottom"/>
            <w:hideMark/>
          </w:tcPr>
          <w:p w14:paraId="7CC6D1EB"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0.279</w:t>
            </w:r>
          </w:p>
        </w:tc>
        <w:tc>
          <w:tcPr>
            <w:tcW w:w="1250" w:type="dxa"/>
            <w:tcBorders>
              <w:bottom w:val="single" w:sz="8" w:space="0" w:color="000000" w:themeColor="text1"/>
            </w:tcBorders>
            <w:vAlign w:val="bottom"/>
            <w:hideMark/>
          </w:tcPr>
          <w:p w14:paraId="7270246C"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8.34</w:t>
            </w:r>
          </w:p>
        </w:tc>
        <w:tc>
          <w:tcPr>
            <w:tcW w:w="1144" w:type="dxa"/>
            <w:tcBorders>
              <w:bottom w:val="single" w:sz="8" w:space="0" w:color="000000" w:themeColor="text1"/>
            </w:tcBorders>
            <w:vAlign w:val="bottom"/>
            <w:hideMark/>
          </w:tcPr>
          <w:p w14:paraId="53322D68" w14:textId="77777777" w:rsidR="00EB321F" w:rsidRPr="003721FA" w:rsidRDefault="00EB321F" w:rsidP="00EB321F">
            <w:pPr>
              <w:jc w:val="both"/>
              <w:rPr>
                <w:rFonts w:ascii="Arial" w:hAnsi="Arial" w:cs="Arial"/>
                <w:i/>
                <w:iCs/>
                <w:color w:val="000000"/>
                <w:lang w:val="en-IN" w:eastAsia="en-IN"/>
              </w:rPr>
            </w:pPr>
            <w:r w:rsidRPr="003721FA">
              <w:rPr>
                <w:rFonts w:ascii="Arial" w:hAnsi="Arial" w:cs="Arial"/>
                <w:i/>
                <w:iCs/>
                <w:color w:val="000000"/>
                <w:lang w:val="en-IN" w:eastAsia="en-IN"/>
              </w:rPr>
              <w:t>0.0016</w:t>
            </w:r>
          </w:p>
        </w:tc>
        <w:tc>
          <w:tcPr>
            <w:tcW w:w="1399" w:type="dxa"/>
            <w:tcBorders>
              <w:bottom w:val="single" w:sz="8" w:space="0" w:color="000000" w:themeColor="text1"/>
            </w:tcBorders>
            <w:vAlign w:val="bottom"/>
            <w:hideMark/>
          </w:tcPr>
          <w:p w14:paraId="4704D775" w14:textId="77777777" w:rsidR="00EB321F" w:rsidRPr="00261198" w:rsidRDefault="00EB321F" w:rsidP="00EB321F">
            <w:pPr>
              <w:jc w:val="both"/>
              <w:rPr>
                <w:rFonts w:ascii="Arial" w:hAnsi="Arial" w:cs="Arial"/>
                <w:color w:val="000000"/>
                <w:lang w:val="en-IN" w:eastAsia="en-IN"/>
              </w:rPr>
            </w:pPr>
            <w:r w:rsidRPr="00261198">
              <w:rPr>
                <w:rFonts w:ascii="Arial" w:hAnsi="Arial" w:cs="Arial"/>
                <w:color w:val="000000"/>
                <w:lang w:val="en-IN" w:eastAsia="en-IN"/>
              </w:rPr>
              <w:t>**</w:t>
            </w:r>
          </w:p>
        </w:tc>
      </w:tr>
    </w:tbl>
    <w:p w14:paraId="3DE09EDB" w14:textId="77777777" w:rsidR="00261198" w:rsidRDefault="00261198" w:rsidP="00441B6F">
      <w:pPr>
        <w:pStyle w:val="Body"/>
        <w:spacing w:after="0"/>
        <w:rPr>
          <w:rFonts w:ascii="Arial" w:hAnsi="Arial" w:cs="Arial"/>
        </w:rPr>
      </w:pPr>
    </w:p>
    <w:p w14:paraId="5F0020DD" w14:textId="195AEF0A" w:rsidR="00261198" w:rsidRPr="003B534E" w:rsidRDefault="001B1953" w:rsidP="00261198">
      <w:pPr>
        <w:pStyle w:val="Body"/>
        <w:rPr>
          <w:rFonts w:ascii="Arial" w:hAnsi="Arial" w:cs="Arial"/>
          <w:i/>
          <w:iCs/>
          <w:sz w:val="18"/>
          <w:szCs w:val="18"/>
          <w:lang w:val="en-IN"/>
        </w:rPr>
      </w:pPr>
      <w:r>
        <w:rPr>
          <w:rFonts w:ascii="Arial" w:hAnsi="Arial" w:cs="Arial"/>
          <w:i/>
          <w:iCs/>
          <w:sz w:val="18"/>
          <w:szCs w:val="18"/>
          <w:lang w:val="en-IN"/>
        </w:rPr>
        <w:t>D</w:t>
      </w:r>
      <w:r w:rsidR="00261198" w:rsidRPr="003B534E">
        <w:rPr>
          <w:rFonts w:ascii="Arial" w:hAnsi="Arial" w:cs="Arial"/>
          <w:i/>
          <w:iCs/>
          <w:sz w:val="18"/>
          <w:szCs w:val="18"/>
          <w:lang w:val="en-IN"/>
        </w:rPr>
        <w:t xml:space="preserve">ata are presented as Mean </w:t>
      </w:r>
      <m:oMath>
        <m:r>
          <w:rPr>
            <w:rFonts w:ascii="Cambria Math" w:hAnsi="Cambria Math" w:cs="Arial"/>
            <w:sz w:val="18"/>
            <w:szCs w:val="18"/>
            <w:lang w:val="en-IN"/>
          </w:rPr>
          <m:t>±</m:t>
        </m:r>
      </m:oMath>
      <w:r w:rsidR="00261198" w:rsidRPr="003B534E">
        <w:rPr>
          <w:rFonts w:ascii="Arial" w:hAnsi="Arial" w:cs="Arial"/>
          <w:i/>
          <w:iCs/>
          <w:sz w:val="18"/>
          <w:szCs w:val="18"/>
          <w:lang w:val="en-IN"/>
        </w:rPr>
        <w:t>SE</w:t>
      </w:r>
      <w:r w:rsidR="00E37399">
        <w:rPr>
          <w:rFonts w:ascii="Arial" w:hAnsi="Arial" w:cs="Arial"/>
          <w:i/>
          <w:iCs/>
          <w:sz w:val="18"/>
          <w:szCs w:val="18"/>
          <w:lang w:val="en-IN"/>
        </w:rPr>
        <w:t xml:space="preserve"> (n=3)</w:t>
      </w:r>
      <w:r w:rsidR="00261198" w:rsidRPr="003B534E">
        <w:rPr>
          <w:rFonts w:ascii="Arial" w:hAnsi="Arial" w:cs="Arial"/>
          <w:i/>
          <w:iCs/>
          <w:sz w:val="18"/>
          <w:szCs w:val="18"/>
          <w:lang w:val="en-IN"/>
        </w:rPr>
        <w:t xml:space="preserve">. Statistical significance was </w:t>
      </w:r>
      <w:proofErr w:type="spellStart"/>
      <w:r w:rsidR="00261198" w:rsidRPr="003B534E">
        <w:rPr>
          <w:rFonts w:ascii="Arial" w:hAnsi="Arial" w:cs="Arial"/>
          <w:i/>
          <w:iCs/>
          <w:sz w:val="18"/>
          <w:szCs w:val="18"/>
          <w:lang w:val="en-IN"/>
        </w:rPr>
        <w:t>analyzed</w:t>
      </w:r>
      <w:proofErr w:type="spellEnd"/>
      <w:r w:rsidR="00261198" w:rsidRPr="003B534E">
        <w:rPr>
          <w:rFonts w:ascii="Arial" w:hAnsi="Arial" w:cs="Arial"/>
          <w:i/>
          <w:iCs/>
          <w:sz w:val="18"/>
          <w:szCs w:val="18"/>
          <w:lang w:val="en-IN"/>
        </w:rPr>
        <w:t xml:space="preserve"> using Tukey’s HSD post-hoc test.</w:t>
      </w:r>
      <w:r w:rsidR="00E37399">
        <w:rPr>
          <w:rFonts w:ascii="Arial" w:hAnsi="Arial" w:cs="Arial"/>
          <w:i/>
          <w:iCs/>
          <w:sz w:val="18"/>
          <w:szCs w:val="18"/>
          <w:lang w:val="en-IN"/>
        </w:rPr>
        <w:t xml:space="preserve"> SE</w:t>
      </w:r>
      <w:r w:rsidR="00E37399" w:rsidRPr="00E37399">
        <w:rPr>
          <w:rFonts w:ascii="Arial" w:hAnsi="Arial" w:cs="Arial"/>
          <w:i/>
          <w:iCs/>
          <w:sz w:val="18"/>
          <w:szCs w:val="18"/>
          <w:vertAlign w:val="subscript"/>
          <w:lang w:val="en-IN"/>
        </w:rPr>
        <w:t>HSD</w:t>
      </w:r>
      <w:r w:rsidR="00E37399">
        <w:rPr>
          <w:rFonts w:ascii="Arial" w:hAnsi="Arial" w:cs="Arial"/>
          <w:i/>
          <w:iCs/>
          <w:sz w:val="18"/>
          <w:szCs w:val="18"/>
          <w:vertAlign w:val="subscript"/>
          <w:lang w:val="en-IN"/>
        </w:rPr>
        <w:t xml:space="preserve"> </w:t>
      </w:r>
      <w:r w:rsidR="00E37399">
        <w:rPr>
          <w:rFonts w:ascii="Arial" w:hAnsi="Arial" w:cs="Arial"/>
          <w:i/>
          <w:iCs/>
          <w:sz w:val="18"/>
          <w:szCs w:val="18"/>
          <w:lang w:val="en-IN"/>
        </w:rPr>
        <w:t xml:space="preserve">= </w:t>
      </w:r>
      <m:oMath>
        <m:rad>
          <m:radPr>
            <m:degHide m:val="1"/>
            <m:ctrlPr>
              <w:rPr>
                <w:rFonts w:ascii="Cambria Math" w:hAnsi="Cambria Math" w:cs="Arial"/>
                <w:i/>
                <w:iCs/>
                <w:sz w:val="18"/>
                <w:szCs w:val="18"/>
                <w:lang w:val="en-IN"/>
              </w:rPr>
            </m:ctrlPr>
          </m:radPr>
          <m:deg/>
          <m:e>
            <m:f>
              <m:fPr>
                <m:ctrlPr>
                  <w:rPr>
                    <w:rFonts w:ascii="Cambria Math" w:hAnsi="Cambria Math" w:cs="Arial"/>
                    <w:i/>
                    <w:iCs/>
                    <w:sz w:val="18"/>
                    <w:szCs w:val="18"/>
                    <w:lang w:val="en-IN"/>
                  </w:rPr>
                </m:ctrlPr>
              </m:fPr>
              <m:num>
                <m:r>
                  <w:rPr>
                    <w:rFonts w:ascii="Cambria Math" w:hAnsi="Cambria Math" w:cs="Arial"/>
                    <w:sz w:val="18"/>
                    <w:szCs w:val="18"/>
                    <w:lang w:val="en-IN"/>
                  </w:rPr>
                  <m:t>M</m:t>
                </m:r>
                <m:sSub>
                  <m:sSubPr>
                    <m:ctrlPr>
                      <w:rPr>
                        <w:rFonts w:ascii="Cambria Math" w:hAnsi="Cambria Math" w:cs="Arial"/>
                        <w:i/>
                        <w:iCs/>
                        <w:sz w:val="18"/>
                        <w:szCs w:val="18"/>
                        <w:lang w:val="en-IN"/>
                      </w:rPr>
                    </m:ctrlPr>
                  </m:sSubPr>
                  <m:e>
                    <m:r>
                      <w:rPr>
                        <w:rFonts w:ascii="Cambria Math" w:hAnsi="Cambria Math" w:cs="Arial"/>
                        <w:sz w:val="18"/>
                        <w:szCs w:val="18"/>
                        <w:lang w:val="en-IN"/>
                      </w:rPr>
                      <m:t>S</m:t>
                    </m:r>
                  </m:e>
                  <m:sub>
                    <m:r>
                      <m:rPr>
                        <m:nor/>
                      </m:rPr>
                      <w:rPr>
                        <w:rFonts w:ascii="Arial" w:hAnsi="Arial" w:cs="Arial"/>
                        <w:i/>
                        <w:iCs/>
                        <w:sz w:val="18"/>
                        <w:szCs w:val="18"/>
                        <w:lang w:val="en-IN"/>
                      </w:rPr>
                      <m:t>Error</m:t>
                    </m:r>
                  </m:sub>
                </m:sSub>
              </m:num>
              <m:den>
                <m:r>
                  <w:rPr>
                    <w:rFonts w:ascii="Cambria Math" w:hAnsi="Cambria Math" w:cs="Arial"/>
                    <w:sz w:val="18"/>
                    <w:szCs w:val="18"/>
                    <w:lang w:val="en-IN"/>
                  </w:rPr>
                  <m:t>n</m:t>
                </m:r>
              </m:den>
            </m:f>
          </m:e>
        </m:rad>
      </m:oMath>
      <w:r w:rsidR="00E37399">
        <w:rPr>
          <w:rFonts w:ascii="Arial" w:hAnsi="Arial" w:cs="Arial"/>
          <w:i/>
          <w:iCs/>
          <w:sz w:val="18"/>
          <w:szCs w:val="18"/>
          <w:lang w:val="en-IN"/>
        </w:rPr>
        <w:t xml:space="preserve"> </w:t>
      </w:r>
      <w:r w:rsidR="00261198" w:rsidRPr="003B534E">
        <w:rPr>
          <w:rFonts w:ascii="Arial" w:hAnsi="Arial" w:cs="Arial"/>
          <w:i/>
          <w:iCs/>
          <w:sz w:val="18"/>
          <w:szCs w:val="18"/>
          <w:lang w:val="en-IN"/>
        </w:rPr>
        <w:t xml:space="preserve"> </w:t>
      </w:r>
      <w:r w:rsidR="00E37399">
        <w:rPr>
          <w:rFonts w:ascii="Arial" w:hAnsi="Arial" w:cs="Arial"/>
          <w:i/>
          <w:iCs/>
          <w:sz w:val="18"/>
          <w:szCs w:val="18"/>
          <w:lang w:val="en-IN"/>
        </w:rPr>
        <w:t xml:space="preserve">= 0.279, </w:t>
      </w:r>
      <w:r w:rsidR="00261198" w:rsidRPr="003B534E">
        <w:rPr>
          <w:rFonts w:ascii="Arial" w:hAnsi="Arial" w:cs="Arial"/>
          <w:i/>
          <w:iCs/>
          <w:sz w:val="18"/>
          <w:szCs w:val="18"/>
          <w:lang w:val="en-IN"/>
        </w:rPr>
        <w:t>Significance thresholds:</w:t>
      </w:r>
      <w:r w:rsidR="00DD2D58">
        <w:rPr>
          <w:rFonts w:ascii="Arial" w:hAnsi="Arial" w:cs="Arial"/>
          <w:i/>
          <w:iCs/>
          <w:sz w:val="18"/>
          <w:szCs w:val="18"/>
          <w:lang w:val="en-IN"/>
        </w:rPr>
        <w:t xml:space="preserve"> </w:t>
      </w:r>
      <w:r w:rsidR="00A8321F">
        <w:rPr>
          <w:rFonts w:ascii="Arial" w:hAnsi="Arial" w:cs="Arial"/>
          <w:i/>
          <w:iCs/>
          <w:sz w:val="18"/>
          <w:szCs w:val="18"/>
          <w:lang w:val="en-IN"/>
        </w:rPr>
        <w:t>** (p &lt; 0.01); *** (p &lt;0.001), **** (p &lt; 0.0001).</w:t>
      </w:r>
      <w:r w:rsidR="00261198" w:rsidRPr="003B534E">
        <w:rPr>
          <w:rFonts w:ascii="Arial" w:hAnsi="Arial" w:cs="Arial"/>
          <w:i/>
          <w:iCs/>
          <w:sz w:val="18"/>
          <w:szCs w:val="18"/>
          <w:lang w:val="en-IN"/>
        </w:rPr>
        <w:t xml:space="preserve"> </w:t>
      </w:r>
    </w:p>
    <w:p w14:paraId="7B65FB00" w14:textId="77777777" w:rsidR="00261198" w:rsidRPr="003B534E" w:rsidRDefault="00261198" w:rsidP="00441B6F">
      <w:pPr>
        <w:pStyle w:val="Body"/>
        <w:spacing w:after="0"/>
        <w:rPr>
          <w:rFonts w:ascii="Arial" w:hAnsi="Arial" w:cs="Arial"/>
          <w:i/>
          <w:iCs/>
          <w:sz w:val="18"/>
          <w:szCs w:val="18"/>
        </w:rPr>
      </w:pPr>
    </w:p>
    <w:p w14:paraId="4A610572" w14:textId="586D2B85" w:rsidR="00865130" w:rsidRDefault="00865130" w:rsidP="00865130">
      <w:pPr>
        <w:pStyle w:val="Body"/>
        <w:spacing w:after="0"/>
        <w:jc w:val="left"/>
        <w:rPr>
          <w:rFonts w:ascii="Arial" w:hAnsi="Arial" w:cs="Arial"/>
          <w:b/>
          <w:bCs/>
          <w:sz w:val="22"/>
          <w:szCs w:val="22"/>
        </w:rPr>
      </w:pPr>
      <w:r>
        <w:rPr>
          <w:rFonts w:ascii="Arial" w:hAnsi="Arial" w:cs="Arial"/>
          <w:b/>
          <w:bCs/>
          <w:sz w:val="22"/>
          <w:szCs w:val="22"/>
        </w:rPr>
        <w:t xml:space="preserve">3.3 Stress vulnerability and mechanical shock recovery (Vortex assay for </w:t>
      </w:r>
      <w:r w:rsidRPr="0067253C">
        <w:rPr>
          <w:rFonts w:ascii="Arial" w:hAnsi="Arial" w:cs="Arial"/>
          <w:b/>
          <w:bCs/>
          <w:sz w:val="22"/>
          <w:szCs w:val="22"/>
        </w:rPr>
        <w:t>Mechanical shock recovery</w:t>
      </w:r>
      <w:r>
        <w:rPr>
          <w:rFonts w:ascii="Arial" w:hAnsi="Arial" w:cs="Arial"/>
          <w:b/>
          <w:bCs/>
          <w:sz w:val="22"/>
          <w:szCs w:val="22"/>
        </w:rPr>
        <w:t>)</w:t>
      </w:r>
    </w:p>
    <w:p w14:paraId="4BB364B1" w14:textId="77777777" w:rsidR="00391941" w:rsidRDefault="00391941" w:rsidP="00441B6F">
      <w:pPr>
        <w:pStyle w:val="Body"/>
        <w:spacing w:after="0"/>
        <w:rPr>
          <w:rFonts w:ascii="Arial" w:hAnsi="Arial" w:cs="Arial"/>
        </w:rPr>
      </w:pPr>
    </w:p>
    <w:p w14:paraId="23E205E5" w14:textId="2B1C341D" w:rsidR="00DB7AB2" w:rsidRPr="00D073D3" w:rsidRDefault="00DB7AB2" w:rsidP="00DB7AB2">
      <w:pPr>
        <w:pStyle w:val="Body"/>
        <w:rPr>
          <w:rFonts w:ascii="Arial" w:hAnsi="Arial" w:cs="Arial"/>
          <w:color w:val="000000"/>
          <w:lang w:val="en-IN"/>
        </w:rPr>
      </w:pPr>
      <w:r w:rsidRPr="00D073D3">
        <w:rPr>
          <w:rFonts w:ascii="Arial" w:hAnsi="Arial" w:cs="Arial"/>
          <w:color w:val="000000"/>
          <w:lang w:val="en-IN"/>
        </w:rPr>
        <w:t xml:space="preserve">Post-seizure recovery kinetics across all experimental conditions were recorded. Among the experimental groups, seizure </w:t>
      </w:r>
      <w:proofErr w:type="spellStart"/>
      <w:r w:rsidRPr="00D073D3">
        <w:rPr>
          <w:rFonts w:ascii="Arial" w:hAnsi="Arial" w:cs="Arial"/>
          <w:color w:val="000000"/>
          <w:lang w:val="en-IN"/>
        </w:rPr>
        <w:t>behavior</w:t>
      </w:r>
      <w:proofErr w:type="spellEnd"/>
      <w:r w:rsidRPr="00D073D3">
        <w:rPr>
          <w:rFonts w:ascii="Arial" w:hAnsi="Arial" w:cs="Arial"/>
          <w:color w:val="000000"/>
          <w:lang w:val="en-IN"/>
        </w:rPr>
        <w:t xml:space="preserve"> (i.e., leg twitching</w:t>
      </w:r>
      <w:r w:rsidR="00500DC0" w:rsidRPr="00D073D3">
        <w:rPr>
          <w:rFonts w:ascii="Arial" w:hAnsi="Arial" w:cs="Arial"/>
          <w:color w:val="000000"/>
          <w:lang w:val="en-IN"/>
        </w:rPr>
        <w:t xml:space="preserve"> or </w:t>
      </w:r>
      <w:r w:rsidRPr="00D073D3">
        <w:rPr>
          <w:rFonts w:ascii="Arial" w:hAnsi="Arial" w:cs="Arial"/>
          <w:color w:val="000000"/>
          <w:lang w:val="en-IN"/>
        </w:rPr>
        <w:t xml:space="preserve">jerking, wing flapping, paralysis, and proboscis extension) was much lower in the UV-treated groups than in the others. Kaplan-Meier cumulative probability curves show that UV-C radiation exposure significantly </w:t>
      </w:r>
      <w:r w:rsidR="00500DC0" w:rsidRPr="00D073D3">
        <w:rPr>
          <w:rFonts w:ascii="Arial" w:hAnsi="Arial" w:cs="Arial"/>
          <w:color w:val="000000"/>
          <w:lang w:val="en-IN"/>
        </w:rPr>
        <w:t xml:space="preserve">(p&lt;0.05) </w:t>
      </w:r>
      <w:r w:rsidRPr="00D073D3">
        <w:rPr>
          <w:rFonts w:ascii="Arial" w:hAnsi="Arial" w:cs="Arial"/>
          <w:color w:val="000000"/>
          <w:lang w:val="en-IN"/>
        </w:rPr>
        <w:t>delayed</w:t>
      </w:r>
      <w:r w:rsidR="00500DC0" w:rsidRPr="00D073D3">
        <w:rPr>
          <w:rFonts w:ascii="Arial" w:hAnsi="Arial" w:cs="Arial"/>
          <w:color w:val="000000"/>
          <w:lang w:val="en-IN"/>
        </w:rPr>
        <w:t xml:space="preserve"> post-seizure</w:t>
      </w:r>
      <w:r w:rsidRPr="00D073D3">
        <w:rPr>
          <w:rFonts w:ascii="Arial" w:hAnsi="Arial" w:cs="Arial"/>
          <w:color w:val="000000"/>
          <w:lang w:val="en-IN"/>
        </w:rPr>
        <w:t xml:space="preserve"> recovery</w:t>
      </w:r>
      <w:r w:rsidR="00E2628A">
        <w:rPr>
          <w:rFonts w:ascii="Arial" w:hAnsi="Arial" w:cs="Arial"/>
          <w:color w:val="000000"/>
          <w:lang w:val="en-IN"/>
        </w:rPr>
        <w:t xml:space="preserve"> time</w:t>
      </w:r>
      <w:r w:rsidRPr="00D073D3">
        <w:rPr>
          <w:rFonts w:ascii="Arial" w:hAnsi="Arial" w:cs="Arial"/>
          <w:color w:val="000000"/>
          <w:lang w:val="en-IN"/>
        </w:rPr>
        <w:t xml:space="preserve"> relative to</w:t>
      </w:r>
      <w:r w:rsidR="00500DC0" w:rsidRPr="00D073D3">
        <w:rPr>
          <w:rFonts w:ascii="Arial" w:hAnsi="Arial" w:cs="Arial"/>
          <w:color w:val="000000"/>
          <w:lang w:val="en-IN"/>
        </w:rPr>
        <w:t xml:space="preserve"> the C and pre-Q groups</w:t>
      </w:r>
      <w:r w:rsidR="00E2628A">
        <w:rPr>
          <w:rFonts w:ascii="Arial" w:hAnsi="Arial" w:cs="Arial"/>
          <w:color w:val="000000"/>
          <w:lang w:val="en-IN"/>
        </w:rPr>
        <w:t xml:space="preserve"> This</w:t>
      </w:r>
      <w:r w:rsidRPr="00D073D3">
        <w:rPr>
          <w:rFonts w:ascii="Arial" w:hAnsi="Arial" w:cs="Arial"/>
          <w:color w:val="000000"/>
          <w:lang w:val="en-IN"/>
        </w:rPr>
        <w:t xml:space="preserve"> confirm</w:t>
      </w:r>
      <w:r w:rsidR="00E2628A">
        <w:rPr>
          <w:rFonts w:ascii="Arial" w:hAnsi="Arial" w:cs="Arial"/>
          <w:color w:val="000000"/>
          <w:lang w:val="en-IN"/>
        </w:rPr>
        <w:t>s</w:t>
      </w:r>
      <w:r w:rsidRPr="00D073D3">
        <w:rPr>
          <w:rFonts w:ascii="Arial" w:hAnsi="Arial" w:cs="Arial"/>
          <w:color w:val="000000"/>
          <w:lang w:val="en-IN"/>
        </w:rPr>
        <w:t xml:space="preserve"> that UV exposure induces significant neurofunctional impairment (Fig. 4). The UV recovery curve is substantially right-shifted and displays the shallowest slope among all groups (reaching</w:t>
      </w:r>
      <w:r w:rsidR="00417676">
        <w:rPr>
          <w:rFonts w:ascii="Arial" w:hAnsi="Arial" w:cs="Arial"/>
          <w:color w:val="000000"/>
          <w:lang w:val="en-IN"/>
        </w:rPr>
        <w:t xml:space="preserve"> ET</w:t>
      </w:r>
      <w:r w:rsidR="00417676">
        <w:rPr>
          <w:rFonts w:ascii="Arial" w:hAnsi="Arial" w:cs="Arial"/>
          <w:color w:val="000000"/>
          <w:vertAlign w:val="subscript"/>
          <w:lang w:val="en-IN"/>
        </w:rPr>
        <w:t>50</w:t>
      </w:r>
      <w:r w:rsidRPr="00D073D3">
        <w:rPr>
          <w:rFonts w:ascii="Arial" w:hAnsi="Arial" w:cs="Arial"/>
          <w:color w:val="000000"/>
          <w:lang w:val="en-IN"/>
        </w:rPr>
        <w:t xml:space="preserve"> at</w:t>
      </w:r>
      <w:r w:rsidR="00D073D3">
        <w:rPr>
          <w:rFonts w:ascii="Arial" w:hAnsi="Arial" w:cs="Arial"/>
          <w:color w:val="000000"/>
          <w:lang w:val="en-IN"/>
        </w:rPr>
        <w:t xml:space="preserve"> 40.5s)</w:t>
      </w:r>
      <w:r w:rsidRPr="00D073D3">
        <w:rPr>
          <w:rFonts w:ascii="Arial" w:hAnsi="Arial" w:cs="Arial"/>
          <w:color w:val="000000"/>
          <w:lang w:val="en-IN"/>
        </w:rPr>
        <w:t>. Conversely, quercetin pre-treatment in the Q+UV group markedly rescued these kinetics by recovering significantly faster, reaching</w:t>
      </w:r>
      <w:r w:rsidR="00417676">
        <w:rPr>
          <w:rFonts w:ascii="Arial" w:hAnsi="Arial" w:cs="Arial"/>
          <w:color w:val="000000"/>
          <w:lang w:val="en-IN"/>
        </w:rPr>
        <w:t xml:space="preserve"> ET</w:t>
      </w:r>
      <w:r w:rsidR="00417676">
        <w:rPr>
          <w:rFonts w:ascii="Arial" w:hAnsi="Arial" w:cs="Arial"/>
          <w:color w:val="000000"/>
          <w:vertAlign w:val="subscript"/>
          <w:lang w:val="en-IN"/>
        </w:rPr>
        <w:t>50</w:t>
      </w:r>
      <w:r w:rsidRPr="00D073D3">
        <w:rPr>
          <w:rFonts w:ascii="Arial" w:hAnsi="Arial" w:cs="Arial"/>
          <w:color w:val="000000"/>
          <w:lang w:val="en-IN"/>
        </w:rPr>
        <w:t xml:space="preserve"> at</w:t>
      </w:r>
      <w:r w:rsidR="00433594" w:rsidRPr="00D073D3">
        <w:rPr>
          <w:rFonts w:ascii="Arial" w:hAnsi="Arial" w:cs="Arial"/>
          <w:color w:val="000000"/>
          <w:lang w:val="en-IN"/>
        </w:rPr>
        <w:t xml:space="preserve"> 26.5s</w:t>
      </w:r>
      <w:r w:rsidRPr="00D073D3">
        <w:rPr>
          <w:rFonts w:ascii="Arial" w:hAnsi="Arial" w:cs="Arial"/>
          <w:color w:val="000000"/>
          <w:lang w:val="en-IN"/>
        </w:rPr>
        <w:t xml:space="preserve"> and full cohort recovery by</w:t>
      </w:r>
      <w:r w:rsidR="00417676">
        <w:rPr>
          <w:rFonts w:ascii="Arial" w:hAnsi="Arial" w:cs="Arial"/>
          <w:color w:val="000000"/>
          <w:lang w:val="en-IN"/>
        </w:rPr>
        <w:t xml:space="preserve"> 29s</w:t>
      </w:r>
      <w:r w:rsidRPr="00D073D3">
        <w:rPr>
          <w:rFonts w:ascii="Arial" w:hAnsi="Arial" w:cs="Arial"/>
          <w:color w:val="000000"/>
          <w:lang w:val="en-IN"/>
        </w:rPr>
        <w:t xml:space="preserve">. Inter-group statistical differences in post-seizure recovery kinetics were evaluated using the Log-Rank (Mantel-Cox) test, which confirmed that </w:t>
      </w:r>
      <w:r w:rsidR="00417676">
        <w:rPr>
          <w:rFonts w:ascii="Arial" w:hAnsi="Arial" w:cs="Arial"/>
          <w:color w:val="000000"/>
          <w:lang w:val="en-IN"/>
        </w:rPr>
        <w:t xml:space="preserve">recovery kinetics differed significantly among the four conditions </w:t>
      </w:r>
      <w:r w:rsidRPr="00D073D3">
        <w:rPr>
          <w:rFonts w:ascii="Arial" w:hAnsi="Arial" w:cs="Arial"/>
          <w:color w:val="000000"/>
          <w:lang w:val="en-IN"/>
        </w:rPr>
        <w:t xml:space="preserve">(Table </w:t>
      </w:r>
      <w:r w:rsidR="008A7052">
        <w:rPr>
          <w:rFonts w:ascii="Arial" w:hAnsi="Arial" w:cs="Arial"/>
          <w:color w:val="000000"/>
          <w:lang w:val="en-IN"/>
        </w:rPr>
        <w:t>4</w:t>
      </w:r>
      <w:r w:rsidRPr="00D073D3">
        <w:rPr>
          <w:rFonts w:ascii="Arial" w:hAnsi="Arial" w:cs="Arial"/>
          <w:color w:val="000000"/>
          <w:lang w:val="en-IN"/>
        </w:rPr>
        <w:t>). Overall, quercetin preserves post-seizure recovery under UV stress.</w:t>
      </w:r>
    </w:p>
    <w:p w14:paraId="1D0716A5" w14:textId="5B9B2A9A" w:rsidR="00FE3C0B" w:rsidRPr="00FE3C0B" w:rsidRDefault="00CD6D40" w:rsidP="00FE3C0B">
      <w:pPr>
        <w:pStyle w:val="Body"/>
        <w:rPr>
          <w:color w:val="000000"/>
        </w:rPr>
      </w:pPr>
      <w:r w:rsidRPr="00BA2CF2">
        <w:rPr>
          <w:noProof/>
          <w:color w:val="FFC000"/>
        </w:rPr>
        <w:lastRenderedPageBreak/>
        <w:drawing>
          <wp:inline distT="0" distB="0" distL="0" distR="0" wp14:anchorId="69E90A6E" wp14:editId="0D2AC761">
            <wp:extent cx="4839286" cy="3608070"/>
            <wp:effectExtent l="0" t="0" r="0" b="11430"/>
            <wp:docPr id="1860178988" name="Chart 1">
              <a:extLst xmlns:a="http://schemas.openxmlformats.org/drawingml/2006/main">
                <a:ext uri="{FF2B5EF4-FFF2-40B4-BE49-F238E27FC236}">
                  <a16:creationId xmlns:a16="http://schemas.microsoft.com/office/drawing/2014/main" id="{63CA775E-445A-0D96-55A5-6DB6026D94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9D949B0" w14:textId="77777777" w:rsidR="00FE3C0B" w:rsidRDefault="00FE3C0B" w:rsidP="00441B6F">
      <w:pPr>
        <w:pStyle w:val="Body"/>
        <w:spacing w:after="0"/>
        <w:rPr>
          <w:rFonts w:ascii="Arial" w:hAnsi="Arial" w:cs="Arial"/>
        </w:rPr>
      </w:pPr>
    </w:p>
    <w:p w14:paraId="0FE7CE0C" w14:textId="4D3C81F0" w:rsidR="007E431A" w:rsidRDefault="007E431A" w:rsidP="007E431A">
      <w:pPr>
        <w:pStyle w:val="Caption"/>
        <w:jc w:val="both"/>
        <w:rPr>
          <w:rFonts w:ascii="Arial" w:hAnsi="Arial" w:cs="Arial"/>
          <w:b/>
          <w:bCs/>
          <w:i w:val="0"/>
          <w:iCs w:val="0"/>
          <w:color w:val="auto"/>
          <w:sz w:val="20"/>
          <w:szCs w:val="20"/>
        </w:rPr>
      </w:pPr>
      <w:r w:rsidRPr="007E431A">
        <w:rPr>
          <w:rFonts w:ascii="Arial" w:hAnsi="Arial" w:cs="Arial"/>
          <w:b/>
          <w:bCs/>
          <w:i w:val="0"/>
          <w:iCs w:val="0"/>
          <w:color w:val="auto"/>
          <w:sz w:val="20"/>
          <w:szCs w:val="20"/>
        </w:rPr>
        <w:t xml:space="preserve">Fig. 4. </w:t>
      </w:r>
      <w:r w:rsidR="00BA2CF2">
        <w:rPr>
          <w:rFonts w:ascii="Arial" w:hAnsi="Arial" w:cs="Arial"/>
          <w:b/>
          <w:bCs/>
          <w:i w:val="0"/>
          <w:iCs w:val="0"/>
          <w:color w:val="auto"/>
          <w:sz w:val="20"/>
          <w:szCs w:val="20"/>
        </w:rPr>
        <w:t>Analysis</w:t>
      </w:r>
      <w:r w:rsidR="00F32DBC" w:rsidRPr="00F32DBC">
        <w:rPr>
          <w:rFonts w:ascii="Arial" w:hAnsi="Arial" w:cs="Arial"/>
          <w:b/>
          <w:bCs/>
          <w:i w:val="0"/>
          <w:iCs w:val="0"/>
          <w:color w:val="auto"/>
          <w:sz w:val="20"/>
          <w:szCs w:val="20"/>
        </w:rPr>
        <w:t xml:space="preserve"> </w:t>
      </w:r>
      <w:r w:rsidR="00BA2CF2" w:rsidRPr="00BA2CF2">
        <w:rPr>
          <w:rFonts w:ascii="Arial" w:hAnsi="Arial" w:cs="Arial"/>
          <w:b/>
          <w:bCs/>
          <w:i w:val="0"/>
          <w:iCs w:val="0"/>
          <w:color w:val="auto"/>
          <w:sz w:val="20"/>
          <w:szCs w:val="20"/>
        </w:rPr>
        <w:t>of post-seizure recovery kinetics</w:t>
      </w:r>
      <w:r w:rsidR="00DE518A">
        <w:rPr>
          <w:rFonts w:ascii="Arial" w:hAnsi="Arial" w:cs="Arial"/>
          <w:b/>
          <w:bCs/>
          <w:i w:val="0"/>
          <w:iCs w:val="0"/>
          <w:color w:val="auto"/>
          <w:sz w:val="20"/>
          <w:szCs w:val="20"/>
        </w:rPr>
        <w:t xml:space="preserve"> using </w:t>
      </w:r>
      <w:r w:rsidR="00DE518A" w:rsidRPr="00DE518A">
        <w:rPr>
          <w:rFonts w:ascii="Arial" w:hAnsi="Arial" w:cs="Arial"/>
          <w:b/>
          <w:bCs/>
          <w:i w:val="0"/>
          <w:iCs w:val="0"/>
          <w:color w:val="auto"/>
          <w:sz w:val="20"/>
          <w:szCs w:val="20"/>
        </w:rPr>
        <w:t>Kaplan-Meier recovery curves</w:t>
      </w:r>
      <w:r w:rsidR="00BA2CF2" w:rsidRPr="00BA2CF2">
        <w:rPr>
          <w:rFonts w:ascii="Arial" w:hAnsi="Arial" w:cs="Arial"/>
          <w:b/>
          <w:bCs/>
          <w:i w:val="0"/>
          <w:iCs w:val="0"/>
          <w:color w:val="auto"/>
          <w:sz w:val="20"/>
          <w:szCs w:val="20"/>
        </w:rPr>
        <w:t xml:space="preserve"> across all experimental </w:t>
      </w:r>
      <w:r w:rsidR="00BA2CF2">
        <w:rPr>
          <w:rFonts w:ascii="Arial" w:hAnsi="Arial" w:cs="Arial"/>
          <w:b/>
          <w:bCs/>
          <w:i w:val="0"/>
          <w:iCs w:val="0"/>
          <w:color w:val="auto"/>
          <w:sz w:val="20"/>
          <w:szCs w:val="20"/>
        </w:rPr>
        <w:t>groups</w:t>
      </w:r>
      <w:r w:rsidR="00F32DBC" w:rsidRPr="00F32DBC">
        <w:rPr>
          <w:rFonts w:ascii="Arial" w:hAnsi="Arial" w:cs="Arial"/>
          <w:b/>
          <w:bCs/>
          <w:i w:val="0"/>
          <w:iCs w:val="0"/>
          <w:color w:val="auto"/>
          <w:sz w:val="20"/>
          <w:szCs w:val="20"/>
        </w:rPr>
        <w:t>.</w:t>
      </w:r>
      <w:r w:rsidR="00E05993">
        <w:rPr>
          <w:rFonts w:ascii="Arial" w:hAnsi="Arial" w:cs="Arial"/>
          <w:b/>
          <w:bCs/>
          <w:i w:val="0"/>
          <w:iCs w:val="0"/>
          <w:color w:val="auto"/>
          <w:sz w:val="20"/>
          <w:szCs w:val="20"/>
        </w:rPr>
        <w:t xml:space="preserve"> </w:t>
      </w:r>
    </w:p>
    <w:p w14:paraId="50045254" w14:textId="19B47327" w:rsidR="003E7792" w:rsidRPr="003E7792" w:rsidRDefault="003E7792" w:rsidP="00B77F37">
      <w:pPr>
        <w:jc w:val="both"/>
        <w:rPr>
          <w:rFonts w:ascii="Arial" w:hAnsi="Arial" w:cs="Arial"/>
          <w:i/>
          <w:iCs/>
          <w:sz w:val="18"/>
          <w:szCs w:val="18"/>
          <w:lang w:val="en-IN"/>
        </w:rPr>
      </w:pPr>
      <w:r w:rsidRPr="003E7792">
        <w:rPr>
          <w:rFonts w:ascii="Arial" w:hAnsi="Arial" w:cs="Arial"/>
          <w:i/>
          <w:iCs/>
          <w:sz w:val="18"/>
          <w:szCs w:val="18"/>
          <w:lang w:val="en-IN"/>
        </w:rPr>
        <w:t>Curves display the cumulative probability of subjects remaining in a post-seizure unrecovered state over time</w:t>
      </w:r>
      <w:r w:rsidR="006E2EE1">
        <w:rPr>
          <w:rFonts w:ascii="Arial" w:hAnsi="Arial" w:cs="Arial"/>
          <w:i/>
          <w:iCs/>
          <w:sz w:val="18"/>
          <w:szCs w:val="18"/>
          <w:lang w:val="en-IN"/>
        </w:rPr>
        <w:t xml:space="preserve"> (s)</w:t>
      </w:r>
      <w:r w:rsidRPr="003E7792">
        <w:rPr>
          <w:rFonts w:ascii="Arial" w:hAnsi="Arial" w:cs="Arial"/>
          <w:i/>
          <w:iCs/>
          <w:sz w:val="18"/>
          <w:szCs w:val="18"/>
          <w:lang w:val="en-IN"/>
        </w:rPr>
        <w:t xml:space="preserve">. Subjects pre-treated with quercetin followed by UV-C exposure (Q+UV, </w:t>
      </w:r>
      <w:r>
        <w:rPr>
          <w:rFonts w:ascii="Arial" w:hAnsi="Arial" w:cs="Arial"/>
          <w:i/>
          <w:iCs/>
          <w:sz w:val="18"/>
          <w:szCs w:val="18"/>
          <w:lang w:val="en-IN"/>
        </w:rPr>
        <w:t>yellow</w:t>
      </w:r>
      <w:r w:rsidRPr="003E7792">
        <w:rPr>
          <w:rFonts w:ascii="Arial" w:hAnsi="Arial" w:cs="Arial"/>
          <w:i/>
          <w:iCs/>
          <w:sz w:val="18"/>
          <w:szCs w:val="18"/>
          <w:lang w:val="en-IN"/>
        </w:rPr>
        <w:t xml:space="preserve">) exhibited significantly accelerated recovery kinetics compared to the UV-C exposed group without pre-treatment (UV, red). Control (C, </w:t>
      </w:r>
      <w:r>
        <w:rPr>
          <w:rFonts w:ascii="Arial" w:hAnsi="Arial" w:cs="Arial"/>
          <w:i/>
          <w:iCs/>
          <w:sz w:val="18"/>
          <w:szCs w:val="18"/>
          <w:lang w:val="en-IN"/>
        </w:rPr>
        <w:t>violet</w:t>
      </w:r>
      <w:r w:rsidRPr="003E7792">
        <w:rPr>
          <w:rFonts w:ascii="Arial" w:hAnsi="Arial" w:cs="Arial"/>
          <w:i/>
          <w:iCs/>
          <w:sz w:val="18"/>
          <w:szCs w:val="18"/>
          <w:lang w:val="en-IN"/>
        </w:rPr>
        <w:t xml:space="preserve">) and Pre-treatment Quercetin (Pre-Q, </w:t>
      </w:r>
      <w:r>
        <w:rPr>
          <w:rFonts w:ascii="Arial" w:hAnsi="Arial" w:cs="Arial"/>
          <w:i/>
          <w:iCs/>
          <w:sz w:val="18"/>
          <w:szCs w:val="18"/>
          <w:lang w:val="en-IN"/>
        </w:rPr>
        <w:t>green</w:t>
      </w:r>
      <w:r w:rsidRPr="003E7792">
        <w:rPr>
          <w:rFonts w:ascii="Arial" w:hAnsi="Arial" w:cs="Arial"/>
          <w:i/>
          <w:iCs/>
          <w:sz w:val="18"/>
          <w:szCs w:val="18"/>
          <w:lang w:val="en-IN"/>
        </w:rPr>
        <w:t xml:space="preserve">) groups exhibited rapid recovery dynamics. </w:t>
      </w:r>
    </w:p>
    <w:p w14:paraId="03BA1994" w14:textId="77777777" w:rsidR="00E05993" w:rsidRDefault="00E05993" w:rsidP="00E05993">
      <w:pPr>
        <w:rPr>
          <w:rFonts w:ascii="Arial" w:hAnsi="Arial" w:cs="Arial"/>
          <w:i/>
          <w:iCs/>
          <w:sz w:val="18"/>
          <w:szCs w:val="18"/>
        </w:rPr>
      </w:pPr>
    </w:p>
    <w:p w14:paraId="28E8D1E0" w14:textId="25569A62" w:rsidR="00BE126B" w:rsidRPr="00BE126B" w:rsidRDefault="00BE126B" w:rsidP="00BE126B">
      <w:pPr>
        <w:rPr>
          <w:rFonts w:ascii="Arial" w:hAnsi="Arial" w:cs="Arial"/>
          <w:b/>
          <w:bCs/>
          <w:lang w:val="en-IN"/>
        </w:rPr>
      </w:pPr>
      <w:r w:rsidRPr="00BE126B">
        <w:rPr>
          <w:rFonts w:ascii="Arial" w:hAnsi="Arial" w:cs="Arial"/>
          <w:b/>
          <w:bCs/>
          <w:lang w:val="en-IN"/>
        </w:rPr>
        <w:t xml:space="preserve">Table </w:t>
      </w:r>
      <w:r w:rsidR="001370EF">
        <w:rPr>
          <w:rFonts w:ascii="Arial" w:hAnsi="Arial" w:cs="Arial"/>
          <w:b/>
          <w:bCs/>
          <w:lang w:val="en-IN"/>
        </w:rPr>
        <w:t>4</w:t>
      </w:r>
      <w:r w:rsidRPr="00BE126B">
        <w:rPr>
          <w:rFonts w:ascii="Arial" w:hAnsi="Arial" w:cs="Arial"/>
          <w:b/>
          <w:bCs/>
          <w:lang w:val="en-IN"/>
        </w:rPr>
        <w:t>. Summary of post-seizure recovery kinetics and Kaplan-Meier Log-Rank statistics across experimental cohorts</w:t>
      </w:r>
    </w:p>
    <w:p w14:paraId="69A5AD4E" w14:textId="7DD946CC" w:rsidR="00255B93" w:rsidRDefault="00255B93" w:rsidP="00441B6F">
      <w:pPr>
        <w:pStyle w:val="Body"/>
        <w:spacing w:after="0"/>
        <w:rPr>
          <w:rFonts w:ascii="Arial" w:hAnsi="Arial" w:cs="Arial"/>
          <w:b/>
          <w:bCs/>
        </w:rPr>
      </w:pPr>
    </w:p>
    <w:tbl>
      <w:tblPr>
        <w:tblW w:w="8350"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696"/>
        <w:gridCol w:w="2132"/>
        <w:gridCol w:w="2268"/>
        <w:gridCol w:w="2254"/>
      </w:tblGrid>
      <w:tr w:rsidR="00BE126B" w:rsidRPr="00BF587C" w14:paraId="11AE596F" w14:textId="77777777" w:rsidTr="002B1896">
        <w:trPr>
          <w:trHeight w:val="315"/>
        </w:trPr>
        <w:tc>
          <w:tcPr>
            <w:tcW w:w="0" w:type="auto"/>
            <w:tcBorders>
              <w:top w:val="single" w:sz="4" w:space="0" w:color="0D0D0D" w:themeColor="text1" w:themeTint="F2"/>
              <w:bottom w:val="single" w:sz="4" w:space="0" w:color="0D0D0D" w:themeColor="text1" w:themeTint="F2"/>
            </w:tcBorders>
            <w:tcMar>
              <w:top w:w="30" w:type="dxa"/>
              <w:left w:w="45" w:type="dxa"/>
              <w:bottom w:w="30" w:type="dxa"/>
              <w:right w:w="45" w:type="dxa"/>
            </w:tcMar>
            <w:vAlign w:val="bottom"/>
            <w:hideMark/>
          </w:tcPr>
          <w:p w14:paraId="574CEDC9"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Experimental Cohort</w:t>
            </w:r>
          </w:p>
        </w:tc>
        <w:tc>
          <w:tcPr>
            <w:tcW w:w="2132" w:type="dxa"/>
            <w:tcBorders>
              <w:top w:val="single" w:sz="4" w:space="0" w:color="0D0D0D" w:themeColor="text1" w:themeTint="F2"/>
              <w:bottom w:val="single" w:sz="4" w:space="0" w:color="0D0D0D" w:themeColor="text1" w:themeTint="F2"/>
            </w:tcBorders>
            <w:tcMar>
              <w:top w:w="30" w:type="dxa"/>
              <w:left w:w="45" w:type="dxa"/>
              <w:bottom w:w="30" w:type="dxa"/>
              <w:right w:w="45" w:type="dxa"/>
            </w:tcMar>
            <w:vAlign w:val="bottom"/>
            <w:hideMark/>
          </w:tcPr>
          <w:p w14:paraId="3D4B2B2F" w14:textId="57CA0C9D" w:rsidR="00BE126B" w:rsidRPr="00BF587C" w:rsidRDefault="00BE126B" w:rsidP="00280993">
            <w:pPr>
              <w:pStyle w:val="Body"/>
              <w:jc w:val="center"/>
              <w:rPr>
                <w:rFonts w:ascii="Arial" w:hAnsi="Arial" w:cs="Arial"/>
                <w:b/>
                <w:bCs/>
                <w:lang w:val="en-IN"/>
              </w:rPr>
            </w:pPr>
            <w:r w:rsidRPr="00BF587C">
              <w:rPr>
                <w:rFonts w:ascii="Arial" w:hAnsi="Arial" w:cs="Arial"/>
                <w:b/>
                <w:bCs/>
                <w:lang w:val="en-IN"/>
              </w:rPr>
              <w:t>Median Recovery Tim</w:t>
            </w:r>
            <w:r w:rsidR="00280993" w:rsidRPr="00BF587C">
              <w:rPr>
                <w:rFonts w:ascii="Arial" w:hAnsi="Arial" w:cs="Arial"/>
                <w:b/>
                <w:bCs/>
                <w:lang w:val="en-IN"/>
              </w:rPr>
              <w:t xml:space="preserve">e </w:t>
            </w:r>
            <w:r w:rsidRPr="00BF587C">
              <w:rPr>
                <w:rFonts w:ascii="Arial" w:hAnsi="Arial" w:cs="Arial"/>
                <w:b/>
                <w:bCs/>
                <w:lang w:val="en-IN"/>
              </w:rPr>
              <w:t>(ET</w:t>
            </w:r>
            <w:r w:rsidRPr="004735AB">
              <w:rPr>
                <w:rFonts w:ascii="Arial" w:hAnsi="Arial" w:cs="Arial"/>
                <w:b/>
                <w:bCs/>
                <w:vertAlign w:val="subscript"/>
                <w:lang w:val="en-IN"/>
              </w:rPr>
              <w:t>50</w:t>
            </w:r>
            <w:r w:rsidRPr="00BF587C">
              <w:rPr>
                <w:rFonts w:ascii="Arial" w:hAnsi="Arial" w:cs="Arial"/>
                <w:b/>
                <w:bCs/>
                <w:lang w:val="en-IN"/>
              </w:rPr>
              <w:t>​, s)</w:t>
            </w:r>
          </w:p>
        </w:tc>
        <w:tc>
          <w:tcPr>
            <w:tcW w:w="2268" w:type="dxa"/>
            <w:tcBorders>
              <w:top w:val="single" w:sz="4" w:space="0" w:color="0D0D0D" w:themeColor="text1" w:themeTint="F2"/>
              <w:bottom w:val="single" w:sz="4" w:space="0" w:color="0D0D0D" w:themeColor="text1" w:themeTint="F2"/>
            </w:tcBorders>
            <w:tcMar>
              <w:top w:w="30" w:type="dxa"/>
              <w:left w:w="45" w:type="dxa"/>
              <w:bottom w:w="30" w:type="dxa"/>
              <w:right w:w="45" w:type="dxa"/>
            </w:tcMar>
            <w:vAlign w:val="bottom"/>
            <w:hideMark/>
          </w:tcPr>
          <w:p w14:paraId="07C48AE3" w14:textId="77777777" w:rsidR="00BE126B" w:rsidRPr="00BF587C" w:rsidRDefault="00BE126B" w:rsidP="00280993">
            <w:pPr>
              <w:pStyle w:val="Body"/>
              <w:jc w:val="center"/>
              <w:rPr>
                <w:rFonts w:ascii="Arial" w:hAnsi="Arial" w:cs="Arial"/>
                <w:b/>
                <w:bCs/>
                <w:lang w:val="en-IN"/>
              </w:rPr>
            </w:pPr>
            <w:r w:rsidRPr="00BF587C">
              <w:rPr>
                <w:rFonts w:ascii="Arial" w:hAnsi="Arial" w:cs="Arial"/>
                <w:b/>
                <w:bCs/>
                <w:lang w:val="en-IN"/>
              </w:rPr>
              <w:t>Total Recovery Time (ET</w:t>
            </w:r>
            <w:r w:rsidRPr="004735AB">
              <w:rPr>
                <w:rFonts w:ascii="Arial" w:hAnsi="Arial" w:cs="Arial"/>
                <w:b/>
                <w:bCs/>
                <w:vertAlign w:val="subscript"/>
                <w:lang w:val="en-IN"/>
              </w:rPr>
              <w:t>100</w:t>
            </w:r>
            <w:r w:rsidRPr="00BF587C">
              <w:rPr>
                <w:rFonts w:ascii="Arial" w:hAnsi="Arial" w:cs="Arial"/>
                <w:b/>
                <w:bCs/>
                <w:lang w:val="en-IN"/>
              </w:rPr>
              <w:t>​, s)</w:t>
            </w:r>
          </w:p>
        </w:tc>
        <w:tc>
          <w:tcPr>
            <w:tcW w:w="2254" w:type="dxa"/>
            <w:tcBorders>
              <w:top w:val="single" w:sz="4" w:space="0" w:color="0D0D0D" w:themeColor="text1" w:themeTint="F2"/>
              <w:bottom w:val="single" w:sz="4" w:space="0" w:color="0D0D0D" w:themeColor="text1" w:themeTint="F2"/>
            </w:tcBorders>
            <w:tcMar>
              <w:top w:w="30" w:type="dxa"/>
              <w:left w:w="0" w:type="dxa"/>
              <w:bottom w:w="30" w:type="dxa"/>
              <w:right w:w="0" w:type="dxa"/>
            </w:tcMar>
            <w:vAlign w:val="bottom"/>
            <w:hideMark/>
          </w:tcPr>
          <w:p w14:paraId="1A10CDA8" w14:textId="77777777" w:rsidR="00BE126B" w:rsidRPr="00BF587C" w:rsidRDefault="00BE126B" w:rsidP="00280993">
            <w:pPr>
              <w:pStyle w:val="Body"/>
              <w:jc w:val="center"/>
              <w:rPr>
                <w:rFonts w:ascii="Arial" w:hAnsi="Arial" w:cs="Arial"/>
                <w:b/>
                <w:bCs/>
                <w:lang w:val="en-IN"/>
              </w:rPr>
            </w:pPr>
            <w:r w:rsidRPr="00BF587C">
              <w:rPr>
                <w:rFonts w:ascii="Arial" w:hAnsi="Arial" w:cs="Arial"/>
                <w:b/>
                <w:bCs/>
                <w:lang w:val="en-IN"/>
              </w:rPr>
              <w:t>Log-Rank (Mantel-Cox) Test</w:t>
            </w:r>
          </w:p>
        </w:tc>
      </w:tr>
      <w:tr w:rsidR="00BE126B" w:rsidRPr="00BF587C" w14:paraId="55760773" w14:textId="77777777" w:rsidTr="002B1896">
        <w:trPr>
          <w:trHeight w:val="315"/>
        </w:trPr>
        <w:tc>
          <w:tcPr>
            <w:tcW w:w="0" w:type="auto"/>
            <w:tcBorders>
              <w:top w:val="single" w:sz="4" w:space="0" w:color="0D0D0D" w:themeColor="text1" w:themeTint="F2"/>
            </w:tcBorders>
            <w:tcMar>
              <w:top w:w="30" w:type="dxa"/>
              <w:left w:w="45" w:type="dxa"/>
              <w:bottom w:w="30" w:type="dxa"/>
              <w:right w:w="45" w:type="dxa"/>
            </w:tcMar>
            <w:vAlign w:val="bottom"/>
            <w:hideMark/>
          </w:tcPr>
          <w:p w14:paraId="68A9C207"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Control (C)</w:t>
            </w:r>
          </w:p>
        </w:tc>
        <w:tc>
          <w:tcPr>
            <w:tcW w:w="2132" w:type="dxa"/>
            <w:tcBorders>
              <w:top w:val="single" w:sz="4" w:space="0" w:color="0D0D0D" w:themeColor="text1" w:themeTint="F2"/>
            </w:tcBorders>
            <w:tcMar>
              <w:top w:w="30" w:type="dxa"/>
              <w:left w:w="45" w:type="dxa"/>
              <w:bottom w:w="30" w:type="dxa"/>
              <w:right w:w="45" w:type="dxa"/>
            </w:tcMar>
            <w:vAlign w:val="bottom"/>
            <w:hideMark/>
          </w:tcPr>
          <w:p w14:paraId="5385640D" w14:textId="77777777" w:rsidR="00BE126B" w:rsidRPr="00BF587C" w:rsidRDefault="00BE126B" w:rsidP="00BE126B">
            <w:pPr>
              <w:pStyle w:val="Body"/>
              <w:rPr>
                <w:rFonts w:ascii="Arial" w:hAnsi="Arial" w:cs="Arial"/>
                <w:lang w:val="en-IN"/>
              </w:rPr>
            </w:pPr>
            <w:r w:rsidRPr="00BF587C">
              <w:rPr>
                <w:rFonts w:ascii="Arial" w:hAnsi="Arial" w:cs="Arial"/>
                <w:lang w:val="en-IN"/>
              </w:rPr>
              <w:t>18.5</w:t>
            </w:r>
          </w:p>
        </w:tc>
        <w:tc>
          <w:tcPr>
            <w:tcW w:w="2268" w:type="dxa"/>
            <w:tcBorders>
              <w:top w:val="single" w:sz="4" w:space="0" w:color="0D0D0D" w:themeColor="text1" w:themeTint="F2"/>
            </w:tcBorders>
            <w:tcMar>
              <w:top w:w="30" w:type="dxa"/>
              <w:left w:w="45" w:type="dxa"/>
              <w:bottom w:w="30" w:type="dxa"/>
              <w:right w:w="45" w:type="dxa"/>
            </w:tcMar>
            <w:vAlign w:val="bottom"/>
            <w:hideMark/>
          </w:tcPr>
          <w:p w14:paraId="3F5C3AF0" w14:textId="77777777" w:rsidR="00BE126B" w:rsidRPr="00BF587C" w:rsidRDefault="00BE126B" w:rsidP="00BE126B">
            <w:pPr>
              <w:pStyle w:val="Body"/>
              <w:rPr>
                <w:rFonts w:ascii="Arial" w:hAnsi="Arial" w:cs="Arial"/>
                <w:lang w:val="en-IN"/>
              </w:rPr>
            </w:pPr>
            <w:r w:rsidRPr="00BF587C">
              <w:rPr>
                <w:rFonts w:ascii="Arial" w:hAnsi="Arial" w:cs="Arial"/>
                <w:lang w:val="en-IN"/>
              </w:rPr>
              <w:t>21</w:t>
            </w:r>
          </w:p>
        </w:tc>
        <w:tc>
          <w:tcPr>
            <w:tcW w:w="2254" w:type="dxa"/>
            <w:tcBorders>
              <w:top w:val="single" w:sz="4" w:space="0" w:color="0D0D0D" w:themeColor="text1" w:themeTint="F2"/>
            </w:tcBorders>
            <w:tcMar>
              <w:top w:w="30" w:type="dxa"/>
              <w:left w:w="0" w:type="dxa"/>
              <w:bottom w:w="30" w:type="dxa"/>
              <w:right w:w="0" w:type="dxa"/>
            </w:tcMar>
            <w:vAlign w:val="bottom"/>
            <w:hideMark/>
          </w:tcPr>
          <w:p w14:paraId="504DD876" w14:textId="5CD9A0A3" w:rsidR="00BE126B" w:rsidRPr="00BF587C" w:rsidRDefault="00D138C4" w:rsidP="00BE126B">
            <w:pPr>
              <w:pStyle w:val="Body"/>
              <w:rPr>
                <w:rFonts w:ascii="Arial" w:hAnsi="Arial" w:cs="Arial"/>
                <w:i/>
                <w:iCs/>
                <w:lang w:val="en-IN"/>
              </w:rPr>
            </w:pPr>
            <w:r w:rsidRPr="00BF587C">
              <w:rPr>
                <w:rFonts w:ascii="Arial" w:hAnsi="Arial" w:cs="Arial"/>
                <w:i/>
                <w:iCs/>
                <w:lang w:val="en-IN"/>
              </w:rPr>
              <w:t>χ</w:t>
            </w:r>
            <w:r w:rsidRPr="00BF587C">
              <w:rPr>
                <w:rFonts w:ascii="Arial" w:hAnsi="Arial" w:cs="Arial"/>
                <w:i/>
                <w:iCs/>
                <w:vertAlign w:val="superscript"/>
                <w:lang w:val="en-IN"/>
              </w:rPr>
              <w:t>2</w:t>
            </w:r>
            <w:r w:rsidRPr="00BF587C">
              <w:rPr>
                <w:rFonts w:ascii="Arial" w:hAnsi="Arial" w:cs="Arial"/>
                <w:i/>
                <w:iCs/>
                <w:lang w:val="en-IN"/>
              </w:rPr>
              <w:t>=10.82</w:t>
            </w:r>
          </w:p>
        </w:tc>
      </w:tr>
      <w:tr w:rsidR="00BE126B" w:rsidRPr="00BF587C" w14:paraId="08190E3B" w14:textId="77777777" w:rsidTr="00D138C4">
        <w:trPr>
          <w:trHeight w:val="315"/>
        </w:trPr>
        <w:tc>
          <w:tcPr>
            <w:tcW w:w="0" w:type="auto"/>
            <w:tcMar>
              <w:top w:w="30" w:type="dxa"/>
              <w:left w:w="45" w:type="dxa"/>
              <w:bottom w:w="30" w:type="dxa"/>
              <w:right w:w="45" w:type="dxa"/>
            </w:tcMar>
            <w:vAlign w:val="bottom"/>
            <w:hideMark/>
          </w:tcPr>
          <w:p w14:paraId="2C08A5CA"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Pre-Q</w:t>
            </w:r>
          </w:p>
        </w:tc>
        <w:tc>
          <w:tcPr>
            <w:tcW w:w="2132" w:type="dxa"/>
            <w:tcMar>
              <w:top w:w="30" w:type="dxa"/>
              <w:left w:w="45" w:type="dxa"/>
              <w:bottom w:w="30" w:type="dxa"/>
              <w:right w:w="45" w:type="dxa"/>
            </w:tcMar>
            <w:vAlign w:val="bottom"/>
            <w:hideMark/>
          </w:tcPr>
          <w:p w14:paraId="62CCF625" w14:textId="77777777" w:rsidR="00BE126B" w:rsidRPr="00BF587C" w:rsidRDefault="00BE126B" w:rsidP="00BE126B">
            <w:pPr>
              <w:pStyle w:val="Body"/>
              <w:rPr>
                <w:rFonts w:ascii="Arial" w:hAnsi="Arial" w:cs="Arial"/>
                <w:lang w:val="en-IN"/>
              </w:rPr>
            </w:pPr>
            <w:r w:rsidRPr="00BF587C">
              <w:rPr>
                <w:rFonts w:ascii="Arial" w:hAnsi="Arial" w:cs="Arial"/>
                <w:lang w:val="en-IN"/>
              </w:rPr>
              <w:t>20</w:t>
            </w:r>
          </w:p>
        </w:tc>
        <w:tc>
          <w:tcPr>
            <w:tcW w:w="2268" w:type="dxa"/>
            <w:tcMar>
              <w:top w:w="30" w:type="dxa"/>
              <w:left w:w="45" w:type="dxa"/>
              <w:bottom w:w="30" w:type="dxa"/>
              <w:right w:w="45" w:type="dxa"/>
            </w:tcMar>
            <w:vAlign w:val="bottom"/>
            <w:hideMark/>
          </w:tcPr>
          <w:p w14:paraId="6C0BD962" w14:textId="77777777" w:rsidR="00BE126B" w:rsidRPr="00BF587C" w:rsidRDefault="00BE126B" w:rsidP="00BE126B">
            <w:pPr>
              <w:pStyle w:val="Body"/>
              <w:rPr>
                <w:rFonts w:ascii="Arial" w:hAnsi="Arial" w:cs="Arial"/>
                <w:lang w:val="en-IN"/>
              </w:rPr>
            </w:pPr>
            <w:r w:rsidRPr="00BF587C">
              <w:rPr>
                <w:rFonts w:ascii="Arial" w:hAnsi="Arial" w:cs="Arial"/>
                <w:lang w:val="en-IN"/>
              </w:rPr>
              <w:t>23</w:t>
            </w:r>
          </w:p>
        </w:tc>
        <w:tc>
          <w:tcPr>
            <w:tcW w:w="2254" w:type="dxa"/>
            <w:tcMar>
              <w:top w:w="30" w:type="dxa"/>
              <w:left w:w="0" w:type="dxa"/>
              <w:bottom w:w="30" w:type="dxa"/>
              <w:right w:w="0" w:type="dxa"/>
            </w:tcMar>
            <w:vAlign w:val="bottom"/>
            <w:hideMark/>
          </w:tcPr>
          <w:p w14:paraId="1D9F6CAE" w14:textId="03CDEB36" w:rsidR="00BE126B" w:rsidRPr="00BF587C" w:rsidRDefault="00B77F37" w:rsidP="00BE126B">
            <w:pPr>
              <w:pStyle w:val="Body"/>
              <w:rPr>
                <w:rFonts w:ascii="Arial" w:hAnsi="Arial" w:cs="Arial"/>
                <w:i/>
                <w:iCs/>
                <w:lang w:val="en-IN"/>
              </w:rPr>
            </w:pPr>
            <w:r w:rsidRPr="00BF587C">
              <w:rPr>
                <w:rFonts w:ascii="Arial" w:hAnsi="Arial" w:cs="Arial"/>
                <w:i/>
                <w:iCs/>
                <w:lang w:val="en-IN"/>
              </w:rPr>
              <w:t>(</w:t>
            </w:r>
            <w:proofErr w:type="spellStart"/>
            <w:r w:rsidRPr="00BF587C">
              <w:rPr>
                <w:rFonts w:ascii="Arial" w:hAnsi="Arial" w:cs="Arial"/>
                <w:i/>
                <w:iCs/>
                <w:lang w:val="en-IN"/>
              </w:rPr>
              <w:t>df</w:t>
            </w:r>
            <w:proofErr w:type="spellEnd"/>
            <w:r w:rsidRPr="00BF587C">
              <w:rPr>
                <w:rFonts w:ascii="Arial" w:hAnsi="Arial" w:cs="Arial"/>
                <w:i/>
                <w:iCs/>
                <w:lang w:val="en-IN"/>
              </w:rPr>
              <w:t>=3, p=0.0128</w:t>
            </w:r>
            <w:r w:rsidR="00D916A8" w:rsidRPr="00BF587C">
              <w:rPr>
                <w:rFonts w:ascii="Arial" w:hAnsi="Arial" w:cs="Arial"/>
                <w:i/>
                <w:iCs/>
                <w:lang w:val="en-IN"/>
              </w:rPr>
              <w:t xml:space="preserve"> (p&lt;0.05</w:t>
            </w:r>
            <w:r w:rsidRPr="00BF587C">
              <w:rPr>
                <w:rFonts w:ascii="Cambria Math" w:hAnsi="Cambria Math" w:cs="Cambria Math"/>
                <w:i/>
                <w:iCs/>
                <w:lang w:val="en-IN"/>
              </w:rPr>
              <w:t>∗</w:t>
            </w:r>
            <w:r w:rsidRPr="00BF587C">
              <w:rPr>
                <w:rFonts w:ascii="Arial" w:hAnsi="Arial" w:cs="Arial"/>
                <w:i/>
                <w:iCs/>
                <w:lang w:val="en-IN"/>
              </w:rPr>
              <w:t>)</w:t>
            </w:r>
          </w:p>
        </w:tc>
      </w:tr>
      <w:tr w:rsidR="00BE126B" w:rsidRPr="00BF587C" w14:paraId="4BA6B15A" w14:textId="77777777" w:rsidTr="00D138C4">
        <w:trPr>
          <w:trHeight w:val="315"/>
        </w:trPr>
        <w:tc>
          <w:tcPr>
            <w:tcW w:w="0" w:type="auto"/>
            <w:tcMar>
              <w:top w:w="30" w:type="dxa"/>
              <w:left w:w="45" w:type="dxa"/>
              <w:bottom w:w="30" w:type="dxa"/>
              <w:right w:w="45" w:type="dxa"/>
            </w:tcMar>
            <w:vAlign w:val="bottom"/>
            <w:hideMark/>
          </w:tcPr>
          <w:p w14:paraId="444397B1"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UV</w:t>
            </w:r>
          </w:p>
        </w:tc>
        <w:tc>
          <w:tcPr>
            <w:tcW w:w="2132" w:type="dxa"/>
            <w:tcMar>
              <w:top w:w="30" w:type="dxa"/>
              <w:left w:w="45" w:type="dxa"/>
              <w:bottom w:w="30" w:type="dxa"/>
              <w:right w:w="45" w:type="dxa"/>
            </w:tcMar>
            <w:vAlign w:val="bottom"/>
            <w:hideMark/>
          </w:tcPr>
          <w:p w14:paraId="701F4C39" w14:textId="77777777" w:rsidR="00BE126B" w:rsidRPr="00BF587C" w:rsidRDefault="00BE126B" w:rsidP="00BE126B">
            <w:pPr>
              <w:pStyle w:val="Body"/>
              <w:rPr>
                <w:rFonts w:ascii="Arial" w:hAnsi="Arial" w:cs="Arial"/>
                <w:lang w:val="en-IN"/>
              </w:rPr>
            </w:pPr>
            <w:r w:rsidRPr="00BF587C">
              <w:rPr>
                <w:rFonts w:ascii="Arial" w:hAnsi="Arial" w:cs="Arial"/>
                <w:lang w:val="en-IN"/>
              </w:rPr>
              <w:t>40.5</w:t>
            </w:r>
          </w:p>
        </w:tc>
        <w:tc>
          <w:tcPr>
            <w:tcW w:w="2268" w:type="dxa"/>
            <w:tcMar>
              <w:top w:w="30" w:type="dxa"/>
              <w:left w:w="45" w:type="dxa"/>
              <w:bottom w:w="30" w:type="dxa"/>
              <w:right w:w="45" w:type="dxa"/>
            </w:tcMar>
            <w:vAlign w:val="bottom"/>
            <w:hideMark/>
          </w:tcPr>
          <w:p w14:paraId="7BBC0843" w14:textId="77777777" w:rsidR="00BE126B" w:rsidRPr="00BF587C" w:rsidRDefault="00BE126B" w:rsidP="00BE126B">
            <w:pPr>
              <w:pStyle w:val="Body"/>
              <w:rPr>
                <w:rFonts w:ascii="Arial" w:hAnsi="Arial" w:cs="Arial"/>
                <w:lang w:val="en-IN"/>
              </w:rPr>
            </w:pPr>
            <w:r w:rsidRPr="00BF587C">
              <w:rPr>
                <w:rFonts w:ascii="Arial" w:hAnsi="Arial" w:cs="Arial"/>
                <w:lang w:val="en-IN"/>
              </w:rPr>
              <w:t>43</w:t>
            </w:r>
          </w:p>
        </w:tc>
        <w:tc>
          <w:tcPr>
            <w:tcW w:w="2254" w:type="dxa"/>
            <w:tcMar>
              <w:top w:w="30" w:type="dxa"/>
              <w:left w:w="0" w:type="dxa"/>
              <w:bottom w:w="30" w:type="dxa"/>
              <w:right w:w="0" w:type="dxa"/>
            </w:tcMar>
            <w:vAlign w:val="bottom"/>
            <w:hideMark/>
          </w:tcPr>
          <w:p w14:paraId="7795DF5C" w14:textId="7BEED0DB" w:rsidR="00BE126B" w:rsidRPr="00BF587C" w:rsidRDefault="00BE126B" w:rsidP="00BE126B">
            <w:pPr>
              <w:pStyle w:val="Body"/>
              <w:rPr>
                <w:rFonts w:ascii="Arial" w:hAnsi="Arial" w:cs="Arial"/>
                <w:lang w:val="en-IN"/>
              </w:rPr>
            </w:pPr>
          </w:p>
        </w:tc>
      </w:tr>
      <w:tr w:rsidR="00BE126B" w:rsidRPr="00BF587C" w14:paraId="2F069A8E" w14:textId="77777777" w:rsidTr="002B1896">
        <w:trPr>
          <w:trHeight w:val="315"/>
        </w:trPr>
        <w:tc>
          <w:tcPr>
            <w:tcW w:w="0" w:type="auto"/>
            <w:tcBorders>
              <w:bottom w:val="single" w:sz="4" w:space="0" w:color="0D0D0D" w:themeColor="text1" w:themeTint="F2"/>
            </w:tcBorders>
            <w:tcMar>
              <w:top w:w="30" w:type="dxa"/>
              <w:left w:w="45" w:type="dxa"/>
              <w:bottom w:w="30" w:type="dxa"/>
              <w:right w:w="45" w:type="dxa"/>
            </w:tcMar>
            <w:vAlign w:val="bottom"/>
            <w:hideMark/>
          </w:tcPr>
          <w:p w14:paraId="54EE96F2" w14:textId="77777777" w:rsidR="00BE126B" w:rsidRPr="00BF587C" w:rsidRDefault="00BE126B" w:rsidP="00BE126B">
            <w:pPr>
              <w:pStyle w:val="Body"/>
              <w:rPr>
                <w:rFonts w:ascii="Arial" w:hAnsi="Arial" w:cs="Arial"/>
                <w:b/>
                <w:bCs/>
                <w:lang w:val="en-IN"/>
              </w:rPr>
            </w:pPr>
            <w:r w:rsidRPr="00BF587C">
              <w:rPr>
                <w:rFonts w:ascii="Arial" w:hAnsi="Arial" w:cs="Arial"/>
                <w:b/>
                <w:bCs/>
                <w:lang w:val="en-IN"/>
              </w:rPr>
              <w:t>Q+UV</w:t>
            </w:r>
          </w:p>
        </w:tc>
        <w:tc>
          <w:tcPr>
            <w:tcW w:w="2132" w:type="dxa"/>
            <w:tcBorders>
              <w:bottom w:val="single" w:sz="4" w:space="0" w:color="0D0D0D" w:themeColor="text1" w:themeTint="F2"/>
            </w:tcBorders>
            <w:tcMar>
              <w:top w:w="30" w:type="dxa"/>
              <w:left w:w="45" w:type="dxa"/>
              <w:bottom w:w="30" w:type="dxa"/>
              <w:right w:w="45" w:type="dxa"/>
            </w:tcMar>
            <w:vAlign w:val="bottom"/>
            <w:hideMark/>
          </w:tcPr>
          <w:p w14:paraId="6021A62B" w14:textId="77777777" w:rsidR="00BE126B" w:rsidRPr="00BF587C" w:rsidRDefault="00BE126B" w:rsidP="00BE126B">
            <w:pPr>
              <w:pStyle w:val="Body"/>
              <w:rPr>
                <w:rFonts w:ascii="Arial" w:hAnsi="Arial" w:cs="Arial"/>
                <w:lang w:val="en-IN"/>
              </w:rPr>
            </w:pPr>
            <w:r w:rsidRPr="00BF587C">
              <w:rPr>
                <w:rFonts w:ascii="Arial" w:hAnsi="Arial" w:cs="Arial"/>
                <w:lang w:val="en-IN"/>
              </w:rPr>
              <w:t>26.5</w:t>
            </w:r>
          </w:p>
        </w:tc>
        <w:tc>
          <w:tcPr>
            <w:tcW w:w="2268" w:type="dxa"/>
            <w:tcBorders>
              <w:bottom w:val="single" w:sz="4" w:space="0" w:color="0D0D0D" w:themeColor="text1" w:themeTint="F2"/>
            </w:tcBorders>
            <w:tcMar>
              <w:top w:w="30" w:type="dxa"/>
              <w:left w:w="45" w:type="dxa"/>
              <w:bottom w:w="30" w:type="dxa"/>
              <w:right w:w="45" w:type="dxa"/>
            </w:tcMar>
            <w:vAlign w:val="bottom"/>
            <w:hideMark/>
          </w:tcPr>
          <w:p w14:paraId="05F09AD0" w14:textId="77777777" w:rsidR="00BE126B" w:rsidRPr="00BF587C" w:rsidRDefault="00BE126B" w:rsidP="00BE126B">
            <w:pPr>
              <w:pStyle w:val="Body"/>
              <w:rPr>
                <w:rFonts w:ascii="Arial" w:hAnsi="Arial" w:cs="Arial"/>
                <w:lang w:val="en-IN"/>
              </w:rPr>
            </w:pPr>
            <w:r w:rsidRPr="00BF587C">
              <w:rPr>
                <w:rFonts w:ascii="Arial" w:hAnsi="Arial" w:cs="Arial"/>
                <w:lang w:val="en-IN"/>
              </w:rPr>
              <w:t>29</w:t>
            </w:r>
          </w:p>
        </w:tc>
        <w:tc>
          <w:tcPr>
            <w:tcW w:w="2254" w:type="dxa"/>
            <w:tcBorders>
              <w:bottom w:val="single" w:sz="4" w:space="0" w:color="0D0D0D" w:themeColor="text1" w:themeTint="F2"/>
            </w:tcBorders>
            <w:tcMar>
              <w:top w:w="30" w:type="dxa"/>
              <w:left w:w="0" w:type="dxa"/>
              <w:bottom w:w="30" w:type="dxa"/>
              <w:right w:w="0" w:type="dxa"/>
            </w:tcMar>
            <w:vAlign w:val="bottom"/>
            <w:hideMark/>
          </w:tcPr>
          <w:p w14:paraId="7A6FD335" w14:textId="3EEE0428" w:rsidR="00BE126B" w:rsidRPr="00BF587C" w:rsidRDefault="00BE126B" w:rsidP="00BE126B">
            <w:pPr>
              <w:pStyle w:val="Body"/>
              <w:rPr>
                <w:rFonts w:ascii="Arial" w:hAnsi="Arial" w:cs="Arial"/>
                <w:i/>
                <w:iCs/>
                <w:lang w:val="en-IN"/>
              </w:rPr>
            </w:pPr>
          </w:p>
        </w:tc>
      </w:tr>
    </w:tbl>
    <w:p w14:paraId="5F67DB7D" w14:textId="77777777" w:rsidR="00BE126B" w:rsidRDefault="00BE126B" w:rsidP="00441B6F">
      <w:pPr>
        <w:pStyle w:val="Body"/>
        <w:spacing w:after="0"/>
        <w:rPr>
          <w:rFonts w:ascii="Arial" w:hAnsi="Arial" w:cs="Arial"/>
          <w:b/>
          <w:bCs/>
        </w:rPr>
      </w:pPr>
    </w:p>
    <w:p w14:paraId="18C59A3B" w14:textId="76994DD4" w:rsidR="00A56155" w:rsidRPr="00A56155" w:rsidRDefault="009B7E48" w:rsidP="00A56155">
      <w:pPr>
        <w:pStyle w:val="Body"/>
        <w:spacing w:after="0"/>
        <w:rPr>
          <w:rFonts w:ascii="Arial" w:hAnsi="Arial" w:cs="Arial"/>
          <w:i/>
          <w:iCs/>
          <w:sz w:val="18"/>
          <w:szCs w:val="18"/>
          <w:lang w:val="en-IN"/>
        </w:rPr>
      </w:pPr>
      <w:r w:rsidRPr="009B7E48">
        <w:rPr>
          <w:rFonts w:ascii="Arial" w:hAnsi="Arial" w:cs="Arial"/>
          <w:i/>
          <w:sz w:val="18"/>
          <w:szCs w:val="18"/>
          <w:lang w:val="en-IN"/>
        </w:rPr>
        <w:lastRenderedPageBreak/>
        <w:t>n = 3</w:t>
      </w:r>
      <w:r>
        <w:rPr>
          <w:rFonts w:ascii="Arial" w:hAnsi="Arial" w:cs="Arial"/>
          <w:i/>
          <w:sz w:val="18"/>
          <w:szCs w:val="18"/>
          <w:lang w:val="en-IN"/>
        </w:rPr>
        <w:t xml:space="preserve"> per group; ET</w:t>
      </w:r>
      <w:r w:rsidRPr="009B7E48">
        <w:rPr>
          <w:rFonts w:ascii="Arial" w:hAnsi="Arial" w:cs="Arial"/>
          <w:i/>
          <w:sz w:val="18"/>
          <w:szCs w:val="18"/>
          <w:vertAlign w:val="subscript"/>
          <w:lang w:val="en-IN"/>
        </w:rPr>
        <w:t>50</w:t>
      </w:r>
      <w:r>
        <w:rPr>
          <w:rFonts w:ascii="Arial" w:hAnsi="Arial" w:cs="Arial"/>
          <w:i/>
          <w:sz w:val="18"/>
          <w:szCs w:val="18"/>
          <w:lang w:val="en-IN"/>
        </w:rPr>
        <w:t>:</w:t>
      </w:r>
      <w:r w:rsidR="00D528D8">
        <w:rPr>
          <w:rFonts w:ascii="Arial" w:hAnsi="Arial" w:cs="Arial"/>
          <w:i/>
          <w:sz w:val="18"/>
          <w:szCs w:val="18"/>
          <w:lang w:val="en-IN"/>
        </w:rPr>
        <w:t xml:space="preserve"> n = </w:t>
      </w:r>
      <w:proofErr w:type="gramStart"/>
      <w:r w:rsidR="00D528D8">
        <w:rPr>
          <w:rFonts w:ascii="Arial" w:hAnsi="Arial" w:cs="Arial"/>
          <w:i/>
          <w:sz w:val="18"/>
          <w:szCs w:val="18"/>
          <w:lang w:val="en-IN"/>
        </w:rPr>
        <w:t>3  per</w:t>
      </w:r>
      <w:proofErr w:type="gramEnd"/>
      <w:r w:rsidR="00D528D8">
        <w:rPr>
          <w:rFonts w:ascii="Arial" w:hAnsi="Arial" w:cs="Arial"/>
          <w:i/>
          <w:sz w:val="18"/>
          <w:szCs w:val="18"/>
          <w:lang w:val="en-IN"/>
        </w:rPr>
        <w:t xml:space="preserve"> group; ET</w:t>
      </w:r>
      <w:r w:rsidR="00D528D8" w:rsidRPr="009B7E48">
        <w:rPr>
          <w:rFonts w:ascii="Arial" w:hAnsi="Arial" w:cs="Arial"/>
          <w:i/>
          <w:sz w:val="18"/>
          <w:szCs w:val="18"/>
          <w:vertAlign w:val="subscript"/>
          <w:lang w:val="en-IN"/>
        </w:rPr>
        <w:t>50</w:t>
      </w:r>
      <w:r w:rsidR="00D528D8">
        <w:rPr>
          <w:rFonts w:ascii="Arial" w:hAnsi="Arial" w:cs="Arial"/>
          <w:i/>
          <w:sz w:val="18"/>
          <w:szCs w:val="18"/>
          <w:lang w:val="en-IN"/>
        </w:rPr>
        <w:t xml:space="preserve">: </w:t>
      </w:r>
      <w:r w:rsidR="00A56155" w:rsidRPr="00A56155">
        <w:rPr>
          <w:rFonts w:ascii="Arial" w:hAnsi="Arial" w:cs="Arial"/>
          <w:i/>
          <w:iCs/>
          <w:sz w:val="18"/>
          <w:szCs w:val="18"/>
          <w:lang w:val="en-IN"/>
        </w:rPr>
        <w:t>Time at which 50% of the cohort achieved full posture recovery;</w:t>
      </w:r>
      <w:r>
        <w:rPr>
          <w:rFonts w:ascii="Arial" w:hAnsi="Arial" w:cs="Arial"/>
          <w:i/>
          <w:iCs/>
          <w:sz w:val="18"/>
          <w:szCs w:val="18"/>
          <w:lang w:val="en-IN"/>
        </w:rPr>
        <w:t xml:space="preserve"> </w:t>
      </w:r>
      <w:r>
        <w:rPr>
          <w:rFonts w:ascii="Arial" w:hAnsi="Arial" w:cs="Arial"/>
          <w:i/>
          <w:sz w:val="18"/>
          <w:szCs w:val="18"/>
          <w:lang w:val="en-IN"/>
        </w:rPr>
        <w:t>ET</w:t>
      </w:r>
      <w:r>
        <w:rPr>
          <w:rFonts w:ascii="Arial" w:hAnsi="Arial" w:cs="Arial"/>
          <w:i/>
          <w:sz w:val="18"/>
          <w:szCs w:val="18"/>
          <w:vertAlign w:val="subscript"/>
          <w:lang w:val="en-IN"/>
        </w:rPr>
        <w:t>10</w:t>
      </w:r>
      <w:r w:rsidRPr="009B7E48">
        <w:rPr>
          <w:rFonts w:ascii="Arial" w:hAnsi="Arial" w:cs="Arial"/>
          <w:i/>
          <w:sz w:val="18"/>
          <w:szCs w:val="18"/>
          <w:vertAlign w:val="subscript"/>
          <w:lang w:val="en-IN"/>
        </w:rPr>
        <w:t>0</w:t>
      </w:r>
      <w:r>
        <w:rPr>
          <w:rFonts w:ascii="Arial" w:hAnsi="Arial" w:cs="Arial"/>
          <w:i/>
          <w:sz w:val="18"/>
          <w:szCs w:val="18"/>
          <w:lang w:val="en-IN"/>
        </w:rPr>
        <w:t>:</w:t>
      </w:r>
      <w:r w:rsidR="00A56155" w:rsidRPr="00A56155">
        <w:rPr>
          <w:rFonts w:ascii="Arial" w:hAnsi="Arial" w:cs="Arial"/>
          <w:i/>
          <w:iCs/>
          <w:sz w:val="18"/>
          <w:szCs w:val="18"/>
          <w:lang w:val="en-IN"/>
        </w:rPr>
        <w:t xml:space="preserve"> Time at which 100% of the cohort achieved full posture recovery. Statistical significance evaluated at</w:t>
      </w:r>
      <w:r w:rsidR="000F4DCA">
        <w:rPr>
          <w:rFonts w:ascii="Arial" w:hAnsi="Arial" w:cs="Arial"/>
          <w:i/>
          <w:iCs/>
          <w:sz w:val="18"/>
          <w:szCs w:val="18"/>
          <w:lang w:val="en-IN"/>
        </w:rPr>
        <w:t xml:space="preserve"> α = 0.05</w:t>
      </w:r>
      <w:r w:rsidR="00CF35FA">
        <w:rPr>
          <w:rFonts w:ascii="Arial" w:hAnsi="Arial" w:cs="Arial"/>
          <w:i/>
          <w:iCs/>
          <w:sz w:val="18"/>
          <w:szCs w:val="18"/>
          <w:lang w:val="en-IN"/>
        </w:rPr>
        <w:t>.</w:t>
      </w:r>
      <w:r w:rsidR="000F4DCA">
        <w:rPr>
          <w:rFonts w:ascii="Arial" w:hAnsi="Arial" w:cs="Arial"/>
          <w:i/>
          <w:iCs/>
          <w:sz w:val="18"/>
          <w:szCs w:val="18"/>
          <w:lang w:val="en-IN"/>
        </w:rPr>
        <w:t xml:space="preserve"> (*p &lt; 0.05, ** p &lt; 0.01</w:t>
      </w:r>
      <w:r w:rsidR="00CF35FA">
        <w:rPr>
          <w:rFonts w:ascii="Arial" w:hAnsi="Arial" w:cs="Arial"/>
          <w:i/>
          <w:iCs/>
          <w:sz w:val="18"/>
          <w:szCs w:val="18"/>
          <w:lang w:val="en-IN"/>
        </w:rPr>
        <w:t>).</w:t>
      </w:r>
    </w:p>
    <w:p w14:paraId="4EEE84FB" w14:textId="77777777" w:rsidR="00391941" w:rsidRDefault="00391941" w:rsidP="00441B6F">
      <w:pPr>
        <w:pStyle w:val="Body"/>
        <w:spacing w:after="0"/>
        <w:rPr>
          <w:rFonts w:ascii="Arial" w:hAnsi="Arial" w:cs="Arial"/>
        </w:rPr>
      </w:pPr>
    </w:p>
    <w:p w14:paraId="1460782E"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53EF440B" w14:textId="77777777" w:rsidR="00790ADA" w:rsidRPr="00FB3A86" w:rsidRDefault="00790ADA" w:rsidP="00441B6F">
      <w:pPr>
        <w:pStyle w:val="ConcHead"/>
        <w:spacing w:after="0"/>
        <w:jc w:val="both"/>
        <w:rPr>
          <w:rFonts w:ascii="Arial" w:hAnsi="Arial" w:cs="Arial"/>
        </w:rPr>
      </w:pPr>
    </w:p>
    <w:p w14:paraId="5DE86F96" w14:textId="0B2AC9F6" w:rsidR="00790ADA" w:rsidRDefault="00F966C9" w:rsidP="00D822FF">
      <w:pPr>
        <w:pStyle w:val="Body"/>
        <w:rPr>
          <w:rFonts w:ascii="Arial" w:hAnsi="Arial" w:cs="Arial"/>
          <w:lang w:val="en-IN"/>
        </w:rPr>
      </w:pPr>
      <w:r w:rsidRPr="00F966C9">
        <w:rPr>
          <w:rFonts w:ascii="Arial" w:hAnsi="Arial" w:cs="Arial"/>
        </w:rPr>
        <w:t xml:space="preserve">Taken together, this study demonstrates the broad efficacy of quercetin in safeguarding </w:t>
      </w:r>
      <w:r w:rsidRPr="00F966C9">
        <w:rPr>
          <w:rFonts w:ascii="Arial" w:hAnsi="Arial" w:cs="Arial"/>
          <w:i/>
          <w:iCs/>
        </w:rPr>
        <w:t>Drosophila melanogaster</w:t>
      </w:r>
      <w:r w:rsidRPr="00F966C9">
        <w:rPr>
          <w:rFonts w:ascii="Arial" w:hAnsi="Arial" w:cs="Arial"/>
        </w:rPr>
        <w:t xml:space="preserve"> against UV-C–induced physiological and neurological dysfunction.</w:t>
      </w:r>
      <w:r>
        <w:rPr>
          <w:rFonts w:ascii="Arial" w:hAnsi="Arial" w:cs="Arial"/>
        </w:rPr>
        <w:t xml:space="preserve"> </w:t>
      </w:r>
      <w:r w:rsidR="002E6E42" w:rsidRPr="002E6E42">
        <w:rPr>
          <w:rFonts w:ascii="Arial" w:hAnsi="Arial" w:cs="Arial"/>
          <w:lang w:val="en-IN"/>
        </w:rPr>
        <w:t xml:space="preserve">It was observed that quercetin pretreatment protects </w:t>
      </w:r>
      <w:r w:rsidRPr="00F966C9">
        <w:rPr>
          <w:rFonts w:ascii="Arial" w:hAnsi="Arial" w:cs="Arial"/>
          <w:lang w:val="en-IN"/>
        </w:rPr>
        <w:t>this</w:t>
      </w:r>
      <w:r>
        <w:rPr>
          <w:rFonts w:ascii="Arial" w:hAnsi="Arial" w:cs="Arial"/>
          <w:lang w:val="en-IN"/>
        </w:rPr>
        <w:t xml:space="preserve"> animal</w:t>
      </w:r>
      <w:r w:rsidR="006C1C9B">
        <w:rPr>
          <w:rFonts w:ascii="Arial" w:hAnsi="Arial" w:cs="Arial"/>
          <w:lang w:val="en-IN"/>
        </w:rPr>
        <w:t xml:space="preserve"> against</w:t>
      </w:r>
      <w:r w:rsidR="002E6E42" w:rsidRPr="002E6E42">
        <w:rPr>
          <w:rFonts w:ascii="Arial" w:hAnsi="Arial" w:cs="Arial"/>
          <w:lang w:val="en-IN"/>
        </w:rPr>
        <w:t xml:space="preserve"> UV-C induced neuromuscular damage. It also effectively preserves UV-C-induced motor deficits by maintaining the experimental groups’ innate negative geotaxis response and age-dependent negative geotaxis. Exposure to UV-C radiation impairs light-directed locomotor </w:t>
      </w:r>
      <w:proofErr w:type="spellStart"/>
      <w:r w:rsidR="002E6E42" w:rsidRPr="002E6E42">
        <w:rPr>
          <w:rFonts w:ascii="Arial" w:hAnsi="Arial" w:cs="Arial"/>
          <w:lang w:val="en-IN"/>
        </w:rPr>
        <w:t>behavior</w:t>
      </w:r>
      <w:proofErr w:type="spellEnd"/>
      <w:r w:rsidR="002E6E42" w:rsidRPr="002E6E42">
        <w:rPr>
          <w:rFonts w:ascii="Arial" w:hAnsi="Arial" w:cs="Arial"/>
          <w:lang w:val="en-IN"/>
        </w:rPr>
        <w:t xml:space="preserve">. It also severely disrupts the natural positive phototaxis in </w:t>
      </w:r>
      <w:r w:rsidR="002E6E42" w:rsidRPr="002E6E42">
        <w:rPr>
          <w:rFonts w:ascii="Arial" w:hAnsi="Arial" w:cs="Arial"/>
          <w:i/>
          <w:iCs/>
          <w:lang w:val="en-IN"/>
        </w:rPr>
        <w:t>Drosophila melanogaster</w:t>
      </w:r>
      <w:r w:rsidR="002E6E42" w:rsidRPr="002E6E42">
        <w:rPr>
          <w:rFonts w:ascii="Arial" w:hAnsi="Arial" w:cs="Arial"/>
          <w:lang w:val="en-IN"/>
        </w:rPr>
        <w:t>. However, pretreatment with quercetin significantly restores positive phototactic responses under radiation stress. In the experimental groups, UV-C radiation induces severe neurofunctional impairment resulting in a delay in the seizure recovery time. Quercetin pre-treatment effectively accelerated post-seizure recovery time. Hence, this antioxidant protected the experimental groups from neurological dysfunction and restored motor coordination. Hence, it can be concluded that protecting these core physical,</w:t>
      </w:r>
      <w:r w:rsidR="00756B87">
        <w:rPr>
          <w:rFonts w:ascii="Arial" w:hAnsi="Arial" w:cs="Arial"/>
          <w:lang w:val="en-IN"/>
        </w:rPr>
        <w:t xml:space="preserve"> motor and</w:t>
      </w:r>
      <w:r w:rsidR="002E6E42" w:rsidRPr="002E6E42">
        <w:rPr>
          <w:rFonts w:ascii="Arial" w:hAnsi="Arial" w:cs="Arial"/>
          <w:lang w:val="en-IN"/>
        </w:rPr>
        <w:t xml:space="preserve"> sensory biomarkers demonstrates </w:t>
      </w:r>
      <w:proofErr w:type="spellStart"/>
      <w:proofErr w:type="gramStart"/>
      <w:r w:rsidR="005835AD">
        <w:rPr>
          <w:rFonts w:ascii="Arial" w:hAnsi="Arial" w:cs="Arial"/>
          <w:lang w:val="en-IN"/>
        </w:rPr>
        <w:t>it</w:t>
      </w:r>
      <w:r w:rsidR="002E6E42" w:rsidRPr="002E6E42">
        <w:rPr>
          <w:rFonts w:ascii="Arial" w:hAnsi="Arial" w:cs="Arial"/>
          <w:lang w:val="en-IN"/>
        </w:rPr>
        <w:t>'s</w:t>
      </w:r>
      <w:proofErr w:type="spellEnd"/>
      <w:proofErr w:type="gramEnd"/>
      <w:r w:rsidR="002E6E42" w:rsidRPr="002E6E42">
        <w:rPr>
          <w:rFonts w:ascii="Arial" w:hAnsi="Arial" w:cs="Arial"/>
          <w:lang w:val="en-IN"/>
        </w:rPr>
        <w:t xml:space="preserve"> strong potential to counteract U</w:t>
      </w:r>
      <w:r w:rsidR="00C66B21">
        <w:rPr>
          <w:rFonts w:ascii="Arial" w:hAnsi="Arial" w:cs="Arial"/>
          <w:lang w:val="en-IN"/>
        </w:rPr>
        <w:t>V-C</w:t>
      </w:r>
      <w:r w:rsidR="002E6E42" w:rsidRPr="002E6E42">
        <w:rPr>
          <w:rFonts w:ascii="Arial" w:hAnsi="Arial" w:cs="Arial"/>
          <w:lang w:val="en-IN"/>
        </w:rPr>
        <w:t xml:space="preserve"> radiation induced damage. These findings highlight </w:t>
      </w:r>
      <w:r w:rsidR="005835AD">
        <w:rPr>
          <w:rFonts w:ascii="Arial" w:hAnsi="Arial" w:cs="Arial"/>
          <w:lang w:val="en-IN"/>
        </w:rPr>
        <w:t>quercetin’</w:t>
      </w:r>
      <w:r w:rsidR="002E6E42" w:rsidRPr="002E6E42">
        <w:rPr>
          <w:rFonts w:ascii="Arial" w:hAnsi="Arial" w:cs="Arial"/>
          <w:lang w:val="en-IN"/>
        </w:rPr>
        <w:t>s broad efficacy as a neuroprotective agent against radiation stres</w:t>
      </w:r>
      <w:r w:rsidR="00D822FF">
        <w:rPr>
          <w:rFonts w:ascii="Arial" w:hAnsi="Arial" w:cs="Arial"/>
          <w:lang w:val="en-IN"/>
        </w:rPr>
        <w:t>s.</w:t>
      </w:r>
    </w:p>
    <w:p w14:paraId="1DAA9EA7" w14:textId="77777777" w:rsidR="0013585F" w:rsidRDefault="0013585F" w:rsidP="0013585F">
      <w:pPr>
        <w:pStyle w:val="DefAcrHead"/>
        <w:spacing w:after="0"/>
        <w:jc w:val="both"/>
        <w:rPr>
          <w:rFonts w:ascii="Arial" w:hAnsi="Arial" w:cs="Arial"/>
        </w:rPr>
      </w:pPr>
      <w:r w:rsidRPr="00FB3A86">
        <w:rPr>
          <w:rFonts w:ascii="Arial" w:hAnsi="Arial" w:cs="Arial"/>
        </w:rPr>
        <w:t>Definitions, Acronyms, Abbreviations</w:t>
      </w:r>
    </w:p>
    <w:p w14:paraId="35952F21" w14:textId="77777777" w:rsidR="0013585F" w:rsidRPr="00097732" w:rsidRDefault="0013585F" w:rsidP="0013585F">
      <w:pPr>
        <w:pStyle w:val="Body"/>
        <w:rPr>
          <w:rFonts w:ascii="Arial" w:hAnsi="Arial" w:cs="Arial"/>
          <w:lang w:val="en-IN"/>
        </w:rPr>
      </w:pPr>
      <w:r w:rsidRPr="00097732">
        <w:rPr>
          <w:rFonts w:ascii="Arial" w:hAnsi="Arial" w:cs="Arial"/>
          <w:lang w:val="en-IN"/>
        </w:rPr>
        <w:t>List of Abbreviations &amp; Acronyms</w:t>
      </w:r>
    </w:p>
    <w:p w14:paraId="373DE340" w14:textId="77777777" w:rsidR="0013585F" w:rsidRDefault="0013585F" w:rsidP="0013585F">
      <w:pPr>
        <w:pStyle w:val="Body"/>
        <w:rPr>
          <w:rFonts w:ascii="Arial" w:hAnsi="Arial" w:cs="Arial"/>
          <w:lang w:val="en-IN"/>
        </w:rPr>
      </w:pPr>
      <w:r w:rsidRPr="00C23CE5">
        <w:rPr>
          <w:rFonts w:ascii="Arial" w:hAnsi="Arial" w:cs="Arial"/>
          <w:b/>
          <w:bCs/>
          <w:lang w:val="en-IN"/>
        </w:rPr>
        <w:t>ANOVA</w:t>
      </w:r>
      <w:r w:rsidRPr="00097732">
        <w:rPr>
          <w:rFonts w:ascii="Arial" w:hAnsi="Arial" w:cs="Arial"/>
          <w:lang w:val="en-IN"/>
        </w:rPr>
        <w:t xml:space="preserve">: </w:t>
      </w:r>
      <w:r w:rsidRPr="00276999">
        <w:rPr>
          <w:rFonts w:ascii="Arial" w:hAnsi="Arial" w:cs="Arial"/>
          <w:bCs/>
          <w:lang w:val="en-IN"/>
        </w:rPr>
        <w:t>Analysis of Variance</w:t>
      </w:r>
      <w:r w:rsidRPr="00276999">
        <w:rPr>
          <w:rFonts w:ascii="Arial" w:hAnsi="Arial" w:cs="Arial"/>
          <w:lang w:val="en-IN"/>
        </w:rPr>
        <w:t xml:space="preserve"> is a statistical test used to compare the means of three or more groups to determine if at least one group is significantly different from the others.</w:t>
      </w:r>
    </w:p>
    <w:p w14:paraId="5C43D50E" w14:textId="77777777" w:rsidR="0013585F" w:rsidRPr="00097732" w:rsidRDefault="0013585F" w:rsidP="0013585F">
      <w:pPr>
        <w:pStyle w:val="Body"/>
        <w:rPr>
          <w:rFonts w:ascii="Arial" w:hAnsi="Arial" w:cs="Arial"/>
          <w:lang w:val="en-IN"/>
        </w:rPr>
      </w:pPr>
      <w:proofErr w:type="gramStart"/>
      <w:r w:rsidRPr="00C23CE5">
        <w:rPr>
          <w:rFonts w:ascii="Arial" w:hAnsi="Arial" w:cs="Arial"/>
          <w:b/>
          <w:bCs/>
          <w:lang w:val="en-IN"/>
        </w:rPr>
        <w:t>CI</w:t>
      </w:r>
      <w:r>
        <w:rPr>
          <w:rFonts w:ascii="Arial" w:hAnsi="Arial" w:cs="Arial"/>
          <w:b/>
          <w:bCs/>
          <w:lang w:val="en-IN"/>
        </w:rPr>
        <w:t xml:space="preserve"> :</w:t>
      </w:r>
      <w:proofErr w:type="gramEnd"/>
      <w:r>
        <w:rPr>
          <w:rFonts w:ascii="Arial" w:hAnsi="Arial" w:cs="Arial"/>
          <w:b/>
          <w:bCs/>
          <w:lang w:val="en-IN"/>
        </w:rPr>
        <w:t xml:space="preserve"> </w:t>
      </w:r>
      <w:r w:rsidRPr="00276999">
        <w:rPr>
          <w:rFonts w:ascii="Arial" w:hAnsi="Arial" w:cs="Arial"/>
          <w:b/>
          <w:bCs/>
        </w:rPr>
        <w:t xml:space="preserve">Confidence Interval </w:t>
      </w:r>
      <w:r>
        <w:rPr>
          <w:rFonts w:ascii="Arial" w:hAnsi="Arial" w:cs="Arial"/>
        </w:rPr>
        <w:t>is a</w:t>
      </w:r>
      <w:r w:rsidRPr="00276999">
        <w:rPr>
          <w:rFonts w:ascii="Arial" w:hAnsi="Arial" w:cs="Arial"/>
        </w:rPr>
        <w:t xml:space="preserve"> statistical range computed from sample data that is likely to contain the true population parameter (e.g., mean or effect size) at a set probability level (typically 95%).</w:t>
      </w:r>
    </w:p>
    <w:p w14:paraId="31516CE1" w14:textId="77777777" w:rsidR="0013585F" w:rsidRPr="00097732" w:rsidRDefault="0013585F" w:rsidP="0013585F">
      <w:pPr>
        <w:pStyle w:val="Body"/>
        <w:rPr>
          <w:rFonts w:ascii="Arial" w:hAnsi="Arial" w:cs="Arial"/>
          <w:lang w:val="en-IN"/>
        </w:rPr>
      </w:pPr>
      <w:r w:rsidRPr="00C23CE5">
        <w:rPr>
          <w:rFonts w:ascii="Arial" w:hAnsi="Arial" w:cs="Arial"/>
          <w:b/>
          <w:bCs/>
          <w:lang w:val="en-IN"/>
        </w:rPr>
        <w:t xml:space="preserve">DF / </w:t>
      </w:r>
      <w:proofErr w:type="spellStart"/>
      <w:r w:rsidRPr="00C23CE5">
        <w:rPr>
          <w:rFonts w:ascii="Arial" w:hAnsi="Arial" w:cs="Arial"/>
          <w:b/>
          <w:bCs/>
          <w:lang w:val="en-IN"/>
        </w:rPr>
        <w:t>df</w:t>
      </w:r>
      <w:proofErr w:type="spellEnd"/>
      <w:r w:rsidRPr="00C23CE5">
        <w:rPr>
          <w:rFonts w:ascii="Arial" w:hAnsi="Arial" w:cs="Arial"/>
          <w:b/>
          <w:bCs/>
          <w:lang w:val="en-IN"/>
        </w:rPr>
        <w:t>:</w:t>
      </w:r>
      <w:r w:rsidRPr="00097732">
        <w:rPr>
          <w:rFonts w:ascii="Arial" w:hAnsi="Arial" w:cs="Arial"/>
          <w:lang w:val="en-IN"/>
        </w:rPr>
        <w:t xml:space="preserve"> Degrees of Freedom: The number of independent values or quantities that can vary in a statistical calculation.</w:t>
      </w:r>
    </w:p>
    <w:p w14:paraId="1BCAB1B5" w14:textId="77777777" w:rsidR="0013585F" w:rsidRPr="00097732" w:rsidRDefault="0013585F" w:rsidP="0013585F">
      <w:pPr>
        <w:pStyle w:val="Body"/>
        <w:rPr>
          <w:rFonts w:ascii="Arial" w:hAnsi="Arial" w:cs="Arial"/>
          <w:lang w:val="en-IN"/>
        </w:rPr>
      </w:pPr>
      <w:r w:rsidRPr="003267C5">
        <w:rPr>
          <w:rFonts w:ascii="Arial" w:hAnsi="Arial" w:cs="Arial"/>
          <w:b/>
          <w:bCs/>
          <w:i/>
          <w:iCs/>
          <w:lang w:val="en-IN"/>
        </w:rPr>
        <w:t>Drosophila melanogaster</w:t>
      </w:r>
      <w:r w:rsidRPr="00097732">
        <w:rPr>
          <w:rFonts w:ascii="Arial" w:hAnsi="Arial" w:cs="Arial"/>
          <w:lang w:val="en-IN"/>
        </w:rPr>
        <w:t>: The common fruit fly; a prominent invertebrate model organism in genetics, neurobiology, and oxidative stress studies.</w:t>
      </w:r>
    </w:p>
    <w:p w14:paraId="4A10288C" w14:textId="77777777" w:rsidR="0013585F" w:rsidRDefault="0013585F" w:rsidP="0013585F">
      <w:pPr>
        <w:pStyle w:val="Body"/>
        <w:rPr>
          <w:rFonts w:ascii="Arial" w:hAnsi="Arial" w:cs="Arial"/>
          <w:lang w:val="en-IN"/>
        </w:rPr>
      </w:pPr>
      <w:r w:rsidRPr="003267C5">
        <w:rPr>
          <w:rFonts w:ascii="Arial" w:hAnsi="Arial" w:cs="Arial"/>
          <w:b/>
          <w:bCs/>
          <w:lang w:val="en-IN"/>
        </w:rPr>
        <w:t>Dunnett’s Test</w:t>
      </w:r>
      <w:r w:rsidRPr="00097732">
        <w:rPr>
          <w:rFonts w:ascii="Arial" w:hAnsi="Arial" w:cs="Arial"/>
          <w:lang w:val="en-IN"/>
        </w:rPr>
        <w:t>: A post-hoc multiple comparison procedure used to compare each of several treatment groups against a single control baseline.</w:t>
      </w:r>
    </w:p>
    <w:p w14:paraId="68F05AC0" w14:textId="77777777" w:rsidR="0013585F" w:rsidRPr="00097732" w:rsidRDefault="0013585F" w:rsidP="0013585F">
      <w:pPr>
        <w:pStyle w:val="Body"/>
        <w:rPr>
          <w:rFonts w:ascii="Arial" w:hAnsi="Arial" w:cs="Arial"/>
          <w:lang w:val="en-IN"/>
        </w:rPr>
      </w:pPr>
      <w:proofErr w:type="spellStart"/>
      <w:r w:rsidRPr="003267C5">
        <w:rPr>
          <w:rFonts w:ascii="Arial" w:hAnsi="Arial" w:cs="Arial"/>
          <w:b/>
          <w:bCs/>
          <w:lang w:val="en-IN"/>
        </w:rPr>
        <w:t>Eclosion</w:t>
      </w:r>
      <w:proofErr w:type="spellEnd"/>
      <w:r w:rsidRPr="00097732">
        <w:rPr>
          <w:rFonts w:ascii="Arial" w:hAnsi="Arial" w:cs="Arial"/>
          <w:lang w:val="en-IN"/>
        </w:rPr>
        <w:t>: The process of an adult insect emerging from the pupal case.</w:t>
      </w:r>
    </w:p>
    <w:p w14:paraId="67D6540F" w14:textId="77777777" w:rsidR="0013585F" w:rsidRPr="00097732" w:rsidRDefault="0013585F" w:rsidP="0013585F">
      <w:pPr>
        <w:pStyle w:val="Body"/>
        <w:rPr>
          <w:rFonts w:ascii="Arial" w:hAnsi="Arial" w:cs="Arial"/>
          <w:lang w:val="en-IN"/>
        </w:rPr>
      </w:pPr>
      <w:proofErr w:type="spellStart"/>
      <w:r w:rsidRPr="003267C5">
        <w:rPr>
          <w:rFonts w:ascii="Arial" w:hAnsi="Arial" w:cs="Arial"/>
          <w:b/>
          <w:bCs/>
          <w:lang w:val="en-IN"/>
        </w:rPr>
        <w:t>Eclosion</w:t>
      </w:r>
      <w:proofErr w:type="spellEnd"/>
      <w:r w:rsidRPr="00097732">
        <w:rPr>
          <w:rFonts w:ascii="Arial" w:hAnsi="Arial" w:cs="Arial"/>
          <w:lang w:val="en-IN"/>
        </w:rPr>
        <w:t xml:space="preserve"> </w:t>
      </w:r>
      <w:r w:rsidRPr="003267C5">
        <w:rPr>
          <w:rFonts w:ascii="Arial" w:hAnsi="Arial" w:cs="Arial"/>
          <w:b/>
          <w:bCs/>
          <w:lang w:val="en-IN"/>
        </w:rPr>
        <w:t>Rate</w:t>
      </w:r>
      <w:r w:rsidRPr="00097732">
        <w:rPr>
          <w:rFonts w:ascii="Arial" w:hAnsi="Arial" w:cs="Arial"/>
          <w:lang w:val="en-IN"/>
        </w:rPr>
        <w:t>: The percentage of pupae that successfully complete metamorphosis and emerge as viable adult flies.</w:t>
      </w:r>
    </w:p>
    <w:p w14:paraId="2463BB43" w14:textId="77777777" w:rsidR="0013585F" w:rsidRPr="00097732" w:rsidRDefault="0013585F" w:rsidP="0013585F">
      <w:pPr>
        <w:pStyle w:val="Body"/>
        <w:rPr>
          <w:rFonts w:ascii="Arial" w:hAnsi="Arial" w:cs="Arial"/>
          <w:lang w:val="en-IN"/>
        </w:rPr>
      </w:pPr>
      <w:r w:rsidRPr="003267C5">
        <w:rPr>
          <w:rFonts w:ascii="Arial" w:hAnsi="Arial" w:cs="Arial"/>
          <w:b/>
          <w:bCs/>
          <w:lang w:val="en-IN"/>
        </w:rPr>
        <w:t>Flavonoid</w:t>
      </w:r>
      <w:r w:rsidRPr="00097732">
        <w:rPr>
          <w:rFonts w:ascii="Arial" w:hAnsi="Arial" w:cs="Arial"/>
          <w:lang w:val="en-IN"/>
        </w:rPr>
        <w:t>: A class of plant secondary metabolites with variable polyphenolic structures, renowned for potent antioxidant, free-radical scavenging, and radioprotective properties.</w:t>
      </w:r>
    </w:p>
    <w:p w14:paraId="2113BDD4" w14:textId="77777777" w:rsidR="0013585F" w:rsidRDefault="0013585F" w:rsidP="0013585F">
      <w:pPr>
        <w:pStyle w:val="Body"/>
        <w:rPr>
          <w:rFonts w:ascii="Arial" w:hAnsi="Arial" w:cs="Arial"/>
          <w:lang w:val="en-IN"/>
        </w:rPr>
      </w:pPr>
      <w:r w:rsidRPr="00C23CE5">
        <w:rPr>
          <w:rFonts w:ascii="Arial" w:hAnsi="Arial" w:cs="Arial"/>
          <w:b/>
          <w:bCs/>
          <w:lang w:val="en-IN"/>
        </w:rPr>
        <w:t>HSD:</w:t>
      </w:r>
      <w:r w:rsidRPr="00097732">
        <w:rPr>
          <w:rFonts w:ascii="Arial" w:hAnsi="Arial" w:cs="Arial"/>
          <w:lang w:val="en-IN"/>
        </w:rPr>
        <w:t xml:space="preserve"> Honest Significant Difference (Tukey’s test)</w:t>
      </w:r>
      <w:r>
        <w:rPr>
          <w:rFonts w:ascii="Arial" w:hAnsi="Arial" w:cs="Arial"/>
          <w:lang w:val="en-IN"/>
        </w:rPr>
        <w:t xml:space="preserve"> is</w:t>
      </w:r>
      <w:r w:rsidRPr="00276999">
        <w:rPr>
          <w:rFonts w:ascii="Arial" w:hAnsi="Arial" w:cs="Arial"/>
        </w:rPr>
        <w:t xml:space="preserve"> a post-hoc test used after ANOVA to identify which specific experimental group means differ significantly from each other.</w:t>
      </w:r>
    </w:p>
    <w:p w14:paraId="0D66223E" w14:textId="77777777" w:rsidR="0013585F" w:rsidRPr="00097732" w:rsidRDefault="0013585F" w:rsidP="0013585F">
      <w:pPr>
        <w:pStyle w:val="Body"/>
        <w:rPr>
          <w:rFonts w:ascii="Arial" w:hAnsi="Arial" w:cs="Arial"/>
          <w:lang w:val="en-IN"/>
        </w:rPr>
      </w:pPr>
      <w:r w:rsidRPr="003267C5">
        <w:rPr>
          <w:rFonts w:ascii="Arial" w:hAnsi="Arial" w:cs="Arial"/>
          <w:b/>
          <w:bCs/>
          <w:lang w:val="en-IN"/>
        </w:rPr>
        <w:lastRenderedPageBreak/>
        <w:t>Ionizing Radiation (IR):</w:t>
      </w:r>
      <w:r w:rsidRPr="00097732">
        <w:rPr>
          <w:rFonts w:ascii="Arial" w:hAnsi="Arial" w:cs="Arial"/>
          <w:lang w:val="en-IN"/>
        </w:rPr>
        <w:t xml:space="preserve"> High-frequency electromagnetic or particulate radiation capable of detaching electrons from atoms or molecules, causing severe genomic and cellular damage.</w:t>
      </w:r>
    </w:p>
    <w:p w14:paraId="223C6F27" w14:textId="77777777" w:rsidR="0013585F" w:rsidRDefault="0013585F" w:rsidP="0013585F">
      <w:pPr>
        <w:pStyle w:val="Body"/>
        <w:rPr>
          <w:rFonts w:ascii="Arial" w:hAnsi="Arial" w:cs="Arial"/>
          <w:lang w:val="en-IN"/>
        </w:rPr>
      </w:pPr>
      <w:r w:rsidRPr="003267C5">
        <w:rPr>
          <w:rFonts w:ascii="Arial" w:hAnsi="Arial" w:cs="Arial"/>
          <w:b/>
          <w:bCs/>
          <w:lang w:val="en-IN"/>
        </w:rPr>
        <w:t>Kaplan-Meier Survival Analysis</w:t>
      </w:r>
      <w:r w:rsidRPr="00097732">
        <w:rPr>
          <w:rFonts w:ascii="Arial" w:hAnsi="Arial" w:cs="Arial"/>
          <w:lang w:val="en-IN"/>
        </w:rPr>
        <w:t>: A non-parametric statistic used to estimate the survival function or recovery kinetics from time-to-event data.</w:t>
      </w:r>
    </w:p>
    <w:p w14:paraId="038101B7" w14:textId="77777777" w:rsidR="0013585F" w:rsidRDefault="0013585F" w:rsidP="0013585F">
      <w:pPr>
        <w:pStyle w:val="Body"/>
        <w:rPr>
          <w:rFonts w:ascii="Arial" w:hAnsi="Arial" w:cs="Arial"/>
          <w:lang w:val="en-IN"/>
        </w:rPr>
      </w:pPr>
      <w:r w:rsidRPr="003267C5">
        <w:rPr>
          <w:rFonts w:ascii="Arial" w:hAnsi="Arial" w:cs="Arial"/>
          <w:b/>
          <w:bCs/>
          <w:lang w:val="en-IN"/>
        </w:rPr>
        <w:t>Log-Rank (Mantel-Cox) Test</w:t>
      </w:r>
      <w:r w:rsidRPr="00097732">
        <w:rPr>
          <w:rFonts w:ascii="Arial" w:hAnsi="Arial" w:cs="Arial"/>
          <w:lang w:val="en-IN"/>
        </w:rPr>
        <w:t>: A non-parametric hypothesis test used to compare the survival or recovery distributions of two or more independent groups.</w:t>
      </w:r>
    </w:p>
    <w:p w14:paraId="072B7518" w14:textId="77777777" w:rsidR="0013585F" w:rsidRPr="00097732" w:rsidRDefault="0013585F" w:rsidP="0013585F">
      <w:pPr>
        <w:pStyle w:val="Body"/>
        <w:rPr>
          <w:rFonts w:ascii="Arial" w:hAnsi="Arial" w:cs="Arial"/>
          <w:lang w:val="en-IN"/>
        </w:rPr>
      </w:pPr>
      <w:r w:rsidRPr="003267C5">
        <w:rPr>
          <w:rFonts w:ascii="Arial" w:hAnsi="Arial" w:cs="Arial"/>
          <w:b/>
          <w:bCs/>
          <w:lang w:val="en-IN"/>
        </w:rPr>
        <w:t>Negative Geotaxis</w:t>
      </w:r>
      <w:r w:rsidRPr="00097732">
        <w:rPr>
          <w:rFonts w:ascii="Arial" w:hAnsi="Arial" w:cs="Arial"/>
          <w:lang w:val="en-IN"/>
        </w:rPr>
        <w:t>: An innate directional response where organisms move upward against the vector of gravity upon mechanical disturbance.</w:t>
      </w:r>
    </w:p>
    <w:p w14:paraId="2937C242" w14:textId="77777777" w:rsidR="0013585F" w:rsidRPr="00097732" w:rsidRDefault="0013585F" w:rsidP="0013585F">
      <w:pPr>
        <w:pStyle w:val="Body"/>
        <w:rPr>
          <w:rFonts w:ascii="Arial" w:hAnsi="Arial" w:cs="Arial"/>
          <w:lang w:val="en-IN"/>
        </w:rPr>
      </w:pPr>
      <w:r w:rsidRPr="003267C5">
        <w:rPr>
          <w:rFonts w:ascii="Arial" w:hAnsi="Arial" w:cs="Arial"/>
          <w:b/>
          <w:bCs/>
          <w:lang w:val="en-IN"/>
        </w:rPr>
        <w:t>Non-Ionizing Radiation (NIR):</w:t>
      </w:r>
      <w:r w:rsidRPr="00097732">
        <w:rPr>
          <w:rFonts w:ascii="Arial" w:hAnsi="Arial" w:cs="Arial"/>
          <w:lang w:val="en-IN"/>
        </w:rPr>
        <w:t xml:space="preserve"> Lower-frequency electromagnetic radiation (such as UV, visible light, and infrared) that lacks sufficient energy to ionize atoms, but can still induce photochemical and thermal damage.</w:t>
      </w:r>
    </w:p>
    <w:p w14:paraId="5B241BB7" w14:textId="77777777" w:rsidR="0013585F" w:rsidRPr="00097732" w:rsidRDefault="0013585F" w:rsidP="0013585F">
      <w:pPr>
        <w:pStyle w:val="Body"/>
        <w:rPr>
          <w:rFonts w:ascii="Arial" w:hAnsi="Arial" w:cs="Arial"/>
          <w:lang w:val="en-IN"/>
        </w:rPr>
      </w:pPr>
      <w:r w:rsidRPr="003267C5">
        <w:rPr>
          <w:rFonts w:ascii="Arial" w:hAnsi="Arial" w:cs="Arial"/>
          <w:b/>
          <w:bCs/>
          <w:i/>
          <w:iCs/>
          <w:lang w:val="en-IN"/>
        </w:rPr>
        <w:t>p-value</w:t>
      </w:r>
      <w:r w:rsidRPr="00097732">
        <w:rPr>
          <w:rFonts w:ascii="Arial" w:hAnsi="Arial" w:cs="Arial"/>
          <w:lang w:val="en-IN"/>
        </w:rPr>
        <w:t>: The probability of obtaining test results at least as extreme as the observed results, assuming the null hypothesis is correct</w:t>
      </w:r>
      <w:r>
        <w:rPr>
          <w:rFonts w:ascii="Arial" w:hAnsi="Arial" w:cs="Arial"/>
          <w:lang w:val="en-IN"/>
        </w:rPr>
        <w:t xml:space="preserve"> </w:t>
      </w:r>
      <w:r w:rsidRPr="00097732">
        <w:rPr>
          <w:rFonts w:ascii="Arial" w:hAnsi="Arial" w:cs="Arial"/>
          <w:lang w:val="en-IN"/>
        </w:rPr>
        <w:t>(statistical significance).</w:t>
      </w:r>
    </w:p>
    <w:p w14:paraId="13482F19" w14:textId="77777777" w:rsidR="0013585F" w:rsidRPr="00097732" w:rsidRDefault="0013585F" w:rsidP="0013585F">
      <w:pPr>
        <w:pStyle w:val="Body"/>
        <w:rPr>
          <w:rFonts w:ascii="Arial" w:hAnsi="Arial" w:cs="Arial"/>
          <w:lang w:val="en-IN"/>
        </w:rPr>
      </w:pPr>
      <w:r w:rsidRPr="003267C5">
        <w:rPr>
          <w:rFonts w:ascii="Arial" w:hAnsi="Arial" w:cs="Arial"/>
          <w:b/>
          <w:bCs/>
          <w:lang w:val="en-IN"/>
        </w:rPr>
        <w:t>Phototaxis</w:t>
      </w:r>
      <w:r w:rsidRPr="00097732">
        <w:rPr>
          <w:rFonts w:ascii="Arial" w:hAnsi="Arial" w:cs="Arial"/>
          <w:lang w:val="en-IN"/>
        </w:rPr>
        <w:t>: The directional movement of an organism in response to a light stimulus, categorized as positive (+</w:t>
      </w:r>
      <w:proofErr w:type="spellStart"/>
      <w:r w:rsidRPr="00097732">
        <w:rPr>
          <w:rFonts w:ascii="Arial" w:hAnsi="Arial" w:cs="Arial"/>
          <w:lang w:val="en-IN"/>
        </w:rPr>
        <w:t>ve</w:t>
      </w:r>
      <w:proofErr w:type="spellEnd"/>
      <w:r w:rsidRPr="00097732">
        <w:rPr>
          <w:rFonts w:ascii="Arial" w:hAnsi="Arial" w:cs="Arial"/>
          <w:lang w:val="en-IN"/>
        </w:rPr>
        <w:t>; movement toward light) or negative (-</w:t>
      </w:r>
      <w:proofErr w:type="spellStart"/>
      <w:r w:rsidRPr="00097732">
        <w:rPr>
          <w:rFonts w:ascii="Arial" w:hAnsi="Arial" w:cs="Arial"/>
          <w:lang w:val="en-IN"/>
        </w:rPr>
        <w:t>ve</w:t>
      </w:r>
      <w:proofErr w:type="spellEnd"/>
      <w:r w:rsidRPr="00097732">
        <w:rPr>
          <w:rFonts w:ascii="Arial" w:hAnsi="Arial" w:cs="Arial"/>
          <w:lang w:val="en-IN"/>
        </w:rPr>
        <w:t>; movement away from light).</w:t>
      </w:r>
    </w:p>
    <w:p w14:paraId="53438FF9" w14:textId="77777777" w:rsidR="0013585F" w:rsidRPr="00097732" w:rsidRDefault="0013585F" w:rsidP="0013585F">
      <w:pPr>
        <w:pStyle w:val="Body"/>
        <w:rPr>
          <w:rFonts w:ascii="Arial" w:hAnsi="Arial" w:cs="Arial"/>
          <w:lang w:val="en-IN"/>
        </w:rPr>
      </w:pPr>
      <w:r w:rsidRPr="003267C5">
        <w:rPr>
          <w:rFonts w:ascii="Arial" w:hAnsi="Arial" w:cs="Arial"/>
          <w:b/>
          <w:bCs/>
          <w:lang w:val="en-IN"/>
        </w:rPr>
        <w:t>Quercetin</w:t>
      </w:r>
      <w:r w:rsidRPr="00097732">
        <w:rPr>
          <w:rFonts w:ascii="Arial" w:hAnsi="Arial" w:cs="Arial"/>
          <w:lang w:val="en-IN"/>
        </w:rPr>
        <w:t>: A naturally occurring polyphenolic flavonoid (</w:t>
      </w:r>
      <m:oMath>
        <m:sSub>
          <m:sSubPr>
            <m:ctrlPr>
              <w:rPr>
                <w:rFonts w:ascii="Cambria Math" w:hAnsi="Cambria Math" w:cs="Arial"/>
                <w:lang w:val="en-IN"/>
              </w:rPr>
            </m:ctrlPr>
          </m:sSubPr>
          <m:e>
            <m:r>
              <w:rPr>
                <w:rFonts w:ascii="Cambria Math" w:hAnsi="Cambria Math" w:cs="Arial"/>
                <w:lang w:val="en-IN"/>
              </w:rPr>
              <m:t>C</m:t>
            </m:r>
          </m:e>
          <m:sub>
            <m:r>
              <w:rPr>
                <w:rFonts w:ascii="Cambria Math" w:hAnsi="Cambria Math" w:cs="Arial"/>
                <w:lang w:val="en-IN"/>
              </w:rPr>
              <m:t>15</m:t>
            </m:r>
          </m:sub>
        </m:sSub>
        <m:sSub>
          <m:sSubPr>
            <m:ctrlPr>
              <w:rPr>
                <w:rFonts w:ascii="Cambria Math" w:hAnsi="Cambria Math" w:cs="Arial"/>
                <w:lang w:val="en-IN"/>
              </w:rPr>
            </m:ctrlPr>
          </m:sSubPr>
          <m:e>
            <m:r>
              <w:rPr>
                <w:rFonts w:ascii="Cambria Math" w:hAnsi="Cambria Math" w:cs="Arial"/>
                <w:lang w:val="en-IN"/>
              </w:rPr>
              <m:t>H</m:t>
            </m:r>
          </m:e>
          <m:sub>
            <m:r>
              <w:rPr>
                <w:rFonts w:ascii="Cambria Math" w:hAnsi="Cambria Math" w:cs="Arial"/>
                <w:lang w:val="en-IN"/>
              </w:rPr>
              <m:t>10</m:t>
            </m:r>
          </m:sub>
        </m:sSub>
        <m:sSub>
          <m:sSubPr>
            <m:ctrlPr>
              <w:rPr>
                <w:rFonts w:ascii="Cambria Math" w:hAnsi="Cambria Math" w:cs="Arial"/>
                <w:lang w:val="en-IN"/>
              </w:rPr>
            </m:ctrlPr>
          </m:sSubPr>
          <m:e>
            <m:r>
              <w:rPr>
                <w:rFonts w:ascii="Cambria Math" w:hAnsi="Cambria Math" w:cs="Arial"/>
                <w:lang w:val="en-IN"/>
              </w:rPr>
              <m:t>O</m:t>
            </m:r>
          </m:e>
          <m:sub>
            <m:r>
              <w:rPr>
                <w:rFonts w:ascii="Cambria Math" w:hAnsi="Cambria Math" w:cs="Arial"/>
                <w:lang w:val="en-IN"/>
              </w:rPr>
              <m:t>7</m:t>
            </m:r>
          </m:sub>
        </m:sSub>
      </m:oMath>
      <w:r w:rsidRPr="00097732">
        <w:rPr>
          <w:rFonts w:ascii="Arial" w:hAnsi="Arial" w:cs="Arial"/>
          <w:lang w:val="en-IN"/>
        </w:rPr>
        <w:t>) abundant in fruits and vegetables, recognized for its ROS-scavenging and anti-apoptotic properties.</w:t>
      </w:r>
    </w:p>
    <w:p w14:paraId="61F71EA5" w14:textId="77777777" w:rsidR="0013585F" w:rsidRPr="00097732" w:rsidRDefault="0013585F" w:rsidP="0013585F">
      <w:pPr>
        <w:pStyle w:val="Body"/>
        <w:rPr>
          <w:rFonts w:ascii="Arial" w:hAnsi="Arial" w:cs="Arial"/>
          <w:lang w:val="en-IN"/>
        </w:rPr>
      </w:pPr>
      <w:r w:rsidRPr="003267C5">
        <w:rPr>
          <w:rFonts w:ascii="Arial" w:hAnsi="Arial" w:cs="Arial"/>
          <w:b/>
          <w:bCs/>
          <w:lang w:val="en-IN"/>
        </w:rPr>
        <w:t>Reactive Oxygen Species (ROS</w:t>
      </w:r>
      <w:r w:rsidRPr="00097732">
        <w:rPr>
          <w:rFonts w:ascii="Arial" w:hAnsi="Arial" w:cs="Arial"/>
          <w:lang w:val="en-IN"/>
        </w:rPr>
        <w:t>): Highly reactive chemical species formed from diatomic oxygen, capable of causing oxidative damage to lipids, proteins, and DNA following UV radiation exposure.</w:t>
      </w:r>
    </w:p>
    <w:p w14:paraId="605F7BF4" w14:textId="77777777" w:rsidR="0013585F" w:rsidRPr="00097732" w:rsidRDefault="0013585F" w:rsidP="0013585F">
      <w:pPr>
        <w:pStyle w:val="Body"/>
        <w:rPr>
          <w:rFonts w:ascii="Arial" w:hAnsi="Arial" w:cs="Arial"/>
          <w:lang w:val="en-IN"/>
        </w:rPr>
      </w:pPr>
      <w:r w:rsidRPr="00276999">
        <w:rPr>
          <w:rFonts w:ascii="Arial" w:hAnsi="Arial" w:cs="Arial"/>
          <w:b/>
          <w:bCs/>
          <w:lang w:val="en-IN"/>
        </w:rPr>
        <w:t>SEM (Standard Error of the Mean):</w:t>
      </w:r>
      <w:r w:rsidRPr="00097732">
        <w:rPr>
          <w:rFonts w:ascii="Arial" w:hAnsi="Arial" w:cs="Arial"/>
          <w:lang w:val="en-IN"/>
        </w:rPr>
        <w:t xml:space="preserve"> A measure of the statistical dispersion or variability of sample means around the population mean.</w:t>
      </w:r>
    </w:p>
    <w:p w14:paraId="4A231B94" w14:textId="77777777" w:rsidR="0013585F" w:rsidRPr="00097732" w:rsidRDefault="0013585F" w:rsidP="0013585F">
      <w:pPr>
        <w:pStyle w:val="Body"/>
        <w:rPr>
          <w:rFonts w:ascii="Arial" w:hAnsi="Arial" w:cs="Arial"/>
          <w:lang w:val="en-IN"/>
        </w:rPr>
      </w:pPr>
      <w:r w:rsidRPr="00276999">
        <w:rPr>
          <w:rFonts w:ascii="Arial" w:hAnsi="Arial" w:cs="Arial"/>
          <w:b/>
          <w:bCs/>
          <w:lang w:val="en-IN"/>
        </w:rPr>
        <w:t>Tukey’s HSD Test:</w:t>
      </w:r>
      <w:r w:rsidRPr="00097732">
        <w:rPr>
          <w:rFonts w:ascii="Arial" w:hAnsi="Arial" w:cs="Arial"/>
          <w:lang w:val="en-IN"/>
        </w:rPr>
        <w:t xml:space="preserve"> Tukey’s Honest Significant Difference test; a single-step post-hoc multiple comparison procedure used to find means that are significantly different from each other across all group pairs.</w:t>
      </w:r>
    </w:p>
    <w:p w14:paraId="3FE5D1BC" w14:textId="77777777" w:rsidR="0013585F" w:rsidRPr="00097732" w:rsidRDefault="0013585F" w:rsidP="0013585F">
      <w:pPr>
        <w:pStyle w:val="Body"/>
        <w:rPr>
          <w:rFonts w:ascii="Arial" w:hAnsi="Arial" w:cs="Arial"/>
          <w:lang w:val="en-IN"/>
        </w:rPr>
      </w:pPr>
      <w:r w:rsidRPr="00276999">
        <w:rPr>
          <w:rFonts w:ascii="Arial" w:hAnsi="Arial" w:cs="Arial"/>
          <w:b/>
          <w:bCs/>
          <w:lang w:val="en-IN"/>
        </w:rPr>
        <w:t>UV Radiation</w:t>
      </w:r>
      <w:r w:rsidRPr="00097732">
        <w:rPr>
          <w:rFonts w:ascii="Arial" w:hAnsi="Arial" w:cs="Arial"/>
          <w:lang w:val="en-IN"/>
        </w:rPr>
        <w:t>: Ultraviolet Radiation; electromagnetic radiation in the wavelength band of 100 nm to 400 nm, subdivided into UV-A (315–400 nm), UV-B (280–315 nm), and UV-C (100–280 nm).</w:t>
      </w:r>
    </w:p>
    <w:p w14:paraId="6EABF262" w14:textId="77777777" w:rsidR="0013585F" w:rsidRPr="00062AAF" w:rsidRDefault="0013585F" w:rsidP="0013585F">
      <w:pPr>
        <w:pStyle w:val="Body"/>
        <w:rPr>
          <w:rFonts w:ascii="Arial" w:hAnsi="Arial" w:cs="Arial"/>
          <w:lang w:val="en-IN"/>
        </w:rPr>
        <w:sectPr w:rsidR="0013585F" w:rsidRPr="00062AAF" w:rsidSect="00131E35">
          <w:headerReference w:type="even" r:id="rId18"/>
          <w:headerReference w:type="default" r:id="rId19"/>
          <w:footerReference w:type="default" r:id="rId20"/>
          <w:headerReference w:type="first" r:id="rId21"/>
          <w:type w:val="continuous"/>
          <w:pgSz w:w="12240" w:h="15840"/>
          <w:pgMar w:top="1440" w:right="2016" w:bottom="2016" w:left="2016" w:header="720" w:footer="1123" w:gutter="0"/>
          <w:cols w:space="720"/>
          <w:docGrid w:linePitch="272"/>
        </w:sectPr>
      </w:pPr>
      <w:r w:rsidRPr="00276999">
        <w:rPr>
          <w:rFonts w:ascii="Arial" w:hAnsi="Arial" w:cs="Arial"/>
          <w:b/>
          <w:bCs/>
          <w:lang w:val="en-IN"/>
        </w:rPr>
        <w:t>UV-C</w:t>
      </w:r>
      <w:r w:rsidRPr="00097732">
        <w:rPr>
          <w:rFonts w:ascii="Arial" w:hAnsi="Arial" w:cs="Arial"/>
          <w:lang w:val="en-IN"/>
        </w:rPr>
        <w:t>: The highest-energy waveband of non-ionizing ultraviolet radiation (100–280 nm), known to induce severe pyrimidine dimer formation, double-strand DNA breaks, and oxidative damage.</w:t>
      </w:r>
    </w:p>
    <w:p w14:paraId="557E98AE" w14:textId="77777777" w:rsidR="0013585F" w:rsidRPr="00FB3A86" w:rsidRDefault="0013585F" w:rsidP="0013585F">
      <w:pPr>
        <w:pStyle w:val="Appendix"/>
        <w:spacing w:after="0"/>
        <w:jc w:val="both"/>
        <w:rPr>
          <w:rFonts w:ascii="Arial" w:hAnsi="Arial" w:cs="Arial"/>
          <w:b w:val="0"/>
        </w:rPr>
      </w:pPr>
    </w:p>
    <w:p w14:paraId="3146E355" w14:textId="77777777" w:rsidR="0013585F" w:rsidRPr="00FB3A86" w:rsidRDefault="0013585F" w:rsidP="00D822FF">
      <w:pPr>
        <w:pStyle w:val="Body"/>
        <w:rPr>
          <w:rFonts w:ascii="Arial" w:hAnsi="Arial" w:cs="Arial"/>
        </w:rPr>
      </w:pPr>
    </w:p>
    <w:p w14:paraId="1F426816" w14:textId="77777777" w:rsidR="0013585F" w:rsidRDefault="0013585F" w:rsidP="00441B6F">
      <w:pPr>
        <w:pStyle w:val="ReferHead"/>
        <w:spacing w:after="0"/>
        <w:jc w:val="both"/>
        <w:rPr>
          <w:rFonts w:ascii="Arial" w:hAnsi="Arial" w:cs="Arial"/>
          <w:b w:val="0"/>
          <w:caps w:val="0"/>
          <w:sz w:val="20"/>
          <w:u w:val="single"/>
        </w:rPr>
      </w:pPr>
    </w:p>
    <w:p w14:paraId="4C49111B" w14:textId="77777777" w:rsidR="00131E35" w:rsidRDefault="00131E35" w:rsidP="00441B6F">
      <w:pPr>
        <w:pStyle w:val="ReferHead"/>
        <w:spacing w:after="0"/>
        <w:jc w:val="both"/>
        <w:rPr>
          <w:rFonts w:ascii="Arial" w:hAnsi="Arial" w:cs="Arial"/>
          <w:b w:val="0"/>
          <w:caps w:val="0"/>
          <w:sz w:val="20"/>
          <w:u w:val="single"/>
        </w:rPr>
      </w:pPr>
    </w:p>
    <w:p w14:paraId="79490F6E" w14:textId="77777777" w:rsidR="00131E35" w:rsidRDefault="00131E35" w:rsidP="00441B6F">
      <w:pPr>
        <w:pStyle w:val="ReferHead"/>
        <w:spacing w:after="0"/>
        <w:jc w:val="both"/>
        <w:rPr>
          <w:rFonts w:ascii="Arial" w:hAnsi="Arial" w:cs="Arial"/>
          <w:b w:val="0"/>
          <w:caps w:val="0"/>
          <w:sz w:val="20"/>
          <w:u w:val="single"/>
        </w:rPr>
      </w:pPr>
    </w:p>
    <w:p w14:paraId="2E25ACA9" w14:textId="77777777" w:rsidR="00131E35" w:rsidRDefault="00131E35" w:rsidP="00441B6F">
      <w:pPr>
        <w:pStyle w:val="ReferHead"/>
        <w:spacing w:after="0"/>
        <w:jc w:val="both"/>
        <w:rPr>
          <w:rFonts w:ascii="Arial" w:hAnsi="Arial" w:cs="Arial"/>
          <w:b w:val="0"/>
          <w:caps w:val="0"/>
          <w:sz w:val="20"/>
          <w:u w:val="single"/>
        </w:rPr>
      </w:pPr>
    </w:p>
    <w:p w14:paraId="5C7F8923" w14:textId="77777777" w:rsidR="0013585F" w:rsidRDefault="0013585F" w:rsidP="00441B6F">
      <w:pPr>
        <w:pStyle w:val="ReferHead"/>
        <w:spacing w:after="0"/>
        <w:jc w:val="both"/>
        <w:rPr>
          <w:rFonts w:ascii="Arial" w:hAnsi="Arial" w:cs="Arial"/>
          <w:b w:val="0"/>
          <w:caps w:val="0"/>
          <w:sz w:val="20"/>
          <w:u w:val="single"/>
        </w:rPr>
      </w:pPr>
    </w:p>
    <w:p w14:paraId="687E187E" w14:textId="77777777" w:rsidR="0013585F" w:rsidRPr="0013585F" w:rsidRDefault="0013585F" w:rsidP="0013585F">
      <w:pPr>
        <w:rPr>
          <w:rFonts w:ascii="Arial" w:eastAsia="Calibri" w:hAnsi="Arial" w:cs="Arial"/>
          <w:b/>
        </w:rPr>
      </w:pPr>
      <w:r w:rsidRPr="0013585F">
        <w:rPr>
          <w:rFonts w:ascii="Arial" w:eastAsia="Calibri" w:hAnsi="Arial" w:cs="Arial"/>
          <w:b/>
        </w:rPr>
        <w:t>Declaration of AI Use</w:t>
      </w:r>
    </w:p>
    <w:p w14:paraId="487E7EED" w14:textId="77777777" w:rsidR="0013585F" w:rsidRPr="0013585F" w:rsidRDefault="0013585F" w:rsidP="0013585F">
      <w:pPr>
        <w:rPr>
          <w:rFonts w:ascii="Arial" w:eastAsia="Calibri" w:hAnsi="Arial" w:cs="Arial"/>
        </w:rPr>
      </w:pPr>
    </w:p>
    <w:p w14:paraId="37D82C2E" w14:textId="77777777" w:rsidR="0013585F" w:rsidRPr="0013585F" w:rsidRDefault="0013585F" w:rsidP="0013585F">
      <w:pPr>
        <w:rPr>
          <w:rFonts w:ascii="Arial" w:eastAsia="Calibri" w:hAnsi="Arial" w:cs="Arial"/>
        </w:rPr>
      </w:pPr>
      <w:r w:rsidRPr="0013585F">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B23B1A1" w14:textId="77777777" w:rsidR="0013585F" w:rsidRPr="0013585F" w:rsidRDefault="0013585F" w:rsidP="0013585F">
      <w:pPr>
        <w:jc w:val="both"/>
        <w:rPr>
          <w:rFonts w:ascii="Times New Roman" w:eastAsia="Calibri" w:hAnsi="Times New Roman"/>
          <w:sz w:val="22"/>
          <w:szCs w:val="22"/>
        </w:rPr>
      </w:pPr>
    </w:p>
    <w:p w14:paraId="23627449" w14:textId="77777777" w:rsidR="0013585F" w:rsidRPr="0013585F" w:rsidRDefault="0013585F" w:rsidP="0013585F">
      <w:pPr>
        <w:jc w:val="both"/>
        <w:rPr>
          <w:rFonts w:ascii="Times New Roman" w:eastAsia="Calibri" w:hAnsi="Times New Roman"/>
          <w:sz w:val="22"/>
          <w:szCs w:val="22"/>
        </w:rPr>
      </w:pPr>
    </w:p>
    <w:p w14:paraId="1313E5AC" w14:textId="77777777" w:rsidR="0013585F" w:rsidRPr="0013585F" w:rsidRDefault="0013585F" w:rsidP="0013585F">
      <w:pPr>
        <w:spacing w:after="200" w:line="276" w:lineRule="auto"/>
        <w:rPr>
          <w:rFonts w:ascii="Cambria" w:hAnsi="Cambria" w:cs="Arial"/>
          <w:b/>
          <w:bCs/>
          <w:sz w:val="22"/>
          <w:szCs w:val="22"/>
          <w:lang w:val="en-GB" w:eastAsia="en-GB"/>
        </w:rPr>
      </w:pPr>
      <w:r w:rsidRPr="0013585F">
        <w:rPr>
          <w:rFonts w:ascii="Cambria" w:hAnsi="Cambria" w:cs="Arial"/>
          <w:b/>
          <w:bCs/>
          <w:sz w:val="22"/>
          <w:szCs w:val="22"/>
          <w:lang w:val="en-GB" w:eastAsia="en-GB"/>
        </w:rPr>
        <w:t>COMPETING INTERESTS DISCLAIMER:</w:t>
      </w:r>
    </w:p>
    <w:p w14:paraId="7D5EA018" w14:textId="77777777" w:rsidR="0013585F" w:rsidRPr="0013585F" w:rsidRDefault="0013585F" w:rsidP="0013585F">
      <w:pPr>
        <w:spacing w:after="200" w:line="276" w:lineRule="auto"/>
        <w:rPr>
          <w:rFonts w:ascii="Cambria" w:hAnsi="Cambria"/>
          <w:sz w:val="22"/>
          <w:szCs w:val="22"/>
          <w:lang w:val="en-GB" w:eastAsia="en-GB"/>
        </w:rPr>
      </w:pPr>
      <w:r w:rsidRPr="0013585F">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5D8B44D4" w14:textId="77777777" w:rsidR="0013585F" w:rsidRDefault="0013585F" w:rsidP="00441B6F">
      <w:pPr>
        <w:pStyle w:val="ReferHead"/>
        <w:spacing w:after="0"/>
        <w:jc w:val="both"/>
        <w:rPr>
          <w:rFonts w:ascii="Arial" w:hAnsi="Arial" w:cs="Arial"/>
          <w:b w:val="0"/>
          <w:caps w:val="0"/>
          <w:sz w:val="20"/>
          <w:u w:val="single"/>
        </w:rPr>
      </w:pPr>
    </w:p>
    <w:p w14:paraId="33A4DB15" w14:textId="77777777" w:rsidR="0013585F" w:rsidRPr="00F469F0" w:rsidRDefault="0013585F" w:rsidP="00441B6F">
      <w:pPr>
        <w:pStyle w:val="ReferHead"/>
        <w:spacing w:after="0"/>
        <w:jc w:val="both"/>
        <w:rPr>
          <w:rFonts w:ascii="Arial" w:hAnsi="Arial" w:cs="Arial"/>
          <w:b w:val="0"/>
          <w:caps w:val="0"/>
          <w:sz w:val="20"/>
          <w:u w:val="single"/>
        </w:rPr>
      </w:pPr>
    </w:p>
    <w:p w14:paraId="3F764FB0" w14:textId="77777777" w:rsidR="002B685A" w:rsidRDefault="002B685A" w:rsidP="00441B6F">
      <w:pPr>
        <w:pStyle w:val="ReferHead"/>
        <w:spacing w:after="0"/>
        <w:jc w:val="both"/>
        <w:rPr>
          <w:rFonts w:ascii="Arial" w:hAnsi="Arial" w:cs="Arial"/>
          <w:b w:val="0"/>
          <w:caps w:val="0"/>
          <w:sz w:val="20"/>
        </w:rPr>
      </w:pPr>
    </w:p>
    <w:p w14:paraId="57B8BD73" w14:textId="77777777" w:rsidR="00860000" w:rsidRDefault="00860000" w:rsidP="00441B6F">
      <w:pPr>
        <w:pStyle w:val="ReferHead"/>
        <w:spacing w:after="0"/>
        <w:jc w:val="both"/>
        <w:rPr>
          <w:rFonts w:ascii="Arial" w:hAnsi="Arial" w:cs="Arial"/>
        </w:rPr>
      </w:pPr>
    </w:p>
    <w:p w14:paraId="6381E584" w14:textId="18F4D888" w:rsidR="008B459E" w:rsidRDefault="00B01FCD" w:rsidP="00A56DB3">
      <w:pPr>
        <w:pStyle w:val="ReferHead"/>
        <w:spacing w:after="0"/>
        <w:jc w:val="both"/>
        <w:rPr>
          <w:rFonts w:ascii="Arial" w:hAnsi="Arial" w:cs="Arial"/>
        </w:rPr>
      </w:pPr>
      <w:r w:rsidRPr="00FB3A86">
        <w:rPr>
          <w:rFonts w:ascii="Arial" w:hAnsi="Arial" w:cs="Arial"/>
        </w:rPr>
        <w:t>References</w:t>
      </w:r>
    </w:p>
    <w:p w14:paraId="46B2EF78" w14:textId="77777777" w:rsidR="00A56DB3" w:rsidRPr="002C57D2" w:rsidRDefault="00A56DB3" w:rsidP="00A56DB3">
      <w:pPr>
        <w:pStyle w:val="ReferHead"/>
        <w:spacing w:after="0"/>
        <w:jc w:val="both"/>
        <w:rPr>
          <w:rFonts w:ascii="Arial" w:hAnsi="Arial" w:cs="Arial"/>
        </w:rPr>
      </w:pPr>
    </w:p>
    <w:p w14:paraId="4795FDDF" w14:textId="5CB39378" w:rsidR="00DC438A" w:rsidRPr="00A56DB3" w:rsidRDefault="00DC438A" w:rsidP="00A56DB3">
      <w:pPr>
        <w:spacing w:after="160" w:line="259" w:lineRule="auto"/>
        <w:ind w:left="1080"/>
        <w:jc w:val="both"/>
        <w:rPr>
          <w:rFonts w:ascii="Arial" w:hAnsi="Arial" w:cs="Arial"/>
        </w:rPr>
      </w:pPr>
      <w:r w:rsidRPr="002B2195">
        <w:rPr>
          <w:rFonts w:ascii="Arial" w:hAnsi="Arial" w:cs="Arial"/>
        </w:rPr>
        <w:t xml:space="preserve">Tiwari, V., &amp; Wilson, D. M. (2019). DNA Damage and Associated DNA Repair Defects in Disease and Premature Aging. </w:t>
      </w:r>
      <w:r w:rsidRPr="002B2195">
        <w:rPr>
          <w:rFonts w:ascii="Arial" w:hAnsi="Arial" w:cs="Arial"/>
          <w:i/>
          <w:iCs/>
        </w:rPr>
        <w:t>The American Journal of Human Genetics</w:t>
      </w:r>
      <w:r w:rsidRPr="002B2195">
        <w:rPr>
          <w:rFonts w:ascii="Arial" w:hAnsi="Arial" w:cs="Arial"/>
        </w:rPr>
        <w:t xml:space="preserve">, 105(2), 237-257. </w:t>
      </w:r>
      <w:hyperlink r:id="rId22" w:tgtFrame="_blank" w:history="1">
        <w:r w:rsidRPr="002B2195">
          <w:rPr>
            <w:rStyle w:val="Hyperlink"/>
            <w:rFonts w:ascii="Arial" w:hAnsi="Arial" w:cs="Arial"/>
          </w:rPr>
          <w:t>https://doi.org/10.1016/j.ajhg.2019.06.005</w:t>
        </w:r>
      </w:hyperlink>
      <w:r w:rsidRPr="002B2195">
        <w:rPr>
          <w:rFonts w:ascii="Arial" w:hAnsi="Arial" w:cs="Arial"/>
        </w:rPr>
        <w:t xml:space="preserve"> </w:t>
      </w:r>
    </w:p>
    <w:p w14:paraId="0CA0D5DF" w14:textId="0C7ADC07" w:rsidR="00DC438A" w:rsidRPr="00A56DB3" w:rsidRDefault="00DC438A" w:rsidP="00A56DB3">
      <w:pPr>
        <w:spacing w:after="160" w:line="259" w:lineRule="auto"/>
        <w:ind w:left="1080"/>
        <w:jc w:val="both"/>
        <w:rPr>
          <w:rFonts w:ascii="Arial" w:hAnsi="Arial" w:cs="Arial"/>
        </w:rPr>
      </w:pPr>
      <w:r w:rsidRPr="002B2195">
        <w:rPr>
          <w:rFonts w:ascii="Arial" w:hAnsi="Arial" w:cs="Arial"/>
        </w:rPr>
        <w:t>Sharma, S. K., James, J., Gupta, S. K., &amp; Hussain, S. (2022). UV-</w:t>
      </w:r>
      <w:proofErr w:type="gramStart"/>
      <w:r w:rsidRPr="002B2195">
        <w:rPr>
          <w:rFonts w:ascii="Arial" w:hAnsi="Arial" w:cs="Arial"/>
        </w:rPr>
        <w:t>A,B</w:t>
      </w:r>
      <w:proofErr w:type="gramEnd"/>
      <w:r w:rsidRPr="002B2195">
        <w:rPr>
          <w:rFonts w:ascii="Arial" w:hAnsi="Arial" w:cs="Arial"/>
        </w:rPr>
        <w:t xml:space="preserve">,C Emitting Persistent Luminescent Materials. </w:t>
      </w:r>
      <w:r w:rsidRPr="002B2195">
        <w:rPr>
          <w:rFonts w:ascii="Arial" w:hAnsi="Arial" w:cs="Arial"/>
          <w:i/>
          <w:iCs/>
        </w:rPr>
        <w:t>Materials</w:t>
      </w:r>
      <w:r w:rsidRPr="002B2195">
        <w:rPr>
          <w:rFonts w:ascii="Arial" w:hAnsi="Arial" w:cs="Arial"/>
        </w:rPr>
        <w:t xml:space="preserve">, 16(1), 236. </w:t>
      </w:r>
      <w:hyperlink r:id="rId23" w:tgtFrame="_blank" w:history="1">
        <w:r w:rsidRPr="002B2195">
          <w:rPr>
            <w:rStyle w:val="Hyperlink"/>
            <w:rFonts w:ascii="Arial" w:hAnsi="Arial" w:cs="Arial"/>
          </w:rPr>
          <w:t>https://doi.org/10.3390/ma16010236</w:t>
        </w:r>
      </w:hyperlink>
    </w:p>
    <w:p w14:paraId="65CB70DB" w14:textId="7E2A7463" w:rsidR="00DC438A" w:rsidRPr="00A56DB3" w:rsidRDefault="00DC438A" w:rsidP="00A56DB3">
      <w:pPr>
        <w:spacing w:after="160" w:line="259" w:lineRule="auto"/>
        <w:ind w:left="1080"/>
        <w:jc w:val="both"/>
        <w:rPr>
          <w:rFonts w:ascii="Arial" w:hAnsi="Arial" w:cs="Arial"/>
        </w:rPr>
      </w:pPr>
      <w:r w:rsidRPr="002B2195">
        <w:rPr>
          <w:rFonts w:ascii="Arial" w:hAnsi="Arial" w:cs="Arial"/>
        </w:rPr>
        <w:t xml:space="preserve">Badea, N., Samayoa, D., </w:t>
      </w:r>
      <w:proofErr w:type="spellStart"/>
      <w:r w:rsidRPr="002B2195">
        <w:rPr>
          <w:rFonts w:ascii="Arial" w:hAnsi="Arial" w:cs="Arial"/>
        </w:rPr>
        <w:t>Moroşan</w:t>
      </w:r>
      <w:proofErr w:type="spellEnd"/>
      <w:r w:rsidRPr="002B2195">
        <w:rPr>
          <w:rFonts w:ascii="Arial" w:hAnsi="Arial" w:cs="Arial"/>
        </w:rPr>
        <w:t xml:space="preserve">, A., Ott, C., &amp; Lacatusu, I. (2024). Hybrid Carbohydrate–Lipid Nanocarriers: In Vitro Efficacy Gene-Rated by Association of UV-Absorbers and Raspberry Polyphenols Rich-Fraction. </w:t>
      </w:r>
      <w:r w:rsidRPr="002B2195">
        <w:rPr>
          <w:rFonts w:ascii="Arial" w:hAnsi="Arial" w:cs="Arial"/>
          <w:i/>
          <w:iCs/>
        </w:rPr>
        <w:t>Pharmaceuticals</w:t>
      </w:r>
      <w:r w:rsidRPr="002B2195">
        <w:rPr>
          <w:rFonts w:ascii="Arial" w:hAnsi="Arial" w:cs="Arial"/>
        </w:rPr>
        <w:t xml:space="preserve">, 18(1), 16. </w:t>
      </w:r>
      <w:hyperlink r:id="rId24" w:tgtFrame="_blank" w:history="1">
        <w:r w:rsidRPr="002B2195">
          <w:rPr>
            <w:rStyle w:val="Hyperlink"/>
            <w:rFonts w:ascii="Arial" w:hAnsi="Arial" w:cs="Arial"/>
          </w:rPr>
          <w:t>https://doi.org/10.3390/ph18010016</w:t>
        </w:r>
      </w:hyperlink>
    </w:p>
    <w:p w14:paraId="74237FD2" w14:textId="583E938A" w:rsidR="00DC438A" w:rsidRPr="00DC438A" w:rsidRDefault="00DC438A" w:rsidP="00A56DB3">
      <w:pPr>
        <w:tabs>
          <w:tab w:val="left" w:pos="1134"/>
        </w:tabs>
        <w:spacing w:after="160" w:line="259" w:lineRule="auto"/>
        <w:ind w:left="1080"/>
        <w:jc w:val="both"/>
        <w:rPr>
          <w:rFonts w:ascii="Arial" w:hAnsi="Arial" w:cs="Arial"/>
        </w:rPr>
      </w:pPr>
      <w:proofErr w:type="spellStart"/>
      <w:r w:rsidRPr="002B2195">
        <w:rPr>
          <w:rFonts w:ascii="Arial" w:hAnsi="Arial" w:cs="Arial"/>
        </w:rPr>
        <w:t>Mmbando</w:t>
      </w:r>
      <w:proofErr w:type="spellEnd"/>
      <w:r w:rsidRPr="002B2195">
        <w:rPr>
          <w:rFonts w:ascii="Arial" w:hAnsi="Arial" w:cs="Arial"/>
        </w:rPr>
        <w:t xml:space="preserve">, G.S., </w:t>
      </w:r>
      <w:proofErr w:type="spellStart"/>
      <w:r w:rsidRPr="002B2195">
        <w:rPr>
          <w:rFonts w:ascii="Arial" w:hAnsi="Arial" w:cs="Arial"/>
        </w:rPr>
        <w:t>Ngongolo</w:t>
      </w:r>
      <w:proofErr w:type="spellEnd"/>
      <w:r w:rsidRPr="002B2195">
        <w:rPr>
          <w:rFonts w:ascii="Arial" w:hAnsi="Arial" w:cs="Arial"/>
        </w:rPr>
        <w:t>, K. Environmental &amp; health impacts of ultraviolet radiation: current trends and mitigation strategies. </w:t>
      </w:r>
      <w:proofErr w:type="spellStart"/>
      <w:r w:rsidRPr="002B2195">
        <w:rPr>
          <w:rFonts w:ascii="Arial" w:hAnsi="Arial" w:cs="Arial"/>
          <w:i/>
          <w:iCs/>
        </w:rPr>
        <w:t>Discov</w:t>
      </w:r>
      <w:proofErr w:type="spellEnd"/>
      <w:r w:rsidRPr="002B2195">
        <w:rPr>
          <w:rFonts w:ascii="Arial" w:hAnsi="Arial" w:cs="Arial"/>
          <w:i/>
          <w:iCs/>
        </w:rPr>
        <w:t xml:space="preserve"> Sustain</w:t>
      </w:r>
      <w:r w:rsidRPr="002B2195">
        <w:rPr>
          <w:rFonts w:ascii="Arial" w:hAnsi="Arial" w:cs="Arial"/>
        </w:rPr>
        <w:t> </w:t>
      </w:r>
      <w:r w:rsidRPr="002B2195">
        <w:rPr>
          <w:rFonts w:ascii="Arial" w:hAnsi="Arial" w:cs="Arial"/>
          <w:b/>
          <w:bCs/>
        </w:rPr>
        <w:t>5</w:t>
      </w:r>
      <w:r w:rsidRPr="002B2195">
        <w:rPr>
          <w:rFonts w:ascii="Arial" w:hAnsi="Arial" w:cs="Arial"/>
        </w:rPr>
        <w:t xml:space="preserve">, 436 (2024). </w:t>
      </w:r>
      <w:hyperlink r:id="rId25" w:history="1">
        <w:r w:rsidRPr="002B2195">
          <w:rPr>
            <w:rStyle w:val="Hyperlink"/>
            <w:rFonts w:ascii="Arial" w:hAnsi="Arial" w:cs="Arial"/>
          </w:rPr>
          <w:t>https://doi.org/10.1007/s43621-024-00698-1</w:t>
        </w:r>
      </w:hyperlink>
    </w:p>
    <w:p w14:paraId="3AC7365D" w14:textId="605E0CA8" w:rsidR="00DC438A" w:rsidRPr="00A56DB3" w:rsidRDefault="00DC438A" w:rsidP="00A56DB3">
      <w:pPr>
        <w:spacing w:after="160" w:line="259" w:lineRule="auto"/>
        <w:ind w:left="1080"/>
        <w:jc w:val="both"/>
        <w:rPr>
          <w:rFonts w:ascii="Arial" w:hAnsi="Arial" w:cs="Arial"/>
        </w:rPr>
      </w:pPr>
      <w:proofErr w:type="spellStart"/>
      <w:r w:rsidRPr="002B2195">
        <w:rPr>
          <w:rFonts w:ascii="Arial" w:hAnsi="Arial" w:cs="Arial"/>
        </w:rPr>
        <w:t>Leković</w:t>
      </w:r>
      <w:proofErr w:type="spellEnd"/>
      <w:r w:rsidRPr="002B2195">
        <w:rPr>
          <w:rFonts w:ascii="Arial" w:hAnsi="Arial" w:cs="Arial"/>
        </w:rPr>
        <w:t xml:space="preserve">, Ž. (2026). Electromagnetic fields and oxidative stress: The link to the development of cancer, neurological diseases, and behavioral disorders. </w:t>
      </w:r>
      <w:proofErr w:type="spellStart"/>
      <w:r w:rsidRPr="002B2195">
        <w:rPr>
          <w:rFonts w:ascii="Arial" w:hAnsi="Arial" w:cs="Arial"/>
          <w:i/>
          <w:iCs/>
        </w:rPr>
        <w:t>Electromagn</w:t>
      </w:r>
      <w:proofErr w:type="spellEnd"/>
      <w:r w:rsidRPr="002B2195">
        <w:rPr>
          <w:rFonts w:ascii="Arial" w:hAnsi="Arial" w:cs="Arial"/>
          <w:i/>
          <w:iCs/>
        </w:rPr>
        <w:t xml:space="preserve"> Biol Med</w:t>
      </w:r>
      <w:r>
        <w:rPr>
          <w:rFonts w:ascii="Arial" w:hAnsi="Arial" w:cs="Arial"/>
          <w:i/>
          <w:iCs/>
        </w:rPr>
        <w:t>,</w:t>
      </w:r>
      <w:r w:rsidRPr="002B2195">
        <w:rPr>
          <w:rFonts w:ascii="Arial" w:hAnsi="Arial" w:cs="Arial"/>
        </w:rPr>
        <w:t xml:space="preserve"> 45(1):94-118. </w:t>
      </w:r>
      <w:hyperlink r:id="rId26" w:history="1">
        <w:r w:rsidRPr="002B2195">
          <w:rPr>
            <w:rStyle w:val="Hyperlink"/>
            <w:rFonts w:ascii="Arial" w:hAnsi="Arial" w:cs="Arial"/>
          </w:rPr>
          <w:t>https://doi.org/10.1080/15368378.2025.2567872</w:t>
        </w:r>
      </w:hyperlink>
      <w:r w:rsidRPr="002B2195">
        <w:rPr>
          <w:rFonts w:ascii="Arial" w:hAnsi="Arial" w:cs="Arial"/>
        </w:rPr>
        <w:t xml:space="preserve"> </w:t>
      </w:r>
    </w:p>
    <w:p w14:paraId="71679202" w14:textId="0CF5DDB3" w:rsidR="00DC438A" w:rsidRPr="00DC438A" w:rsidRDefault="00DC438A" w:rsidP="00DC438A">
      <w:pPr>
        <w:spacing w:after="160" w:line="259" w:lineRule="auto"/>
        <w:ind w:left="1080"/>
        <w:jc w:val="both"/>
        <w:rPr>
          <w:rFonts w:ascii="Arial" w:hAnsi="Arial" w:cs="Arial"/>
        </w:rPr>
      </w:pPr>
      <w:r w:rsidRPr="002B2195">
        <w:rPr>
          <w:rFonts w:ascii="Arial" w:hAnsi="Arial" w:cs="Arial"/>
        </w:rPr>
        <w:t xml:space="preserve">Villegas-Aguilar, M. C., Sánchez-Marzo, N., Fernández-Ochoa, Á., Del Río, C., Montaner, J., Micol, V., Herranz-López, M., </w:t>
      </w:r>
      <w:proofErr w:type="spellStart"/>
      <w:r w:rsidRPr="002B2195">
        <w:rPr>
          <w:rFonts w:ascii="Arial" w:hAnsi="Arial" w:cs="Arial"/>
        </w:rPr>
        <w:t>Barrajón</w:t>
      </w:r>
      <w:proofErr w:type="spellEnd"/>
      <w:r w:rsidRPr="002B2195">
        <w:rPr>
          <w:rFonts w:ascii="Arial" w:hAnsi="Arial" w:cs="Arial"/>
        </w:rPr>
        <w:t xml:space="preserve">-Catalán, E., </w:t>
      </w:r>
      <w:proofErr w:type="spellStart"/>
      <w:r w:rsidRPr="002B2195">
        <w:rPr>
          <w:rFonts w:ascii="Arial" w:hAnsi="Arial" w:cs="Arial"/>
        </w:rPr>
        <w:t>Arráez</w:t>
      </w:r>
      <w:proofErr w:type="spellEnd"/>
      <w:r w:rsidRPr="002B2195">
        <w:rPr>
          <w:rFonts w:ascii="Arial" w:hAnsi="Arial" w:cs="Arial"/>
        </w:rPr>
        <w:t>-Román, D., Cádiz-</w:t>
      </w:r>
      <w:proofErr w:type="spellStart"/>
      <w:r w:rsidRPr="002B2195">
        <w:rPr>
          <w:rFonts w:ascii="Arial" w:hAnsi="Arial" w:cs="Arial"/>
        </w:rPr>
        <w:t>Gurrea</w:t>
      </w:r>
      <w:proofErr w:type="spellEnd"/>
      <w:r w:rsidRPr="002B2195">
        <w:rPr>
          <w:rFonts w:ascii="Arial" w:hAnsi="Arial" w:cs="Arial"/>
        </w:rPr>
        <w:t xml:space="preserve">, M. L., &amp; Segura-Carretero, A. (2024). Evaluation of Bioactive Effects of Five Plant Extracts with Different Phenolic Compositions against </w:t>
      </w:r>
      <w:r w:rsidRPr="002B2195">
        <w:rPr>
          <w:rFonts w:ascii="Arial" w:hAnsi="Arial" w:cs="Arial"/>
        </w:rPr>
        <w:lastRenderedPageBreak/>
        <w:t xml:space="preserve">Different Therapeutic Targets. </w:t>
      </w:r>
      <w:r w:rsidRPr="002B2195">
        <w:rPr>
          <w:rFonts w:ascii="Arial" w:hAnsi="Arial" w:cs="Arial"/>
          <w:i/>
          <w:iCs/>
        </w:rPr>
        <w:t>Antioxidants</w:t>
      </w:r>
      <w:r w:rsidRPr="002B2195">
        <w:rPr>
          <w:rFonts w:ascii="Arial" w:hAnsi="Arial" w:cs="Arial"/>
        </w:rPr>
        <w:t xml:space="preserve">, 13(2), 217. </w:t>
      </w:r>
      <w:hyperlink r:id="rId27" w:tgtFrame="_blank" w:history="1">
        <w:r w:rsidRPr="002B2195">
          <w:rPr>
            <w:rStyle w:val="Hyperlink"/>
            <w:rFonts w:ascii="Arial" w:hAnsi="Arial" w:cs="Arial"/>
          </w:rPr>
          <w:t>https://doi.org/10.3390/antiox13020217</w:t>
        </w:r>
      </w:hyperlink>
    </w:p>
    <w:p w14:paraId="577CD960" w14:textId="3314B3AA" w:rsidR="00DC438A" w:rsidRPr="00DC438A" w:rsidRDefault="00DC438A" w:rsidP="00DC438A">
      <w:pPr>
        <w:spacing w:after="160" w:line="259" w:lineRule="auto"/>
        <w:ind w:left="1080"/>
        <w:jc w:val="both"/>
        <w:rPr>
          <w:rFonts w:ascii="Arial" w:hAnsi="Arial" w:cs="Arial"/>
        </w:rPr>
      </w:pPr>
      <w:r w:rsidRPr="002B2195">
        <w:rPr>
          <w:rFonts w:ascii="Arial" w:hAnsi="Arial" w:cs="Arial"/>
        </w:rPr>
        <w:t xml:space="preserve">Mikhailova, D. V., Shevchenko, O. G., Golubev, D. A., Platonova, E. Y., </w:t>
      </w:r>
      <w:proofErr w:type="spellStart"/>
      <w:r w:rsidRPr="002B2195">
        <w:rPr>
          <w:rFonts w:ascii="Arial" w:hAnsi="Arial" w:cs="Arial"/>
        </w:rPr>
        <w:t>Zemskaya</w:t>
      </w:r>
      <w:proofErr w:type="spellEnd"/>
      <w:r w:rsidRPr="002B2195">
        <w:rPr>
          <w:rFonts w:ascii="Arial" w:hAnsi="Arial" w:cs="Arial"/>
        </w:rPr>
        <w:t xml:space="preserve">, N. V., Shoeva, O. Y., Gordeeva, E. I., </w:t>
      </w:r>
      <w:proofErr w:type="spellStart"/>
      <w:r w:rsidRPr="002B2195">
        <w:rPr>
          <w:rFonts w:ascii="Arial" w:hAnsi="Arial" w:cs="Arial"/>
        </w:rPr>
        <w:t>Patov</w:t>
      </w:r>
      <w:proofErr w:type="spellEnd"/>
      <w:r w:rsidRPr="002B2195">
        <w:rPr>
          <w:rFonts w:ascii="Arial" w:hAnsi="Arial" w:cs="Arial"/>
        </w:rPr>
        <w:t xml:space="preserve">, S. A., Shaposhnikov, M. V., Khlestkina, E. K., &amp; </w:t>
      </w:r>
      <w:proofErr w:type="spellStart"/>
      <w:r w:rsidRPr="002B2195">
        <w:rPr>
          <w:rFonts w:ascii="Arial" w:hAnsi="Arial" w:cs="Arial"/>
        </w:rPr>
        <w:t>Moskalev</w:t>
      </w:r>
      <w:proofErr w:type="spellEnd"/>
      <w:r w:rsidRPr="002B2195">
        <w:rPr>
          <w:rFonts w:ascii="Arial" w:hAnsi="Arial" w:cs="Arial"/>
        </w:rPr>
        <w:t xml:space="preserve">, A. (2023). Antioxidant Properties and </w:t>
      </w:r>
      <w:proofErr w:type="spellStart"/>
      <w:r w:rsidRPr="002B2195">
        <w:rPr>
          <w:rFonts w:ascii="Arial" w:hAnsi="Arial" w:cs="Arial"/>
        </w:rPr>
        <w:t>Geroprotective</w:t>
      </w:r>
      <w:proofErr w:type="spellEnd"/>
      <w:r w:rsidRPr="002B2195">
        <w:rPr>
          <w:rFonts w:ascii="Arial" w:hAnsi="Arial" w:cs="Arial"/>
        </w:rPr>
        <w:t xml:space="preserve"> Potential of Wheat Bran Extracts with Increased Content of Anthocyanins. </w:t>
      </w:r>
      <w:r w:rsidRPr="002B2195">
        <w:rPr>
          <w:rFonts w:ascii="Arial" w:hAnsi="Arial" w:cs="Arial"/>
          <w:i/>
          <w:iCs/>
        </w:rPr>
        <w:t>Antioxidants</w:t>
      </w:r>
      <w:r w:rsidRPr="002B2195">
        <w:rPr>
          <w:rFonts w:ascii="Arial" w:hAnsi="Arial" w:cs="Arial"/>
        </w:rPr>
        <w:t xml:space="preserve">, 12(11), 2010. </w:t>
      </w:r>
      <w:hyperlink r:id="rId28" w:tgtFrame="_blank" w:history="1">
        <w:r w:rsidRPr="002B2195">
          <w:rPr>
            <w:rStyle w:val="Hyperlink"/>
            <w:rFonts w:ascii="Arial" w:hAnsi="Arial" w:cs="Arial"/>
          </w:rPr>
          <w:t>https://doi.org/10.3390/antiox12112010</w:t>
        </w:r>
      </w:hyperlink>
    </w:p>
    <w:p w14:paraId="46A2E373" w14:textId="5ED589C0" w:rsidR="00DC438A" w:rsidRPr="00DC438A" w:rsidRDefault="00DC438A" w:rsidP="00DC438A">
      <w:pPr>
        <w:spacing w:after="160" w:line="259" w:lineRule="auto"/>
        <w:ind w:left="1080"/>
        <w:jc w:val="both"/>
        <w:rPr>
          <w:rFonts w:ascii="Arial" w:hAnsi="Arial" w:cs="Arial"/>
        </w:rPr>
      </w:pPr>
      <w:r w:rsidRPr="002B2195">
        <w:rPr>
          <w:rFonts w:ascii="Arial" w:hAnsi="Arial" w:cs="Arial"/>
        </w:rPr>
        <w:t xml:space="preserve">Majumder, S., Bandyopadhyay, M., Pal, S., &amp; Mukhopadhyay, D. (2019). Ameliorating effect of quercetin against UV radiation-induced damage in Drosophila melanogaster. European Journal of Biological Research, 9(4), 276–285. </w:t>
      </w:r>
      <w:hyperlink r:id="rId29" w:history="1">
        <w:r w:rsidRPr="002B2195">
          <w:rPr>
            <w:rStyle w:val="Hyperlink"/>
            <w:rFonts w:ascii="Arial" w:hAnsi="Arial" w:cs="Arial"/>
          </w:rPr>
          <w:t>http://dx.doi.org/10.5281/zenodo.3588543</w:t>
        </w:r>
      </w:hyperlink>
    </w:p>
    <w:p w14:paraId="00BC9A4C" w14:textId="0A042615" w:rsidR="00DC438A" w:rsidRPr="00DC438A" w:rsidRDefault="00DC438A" w:rsidP="00DC438A">
      <w:pPr>
        <w:spacing w:after="160" w:line="259" w:lineRule="auto"/>
        <w:ind w:left="1080"/>
        <w:jc w:val="both"/>
        <w:rPr>
          <w:rFonts w:ascii="Arial" w:hAnsi="Arial" w:cs="Arial"/>
          <w:i/>
          <w:iCs/>
        </w:rPr>
      </w:pPr>
      <w:r w:rsidRPr="002B2195">
        <w:rPr>
          <w:rFonts w:ascii="Arial" w:hAnsi="Arial" w:cs="Arial"/>
        </w:rPr>
        <w:t xml:space="preserve">Enciso, Y. J., Cruz, A. L. S., &amp; Price, J. F. H. (2018). Scrutinizing the Effects of UV-C Radiation on Developmental Timing and Adult Morphology of </w:t>
      </w:r>
      <w:r w:rsidRPr="002B2195">
        <w:rPr>
          <w:rFonts w:ascii="Arial" w:hAnsi="Arial" w:cs="Arial"/>
          <w:i/>
          <w:iCs/>
        </w:rPr>
        <w:t>Drosophila melanogaster</w:t>
      </w:r>
      <w:r w:rsidRPr="002B2195">
        <w:rPr>
          <w:rFonts w:ascii="Arial" w:hAnsi="Arial" w:cs="Arial"/>
        </w:rPr>
        <w:t xml:space="preserve">. </w:t>
      </w:r>
      <w:r w:rsidRPr="002B2195">
        <w:rPr>
          <w:rFonts w:ascii="Arial" w:hAnsi="Arial" w:cs="Arial"/>
          <w:i/>
          <w:iCs/>
        </w:rPr>
        <w:t xml:space="preserve">Journal of the Arizona-Nevada Academy of Science, 47(2), 55–61. </w:t>
      </w:r>
      <w:hyperlink r:id="rId30" w:tgtFrame="_blank" w:history="1">
        <w:r w:rsidRPr="002B2195">
          <w:rPr>
            <w:rStyle w:val="Hyperlink"/>
            <w:rFonts w:ascii="Arial" w:hAnsi="Arial" w:cs="Arial"/>
            <w:i/>
            <w:iCs/>
          </w:rPr>
          <w:t>https://doi.org/10.2181/036.047.0206</w:t>
        </w:r>
      </w:hyperlink>
    </w:p>
    <w:p w14:paraId="3FFB4BE7" w14:textId="53D2514D" w:rsidR="00DC438A" w:rsidRPr="00DC438A" w:rsidRDefault="00DC438A" w:rsidP="00DC438A">
      <w:pPr>
        <w:spacing w:after="160" w:line="259" w:lineRule="auto"/>
        <w:ind w:left="1080"/>
        <w:jc w:val="both"/>
        <w:rPr>
          <w:rFonts w:ascii="Arial" w:hAnsi="Arial" w:cs="Arial"/>
        </w:rPr>
      </w:pPr>
      <w:r w:rsidRPr="002B2195">
        <w:rPr>
          <w:rFonts w:ascii="Arial" w:hAnsi="Arial" w:cs="Arial"/>
        </w:rPr>
        <w:t xml:space="preserve">Lotfy, M., Khattab, A., Shata, M., Alhasbani, A., </w:t>
      </w:r>
      <w:proofErr w:type="spellStart"/>
      <w:r w:rsidRPr="002B2195">
        <w:rPr>
          <w:rFonts w:ascii="Arial" w:hAnsi="Arial" w:cs="Arial"/>
        </w:rPr>
        <w:t>Almesmari</w:t>
      </w:r>
      <w:proofErr w:type="spellEnd"/>
      <w:r w:rsidRPr="002B2195">
        <w:rPr>
          <w:rFonts w:ascii="Arial" w:hAnsi="Arial" w:cs="Arial"/>
        </w:rPr>
        <w:t xml:space="preserve">, A., </w:t>
      </w:r>
      <w:proofErr w:type="spellStart"/>
      <w:r w:rsidRPr="002B2195">
        <w:rPr>
          <w:rFonts w:ascii="Arial" w:hAnsi="Arial" w:cs="Arial"/>
        </w:rPr>
        <w:t>Alsaeedi</w:t>
      </w:r>
      <w:proofErr w:type="spellEnd"/>
      <w:r w:rsidRPr="002B2195">
        <w:rPr>
          <w:rFonts w:ascii="Arial" w:hAnsi="Arial" w:cs="Arial"/>
        </w:rPr>
        <w:t xml:space="preserve">, S., Alyassi, S., &amp; Kundu, B. (2024). Destructive effects of UVC radiation on </w:t>
      </w:r>
      <w:r w:rsidRPr="002B2195">
        <w:rPr>
          <w:rFonts w:ascii="Arial" w:hAnsi="Arial" w:cs="Arial"/>
          <w:i/>
          <w:iCs/>
        </w:rPr>
        <w:t>Drosophila</w:t>
      </w:r>
      <w:r w:rsidRPr="002B2195">
        <w:rPr>
          <w:rFonts w:ascii="Arial" w:hAnsi="Arial" w:cs="Arial"/>
        </w:rPr>
        <w:t xml:space="preserve"> </w:t>
      </w:r>
      <w:r w:rsidRPr="002B2195">
        <w:rPr>
          <w:rFonts w:ascii="Arial" w:hAnsi="Arial" w:cs="Arial"/>
          <w:i/>
          <w:iCs/>
        </w:rPr>
        <w:t>melanogaster</w:t>
      </w:r>
      <w:r w:rsidRPr="002B2195">
        <w:rPr>
          <w:rFonts w:ascii="Arial" w:hAnsi="Arial" w:cs="Arial"/>
        </w:rPr>
        <w:t>: Mortality, fertility, mutations, and molecular mechanisms.</w:t>
      </w:r>
      <w:r w:rsidRPr="002B2195">
        <w:rPr>
          <w:rFonts w:ascii="Arial" w:hAnsi="Arial" w:cs="Arial"/>
          <w:i/>
          <w:iCs/>
        </w:rPr>
        <w:t xml:space="preserve"> PLOS ONE, </w:t>
      </w:r>
      <w:r w:rsidRPr="002B2195">
        <w:rPr>
          <w:rFonts w:ascii="Arial" w:hAnsi="Arial" w:cs="Arial"/>
        </w:rPr>
        <w:t xml:space="preserve">19(5), e0303115. </w:t>
      </w:r>
      <w:hyperlink r:id="rId31" w:history="1">
        <w:r w:rsidRPr="002B2195">
          <w:rPr>
            <w:rStyle w:val="Hyperlink"/>
            <w:rFonts w:ascii="Arial" w:hAnsi="Arial" w:cs="Arial"/>
          </w:rPr>
          <w:t>https://doi.org/10.1371/journal.pone.0303115</w:t>
        </w:r>
      </w:hyperlink>
    </w:p>
    <w:p w14:paraId="40EF88EE" w14:textId="342727AC" w:rsidR="00DC438A" w:rsidRPr="00DC438A" w:rsidRDefault="00DC438A" w:rsidP="00DC438A">
      <w:pPr>
        <w:spacing w:after="160" w:line="259" w:lineRule="auto"/>
        <w:ind w:left="1080"/>
        <w:jc w:val="both"/>
        <w:rPr>
          <w:rFonts w:ascii="Arial" w:hAnsi="Arial" w:cs="Arial"/>
          <w:i/>
          <w:iCs/>
        </w:rPr>
      </w:pPr>
      <w:r w:rsidRPr="002B2195">
        <w:rPr>
          <w:rFonts w:ascii="Arial" w:hAnsi="Arial" w:cs="Arial"/>
        </w:rPr>
        <w:t>Seong, K. M., Yu, M., Lee, K. S., Park, S., Jin, Y. W., &amp; Min, K. J. (2015). Curcumin mitigates accelerated aging after irradiation in Drosophila by reducing oxidative stress.</w:t>
      </w:r>
      <w:r w:rsidRPr="002B2195">
        <w:rPr>
          <w:rFonts w:ascii="Arial" w:hAnsi="Arial" w:cs="Arial"/>
          <w:i/>
          <w:iCs/>
        </w:rPr>
        <w:t xml:space="preserve"> BioMed Research International,</w:t>
      </w:r>
      <w:r w:rsidRPr="002B2195">
        <w:rPr>
          <w:rFonts w:ascii="Arial" w:hAnsi="Arial" w:cs="Arial"/>
        </w:rPr>
        <w:t xml:space="preserve">15, 425380. </w:t>
      </w:r>
      <w:hyperlink r:id="rId32" w:tgtFrame="_blank" w:history="1">
        <w:r w:rsidRPr="002B2195">
          <w:rPr>
            <w:rStyle w:val="Hyperlink"/>
            <w:rFonts w:ascii="Arial" w:hAnsi="Arial" w:cs="Arial"/>
          </w:rPr>
          <w:t>https://doi.org/10.1155/2015/425380</w:t>
        </w:r>
      </w:hyperlink>
    </w:p>
    <w:p w14:paraId="4064EDE0" w14:textId="77777777" w:rsidR="00DC438A" w:rsidRDefault="00DC438A" w:rsidP="00DC438A">
      <w:pPr>
        <w:spacing w:after="160" w:line="259" w:lineRule="auto"/>
        <w:ind w:left="1080"/>
        <w:jc w:val="both"/>
        <w:rPr>
          <w:rFonts w:ascii="Arial" w:hAnsi="Arial" w:cs="Arial"/>
        </w:rPr>
      </w:pPr>
      <w:r w:rsidRPr="002B2195">
        <w:rPr>
          <w:rFonts w:ascii="Arial" w:hAnsi="Arial" w:cs="Arial"/>
        </w:rPr>
        <w:t>Zhan, L., Qia, M., Cha, Y., &amp; Gao, X. (2026).</w:t>
      </w:r>
      <w:r w:rsidRPr="002B2195">
        <w:rPr>
          <w:rFonts w:ascii="Arial" w:hAnsi="Arial" w:cs="Arial"/>
          <w:i/>
          <w:iCs/>
        </w:rPr>
        <w:t xml:space="preserve"> </w:t>
      </w:r>
      <w:r w:rsidRPr="002B2195">
        <w:rPr>
          <w:rFonts w:ascii="Arial" w:hAnsi="Arial" w:cs="Arial"/>
        </w:rPr>
        <w:t>Effect of curcumin intervention on radiation-induced injury: a GRADE-based systematic review and meta-analysis</w:t>
      </w:r>
      <w:r w:rsidRPr="002B2195">
        <w:rPr>
          <w:rFonts w:ascii="Arial" w:hAnsi="Arial" w:cs="Arial"/>
          <w:i/>
          <w:iCs/>
        </w:rPr>
        <w:t xml:space="preserve">. BMC Cancer, 26. </w:t>
      </w:r>
      <w:hyperlink r:id="rId33" w:history="1">
        <w:r w:rsidRPr="002B2195">
          <w:rPr>
            <w:rStyle w:val="Hyperlink"/>
            <w:rFonts w:ascii="Arial" w:hAnsi="Arial" w:cs="Arial"/>
          </w:rPr>
          <w:t>https://doi.org/10.1186/s12885-026-15985-5</w:t>
        </w:r>
      </w:hyperlink>
      <w:r w:rsidRPr="002B2195">
        <w:rPr>
          <w:rFonts w:ascii="Arial" w:hAnsi="Arial" w:cs="Arial"/>
        </w:rPr>
        <w:t xml:space="preserve"> </w:t>
      </w:r>
    </w:p>
    <w:p w14:paraId="7B0674ED" w14:textId="77777777" w:rsidR="00DC438A" w:rsidRPr="00006092" w:rsidRDefault="00DC438A" w:rsidP="00DC438A">
      <w:pPr>
        <w:spacing w:after="160" w:line="259" w:lineRule="auto"/>
        <w:ind w:left="1080"/>
        <w:jc w:val="both"/>
        <w:rPr>
          <w:rFonts w:ascii="Arial" w:hAnsi="Arial" w:cs="Arial"/>
          <w:lang w:val="en-IN"/>
        </w:rPr>
      </w:pPr>
      <w:r w:rsidRPr="00E22CA2">
        <w:rPr>
          <w:rFonts w:ascii="Arial" w:hAnsi="Arial" w:cs="Arial"/>
          <w:lang w:val="en-IN"/>
        </w:rPr>
        <w:t xml:space="preserve">Boots, A. W., </w:t>
      </w:r>
      <w:proofErr w:type="spellStart"/>
      <w:r w:rsidRPr="00E22CA2">
        <w:rPr>
          <w:rFonts w:ascii="Arial" w:hAnsi="Arial" w:cs="Arial"/>
          <w:lang w:val="en-IN"/>
        </w:rPr>
        <w:t>Haenen</w:t>
      </w:r>
      <w:proofErr w:type="spellEnd"/>
      <w:r w:rsidRPr="00E22CA2">
        <w:rPr>
          <w:rFonts w:ascii="Arial" w:hAnsi="Arial" w:cs="Arial"/>
          <w:lang w:val="en-IN"/>
        </w:rPr>
        <w:t>, G. R. and Bast, A. (2008). H</w:t>
      </w:r>
      <w:r w:rsidRPr="005C7FB1">
        <w:rPr>
          <w:rFonts w:ascii="Arial" w:hAnsi="Arial" w:cs="Arial"/>
          <w:lang w:val="en-IN"/>
        </w:rPr>
        <w:t xml:space="preserve">ealth effects of quercetin: from antioxidant to nutraceutical. </w:t>
      </w:r>
      <w:r w:rsidRPr="005C7FB1">
        <w:rPr>
          <w:rFonts w:ascii="Arial" w:hAnsi="Arial" w:cs="Arial"/>
          <w:i/>
          <w:iCs/>
          <w:lang w:val="en-IN"/>
        </w:rPr>
        <w:t>European Journal of Pharmacology</w:t>
      </w:r>
      <w:r w:rsidRPr="005C7FB1">
        <w:rPr>
          <w:rFonts w:ascii="Arial" w:hAnsi="Arial" w:cs="Arial"/>
          <w:lang w:val="en-IN"/>
        </w:rPr>
        <w:t>, 585(2-3), 325–337.</w:t>
      </w:r>
      <w:r>
        <w:rPr>
          <w:rFonts w:ascii="Arial" w:hAnsi="Arial" w:cs="Arial"/>
          <w:lang w:val="en-IN"/>
        </w:rPr>
        <w:t xml:space="preserve"> </w:t>
      </w:r>
      <w:hyperlink r:id="rId34" w:tgtFrame="_blank" w:history="1">
        <w:r w:rsidRPr="005C7FB1">
          <w:rPr>
            <w:rStyle w:val="Hyperlink"/>
            <w:rFonts w:ascii="Arial" w:hAnsi="Arial" w:cs="Arial"/>
            <w:lang w:val="en-IN"/>
          </w:rPr>
          <w:t>https://doi.org/10.1016/j.ejphar.2008.03.008</w:t>
        </w:r>
      </w:hyperlink>
    </w:p>
    <w:p w14:paraId="41C09E09" w14:textId="77777777" w:rsidR="00DC438A" w:rsidRDefault="00DC438A" w:rsidP="00DC438A">
      <w:pPr>
        <w:spacing w:after="160" w:line="259" w:lineRule="auto"/>
        <w:ind w:left="1080"/>
        <w:jc w:val="both"/>
      </w:pPr>
      <w:proofErr w:type="spellStart"/>
      <w:r w:rsidRPr="002B2195">
        <w:rPr>
          <w:rFonts w:ascii="Arial" w:hAnsi="Arial" w:cs="Arial"/>
        </w:rPr>
        <w:t>Proshkina</w:t>
      </w:r>
      <w:proofErr w:type="spellEnd"/>
      <w:r w:rsidRPr="002B2195">
        <w:rPr>
          <w:rFonts w:ascii="Arial" w:hAnsi="Arial" w:cs="Arial"/>
        </w:rPr>
        <w:t xml:space="preserve">, E., </w:t>
      </w:r>
      <w:proofErr w:type="spellStart"/>
      <w:r w:rsidRPr="002B2195">
        <w:rPr>
          <w:rFonts w:ascii="Arial" w:hAnsi="Arial" w:cs="Arial"/>
        </w:rPr>
        <w:t>Lashmanova</w:t>
      </w:r>
      <w:proofErr w:type="spellEnd"/>
      <w:r w:rsidRPr="002B2195">
        <w:rPr>
          <w:rFonts w:ascii="Arial" w:hAnsi="Arial" w:cs="Arial"/>
        </w:rPr>
        <w:t xml:space="preserve">, E., </w:t>
      </w:r>
      <w:proofErr w:type="spellStart"/>
      <w:r w:rsidRPr="002B2195">
        <w:rPr>
          <w:rFonts w:ascii="Arial" w:hAnsi="Arial" w:cs="Arial"/>
        </w:rPr>
        <w:t>Dobrovolskaya</w:t>
      </w:r>
      <w:proofErr w:type="spellEnd"/>
      <w:r w:rsidRPr="002B2195">
        <w:rPr>
          <w:rFonts w:ascii="Arial" w:hAnsi="Arial" w:cs="Arial"/>
        </w:rPr>
        <w:t xml:space="preserve">, E., </w:t>
      </w:r>
      <w:proofErr w:type="spellStart"/>
      <w:r w:rsidRPr="002B2195">
        <w:rPr>
          <w:rFonts w:ascii="Arial" w:hAnsi="Arial" w:cs="Arial"/>
        </w:rPr>
        <w:t>Zemskaya</w:t>
      </w:r>
      <w:proofErr w:type="spellEnd"/>
      <w:r w:rsidRPr="002B2195">
        <w:rPr>
          <w:rFonts w:ascii="Arial" w:hAnsi="Arial" w:cs="Arial"/>
        </w:rPr>
        <w:t xml:space="preserve">, N., Kudryavtseva, A., Shaposhnikov, M., &amp; </w:t>
      </w:r>
      <w:proofErr w:type="spellStart"/>
      <w:r w:rsidRPr="002B2195">
        <w:rPr>
          <w:rFonts w:ascii="Arial" w:hAnsi="Arial" w:cs="Arial"/>
        </w:rPr>
        <w:t>Moskalev</w:t>
      </w:r>
      <w:proofErr w:type="spellEnd"/>
      <w:r w:rsidRPr="002B2195">
        <w:rPr>
          <w:rFonts w:ascii="Arial" w:hAnsi="Arial" w:cs="Arial"/>
        </w:rPr>
        <w:t xml:space="preserve">, A. (2016). </w:t>
      </w:r>
      <w:proofErr w:type="spellStart"/>
      <w:r w:rsidRPr="002B2195">
        <w:rPr>
          <w:rFonts w:ascii="Arial" w:hAnsi="Arial" w:cs="Arial"/>
        </w:rPr>
        <w:t>Geroprotective</w:t>
      </w:r>
      <w:proofErr w:type="spellEnd"/>
      <w:r w:rsidRPr="002B2195">
        <w:rPr>
          <w:rFonts w:ascii="Arial" w:hAnsi="Arial" w:cs="Arial"/>
        </w:rPr>
        <w:t xml:space="preserve"> and Radioprotective Activity of Quercetin, (-)-Epicatechin, and Ibuprofen in </w:t>
      </w:r>
      <w:r w:rsidRPr="002B2195">
        <w:rPr>
          <w:rFonts w:ascii="Arial" w:hAnsi="Arial" w:cs="Arial"/>
          <w:i/>
          <w:iCs/>
        </w:rPr>
        <w:t>Drosophila melanogaster</w:t>
      </w:r>
      <w:r w:rsidRPr="002B2195">
        <w:rPr>
          <w:rFonts w:ascii="Arial" w:hAnsi="Arial" w:cs="Arial"/>
        </w:rPr>
        <w:t xml:space="preserve">. </w:t>
      </w:r>
      <w:r w:rsidRPr="002B2195">
        <w:rPr>
          <w:rFonts w:ascii="Arial" w:hAnsi="Arial" w:cs="Arial"/>
          <w:i/>
          <w:iCs/>
        </w:rPr>
        <w:t>Frontiers in Pharmacology</w:t>
      </w:r>
      <w:r w:rsidRPr="002B2195">
        <w:rPr>
          <w:rFonts w:ascii="Arial" w:hAnsi="Arial" w:cs="Arial"/>
        </w:rPr>
        <w:t xml:space="preserve">, 7, 505. </w:t>
      </w:r>
      <w:hyperlink r:id="rId35" w:tgtFrame="_blank" w:history="1">
        <w:r w:rsidRPr="002B2195">
          <w:rPr>
            <w:rStyle w:val="Hyperlink"/>
            <w:rFonts w:ascii="Arial" w:hAnsi="Arial" w:cs="Arial"/>
          </w:rPr>
          <w:t>https://doi.org/10.3389/fphar.2016.00505</w:t>
        </w:r>
      </w:hyperlink>
      <w:r>
        <w:t xml:space="preserve"> </w:t>
      </w:r>
    </w:p>
    <w:p w14:paraId="41239F0D" w14:textId="207D596F" w:rsidR="00DC438A" w:rsidRPr="00DC438A" w:rsidRDefault="00DC438A" w:rsidP="00DC438A">
      <w:pPr>
        <w:spacing w:after="160" w:line="259" w:lineRule="auto"/>
        <w:ind w:left="1080"/>
        <w:jc w:val="both"/>
        <w:rPr>
          <w:rFonts w:ascii="Arial" w:hAnsi="Arial" w:cs="Arial"/>
        </w:rPr>
      </w:pPr>
      <w:r w:rsidRPr="002B2195">
        <w:rPr>
          <w:rFonts w:ascii="Arial" w:hAnsi="Arial" w:cs="Arial"/>
        </w:rPr>
        <w:t>Xu D, Hu MJ, Wang YQ, Cui YL.</w:t>
      </w:r>
      <w:r>
        <w:rPr>
          <w:rFonts w:ascii="Arial" w:hAnsi="Arial" w:cs="Arial"/>
        </w:rPr>
        <w:t xml:space="preserve"> (</w:t>
      </w:r>
      <w:r w:rsidRPr="002B2195">
        <w:rPr>
          <w:rFonts w:ascii="Arial" w:hAnsi="Arial" w:cs="Arial"/>
        </w:rPr>
        <w:t>2019</w:t>
      </w:r>
      <w:r>
        <w:rPr>
          <w:rFonts w:ascii="Arial" w:hAnsi="Arial" w:cs="Arial"/>
        </w:rPr>
        <w:t>).</w:t>
      </w:r>
      <w:r w:rsidRPr="002B2195">
        <w:rPr>
          <w:rFonts w:ascii="Arial" w:hAnsi="Arial" w:cs="Arial"/>
        </w:rPr>
        <w:t xml:space="preserve"> Antioxidant activities of quercetin and its complexes for medicinal applications. </w:t>
      </w:r>
      <w:r w:rsidRPr="002B2195">
        <w:rPr>
          <w:rFonts w:ascii="Arial" w:hAnsi="Arial" w:cs="Arial"/>
          <w:i/>
          <w:iCs/>
        </w:rPr>
        <w:t>Molecules</w:t>
      </w:r>
      <w:r w:rsidRPr="002B2195">
        <w:rPr>
          <w:rFonts w:ascii="Arial" w:hAnsi="Arial" w:cs="Arial"/>
        </w:rPr>
        <w:t xml:space="preserve">. 24(6):1123. </w:t>
      </w:r>
      <w:hyperlink r:id="rId36" w:history="1">
        <w:r w:rsidRPr="002B2195">
          <w:rPr>
            <w:rStyle w:val="Hyperlink"/>
            <w:rFonts w:ascii="Arial" w:hAnsi="Arial" w:cs="Arial"/>
          </w:rPr>
          <w:t>https://doi.org/10.3390/molecules24061123</w:t>
        </w:r>
      </w:hyperlink>
      <w:r w:rsidRPr="002B2195">
        <w:rPr>
          <w:rFonts w:ascii="Arial" w:hAnsi="Arial" w:cs="Arial"/>
        </w:rPr>
        <w:t xml:space="preserve"> </w:t>
      </w:r>
    </w:p>
    <w:p w14:paraId="0E99951C" w14:textId="77777777" w:rsidR="00DC438A" w:rsidRPr="005C7FB1" w:rsidRDefault="00DC438A" w:rsidP="00DC438A">
      <w:pPr>
        <w:spacing w:after="160" w:line="259" w:lineRule="auto"/>
        <w:ind w:left="1080"/>
        <w:jc w:val="both"/>
        <w:rPr>
          <w:rFonts w:ascii="Arial" w:hAnsi="Arial" w:cs="Arial"/>
          <w:lang w:val="en-IN"/>
        </w:rPr>
      </w:pPr>
      <w:r w:rsidRPr="00E22CA2">
        <w:rPr>
          <w:rFonts w:ascii="Arial" w:hAnsi="Arial" w:cs="Arial"/>
          <w:lang w:val="en-IN"/>
        </w:rPr>
        <w:t>Pandey, U. B. and Nichols, C. D. (2011). H</w:t>
      </w:r>
      <w:r w:rsidRPr="005C7FB1">
        <w:rPr>
          <w:rFonts w:ascii="Arial" w:hAnsi="Arial" w:cs="Arial"/>
          <w:lang w:val="en-IN"/>
        </w:rPr>
        <w:t xml:space="preserve">uman disease models in </w:t>
      </w:r>
      <w:r w:rsidRPr="005C7FB1">
        <w:rPr>
          <w:rFonts w:ascii="Arial" w:hAnsi="Arial" w:cs="Arial"/>
          <w:i/>
          <w:iCs/>
          <w:lang w:val="en-IN"/>
        </w:rPr>
        <w:t>Drosophila melanogaster</w:t>
      </w:r>
      <w:r w:rsidRPr="005C7FB1">
        <w:rPr>
          <w:rFonts w:ascii="Arial" w:hAnsi="Arial" w:cs="Arial"/>
          <w:lang w:val="en-IN"/>
        </w:rPr>
        <w:t xml:space="preserve">. </w:t>
      </w:r>
      <w:r w:rsidRPr="005C7FB1">
        <w:rPr>
          <w:rFonts w:ascii="Arial" w:hAnsi="Arial" w:cs="Arial"/>
          <w:i/>
          <w:iCs/>
          <w:lang w:val="en-IN"/>
        </w:rPr>
        <w:t>Pharmacological Reviews</w:t>
      </w:r>
      <w:r w:rsidRPr="005C7FB1">
        <w:rPr>
          <w:rFonts w:ascii="Arial" w:hAnsi="Arial" w:cs="Arial"/>
          <w:lang w:val="en-IN"/>
        </w:rPr>
        <w:t>, 63(2), 411–436.</w:t>
      </w:r>
      <w:r>
        <w:rPr>
          <w:rFonts w:ascii="Arial" w:hAnsi="Arial" w:cs="Arial"/>
          <w:lang w:val="en-IN"/>
        </w:rPr>
        <w:t xml:space="preserve"> </w:t>
      </w:r>
      <w:hyperlink r:id="rId37" w:tgtFrame="_blank" w:history="1">
        <w:r w:rsidRPr="005C7FB1">
          <w:rPr>
            <w:rStyle w:val="Hyperlink"/>
            <w:rFonts w:ascii="Arial" w:hAnsi="Arial" w:cs="Arial"/>
            <w:lang w:val="en-IN"/>
          </w:rPr>
          <w:t>https://doi.org/10.1124/pr.110.003293</w:t>
        </w:r>
      </w:hyperlink>
    </w:p>
    <w:p w14:paraId="34FA0F6A" w14:textId="77777777" w:rsidR="00DC438A" w:rsidRDefault="00DC438A" w:rsidP="00DC438A">
      <w:pPr>
        <w:spacing w:after="160" w:line="259" w:lineRule="auto"/>
        <w:ind w:left="1080"/>
        <w:jc w:val="both"/>
      </w:pPr>
      <w:r w:rsidRPr="002B2195">
        <w:rPr>
          <w:rFonts w:ascii="Arial" w:hAnsi="Arial" w:cs="Arial"/>
        </w:rPr>
        <w:lastRenderedPageBreak/>
        <w:t xml:space="preserve">Weber, A. L., Khan, G. F., Magwire, M. M., Tabor, C. L., Mackay, T. F. C., &amp; Anholt, R. R. H. (2012). Genome-Wide Association Analysis of Oxidative Stress Resistance in </w:t>
      </w:r>
      <w:r w:rsidRPr="002B2195">
        <w:rPr>
          <w:rFonts w:ascii="Arial" w:hAnsi="Arial" w:cs="Arial"/>
          <w:i/>
          <w:iCs/>
        </w:rPr>
        <w:t>Drosophila melanogaster</w:t>
      </w:r>
      <w:r w:rsidRPr="002B2195">
        <w:rPr>
          <w:rFonts w:ascii="Arial" w:hAnsi="Arial" w:cs="Arial"/>
        </w:rPr>
        <w:t xml:space="preserve">. </w:t>
      </w:r>
      <w:proofErr w:type="spellStart"/>
      <w:r w:rsidRPr="002B2195">
        <w:rPr>
          <w:rFonts w:ascii="Arial" w:hAnsi="Arial" w:cs="Arial"/>
          <w:i/>
          <w:iCs/>
        </w:rPr>
        <w:t>PLoS</w:t>
      </w:r>
      <w:proofErr w:type="spellEnd"/>
      <w:r w:rsidRPr="002B2195">
        <w:rPr>
          <w:rFonts w:ascii="Arial" w:hAnsi="Arial" w:cs="Arial"/>
          <w:i/>
          <w:iCs/>
        </w:rPr>
        <w:t xml:space="preserve"> ONE</w:t>
      </w:r>
      <w:r w:rsidRPr="002B2195">
        <w:rPr>
          <w:rFonts w:ascii="Arial" w:hAnsi="Arial" w:cs="Arial"/>
        </w:rPr>
        <w:t xml:space="preserve">, 7(4), e34745. </w:t>
      </w:r>
      <w:hyperlink r:id="rId38" w:tgtFrame="_blank" w:history="1">
        <w:r w:rsidRPr="002B2195">
          <w:rPr>
            <w:rStyle w:val="Hyperlink"/>
            <w:rFonts w:ascii="Arial" w:hAnsi="Arial" w:cs="Arial"/>
          </w:rPr>
          <w:t>https://doi.org/10.1371/journal.pone.0034745</w:t>
        </w:r>
      </w:hyperlink>
    </w:p>
    <w:p w14:paraId="782E30D8" w14:textId="77777777" w:rsidR="00DC438A" w:rsidRDefault="00DC438A" w:rsidP="00DC438A">
      <w:pPr>
        <w:spacing w:after="160" w:line="259" w:lineRule="auto"/>
        <w:ind w:left="1080"/>
        <w:jc w:val="both"/>
      </w:pPr>
      <w:r w:rsidRPr="002B2195">
        <w:rPr>
          <w:rFonts w:ascii="Arial" w:hAnsi="Arial" w:cs="Arial"/>
        </w:rPr>
        <w:t>Sokolowski, M. (2001). </w:t>
      </w:r>
      <w:r w:rsidRPr="002B2195">
        <w:rPr>
          <w:rFonts w:ascii="Arial" w:hAnsi="Arial" w:cs="Arial"/>
          <w:i/>
          <w:iCs/>
        </w:rPr>
        <w:t>Drosophila</w:t>
      </w:r>
      <w:r w:rsidRPr="002B2195">
        <w:rPr>
          <w:rFonts w:ascii="Arial" w:hAnsi="Arial" w:cs="Arial"/>
        </w:rPr>
        <w:t xml:space="preserve">: Genetics meets </w:t>
      </w:r>
      <w:proofErr w:type="spellStart"/>
      <w:r w:rsidRPr="002B2195">
        <w:rPr>
          <w:rFonts w:ascii="Arial" w:hAnsi="Arial" w:cs="Arial"/>
        </w:rPr>
        <w:t>behaviour</w:t>
      </w:r>
      <w:proofErr w:type="spellEnd"/>
      <w:r w:rsidRPr="002B2195">
        <w:rPr>
          <w:rFonts w:ascii="Arial" w:hAnsi="Arial" w:cs="Arial"/>
        </w:rPr>
        <w:t>. </w:t>
      </w:r>
      <w:r w:rsidRPr="002B2195">
        <w:rPr>
          <w:rFonts w:ascii="Arial" w:hAnsi="Arial" w:cs="Arial"/>
          <w:i/>
          <w:iCs/>
        </w:rPr>
        <w:t xml:space="preserve">Nat Rev </w:t>
      </w:r>
      <w:r w:rsidRPr="00D20EC2">
        <w:rPr>
          <w:rFonts w:ascii="Arial" w:hAnsi="Arial" w:cs="Arial"/>
          <w:i/>
          <w:iCs/>
        </w:rPr>
        <w:t>Genet</w:t>
      </w:r>
      <w:r w:rsidRPr="00D20EC2">
        <w:rPr>
          <w:rFonts w:ascii="Arial" w:hAnsi="Arial" w:cs="Arial"/>
        </w:rPr>
        <w:t> 2,</w:t>
      </w:r>
      <w:r w:rsidRPr="002B2195">
        <w:rPr>
          <w:rFonts w:ascii="Arial" w:hAnsi="Arial" w:cs="Arial"/>
        </w:rPr>
        <w:t xml:space="preserve"> 879–90. </w:t>
      </w:r>
      <w:hyperlink r:id="rId39" w:history="1">
        <w:r w:rsidRPr="002B2195">
          <w:rPr>
            <w:rStyle w:val="Hyperlink"/>
            <w:rFonts w:ascii="Arial" w:hAnsi="Arial" w:cs="Arial"/>
          </w:rPr>
          <w:t>https://doi.org/10.1038/35098592</w:t>
        </w:r>
      </w:hyperlink>
    </w:p>
    <w:p w14:paraId="1F14B86B" w14:textId="77777777" w:rsidR="00DC438A" w:rsidRPr="002B2195" w:rsidRDefault="00DC438A" w:rsidP="00DC438A">
      <w:pPr>
        <w:spacing w:after="160" w:line="259" w:lineRule="auto"/>
        <w:ind w:left="1080"/>
        <w:jc w:val="both"/>
        <w:rPr>
          <w:rFonts w:ascii="Arial" w:hAnsi="Arial" w:cs="Arial"/>
        </w:rPr>
      </w:pPr>
      <w:r w:rsidRPr="002B2195">
        <w:rPr>
          <w:rFonts w:ascii="Arial" w:hAnsi="Arial" w:cs="Arial"/>
        </w:rPr>
        <w:t xml:space="preserve">Victor Atoki, A., Aja, P. M., Shinkafi, T. S., Ondari, E. N., Adeniyi, A. I., </w:t>
      </w:r>
      <w:proofErr w:type="spellStart"/>
      <w:r w:rsidRPr="002B2195">
        <w:rPr>
          <w:rFonts w:ascii="Arial" w:hAnsi="Arial" w:cs="Arial"/>
        </w:rPr>
        <w:t>Fasogbon</w:t>
      </w:r>
      <w:proofErr w:type="spellEnd"/>
      <w:r w:rsidRPr="002B2195">
        <w:rPr>
          <w:rFonts w:ascii="Arial" w:hAnsi="Arial" w:cs="Arial"/>
        </w:rPr>
        <w:t xml:space="preserve">, I. V., Dangana, R. S., Shehu, U. U., &amp; Akin-Adewumi, A. (2024). Exploring the versatility of </w:t>
      </w:r>
      <w:r w:rsidRPr="002B2195">
        <w:rPr>
          <w:rFonts w:ascii="Arial" w:hAnsi="Arial" w:cs="Arial"/>
          <w:i/>
          <w:iCs/>
        </w:rPr>
        <w:t>Drosophila melanogaster</w:t>
      </w:r>
      <w:r w:rsidRPr="002B2195">
        <w:rPr>
          <w:rFonts w:ascii="Arial" w:hAnsi="Arial" w:cs="Arial"/>
        </w:rPr>
        <w:t xml:space="preserve"> as a model organism in biomedical research: a comprehensive review. </w:t>
      </w:r>
      <w:r w:rsidRPr="002B2195">
        <w:rPr>
          <w:rFonts w:ascii="Arial" w:hAnsi="Arial" w:cs="Arial"/>
          <w:i/>
          <w:iCs/>
        </w:rPr>
        <w:t>Fly</w:t>
      </w:r>
      <w:r w:rsidRPr="002B2195">
        <w:rPr>
          <w:rFonts w:ascii="Arial" w:hAnsi="Arial" w:cs="Arial"/>
        </w:rPr>
        <w:t xml:space="preserve">, 19(1), 2420453. </w:t>
      </w:r>
      <w:hyperlink r:id="rId40" w:tgtFrame="_blank" w:history="1">
        <w:r w:rsidRPr="002B2195">
          <w:rPr>
            <w:rStyle w:val="Hyperlink"/>
            <w:rFonts w:ascii="Arial" w:hAnsi="Arial" w:cs="Arial"/>
          </w:rPr>
          <w:t>https://doi.org/10.1080/19336934.2024.2420453</w:t>
        </w:r>
      </w:hyperlink>
    </w:p>
    <w:p w14:paraId="78F3B4B6" w14:textId="77777777" w:rsidR="00DC438A" w:rsidRPr="009C6A7E" w:rsidRDefault="00DC438A" w:rsidP="00DC438A">
      <w:pPr>
        <w:spacing w:after="160" w:line="259" w:lineRule="auto"/>
        <w:ind w:left="1080"/>
        <w:jc w:val="both"/>
        <w:rPr>
          <w:rFonts w:ascii="Arial" w:hAnsi="Arial" w:cs="Arial"/>
        </w:rPr>
      </w:pPr>
      <w:r w:rsidRPr="002B2195">
        <w:rPr>
          <w:rFonts w:ascii="Arial" w:hAnsi="Arial" w:cs="Arial"/>
        </w:rPr>
        <w:t xml:space="preserve">Gargano, J. W., Martin, I., Bhandari, P., &amp; </w:t>
      </w:r>
      <w:proofErr w:type="spellStart"/>
      <w:r w:rsidRPr="002B2195">
        <w:rPr>
          <w:rFonts w:ascii="Arial" w:hAnsi="Arial" w:cs="Arial"/>
        </w:rPr>
        <w:t>Grotewiel</w:t>
      </w:r>
      <w:proofErr w:type="spellEnd"/>
      <w:r w:rsidRPr="002B2195">
        <w:rPr>
          <w:rFonts w:ascii="Arial" w:hAnsi="Arial" w:cs="Arial"/>
        </w:rPr>
        <w:t xml:space="preserve">, M. S. (2005). Rapid iterative negative geotaxis (RING): A new method for assessing age-related locomotor decline in </w:t>
      </w:r>
      <w:r w:rsidRPr="002B2195">
        <w:rPr>
          <w:rFonts w:ascii="Arial" w:hAnsi="Arial" w:cs="Arial"/>
          <w:i/>
          <w:iCs/>
        </w:rPr>
        <w:t>Drosophila</w:t>
      </w:r>
      <w:r w:rsidRPr="002B2195">
        <w:rPr>
          <w:rFonts w:ascii="Arial" w:hAnsi="Arial" w:cs="Arial"/>
        </w:rPr>
        <w:t xml:space="preserve">. </w:t>
      </w:r>
      <w:r w:rsidRPr="002B2195">
        <w:rPr>
          <w:rFonts w:ascii="Arial" w:hAnsi="Arial" w:cs="Arial"/>
          <w:i/>
          <w:iCs/>
        </w:rPr>
        <w:t>Experimental Gerontology</w:t>
      </w:r>
      <w:r w:rsidRPr="002B2195">
        <w:rPr>
          <w:rFonts w:ascii="Arial" w:hAnsi="Arial" w:cs="Arial"/>
        </w:rPr>
        <w:t xml:space="preserve">, 40(5), 386–395. </w:t>
      </w:r>
      <w:hyperlink r:id="rId41" w:tgtFrame="_blank" w:history="1">
        <w:r w:rsidRPr="002B2195">
          <w:rPr>
            <w:rStyle w:val="Hyperlink"/>
            <w:rFonts w:ascii="Arial" w:hAnsi="Arial" w:cs="Arial"/>
          </w:rPr>
          <w:t>https://doi.org/10.1016/j.exger.2005.02.005</w:t>
        </w:r>
      </w:hyperlink>
    </w:p>
    <w:p w14:paraId="3868B423" w14:textId="77777777" w:rsidR="00DC438A"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Benzer, S. (1967). Behavioral mutants of </w:t>
      </w:r>
      <w:r w:rsidRPr="002B2195">
        <w:rPr>
          <w:rFonts w:ascii="Arial" w:hAnsi="Arial" w:cs="Arial"/>
          <w:i/>
          <w:iCs/>
        </w:rPr>
        <w:t>Drosophila</w:t>
      </w:r>
      <w:r w:rsidRPr="002B2195">
        <w:rPr>
          <w:rFonts w:ascii="Arial" w:hAnsi="Arial" w:cs="Arial"/>
        </w:rPr>
        <w:t xml:space="preserve"> isolated by countercurrent distribution. </w:t>
      </w:r>
      <w:r w:rsidRPr="002B2195">
        <w:rPr>
          <w:rFonts w:ascii="Arial" w:hAnsi="Arial" w:cs="Arial"/>
          <w:i/>
          <w:iCs/>
        </w:rPr>
        <w:t>Proceedings of the National Academy of Sciences of the United States of America</w:t>
      </w:r>
      <w:r w:rsidRPr="002B2195">
        <w:rPr>
          <w:rFonts w:ascii="Arial" w:hAnsi="Arial" w:cs="Arial"/>
        </w:rPr>
        <w:t xml:space="preserve">, 58(3), 1112–1119. </w:t>
      </w:r>
      <w:hyperlink r:id="rId42" w:tgtFrame="_blank" w:history="1">
        <w:r w:rsidRPr="002B2195">
          <w:rPr>
            <w:rStyle w:val="Hyperlink"/>
            <w:rFonts w:ascii="Arial" w:hAnsi="Arial" w:cs="Arial"/>
          </w:rPr>
          <w:t>https://doi.org/10.1073/pnas.58.3.1112</w:t>
        </w:r>
      </w:hyperlink>
    </w:p>
    <w:p w14:paraId="23D36CAC" w14:textId="77777777" w:rsidR="00DC438A" w:rsidRPr="009C6A7E"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 </w:t>
      </w:r>
      <w:r w:rsidRPr="00C83659">
        <w:rPr>
          <w:rFonts w:ascii="Arial" w:hAnsi="Arial" w:cs="Arial"/>
        </w:rPr>
        <w:t>Kuebler D, Tanouye MA.</w:t>
      </w:r>
      <w:r>
        <w:rPr>
          <w:rFonts w:ascii="Arial" w:hAnsi="Arial" w:cs="Arial"/>
        </w:rPr>
        <w:t xml:space="preserve"> (2000)</w:t>
      </w:r>
      <w:r w:rsidRPr="00C83659">
        <w:rPr>
          <w:rFonts w:ascii="Arial" w:hAnsi="Arial" w:cs="Arial"/>
        </w:rPr>
        <w:t xml:space="preserve"> Modifications of Seizure Susceptibility in</w:t>
      </w:r>
      <w:r>
        <w:rPr>
          <w:rFonts w:ascii="Arial" w:hAnsi="Arial" w:cs="Arial"/>
        </w:rPr>
        <w:t xml:space="preserve"> </w:t>
      </w:r>
      <w:r w:rsidRPr="00C83659">
        <w:rPr>
          <w:rFonts w:ascii="Arial" w:hAnsi="Arial" w:cs="Arial"/>
        </w:rPr>
        <w:t xml:space="preserve">Drosophila. </w:t>
      </w:r>
      <w:r w:rsidRPr="00C83659">
        <w:rPr>
          <w:rFonts w:ascii="Arial" w:hAnsi="Arial" w:cs="Arial"/>
          <w:i/>
          <w:iCs/>
        </w:rPr>
        <w:t xml:space="preserve">J </w:t>
      </w:r>
      <w:proofErr w:type="spellStart"/>
      <w:r w:rsidRPr="00C83659">
        <w:rPr>
          <w:rFonts w:ascii="Arial" w:hAnsi="Arial" w:cs="Arial"/>
          <w:i/>
          <w:iCs/>
        </w:rPr>
        <w:t>Neurophysiol</w:t>
      </w:r>
      <w:proofErr w:type="spellEnd"/>
      <w:r w:rsidRPr="00C83659">
        <w:rPr>
          <w:rFonts w:ascii="Arial" w:hAnsi="Arial" w:cs="Arial"/>
          <w:i/>
          <w:iCs/>
        </w:rPr>
        <w:t xml:space="preserve"> </w:t>
      </w:r>
      <w:r w:rsidRPr="00C83659">
        <w:rPr>
          <w:rFonts w:ascii="Arial" w:hAnsi="Arial" w:cs="Arial"/>
        </w:rPr>
        <w:t xml:space="preserve">83:998-1009. </w:t>
      </w:r>
      <w:hyperlink r:id="rId43" w:history="1">
        <w:r w:rsidRPr="009017EB">
          <w:rPr>
            <w:rStyle w:val="Hyperlink"/>
            <w:rFonts w:ascii="Arial" w:hAnsi="Arial" w:cs="Arial"/>
          </w:rPr>
          <w:t>http://doi.org/10.1152/jn.2000.83.2.998</w:t>
        </w:r>
      </w:hyperlink>
      <w:r w:rsidRPr="00C83659">
        <w:rPr>
          <w:rFonts w:ascii="Arial" w:hAnsi="Arial" w:cs="Arial"/>
        </w:rPr>
        <w:t>.</w:t>
      </w:r>
    </w:p>
    <w:p w14:paraId="00FCC0AE" w14:textId="77777777" w:rsidR="00DC438A" w:rsidRPr="009C6A7E" w:rsidRDefault="00DC438A" w:rsidP="00DC438A">
      <w:pPr>
        <w:spacing w:after="160" w:line="259" w:lineRule="auto"/>
        <w:ind w:left="1080"/>
        <w:jc w:val="both"/>
        <w:rPr>
          <w:rFonts w:ascii="Arial" w:hAnsi="Arial" w:cs="Arial"/>
        </w:rPr>
      </w:pPr>
      <w:r w:rsidRPr="002B2195">
        <w:rPr>
          <w:rFonts w:ascii="Arial" w:hAnsi="Arial" w:cs="Arial"/>
        </w:rPr>
        <w:t xml:space="preserve">Poddar, T. K., Mukhopadhyay, S., &amp; Das, S. K. (2002). </w:t>
      </w:r>
      <w:r w:rsidRPr="002B2195">
        <w:rPr>
          <w:rFonts w:ascii="Arial" w:hAnsi="Arial" w:cs="Arial"/>
          <w:i/>
          <w:iCs/>
        </w:rPr>
        <w:t>An advanced laboratory manual of zoology</w:t>
      </w:r>
      <w:r w:rsidRPr="002B2195">
        <w:rPr>
          <w:rFonts w:ascii="Arial" w:hAnsi="Arial" w:cs="Arial"/>
        </w:rPr>
        <w:t>. New Delhi: Laxmi Publications.</w:t>
      </w:r>
    </w:p>
    <w:p w14:paraId="7B787D8B" w14:textId="77777777" w:rsidR="00DC438A" w:rsidRDefault="00DC438A" w:rsidP="00DC438A">
      <w:pPr>
        <w:spacing w:after="160" w:line="259" w:lineRule="auto"/>
        <w:ind w:left="1080"/>
        <w:jc w:val="both"/>
      </w:pPr>
      <w:r w:rsidRPr="002B2195">
        <w:rPr>
          <w:rFonts w:ascii="Arial" w:hAnsi="Arial" w:cs="Arial"/>
        </w:rPr>
        <w:t xml:space="preserve">Šarić, A., </w:t>
      </w:r>
      <w:proofErr w:type="spellStart"/>
      <w:r w:rsidRPr="002B2195">
        <w:rPr>
          <w:rFonts w:ascii="Arial" w:hAnsi="Arial" w:cs="Arial"/>
        </w:rPr>
        <w:t>Kalafatić</w:t>
      </w:r>
      <w:proofErr w:type="spellEnd"/>
      <w:r w:rsidRPr="002B2195">
        <w:rPr>
          <w:rFonts w:ascii="Arial" w:hAnsi="Arial" w:cs="Arial"/>
        </w:rPr>
        <w:t xml:space="preserve">, M., Rusak, G., Kovačević, G., Franjević, D., &amp; Gutzeit, H. O. (2007). Postembryonic development of Drosophila melanogaster </w:t>
      </w:r>
      <w:proofErr w:type="spellStart"/>
      <w:r w:rsidRPr="002B2195">
        <w:rPr>
          <w:rFonts w:ascii="Arial" w:hAnsi="Arial" w:cs="Arial"/>
        </w:rPr>
        <w:t>Meigen</w:t>
      </w:r>
      <w:proofErr w:type="spellEnd"/>
      <w:r w:rsidRPr="002B2195">
        <w:rPr>
          <w:rFonts w:ascii="Arial" w:hAnsi="Arial" w:cs="Arial"/>
        </w:rPr>
        <w:t xml:space="preserve">, 1830 under the influence of quercetin. Entomological News, 118(3), 235–240. </w:t>
      </w:r>
      <w:hyperlink r:id="rId44" w:history="1">
        <w:r w:rsidRPr="009017EB">
          <w:rPr>
            <w:rStyle w:val="Hyperlink"/>
            <w:rFonts w:ascii="Arial" w:hAnsi="Arial" w:cs="Arial"/>
          </w:rPr>
          <w:t xml:space="preserve">https://doi.org/10.3157/0013-872X(2007)118 </w:t>
        </w:r>
      </w:hyperlink>
    </w:p>
    <w:p w14:paraId="58752F63" w14:textId="77777777" w:rsidR="00DC438A" w:rsidRPr="009C6A7E" w:rsidRDefault="00DC438A" w:rsidP="00DC438A">
      <w:pPr>
        <w:spacing w:after="160" w:line="259" w:lineRule="auto"/>
        <w:ind w:left="1080"/>
        <w:jc w:val="both"/>
        <w:rPr>
          <w:rFonts w:ascii="Arial" w:hAnsi="Arial" w:cs="Arial"/>
        </w:rPr>
      </w:pPr>
      <w:proofErr w:type="spellStart"/>
      <w:r w:rsidRPr="002B2195">
        <w:rPr>
          <w:rFonts w:ascii="Arial" w:hAnsi="Arial" w:cs="Arial"/>
        </w:rPr>
        <w:t>Grotewiel</w:t>
      </w:r>
      <w:proofErr w:type="spellEnd"/>
      <w:r w:rsidRPr="002B2195">
        <w:rPr>
          <w:rFonts w:ascii="Arial" w:hAnsi="Arial" w:cs="Arial"/>
        </w:rPr>
        <w:t xml:space="preserve">, M. S., Martin, I., Bhandari, P., &amp; Cook-Wiens, E. (2005). Functional senescence in </w:t>
      </w:r>
      <w:r w:rsidRPr="002B2195">
        <w:rPr>
          <w:rFonts w:ascii="Arial" w:hAnsi="Arial" w:cs="Arial"/>
          <w:i/>
          <w:iCs/>
        </w:rPr>
        <w:t>Drosophila melanogaster</w:t>
      </w:r>
      <w:r w:rsidRPr="002B2195">
        <w:rPr>
          <w:rFonts w:ascii="Arial" w:hAnsi="Arial" w:cs="Arial"/>
        </w:rPr>
        <w:t xml:space="preserve">. </w:t>
      </w:r>
      <w:r w:rsidRPr="002B2195">
        <w:rPr>
          <w:rFonts w:ascii="Arial" w:hAnsi="Arial" w:cs="Arial"/>
          <w:i/>
          <w:iCs/>
        </w:rPr>
        <w:t>Ageing Research Reviews</w:t>
      </w:r>
      <w:r w:rsidRPr="002B2195">
        <w:rPr>
          <w:rFonts w:ascii="Arial" w:hAnsi="Arial" w:cs="Arial"/>
        </w:rPr>
        <w:t xml:space="preserve">, 4(3), 372–397. </w:t>
      </w:r>
      <w:hyperlink r:id="rId45" w:history="1">
        <w:r w:rsidRPr="002B2195">
          <w:rPr>
            <w:rStyle w:val="Hyperlink"/>
            <w:rFonts w:ascii="Arial" w:hAnsi="Arial" w:cs="Arial"/>
          </w:rPr>
          <w:t>https://doi.org/10.1016/j.arr.2005.04.001</w:t>
        </w:r>
      </w:hyperlink>
    </w:p>
    <w:p w14:paraId="22A7D1F1" w14:textId="77777777" w:rsidR="00DC438A" w:rsidRPr="009C6A7E" w:rsidRDefault="00DC438A" w:rsidP="00DC438A">
      <w:pPr>
        <w:spacing w:after="160" w:line="259" w:lineRule="auto"/>
        <w:ind w:left="1080"/>
        <w:jc w:val="both"/>
        <w:rPr>
          <w:rFonts w:ascii="Arial" w:hAnsi="Arial" w:cs="Arial"/>
        </w:rPr>
      </w:pPr>
      <w:r w:rsidRPr="002B2195">
        <w:rPr>
          <w:rFonts w:ascii="Arial" w:hAnsi="Arial" w:cs="Arial"/>
        </w:rPr>
        <w:t xml:space="preserve">Arking, R., &amp; Wells, R. A. (1989). Genetic alteration of normal aging processes is responsible for extended longevity in Drosophila. </w:t>
      </w:r>
      <w:r w:rsidRPr="002B2195">
        <w:rPr>
          <w:rFonts w:ascii="Arial" w:hAnsi="Arial" w:cs="Arial"/>
          <w:i/>
          <w:iCs/>
        </w:rPr>
        <w:t>Developmental Genetics</w:t>
      </w:r>
      <w:r>
        <w:rPr>
          <w:rFonts w:ascii="Arial" w:hAnsi="Arial" w:cs="Arial"/>
          <w:i/>
          <w:iCs/>
        </w:rPr>
        <w:t>,</w:t>
      </w:r>
      <w:r w:rsidRPr="002B2195">
        <w:rPr>
          <w:rFonts w:ascii="Arial" w:hAnsi="Arial" w:cs="Arial"/>
        </w:rPr>
        <w:t xml:space="preserve"> </w:t>
      </w:r>
      <w:r w:rsidRPr="002B2195">
        <w:rPr>
          <w:rFonts w:ascii="Arial" w:hAnsi="Arial" w:cs="Arial"/>
          <w:i/>
          <w:iCs/>
        </w:rPr>
        <w:t>11</w:t>
      </w:r>
      <w:r w:rsidRPr="002B2195">
        <w:rPr>
          <w:rFonts w:ascii="Arial" w:hAnsi="Arial" w:cs="Arial"/>
        </w:rPr>
        <w:t xml:space="preserve">(2), 141-148. </w:t>
      </w:r>
      <w:hyperlink r:id="rId46" w:history="1">
        <w:r w:rsidRPr="002B2195">
          <w:rPr>
            <w:rStyle w:val="Hyperlink"/>
            <w:rFonts w:ascii="Arial" w:hAnsi="Arial" w:cs="Arial"/>
          </w:rPr>
          <w:t>https://doi.org/10.1002/dvg.1020110204</w:t>
        </w:r>
      </w:hyperlink>
      <w:r w:rsidRPr="002B2195">
        <w:rPr>
          <w:rFonts w:ascii="Arial" w:hAnsi="Arial" w:cs="Arial"/>
        </w:rPr>
        <w:t xml:space="preserve"> </w:t>
      </w:r>
    </w:p>
    <w:p w14:paraId="65A64295" w14:textId="148D706F" w:rsidR="00DC438A" w:rsidRPr="001D0B39"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Rhodenizer, D., Martin, I., Bhandari, P., Pletcher, S. D., &amp; </w:t>
      </w:r>
      <w:proofErr w:type="spellStart"/>
      <w:r w:rsidRPr="002B2195">
        <w:rPr>
          <w:rFonts w:ascii="Arial" w:hAnsi="Arial" w:cs="Arial"/>
        </w:rPr>
        <w:t>Grotewiel</w:t>
      </w:r>
      <w:proofErr w:type="spellEnd"/>
      <w:r w:rsidRPr="002B2195">
        <w:rPr>
          <w:rFonts w:ascii="Arial" w:hAnsi="Arial" w:cs="Arial"/>
        </w:rPr>
        <w:t xml:space="preserve">, M. (2008). Genetic and environmental factors impact age-related impairment of negative geotaxis in Drosophila by altering age-dependent climbing speed. </w:t>
      </w:r>
      <w:r w:rsidRPr="002B2195">
        <w:rPr>
          <w:rFonts w:ascii="Arial" w:hAnsi="Arial" w:cs="Arial"/>
          <w:i/>
          <w:iCs/>
        </w:rPr>
        <w:t>Experimental Gerontology</w:t>
      </w:r>
      <w:r>
        <w:rPr>
          <w:rFonts w:ascii="Arial" w:hAnsi="Arial" w:cs="Arial"/>
          <w:i/>
          <w:iCs/>
        </w:rPr>
        <w:t>,</w:t>
      </w:r>
      <w:r w:rsidRPr="002B2195">
        <w:rPr>
          <w:rFonts w:ascii="Arial" w:hAnsi="Arial" w:cs="Arial"/>
        </w:rPr>
        <w:t xml:space="preserve"> </w:t>
      </w:r>
      <w:r w:rsidRPr="002B2195">
        <w:rPr>
          <w:rFonts w:ascii="Arial" w:hAnsi="Arial" w:cs="Arial"/>
          <w:i/>
          <w:iCs/>
        </w:rPr>
        <w:t>43</w:t>
      </w:r>
      <w:r w:rsidRPr="002B2195">
        <w:rPr>
          <w:rFonts w:ascii="Arial" w:hAnsi="Arial" w:cs="Arial"/>
        </w:rPr>
        <w:t xml:space="preserve">(8), 739-748. </w:t>
      </w:r>
      <w:hyperlink r:id="rId47" w:history="1">
        <w:r w:rsidRPr="002B2195">
          <w:rPr>
            <w:rStyle w:val="Hyperlink"/>
            <w:rFonts w:ascii="Arial" w:hAnsi="Arial" w:cs="Arial"/>
          </w:rPr>
          <w:t>https://doi.org/10.1016/j.exger.2008.04.011</w:t>
        </w:r>
      </w:hyperlink>
      <w:r w:rsidRPr="002B2195">
        <w:rPr>
          <w:rFonts w:ascii="Arial" w:hAnsi="Arial" w:cs="Arial"/>
        </w:rPr>
        <w:t xml:space="preserve"> </w:t>
      </w:r>
    </w:p>
    <w:p w14:paraId="36552B6A" w14:textId="77777777" w:rsidR="00DC438A" w:rsidRPr="006970F7"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Hadler, N. M. (1964). Heritability and phototaxis in Drosophila melanogaster. </w:t>
      </w:r>
      <w:r w:rsidRPr="00A623EE">
        <w:rPr>
          <w:rFonts w:ascii="Arial" w:hAnsi="Arial" w:cs="Arial"/>
          <w:i/>
          <w:iCs/>
        </w:rPr>
        <w:t>Genetics</w:t>
      </w:r>
      <w:r>
        <w:rPr>
          <w:rFonts w:ascii="Arial" w:hAnsi="Arial" w:cs="Arial"/>
          <w:i/>
          <w:iCs/>
        </w:rPr>
        <w:t>,</w:t>
      </w:r>
      <w:r w:rsidRPr="002B2195">
        <w:rPr>
          <w:rFonts w:ascii="Arial" w:hAnsi="Arial" w:cs="Arial"/>
        </w:rPr>
        <w:t xml:space="preserve"> 50(6), 1269–1277. </w:t>
      </w:r>
      <w:hyperlink r:id="rId48" w:history="1">
        <w:r w:rsidRPr="002B2195">
          <w:rPr>
            <w:rStyle w:val="Hyperlink"/>
            <w:rFonts w:ascii="Arial" w:hAnsi="Arial" w:cs="Arial"/>
          </w:rPr>
          <w:t>https://doi.org/10.1093/genetics/50.6.1269</w:t>
        </w:r>
      </w:hyperlink>
      <w:r w:rsidRPr="002B2195">
        <w:rPr>
          <w:rFonts w:ascii="Arial" w:hAnsi="Arial" w:cs="Arial"/>
        </w:rPr>
        <w:t xml:space="preserve"> </w:t>
      </w:r>
    </w:p>
    <w:p w14:paraId="7C6F60D0" w14:textId="77777777" w:rsidR="00DC438A"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Vang, L. L., Medvedev, A. V., &amp; Adler, J. (2012). Simple visual light/dark preference assay for </w:t>
      </w:r>
      <w:r w:rsidRPr="002B2195">
        <w:rPr>
          <w:rFonts w:ascii="Arial" w:hAnsi="Arial" w:cs="Arial"/>
          <w:i/>
          <w:iCs/>
        </w:rPr>
        <w:t>Drosophila melanogaster</w:t>
      </w:r>
      <w:r w:rsidRPr="002B2195">
        <w:rPr>
          <w:rFonts w:ascii="Arial" w:hAnsi="Arial" w:cs="Arial"/>
        </w:rPr>
        <w:t xml:space="preserve">. </w:t>
      </w:r>
      <w:r w:rsidRPr="002B2195">
        <w:rPr>
          <w:rFonts w:ascii="Arial" w:hAnsi="Arial" w:cs="Arial"/>
          <w:i/>
          <w:iCs/>
        </w:rPr>
        <w:t>Journal of Neurogenetics</w:t>
      </w:r>
      <w:r>
        <w:rPr>
          <w:rFonts w:ascii="Arial" w:hAnsi="Arial" w:cs="Arial"/>
        </w:rPr>
        <w:t>,</w:t>
      </w:r>
      <w:r w:rsidRPr="002B2195">
        <w:rPr>
          <w:rFonts w:ascii="Arial" w:hAnsi="Arial" w:cs="Arial"/>
        </w:rPr>
        <w:t xml:space="preserve"> 26(3-4), 382–386. </w:t>
      </w:r>
      <w:hyperlink r:id="rId49" w:history="1">
        <w:r w:rsidRPr="002B2195">
          <w:rPr>
            <w:rStyle w:val="Hyperlink"/>
            <w:rFonts w:ascii="Arial" w:hAnsi="Arial" w:cs="Arial"/>
          </w:rPr>
          <w:t>https://doi.org/10.1371/journal.pone.0037495</w:t>
        </w:r>
      </w:hyperlink>
      <w:r w:rsidRPr="002B2195">
        <w:rPr>
          <w:rFonts w:ascii="Arial" w:hAnsi="Arial" w:cs="Arial"/>
        </w:rPr>
        <w:t xml:space="preserve"> </w:t>
      </w:r>
    </w:p>
    <w:p w14:paraId="57E20D90" w14:textId="77777777" w:rsidR="00DC438A" w:rsidRPr="009025CD" w:rsidRDefault="00DC438A" w:rsidP="00DC438A">
      <w:pPr>
        <w:tabs>
          <w:tab w:val="left" w:pos="1134"/>
        </w:tabs>
        <w:spacing w:after="160" w:line="259" w:lineRule="auto"/>
        <w:ind w:left="1080"/>
        <w:jc w:val="both"/>
        <w:rPr>
          <w:rFonts w:ascii="Arial" w:hAnsi="Arial" w:cs="Arial"/>
        </w:rPr>
      </w:pPr>
      <w:r w:rsidRPr="006970F7">
        <w:rPr>
          <w:rFonts w:ascii="Arial" w:hAnsi="Arial" w:cs="Arial"/>
        </w:rPr>
        <w:lastRenderedPageBreak/>
        <w:t>Fischer FP, Karge RA, Koch H, Voigt A, Weber YG and Wolking S</w:t>
      </w:r>
      <w:r>
        <w:rPr>
          <w:rFonts w:ascii="Arial" w:hAnsi="Arial" w:cs="Arial"/>
        </w:rPr>
        <w:t>.</w:t>
      </w:r>
      <w:r w:rsidRPr="006970F7">
        <w:rPr>
          <w:rFonts w:ascii="Arial" w:hAnsi="Arial" w:cs="Arial"/>
        </w:rPr>
        <w:t xml:space="preserve"> (2024)</w:t>
      </w:r>
      <w:r>
        <w:rPr>
          <w:rFonts w:ascii="Arial" w:hAnsi="Arial" w:cs="Arial"/>
        </w:rPr>
        <w:t xml:space="preserve">. </w:t>
      </w:r>
      <w:r w:rsidRPr="006970F7">
        <w:rPr>
          <w:rFonts w:ascii="Arial" w:hAnsi="Arial" w:cs="Arial"/>
        </w:rPr>
        <w:t xml:space="preserve">The fruit fly Drosophila melanogaster as a screening model for antiseizure medications. </w:t>
      </w:r>
      <w:r w:rsidRPr="006970F7">
        <w:rPr>
          <w:rFonts w:ascii="Arial" w:hAnsi="Arial" w:cs="Arial"/>
          <w:i/>
          <w:iCs/>
        </w:rPr>
        <w:t xml:space="preserve">Front. </w:t>
      </w:r>
      <w:proofErr w:type="spellStart"/>
      <w:r w:rsidRPr="006970F7">
        <w:rPr>
          <w:rFonts w:ascii="Arial" w:hAnsi="Arial" w:cs="Arial"/>
          <w:i/>
          <w:iCs/>
        </w:rPr>
        <w:t>Pharmacol</w:t>
      </w:r>
      <w:proofErr w:type="spellEnd"/>
      <w:r>
        <w:rPr>
          <w:rFonts w:ascii="Arial" w:hAnsi="Arial" w:cs="Arial"/>
          <w:i/>
          <w:iCs/>
        </w:rPr>
        <w:t>,</w:t>
      </w:r>
      <w:r w:rsidRPr="006970F7">
        <w:rPr>
          <w:rFonts w:ascii="Arial" w:hAnsi="Arial" w:cs="Arial"/>
        </w:rPr>
        <w:t xml:space="preserve"> 15:1489888.</w:t>
      </w:r>
      <w:r>
        <w:rPr>
          <w:rFonts w:ascii="Arial" w:hAnsi="Arial" w:cs="Arial"/>
        </w:rPr>
        <w:t xml:space="preserve"> </w:t>
      </w:r>
      <w:hyperlink r:id="rId50" w:history="1">
        <w:r w:rsidRPr="009017EB">
          <w:rPr>
            <w:rStyle w:val="Hyperlink"/>
            <w:rFonts w:ascii="Arial" w:hAnsi="Arial" w:cs="Arial"/>
          </w:rPr>
          <w:t>https://doi.org/10.3389/fphar.2024.1489888</w:t>
        </w:r>
      </w:hyperlink>
      <w:r>
        <w:rPr>
          <w:rFonts w:ascii="Arial" w:hAnsi="Arial" w:cs="Arial"/>
        </w:rPr>
        <w:t xml:space="preserve"> </w:t>
      </w:r>
    </w:p>
    <w:p w14:paraId="162F2CD9" w14:textId="77777777" w:rsidR="00DC438A" w:rsidRPr="006970F7" w:rsidRDefault="00DC438A" w:rsidP="00DC438A">
      <w:pPr>
        <w:tabs>
          <w:tab w:val="left" w:pos="1134"/>
        </w:tabs>
        <w:spacing w:after="160" w:line="259" w:lineRule="auto"/>
        <w:ind w:left="1080"/>
        <w:jc w:val="both"/>
      </w:pPr>
      <w:r w:rsidRPr="002B2195">
        <w:rPr>
          <w:rFonts w:ascii="Arial" w:hAnsi="Arial" w:cs="Arial"/>
        </w:rPr>
        <w:t xml:space="preserve">Song, J., &amp; Tanouye, M. A. (2008). From bench to drug: Human seizure modeling using </w:t>
      </w:r>
      <w:r w:rsidRPr="002B2195">
        <w:rPr>
          <w:rFonts w:ascii="Arial" w:hAnsi="Arial" w:cs="Arial"/>
          <w:i/>
          <w:iCs/>
        </w:rPr>
        <w:t>Drosophila</w:t>
      </w:r>
      <w:r w:rsidRPr="002B2195">
        <w:rPr>
          <w:rFonts w:ascii="Arial" w:hAnsi="Arial" w:cs="Arial"/>
        </w:rPr>
        <w:t xml:space="preserve">. </w:t>
      </w:r>
      <w:r w:rsidRPr="002B2195">
        <w:rPr>
          <w:rFonts w:ascii="Arial" w:hAnsi="Arial" w:cs="Arial"/>
          <w:i/>
          <w:iCs/>
        </w:rPr>
        <w:t>Progress in Neurobiology</w:t>
      </w:r>
      <w:r w:rsidRPr="002B2195">
        <w:rPr>
          <w:rFonts w:ascii="Arial" w:hAnsi="Arial" w:cs="Arial"/>
        </w:rPr>
        <w:t xml:space="preserve">, 84(2), 182–191. </w:t>
      </w:r>
      <w:hyperlink r:id="rId51" w:tgtFrame="_blank" w:history="1">
        <w:r w:rsidRPr="002B2195">
          <w:rPr>
            <w:rStyle w:val="Hyperlink"/>
            <w:rFonts w:ascii="Arial" w:hAnsi="Arial" w:cs="Arial"/>
          </w:rPr>
          <w:t>https://doi.org/10.1016/j.pneurobio.2007.10.006</w:t>
        </w:r>
      </w:hyperlink>
    </w:p>
    <w:p w14:paraId="2AD84B03" w14:textId="77777777" w:rsidR="00DC438A" w:rsidRPr="006970F7" w:rsidRDefault="00DC438A" w:rsidP="00DC438A">
      <w:pPr>
        <w:tabs>
          <w:tab w:val="left" w:pos="1134"/>
        </w:tabs>
        <w:spacing w:after="160" w:line="259" w:lineRule="auto"/>
        <w:ind w:left="1080"/>
        <w:jc w:val="both"/>
        <w:rPr>
          <w:rFonts w:ascii="Arial" w:hAnsi="Arial" w:cs="Arial"/>
        </w:rPr>
      </w:pPr>
      <w:r w:rsidRPr="002B2195">
        <w:rPr>
          <w:rFonts w:ascii="Arial" w:hAnsi="Arial" w:cs="Arial"/>
        </w:rPr>
        <w:t>Allada, R., &amp; Chung, B. Y. (2010). Circadian organization of behavior and physiology in Drosophila.  </w:t>
      </w:r>
      <w:r w:rsidRPr="002B2195">
        <w:rPr>
          <w:rFonts w:ascii="Arial" w:hAnsi="Arial" w:cs="Arial"/>
          <w:i/>
          <w:iCs/>
        </w:rPr>
        <w:t>A. Rev. Physiol. </w:t>
      </w:r>
      <w:r w:rsidRPr="002B2195">
        <w:rPr>
          <w:rFonts w:ascii="Arial" w:hAnsi="Arial" w:cs="Arial"/>
        </w:rPr>
        <w:t xml:space="preserve">72: 605-24. </w:t>
      </w:r>
      <w:hyperlink r:id="rId52" w:history="1">
        <w:r w:rsidRPr="002B2195">
          <w:rPr>
            <w:rStyle w:val="Hyperlink"/>
            <w:rFonts w:ascii="Arial" w:hAnsi="Arial" w:cs="Arial"/>
          </w:rPr>
          <w:t>https://doi.org/10.1146/annurev-physiol-021909-135815</w:t>
        </w:r>
      </w:hyperlink>
      <w:r w:rsidRPr="002B2195">
        <w:rPr>
          <w:rFonts w:ascii="Arial" w:hAnsi="Arial" w:cs="Arial"/>
        </w:rPr>
        <w:t xml:space="preserve"> </w:t>
      </w:r>
    </w:p>
    <w:p w14:paraId="46C2852F" w14:textId="77777777" w:rsidR="00DC438A" w:rsidRPr="006970F7" w:rsidRDefault="00DC438A" w:rsidP="00DC438A">
      <w:pPr>
        <w:tabs>
          <w:tab w:val="left" w:pos="1134"/>
        </w:tabs>
        <w:spacing w:after="160" w:line="259" w:lineRule="auto"/>
        <w:ind w:left="1080"/>
        <w:jc w:val="both"/>
        <w:rPr>
          <w:rFonts w:ascii="Arial" w:hAnsi="Arial" w:cs="Arial"/>
        </w:rPr>
      </w:pPr>
      <w:r w:rsidRPr="002B2195">
        <w:rPr>
          <w:rFonts w:ascii="Arial" w:hAnsi="Arial" w:cs="Arial"/>
        </w:rPr>
        <w:t>Helfrich-Förster, C. (2005). Neurobiology of the fruit fly's circadian clock. </w:t>
      </w:r>
      <w:r w:rsidRPr="002B2195">
        <w:rPr>
          <w:rFonts w:ascii="Arial" w:hAnsi="Arial" w:cs="Arial"/>
          <w:i/>
          <w:iCs/>
        </w:rPr>
        <w:t>Genes, Brain and Behavior</w:t>
      </w:r>
      <w:r w:rsidRPr="002B2195">
        <w:rPr>
          <w:rFonts w:ascii="Arial" w:hAnsi="Arial" w:cs="Arial"/>
        </w:rPr>
        <w:t>, </w:t>
      </w:r>
      <w:r w:rsidRPr="002B2195">
        <w:rPr>
          <w:rFonts w:ascii="Arial" w:hAnsi="Arial" w:cs="Arial"/>
          <w:i/>
          <w:iCs/>
        </w:rPr>
        <w:t>4</w:t>
      </w:r>
      <w:r w:rsidRPr="002B2195">
        <w:rPr>
          <w:rFonts w:ascii="Arial" w:hAnsi="Arial" w:cs="Arial"/>
        </w:rPr>
        <w:t>(2), 65-76. </w:t>
      </w:r>
      <w:hyperlink r:id="rId53" w:history="1">
        <w:r w:rsidRPr="002B2195">
          <w:rPr>
            <w:rStyle w:val="Hyperlink"/>
            <w:rFonts w:ascii="Arial" w:hAnsi="Arial" w:cs="Arial"/>
          </w:rPr>
          <w:t>https://doi.org/10.1111/j.1601-183X.2004.00092.x</w:t>
        </w:r>
      </w:hyperlink>
      <w:r w:rsidRPr="002B2195">
        <w:rPr>
          <w:rFonts w:ascii="Arial" w:hAnsi="Arial" w:cs="Arial"/>
        </w:rPr>
        <w:t xml:space="preserve"> </w:t>
      </w:r>
    </w:p>
    <w:p w14:paraId="2F7C46C6" w14:textId="77777777" w:rsidR="00DC438A" w:rsidRPr="00F34DD7"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Nelson, W., Tong, Y. L., Lee, J. K., &amp; Halberg, F. (1979). Methods for </w:t>
      </w:r>
      <w:proofErr w:type="spellStart"/>
      <w:r w:rsidRPr="002B2195">
        <w:rPr>
          <w:rFonts w:ascii="Arial" w:hAnsi="Arial" w:cs="Arial"/>
        </w:rPr>
        <w:t>cosinor-rhythmometry</w:t>
      </w:r>
      <w:proofErr w:type="spellEnd"/>
      <w:r w:rsidRPr="002B2195">
        <w:rPr>
          <w:rFonts w:ascii="Arial" w:hAnsi="Arial" w:cs="Arial"/>
        </w:rPr>
        <w:t xml:space="preserve">. </w:t>
      </w:r>
      <w:proofErr w:type="spellStart"/>
      <w:r w:rsidRPr="002B2195">
        <w:rPr>
          <w:rFonts w:ascii="Arial" w:hAnsi="Arial" w:cs="Arial"/>
          <w:i/>
          <w:iCs/>
        </w:rPr>
        <w:t>Chronobiologia</w:t>
      </w:r>
      <w:proofErr w:type="spellEnd"/>
      <w:r>
        <w:rPr>
          <w:rFonts w:ascii="Arial" w:hAnsi="Arial" w:cs="Arial"/>
        </w:rPr>
        <w:t xml:space="preserve">, </w:t>
      </w:r>
      <w:r w:rsidRPr="002B2195">
        <w:rPr>
          <w:rFonts w:ascii="Arial" w:hAnsi="Arial" w:cs="Arial"/>
        </w:rPr>
        <w:t>6(4), 305–23.</w:t>
      </w:r>
    </w:p>
    <w:p w14:paraId="4DB3E695" w14:textId="77777777" w:rsidR="00DC438A" w:rsidRDefault="00DC438A" w:rsidP="00DC438A">
      <w:pPr>
        <w:tabs>
          <w:tab w:val="left" w:pos="1134"/>
        </w:tabs>
        <w:spacing w:after="160" w:line="259" w:lineRule="auto"/>
        <w:ind w:left="1080"/>
        <w:jc w:val="both"/>
        <w:rPr>
          <w:rFonts w:ascii="Arial" w:hAnsi="Arial" w:cs="Arial"/>
        </w:rPr>
      </w:pPr>
      <w:r w:rsidRPr="002B2195">
        <w:rPr>
          <w:rFonts w:ascii="Arial" w:hAnsi="Arial" w:cs="Arial"/>
        </w:rPr>
        <w:t>Sokal</w:t>
      </w:r>
      <w:r>
        <w:rPr>
          <w:rFonts w:ascii="Arial" w:hAnsi="Arial" w:cs="Arial"/>
        </w:rPr>
        <w:t>,</w:t>
      </w:r>
      <w:r w:rsidRPr="002B2195">
        <w:rPr>
          <w:rFonts w:ascii="Arial" w:hAnsi="Arial" w:cs="Arial"/>
        </w:rPr>
        <w:t xml:space="preserve"> R</w:t>
      </w:r>
      <w:r>
        <w:rPr>
          <w:rFonts w:ascii="Arial" w:hAnsi="Arial" w:cs="Arial"/>
        </w:rPr>
        <w:t xml:space="preserve">. </w:t>
      </w:r>
      <w:r w:rsidRPr="002B2195">
        <w:rPr>
          <w:rFonts w:ascii="Arial" w:hAnsi="Arial" w:cs="Arial"/>
        </w:rPr>
        <w:t>R</w:t>
      </w:r>
      <w:r>
        <w:rPr>
          <w:rFonts w:ascii="Arial" w:hAnsi="Arial" w:cs="Arial"/>
        </w:rPr>
        <w:t>. and</w:t>
      </w:r>
      <w:r w:rsidRPr="002B2195">
        <w:rPr>
          <w:rFonts w:ascii="Arial" w:hAnsi="Arial" w:cs="Arial"/>
        </w:rPr>
        <w:t xml:space="preserve"> Rohlf</w:t>
      </w:r>
      <w:r>
        <w:rPr>
          <w:rFonts w:ascii="Arial" w:hAnsi="Arial" w:cs="Arial"/>
        </w:rPr>
        <w:t>,</w:t>
      </w:r>
      <w:r w:rsidRPr="002B2195">
        <w:rPr>
          <w:rFonts w:ascii="Arial" w:hAnsi="Arial" w:cs="Arial"/>
        </w:rPr>
        <w:t xml:space="preserve"> F</w:t>
      </w:r>
      <w:r>
        <w:rPr>
          <w:rFonts w:ascii="Arial" w:hAnsi="Arial" w:cs="Arial"/>
        </w:rPr>
        <w:t xml:space="preserve">. </w:t>
      </w:r>
      <w:r w:rsidRPr="002B2195">
        <w:rPr>
          <w:rFonts w:ascii="Arial" w:hAnsi="Arial" w:cs="Arial"/>
        </w:rPr>
        <w:t>J.</w:t>
      </w:r>
      <w:r>
        <w:rPr>
          <w:rFonts w:ascii="Arial" w:hAnsi="Arial" w:cs="Arial"/>
        </w:rPr>
        <w:t xml:space="preserve"> (2012)</w:t>
      </w:r>
      <w:r w:rsidRPr="002B2195">
        <w:rPr>
          <w:rFonts w:ascii="Arial" w:hAnsi="Arial" w:cs="Arial"/>
        </w:rPr>
        <w:t xml:space="preserve"> </w:t>
      </w:r>
      <w:r w:rsidRPr="002B2195">
        <w:rPr>
          <w:rFonts w:ascii="Arial" w:hAnsi="Arial" w:cs="Arial"/>
          <w:i/>
          <w:iCs/>
        </w:rPr>
        <w:t>Biometry: The Principles and Practice of Statistics in Biological Research</w:t>
      </w:r>
      <w:r>
        <w:rPr>
          <w:rFonts w:ascii="Arial" w:hAnsi="Arial" w:cs="Arial"/>
          <w:i/>
          <w:iCs/>
        </w:rPr>
        <w:t>,</w:t>
      </w:r>
      <w:r w:rsidRPr="002B2195">
        <w:rPr>
          <w:rFonts w:ascii="Arial" w:hAnsi="Arial" w:cs="Arial"/>
        </w:rPr>
        <w:t xml:space="preserve"> 4th ed. W. H. Freeman and Company, New York.</w:t>
      </w:r>
      <w:r>
        <w:rPr>
          <w:rFonts w:ascii="Arial" w:hAnsi="Arial" w:cs="Arial"/>
        </w:rPr>
        <w:t xml:space="preserve"> </w:t>
      </w:r>
      <w:r w:rsidRPr="00985678">
        <w:rPr>
          <w:rFonts w:ascii="Arial" w:hAnsi="Arial" w:cs="Arial"/>
        </w:rPr>
        <w:t>937 p.</w:t>
      </w:r>
    </w:p>
    <w:p w14:paraId="09A1B501" w14:textId="77777777" w:rsidR="00DC438A" w:rsidRPr="00F34DD7"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Tukey J. W. (1949). Comparing individual means in the analysis of variance. </w:t>
      </w:r>
      <w:r w:rsidRPr="002B2195">
        <w:rPr>
          <w:rFonts w:ascii="Arial" w:hAnsi="Arial" w:cs="Arial"/>
          <w:i/>
          <w:iCs/>
        </w:rPr>
        <w:t>Biometrics,</w:t>
      </w:r>
      <w:r w:rsidRPr="002B2195">
        <w:rPr>
          <w:rFonts w:ascii="Arial" w:hAnsi="Arial" w:cs="Arial"/>
        </w:rPr>
        <w:t xml:space="preserve"> 5(2):99-114. PMID: 18151955</w:t>
      </w:r>
    </w:p>
    <w:p w14:paraId="1BA996CC" w14:textId="77777777" w:rsidR="00DC438A" w:rsidRPr="00F34DD7" w:rsidRDefault="00DC438A" w:rsidP="00DC438A">
      <w:pPr>
        <w:tabs>
          <w:tab w:val="left" w:pos="1134"/>
        </w:tabs>
        <w:spacing w:after="160" w:line="259" w:lineRule="auto"/>
        <w:ind w:left="1080"/>
        <w:jc w:val="both"/>
        <w:rPr>
          <w:rFonts w:ascii="Arial" w:hAnsi="Arial" w:cs="Arial"/>
        </w:rPr>
      </w:pPr>
      <w:r w:rsidRPr="002B2195">
        <w:rPr>
          <w:rFonts w:ascii="Arial" w:hAnsi="Arial" w:cs="Arial"/>
        </w:rPr>
        <w:t>Zar, Jerrold. (2010). Biostatistical Analysis: New Jersey: Prentice-Hall.</w:t>
      </w:r>
    </w:p>
    <w:p w14:paraId="540AC2C3" w14:textId="77777777" w:rsidR="00DC438A" w:rsidRPr="00F34DD7"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Dunnett, C. W. (1955). A multiple comparison procedure for comparing several treatments with a control. </w:t>
      </w:r>
      <w:r w:rsidRPr="002B2195">
        <w:rPr>
          <w:rFonts w:ascii="Arial" w:hAnsi="Arial" w:cs="Arial"/>
          <w:i/>
          <w:iCs/>
        </w:rPr>
        <w:t>Journal of the American Statistical Association</w:t>
      </w:r>
      <w:r w:rsidRPr="002B2195">
        <w:rPr>
          <w:rFonts w:ascii="Arial" w:hAnsi="Arial" w:cs="Arial"/>
        </w:rPr>
        <w:t xml:space="preserve">, 50(272), 1096–1121. </w:t>
      </w:r>
      <w:hyperlink r:id="rId54" w:tgtFrame="_blank" w:history="1">
        <w:r w:rsidRPr="002B2195">
          <w:rPr>
            <w:rStyle w:val="Hyperlink"/>
            <w:rFonts w:ascii="Arial" w:hAnsi="Arial" w:cs="Arial"/>
          </w:rPr>
          <w:t>https://doi.org/10.1080/01621459.1955.10501294</w:t>
        </w:r>
      </w:hyperlink>
    </w:p>
    <w:p w14:paraId="3BDE8496" w14:textId="77777777" w:rsidR="00DC438A" w:rsidRPr="00F34DD7"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Kaplan, E. L., &amp; Meier, P. (1958). Nonparametric estimation from incomplete observations. </w:t>
      </w:r>
      <w:r w:rsidRPr="002B2195">
        <w:rPr>
          <w:rFonts w:ascii="Arial" w:hAnsi="Arial" w:cs="Arial"/>
          <w:i/>
          <w:iCs/>
        </w:rPr>
        <w:t>Journal of the American Statistical Association</w:t>
      </w:r>
      <w:r w:rsidRPr="002B2195">
        <w:rPr>
          <w:rFonts w:ascii="Arial" w:hAnsi="Arial" w:cs="Arial"/>
        </w:rPr>
        <w:t xml:space="preserve">, 53(282), 457–81. </w:t>
      </w:r>
      <w:hyperlink r:id="rId55" w:tgtFrame="_blank" w:history="1">
        <w:r w:rsidRPr="002B2195">
          <w:rPr>
            <w:rStyle w:val="Hyperlink"/>
            <w:rFonts w:ascii="Arial" w:hAnsi="Arial" w:cs="Arial"/>
          </w:rPr>
          <w:t>https://doi.org/10.1080/01621459.1958.10501452</w:t>
        </w:r>
      </w:hyperlink>
    </w:p>
    <w:p w14:paraId="62914ED9" w14:textId="77777777" w:rsidR="00DC438A" w:rsidRPr="00F34DD7"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Mantel, N. (1966). Evaluation of survival data and two new rank order statistics arising in its consideration. </w:t>
      </w:r>
      <w:r w:rsidRPr="002B2195">
        <w:rPr>
          <w:rFonts w:ascii="Arial" w:hAnsi="Arial" w:cs="Arial"/>
          <w:i/>
          <w:iCs/>
        </w:rPr>
        <w:t>Cancer Chemotherapy Reports</w:t>
      </w:r>
      <w:r w:rsidRPr="002B2195">
        <w:rPr>
          <w:rFonts w:ascii="Arial" w:hAnsi="Arial" w:cs="Arial"/>
        </w:rPr>
        <w:t>, 50(3), 163–70.</w:t>
      </w:r>
    </w:p>
    <w:p w14:paraId="7B8ACB4C" w14:textId="77777777" w:rsidR="00DC438A" w:rsidRPr="00EB0374" w:rsidRDefault="00DC438A" w:rsidP="00DC438A">
      <w:pPr>
        <w:tabs>
          <w:tab w:val="left" w:pos="1134"/>
        </w:tabs>
        <w:spacing w:after="160" w:line="259" w:lineRule="auto"/>
        <w:ind w:left="1080"/>
        <w:jc w:val="both"/>
        <w:rPr>
          <w:rFonts w:ascii="Arial" w:hAnsi="Arial" w:cs="Arial"/>
        </w:rPr>
      </w:pPr>
      <w:r w:rsidRPr="002B2195">
        <w:rPr>
          <w:rFonts w:ascii="Arial" w:hAnsi="Arial" w:cs="Arial"/>
        </w:rPr>
        <w:t>Lu, Y., Wang, K., &amp; Hu, L. (2025). Advancements in delivery systems for dietary polyphenols in enhancing radioprotection effects: Challenges and opportunities. </w:t>
      </w:r>
      <w:proofErr w:type="spellStart"/>
      <w:r w:rsidRPr="002B2195">
        <w:rPr>
          <w:rFonts w:ascii="Arial" w:hAnsi="Arial" w:cs="Arial"/>
          <w:i/>
          <w:iCs/>
        </w:rPr>
        <w:t>Npj</w:t>
      </w:r>
      <w:proofErr w:type="spellEnd"/>
      <w:r w:rsidRPr="002B2195">
        <w:rPr>
          <w:rFonts w:ascii="Arial" w:hAnsi="Arial" w:cs="Arial"/>
          <w:i/>
          <w:iCs/>
        </w:rPr>
        <w:t xml:space="preserve"> Science of Food</w:t>
      </w:r>
      <w:r w:rsidRPr="002B2195">
        <w:rPr>
          <w:rFonts w:ascii="Arial" w:hAnsi="Arial" w:cs="Arial"/>
        </w:rPr>
        <w:t>, </w:t>
      </w:r>
      <w:r w:rsidRPr="002B2195">
        <w:rPr>
          <w:rFonts w:ascii="Arial" w:hAnsi="Arial" w:cs="Arial"/>
          <w:i/>
          <w:iCs/>
        </w:rPr>
        <w:t>9</w:t>
      </w:r>
      <w:r w:rsidRPr="002B2195">
        <w:rPr>
          <w:rFonts w:ascii="Arial" w:hAnsi="Arial" w:cs="Arial"/>
        </w:rPr>
        <w:t>(1), 51. </w:t>
      </w:r>
      <w:hyperlink r:id="rId56" w:history="1">
        <w:r w:rsidRPr="002B2195">
          <w:rPr>
            <w:rStyle w:val="Hyperlink"/>
            <w:rFonts w:ascii="Arial" w:hAnsi="Arial" w:cs="Arial"/>
          </w:rPr>
          <w:t>https://doi.org/10.1038/s41538-025-00419-6</w:t>
        </w:r>
      </w:hyperlink>
      <w:r w:rsidRPr="002B2195">
        <w:rPr>
          <w:rFonts w:ascii="Arial" w:hAnsi="Arial" w:cs="Arial"/>
        </w:rPr>
        <w:t xml:space="preserve"> </w:t>
      </w:r>
    </w:p>
    <w:p w14:paraId="16A6151A" w14:textId="77777777" w:rsidR="00DC438A" w:rsidRPr="002B2195" w:rsidRDefault="00DC438A" w:rsidP="00DC438A">
      <w:pPr>
        <w:tabs>
          <w:tab w:val="left" w:pos="1134"/>
        </w:tabs>
        <w:spacing w:after="160" w:line="259" w:lineRule="auto"/>
        <w:ind w:left="1080"/>
        <w:jc w:val="both"/>
        <w:rPr>
          <w:rFonts w:ascii="Arial" w:hAnsi="Arial" w:cs="Arial"/>
        </w:rPr>
      </w:pPr>
      <w:r w:rsidRPr="002B2195">
        <w:rPr>
          <w:rFonts w:ascii="Arial" w:hAnsi="Arial" w:cs="Arial"/>
        </w:rPr>
        <w:t>Hunter, S. K., Pereira H. M., Keenan K., G. (</w:t>
      </w:r>
      <w:r>
        <w:rPr>
          <w:rFonts w:ascii="Arial" w:hAnsi="Arial" w:cs="Arial"/>
        </w:rPr>
        <w:t>2016</w:t>
      </w:r>
      <w:r w:rsidRPr="002B2195">
        <w:rPr>
          <w:rFonts w:ascii="Arial" w:hAnsi="Arial" w:cs="Arial"/>
        </w:rPr>
        <w:t xml:space="preserve">) The aging </w:t>
      </w:r>
      <w:r>
        <w:rPr>
          <w:rFonts w:ascii="Arial" w:hAnsi="Arial" w:cs="Arial"/>
        </w:rPr>
        <w:t>n</w:t>
      </w:r>
      <w:r w:rsidRPr="002B2195">
        <w:rPr>
          <w:rFonts w:ascii="Arial" w:hAnsi="Arial" w:cs="Arial"/>
        </w:rPr>
        <w:t xml:space="preserve">euromuscular system and motor performance. </w:t>
      </w:r>
      <w:r w:rsidRPr="002B2195">
        <w:rPr>
          <w:rFonts w:ascii="Arial" w:hAnsi="Arial" w:cs="Arial"/>
          <w:i/>
          <w:iCs/>
        </w:rPr>
        <w:t xml:space="preserve">J Appl </w:t>
      </w:r>
      <w:proofErr w:type="spellStart"/>
      <w:r w:rsidRPr="002B2195">
        <w:rPr>
          <w:rFonts w:ascii="Arial" w:hAnsi="Arial" w:cs="Arial"/>
          <w:i/>
          <w:iCs/>
        </w:rPr>
        <w:t>Physiol</w:t>
      </w:r>
      <w:proofErr w:type="spellEnd"/>
      <w:r>
        <w:rPr>
          <w:rFonts w:ascii="Arial" w:hAnsi="Arial" w:cs="Arial"/>
          <w:i/>
          <w:iCs/>
        </w:rPr>
        <w:t>,</w:t>
      </w:r>
      <w:r w:rsidRPr="002B2195">
        <w:rPr>
          <w:rFonts w:ascii="Arial" w:hAnsi="Arial" w:cs="Arial"/>
        </w:rPr>
        <w:t xml:space="preserve"> 1;121(4):982-95. </w:t>
      </w:r>
      <w:hyperlink r:id="rId57" w:history="1">
        <w:r w:rsidRPr="002B2195">
          <w:rPr>
            <w:rStyle w:val="Hyperlink"/>
            <w:rFonts w:ascii="Arial" w:hAnsi="Arial" w:cs="Arial"/>
          </w:rPr>
          <w:t>https://doi.org/10.1152/japplphysiol.00475.2016</w:t>
        </w:r>
      </w:hyperlink>
      <w:r w:rsidRPr="002B2195">
        <w:rPr>
          <w:rFonts w:ascii="Arial" w:hAnsi="Arial" w:cs="Arial"/>
        </w:rPr>
        <w:t xml:space="preserve">  </w:t>
      </w:r>
    </w:p>
    <w:p w14:paraId="7C844EE6" w14:textId="77777777" w:rsidR="00DC438A" w:rsidRPr="001D0B39" w:rsidRDefault="00DC438A" w:rsidP="00DC438A">
      <w:pPr>
        <w:pStyle w:val="ListParagraph"/>
        <w:tabs>
          <w:tab w:val="left" w:pos="1134"/>
        </w:tabs>
        <w:jc w:val="both"/>
        <w:rPr>
          <w:rFonts w:ascii="Arial" w:hAnsi="Arial" w:cs="Arial"/>
        </w:rPr>
      </w:pPr>
    </w:p>
    <w:p w14:paraId="7AD3C031" w14:textId="663D11AB" w:rsidR="00DC438A" w:rsidRPr="00EB0374" w:rsidRDefault="00DC438A" w:rsidP="00DC438A">
      <w:pPr>
        <w:tabs>
          <w:tab w:val="left" w:pos="1134"/>
        </w:tabs>
        <w:spacing w:after="160" w:line="259" w:lineRule="auto"/>
        <w:ind w:left="1080"/>
        <w:jc w:val="both"/>
        <w:rPr>
          <w:rFonts w:ascii="Arial" w:hAnsi="Arial" w:cs="Arial"/>
        </w:rPr>
      </w:pPr>
      <w:proofErr w:type="spellStart"/>
      <w:r w:rsidRPr="002B2195">
        <w:rPr>
          <w:rFonts w:ascii="Arial" w:hAnsi="Arial" w:cs="Arial"/>
        </w:rPr>
        <w:t>Balentova</w:t>
      </w:r>
      <w:proofErr w:type="spellEnd"/>
      <w:r w:rsidRPr="002B2195">
        <w:rPr>
          <w:rFonts w:ascii="Arial" w:hAnsi="Arial" w:cs="Arial"/>
        </w:rPr>
        <w:t xml:space="preserve">, S., &amp; Adamkov, M. (2015). Molecular, Cellular and Functional Effects of Radiation-Induced Brain Injury: A Review. </w:t>
      </w:r>
      <w:r w:rsidRPr="002B2195">
        <w:rPr>
          <w:rFonts w:ascii="Arial" w:hAnsi="Arial" w:cs="Arial"/>
          <w:i/>
          <w:iCs/>
        </w:rPr>
        <w:t>International Journal of Molecular Sciences</w:t>
      </w:r>
      <w:r w:rsidR="00962B81">
        <w:rPr>
          <w:rFonts w:ascii="Arial" w:hAnsi="Arial" w:cs="Arial"/>
          <w:i/>
          <w:iCs/>
        </w:rPr>
        <w:t>,</w:t>
      </w:r>
      <w:r w:rsidRPr="002B2195">
        <w:rPr>
          <w:rFonts w:ascii="Arial" w:hAnsi="Arial" w:cs="Arial"/>
        </w:rPr>
        <w:t xml:space="preserve"> </w:t>
      </w:r>
      <w:r w:rsidRPr="002B2195">
        <w:rPr>
          <w:rFonts w:ascii="Arial" w:hAnsi="Arial" w:cs="Arial"/>
          <w:i/>
          <w:iCs/>
        </w:rPr>
        <w:t>16</w:t>
      </w:r>
      <w:r w:rsidRPr="002B2195">
        <w:rPr>
          <w:rFonts w:ascii="Arial" w:hAnsi="Arial" w:cs="Arial"/>
        </w:rPr>
        <w:t xml:space="preserve">(11), 27796-27815. </w:t>
      </w:r>
      <w:hyperlink r:id="rId58" w:history="1">
        <w:r w:rsidRPr="002B2195">
          <w:rPr>
            <w:rStyle w:val="Hyperlink"/>
            <w:rFonts w:ascii="Arial" w:hAnsi="Arial" w:cs="Arial"/>
          </w:rPr>
          <w:t>https://doi.org/10.3390/ijms161126068</w:t>
        </w:r>
      </w:hyperlink>
      <w:r w:rsidRPr="002B2195">
        <w:rPr>
          <w:rFonts w:ascii="Arial" w:hAnsi="Arial" w:cs="Arial"/>
        </w:rPr>
        <w:t xml:space="preserve"> </w:t>
      </w:r>
    </w:p>
    <w:p w14:paraId="288114B5" w14:textId="77777777" w:rsidR="00DC438A" w:rsidRPr="00711C4A" w:rsidRDefault="00DC438A" w:rsidP="00DC438A">
      <w:pPr>
        <w:tabs>
          <w:tab w:val="left" w:pos="1134"/>
        </w:tabs>
        <w:spacing w:after="160" w:line="259" w:lineRule="auto"/>
        <w:ind w:left="1080"/>
        <w:jc w:val="both"/>
        <w:rPr>
          <w:rFonts w:ascii="Arial" w:hAnsi="Arial" w:cs="Arial"/>
        </w:rPr>
      </w:pPr>
      <w:r w:rsidRPr="002B2195">
        <w:rPr>
          <w:rFonts w:ascii="Arial" w:hAnsi="Arial" w:cs="Arial"/>
        </w:rPr>
        <w:lastRenderedPageBreak/>
        <w:t>Praharaj S, Chakraborty E and Mahalingam G</w:t>
      </w:r>
      <w:r>
        <w:rPr>
          <w:rFonts w:ascii="Arial" w:hAnsi="Arial" w:cs="Arial"/>
        </w:rPr>
        <w:t>.</w:t>
      </w:r>
      <w:r w:rsidRPr="002B2195">
        <w:rPr>
          <w:rFonts w:ascii="Arial" w:hAnsi="Arial" w:cs="Arial"/>
        </w:rPr>
        <w:t xml:space="preserve"> (2026)</w:t>
      </w:r>
      <w:r>
        <w:rPr>
          <w:rFonts w:ascii="Arial" w:hAnsi="Arial" w:cs="Arial"/>
        </w:rPr>
        <w:t>.</w:t>
      </w:r>
      <w:r w:rsidRPr="002B2195">
        <w:rPr>
          <w:rFonts w:ascii="Arial" w:hAnsi="Arial" w:cs="Arial"/>
        </w:rPr>
        <w:t xml:space="preserve"> Ultraviolet radiation and neurodegeneration: molecular mechanisms underlying dual neuroprotective and neurotoxic effects. </w:t>
      </w:r>
      <w:r w:rsidRPr="002B2195">
        <w:rPr>
          <w:rFonts w:ascii="Arial" w:hAnsi="Arial" w:cs="Arial"/>
          <w:i/>
          <w:iCs/>
        </w:rPr>
        <w:t xml:space="preserve">Front. Cell. </w:t>
      </w:r>
      <w:proofErr w:type="spellStart"/>
      <w:r w:rsidRPr="002B2195">
        <w:rPr>
          <w:rFonts w:ascii="Arial" w:hAnsi="Arial" w:cs="Arial"/>
          <w:i/>
          <w:iCs/>
        </w:rPr>
        <w:t>Neurosci</w:t>
      </w:r>
      <w:proofErr w:type="spellEnd"/>
      <w:r>
        <w:rPr>
          <w:rFonts w:ascii="Arial" w:hAnsi="Arial" w:cs="Arial"/>
        </w:rPr>
        <w:t>,</w:t>
      </w:r>
      <w:r w:rsidRPr="002B2195">
        <w:rPr>
          <w:rFonts w:ascii="Arial" w:hAnsi="Arial" w:cs="Arial"/>
        </w:rPr>
        <w:t xml:space="preserve"> 20:1909393. </w:t>
      </w:r>
      <w:hyperlink r:id="rId59" w:history="1">
        <w:r w:rsidRPr="002B2195">
          <w:rPr>
            <w:rStyle w:val="Hyperlink"/>
            <w:rFonts w:ascii="Arial" w:hAnsi="Arial" w:cs="Arial"/>
          </w:rPr>
          <w:t>https://doi/10.3389/fncel.2026.1909393</w:t>
        </w:r>
      </w:hyperlink>
    </w:p>
    <w:p w14:paraId="7B0435CC" w14:textId="77777777" w:rsidR="00DC438A" w:rsidRPr="00636335" w:rsidRDefault="00DC438A" w:rsidP="00DC438A">
      <w:pPr>
        <w:tabs>
          <w:tab w:val="left" w:pos="1134"/>
        </w:tabs>
        <w:spacing w:after="160" w:line="259" w:lineRule="auto"/>
        <w:ind w:left="1080"/>
        <w:jc w:val="both"/>
        <w:rPr>
          <w:rFonts w:ascii="Arial" w:hAnsi="Arial" w:cs="Arial"/>
        </w:rPr>
      </w:pPr>
      <w:r w:rsidRPr="002B2195">
        <w:rPr>
          <w:rFonts w:ascii="Arial" w:hAnsi="Arial" w:cs="Arial"/>
        </w:rPr>
        <w:t xml:space="preserve">Shao, Z., Han, Y., Yu, R., Wang, Y., Qu, P., Lu, D., Xu, D., Wang, W., Wei, W., He, J., He, J., Wang, J., &amp; Ding, N. (2025). Ionizing radiation disrupts behavior rhythms and clock-related pathways in Drosophila melanogaster. </w:t>
      </w:r>
      <w:r w:rsidRPr="002B2195">
        <w:rPr>
          <w:rFonts w:ascii="Arial" w:hAnsi="Arial" w:cs="Arial"/>
          <w:i/>
          <w:iCs/>
        </w:rPr>
        <w:t>Ecotoxicology and Environmental Safety</w:t>
      </w:r>
      <w:r w:rsidRPr="002B2195">
        <w:rPr>
          <w:rFonts w:ascii="Arial" w:hAnsi="Arial" w:cs="Arial"/>
        </w:rPr>
        <w:t xml:space="preserve">, </w:t>
      </w:r>
      <w:r w:rsidRPr="002B2195">
        <w:rPr>
          <w:rFonts w:ascii="Arial" w:hAnsi="Arial" w:cs="Arial"/>
          <w:i/>
          <w:iCs/>
        </w:rPr>
        <w:t>309</w:t>
      </w:r>
      <w:r w:rsidRPr="002B2195">
        <w:rPr>
          <w:rFonts w:ascii="Arial" w:hAnsi="Arial" w:cs="Arial"/>
        </w:rPr>
        <w:t xml:space="preserve">, 119531. </w:t>
      </w:r>
      <w:hyperlink r:id="rId60" w:history="1">
        <w:r w:rsidRPr="002B2195">
          <w:rPr>
            <w:rStyle w:val="Hyperlink"/>
            <w:rFonts w:ascii="Arial" w:hAnsi="Arial" w:cs="Arial"/>
          </w:rPr>
          <w:t>https://doi.org/10.1016/j.ecoenv.2025.119531</w:t>
        </w:r>
      </w:hyperlink>
    </w:p>
    <w:p w14:paraId="2AF5DF40" w14:textId="28840348" w:rsidR="00B01FCD" w:rsidRPr="00FB3A86" w:rsidRDefault="00B01FCD" w:rsidP="00FB7D18">
      <w:pPr>
        <w:pStyle w:val="ListParagraph"/>
        <w:jc w:val="both"/>
        <w:rPr>
          <w:rFonts w:ascii="Arial" w:hAnsi="Arial" w:cs="Arial"/>
        </w:rPr>
      </w:pPr>
    </w:p>
    <w:sectPr w:rsidR="00B01FCD" w:rsidRPr="00FB3A86" w:rsidSect="00131E35">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F7571" w14:textId="77777777" w:rsidR="00BC2CB4" w:rsidRDefault="00BC2CB4" w:rsidP="00C37E61">
      <w:r>
        <w:separator/>
      </w:r>
    </w:p>
  </w:endnote>
  <w:endnote w:type="continuationSeparator" w:id="0">
    <w:p w14:paraId="10084554" w14:textId="77777777" w:rsidR="00BC2CB4" w:rsidRDefault="00BC2CB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B8BC" w14:textId="77777777" w:rsidR="00131E35" w:rsidRDefault="00131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F063" w14:textId="77777777" w:rsidR="00131E35" w:rsidRDefault="00131E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0EE9" w14:textId="5DDE941E" w:rsidR="00754C9A" w:rsidRPr="00131E35" w:rsidRDefault="00754C9A" w:rsidP="00131E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2772" w14:textId="77777777" w:rsidR="0013585F" w:rsidRPr="00C37E61" w:rsidRDefault="0013585F"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3AE02" w14:textId="77777777" w:rsidR="00BC2CB4" w:rsidRDefault="00BC2CB4" w:rsidP="00C37E61">
      <w:r>
        <w:separator/>
      </w:r>
    </w:p>
  </w:footnote>
  <w:footnote w:type="continuationSeparator" w:id="0">
    <w:p w14:paraId="73224C51" w14:textId="77777777" w:rsidR="00BC2CB4" w:rsidRDefault="00BC2CB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96566" w14:textId="69F0448A" w:rsidR="00131E35" w:rsidRDefault="00131E35">
    <w:pPr>
      <w:pStyle w:val="Header"/>
    </w:pPr>
    <w:r>
      <w:rPr>
        <w:noProof/>
      </w:rPr>
      <w:pict w14:anchorId="211627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1FBC" w14:textId="0059F071" w:rsidR="00131E35" w:rsidRDefault="00131E35">
    <w:pPr>
      <w:pStyle w:val="Header"/>
    </w:pPr>
    <w:r>
      <w:rPr>
        <w:noProof/>
      </w:rPr>
      <w:pict w14:anchorId="211010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0DE8" w14:textId="104EC94E" w:rsidR="00296529" w:rsidRPr="00296529" w:rsidRDefault="00131E35" w:rsidP="00296529">
    <w:pPr>
      <w:ind w:left="2160"/>
      <w:jc w:val="center"/>
      <w:rPr>
        <w:rFonts w:ascii="Times New Roman" w:eastAsia="Calibri" w:hAnsi="Times New Roman"/>
        <w:i/>
        <w:sz w:val="18"/>
        <w:szCs w:val="22"/>
      </w:rPr>
    </w:pPr>
    <w:r>
      <w:rPr>
        <w:noProof/>
      </w:rPr>
      <w:pict w14:anchorId="7FCA55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38B5BC5"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44C49EB"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DBC7C6F"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2FE93C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78110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83254B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0329" w14:textId="7A86238D" w:rsidR="00131E35" w:rsidRDefault="00131E35">
    <w:pPr>
      <w:pStyle w:val="Header"/>
    </w:pPr>
    <w:r>
      <w:rPr>
        <w:noProof/>
      </w:rPr>
      <w:pict w14:anchorId="0712E2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ADC4925">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4E8B" w14:textId="322C0593" w:rsidR="00131E35" w:rsidRDefault="00131E35">
    <w:pPr>
      <w:pStyle w:val="Header"/>
    </w:pPr>
    <w:r>
      <w:rPr>
        <w:noProof/>
      </w:rPr>
      <w:pict w14:anchorId="2ED165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AE8B82B">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AC47" w14:textId="4B20DB4E" w:rsidR="00131E35" w:rsidRPr="00296529" w:rsidRDefault="00131E35" w:rsidP="00296529">
    <w:pPr>
      <w:ind w:left="2160"/>
      <w:jc w:val="center"/>
      <w:rPr>
        <w:rFonts w:ascii="Times New Roman" w:eastAsia="Calibri" w:hAnsi="Times New Roman"/>
        <w:i/>
        <w:sz w:val="18"/>
        <w:szCs w:val="22"/>
      </w:rPr>
    </w:pPr>
    <w:r>
      <w:rPr>
        <w:noProof/>
      </w:rPr>
      <w:pict w14:anchorId="6F73DE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3128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DD5AFA1">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940E2DB" w14:textId="77777777" w:rsidR="00131E35" w:rsidRPr="00296529" w:rsidRDefault="00131E3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94BB4D6" w14:textId="77777777" w:rsidR="00131E35" w:rsidRPr="00296529" w:rsidRDefault="00131E3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865684F" w14:textId="77777777" w:rsidR="00131E35" w:rsidRPr="00296529" w:rsidRDefault="00131E3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55F6E21" w14:textId="77777777" w:rsidR="00131E35" w:rsidRDefault="00131E3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91089C8" w14:textId="77777777" w:rsidR="00131E35" w:rsidRDefault="00131E3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82946C" w14:textId="77777777" w:rsidR="00131E35" w:rsidRDefault="00131E3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057AE"/>
    <w:multiLevelType w:val="multilevel"/>
    <w:tmpl w:val="FFBA2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02061BE"/>
    <w:multiLevelType w:val="multilevel"/>
    <w:tmpl w:val="2384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F9F15AD"/>
    <w:multiLevelType w:val="hybridMultilevel"/>
    <w:tmpl w:val="0E0A1770"/>
    <w:lvl w:ilvl="0" w:tplc="84C60614">
      <w:start w:val="1"/>
      <w:numFmt w:val="decimal"/>
      <w:lvlText w:val="%1."/>
      <w:lvlJc w:val="left"/>
      <w:pPr>
        <w:ind w:left="1440" w:hanging="360"/>
      </w:pPr>
      <w:rPr>
        <w:color w:val="auto"/>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1135AC1"/>
    <w:multiLevelType w:val="hybridMultilevel"/>
    <w:tmpl w:val="81C03FDC"/>
    <w:lvl w:ilvl="0" w:tplc="44CE0836">
      <w:start w:val="1"/>
      <w:numFmt w:val="lowerRoman"/>
      <w:lvlText w:val="%1."/>
      <w:lvlJc w:val="right"/>
      <w:pPr>
        <w:ind w:left="1004" w:hanging="360"/>
      </w:pPr>
      <w:rPr>
        <w:b/>
        <w:bCs/>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0C43E26"/>
    <w:multiLevelType w:val="multilevel"/>
    <w:tmpl w:val="1094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0B336F"/>
    <w:multiLevelType w:val="hybridMultilevel"/>
    <w:tmpl w:val="72AED5D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690C2F"/>
    <w:multiLevelType w:val="hybridMultilevel"/>
    <w:tmpl w:val="53C63226"/>
    <w:lvl w:ilvl="0" w:tplc="FFFFFFFF">
      <w:start w:val="1"/>
      <w:numFmt w:val="lowerRoman"/>
      <w:lvlText w:val="%1."/>
      <w:lvlJc w:val="right"/>
      <w:pPr>
        <w:ind w:left="644"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10F28AF"/>
    <w:multiLevelType w:val="multilevel"/>
    <w:tmpl w:val="F26E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8"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30"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2"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4"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7571C5"/>
    <w:multiLevelType w:val="multilevel"/>
    <w:tmpl w:val="BD363E9E"/>
    <w:lvl w:ilvl="0">
      <w:start w:val="3"/>
      <w:numFmt w:val="decimal"/>
      <w:lvlText w:val="%1"/>
      <w:lvlJc w:val="left"/>
      <w:pPr>
        <w:ind w:left="480" w:hanging="480"/>
      </w:pPr>
      <w:rPr>
        <w:rFonts w:hint="default"/>
        <w:b/>
        <w:sz w:val="22"/>
        <w:u w:val="single"/>
      </w:rPr>
    </w:lvl>
    <w:lvl w:ilvl="1">
      <w:start w:val="1"/>
      <w:numFmt w:val="decimal"/>
      <w:lvlText w:val="%1.%2"/>
      <w:lvlJc w:val="left"/>
      <w:pPr>
        <w:ind w:left="480" w:hanging="480"/>
      </w:pPr>
      <w:rPr>
        <w:rFonts w:hint="default"/>
        <w:b/>
        <w:sz w:val="22"/>
        <w:u w:val="single"/>
      </w:rPr>
    </w:lvl>
    <w:lvl w:ilvl="2">
      <w:start w:val="2"/>
      <w:numFmt w:val="decimal"/>
      <w:lvlText w:val="%1.%2.%3"/>
      <w:lvlJc w:val="left"/>
      <w:pPr>
        <w:ind w:left="720" w:hanging="720"/>
      </w:pPr>
      <w:rPr>
        <w:rFonts w:hint="default"/>
        <w:b/>
        <w:sz w:val="22"/>
        <w:u w:val="single"/>
      </w:rPr>
    </w:lvl>
    <w:lvl w:ilvl="3">
      <w:start w:val="1"/>
      <w:numFmt w:val="decimal"/>
      <w:lvlText w:val="%1.%2.%3.%4"/>
      <w:lvlJc w:val="left"/>
      <w:pPr>
        <w:ind w:left="720" w:hanging="720"/>
      </w:pPr>
      <w:rPr>
        <w:rFonts w:hint="default"/>
        <w:b/>
        <w:sz w:val="22"/>
        <w:u w:val="single"/>
      </w:rPr>
    </w:lvl>
    <w:lvl w:ilvl="4">
      <w:start w:val="1"/>
      <w:numFmt w:val="decimal"/>
      <w:lvlText w:val="%1.%2.%3.%4.%5"/>
      <w:lvlJc w:val="left"/>
      <w:pPr>
        <w:ind w:left="1080" w:hanging="1080"/>
      </w:pPr>
      <w:rPr>
        <w:rFonts w:hint="default"/>
        <w:b/>
        <w:sz w:val="22"/>
        <w:u w:val="single"/>
      </w:rPr>
    </w:lvl>
    <w:lvl w:ilvl="5">
      <w:start w:val="1"/>
      <w:numFmt w:val="decimal"/>
      <w:lvlText w:val="%1.%2.%3.%4.%5.%6"/>
      <w:lvlJc w:val="left"/>
      <w:pPr>
        <w:ind w:left="1080" w:hanging="1080"/>
      </w:pPr>
      <w:rPr>
        <w:rFonts w:hint="default"/>
        <w:b/>
        <w:sz w:val="22"/>
        <w:u w:val="single"/>
      </w:rPr>
    </w:lvl>
    <w:lvl w:ilvl="6">
      <w:start w:val="1"/>
      <w:numFmt w:val="decimal"/>
      <w:lvlText w:val="%1.%2.%3.%4.%5.%6.%7"/>
      <w:lvlJc w:val="left"/>
      <w:pPr>
        <w:ind w:left="1440" w:hanging="1440"/>
      </w:pPr>
      <w:rPr>
        <w:rFonts w:hint="default"/>
        <w:b/>
        <w:sz w:val="22"/>
        <w:u w:val="single"/>
      </w:rPr>
    </w:lvl>
    <w:lvl w:ilvl="7">
      <w:start w:val="1"/>
      <w:numFmt w:val="decimal"/>
      <w:lvlText w:val="%1.%2.%3.%4.%5.%6.%7.%8"/>
      <w:lvlJc w:val="left"/>
      <w:pPr>
        <w:ind w:left="1440" w:hanging="1440"/>
      </w:pPr>
      <w:rPr>
        <w:rFonts w:hint="default"/>
        <w:b/>
        <w:sz w:val="22"/>
        <w:u w:val="single"/>
      </w:rPr>
    </w:lvl>
    <w:lvl w:ilvl="8">
      <w:start w:val="1"/>
      <w:numFmt w:val="decimal"/>
      <w:lvlText w:val="%1.%2.%3.%4.%5.%6.%7.%8.%9"/>
      <w:lvlJc w:val="left"/>
      <w:pPr>
        <w:ind w:left="1800" w:hanging="1800"/>
      </w:pPr>
      <w:rPr>
        <w:rFonts w:hint="default"/>
        <w:b/>
        <w:sz w:val="22"/>
        <w:u w:val="single"/>
      </w:rPr>
    </w:lvl>
  </w:abstractNum>
  <w:abstractNum w:abstractNumId="37"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5535515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45372711">
    <w:abstractNumId w:val="19"/>
  </w:num>
  <w:num w:numId="3" w16cid:durableId="158349482">
    <w:abstractNumId w:val="31"/>
  </w:num>
  <w:num w:numId="4" w16cid:durableId="127710459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110660245">
    <w:abstractNumId w:val="9"/>
  </w:num>
  <w:num w:numId="6" w16cid:durableId="676814221">
    <w:abstractNumId w:val="7"/>
  </w:num>
  <w:num w:numId="7" w16cid:durableId="1588802331">
    <w:abstractNumId w:val="2"/>
  </w:num>
  <w:num w:numId="8" w16cid:durableId="499809215">
    <w:abstractNumId w:val="14"/>
  </w:num>
  <w:num w:numId="9" w16cid:durableId="313877255">
    <w:abstractNumId w:val="33"/>
  </w:num>
  <w:num w:numId="10" w16cid:durableId="650060532">
    <w:abstractNumId w:val="3"/>
  </w:num>
  <w:num w:numId="11" w16cid:durableId="604465277">
    <w:abstractNumId w:val="25"/>
  </w:num>
  <w:num w:numId="12" w16cid:durableId="83572735">
    <w:abstractNumId w:val="4"/>
  </w:num>
  <w:num w:numId="13" w16cid:durableId="1802846097">
    <w:abstractNumId w:val="24"/>
  </w:num>
  <w:num w:numId="14" w16cid:durableId="950435648">
    <w:abstractNumId w:val="10"/>
  </w:num>
  <w:num w:numId="15" w16cid:durableId="442506416">
    <w:abstractNumId w:val="29"/>
  </w:num>
  <w:num w:numId="16" w16cid:durableId="1638148447">
    <w:abstractNumId w:val="6"/>
  </w:num>
  <w:num w:numId="17" w16cid:durableId="1245145153">
    <w:abstractNumId w:val="30"/>
  </w:num>
  <w:num w:numId="18" w16cid:durableId="1713455851">
    <w:abstractNumId w:val="17"/>
  </w:num>
  <w:num w:numId="19" w16cid:durableId="188296365">
    <w:abstractNumId w:val="37"/>
  </w:num>
  <w:num w:numId="20" w16cid:durableId="1641879650">
    <w:abstractNumId w:val="13"/>
  </w:num>
  <w:num w:numId="21" w16cid:durableId="88238117">
    <w:abstractNumId w:val="11"/>
  </w:num>
  <w:num w:numId="22" w16cid:durableId="321667887">
    <w:abstractNumId w:val="15"/>
  </w:num>
  <w:num w:numId="23" w16cid:durableId="1449203128">
    <w:abstractNumId w:val="27"/>
  </w:num>
  <w:num w:numId="24" w16cid:durableId="1150290762">
    <w:abstractNumId w:val="34"/>
  </w:num>
  <w:num w:numId="25" w16cid:durableId="824858077">
    <w:abstractNumId w:val="5"/>
  </w:num>
  <w:num w:numId="26" w16cid:durableId="557789262">
    <w:abstractNumId w:val="22"/>
  </w:num>
  <w:num w:numId="27" w16cid:durableId="957178056">
    <w:abstractNumId w:val="28"/>
  </w:num>
  <w:num w:numId="28" w16cid:durableId="1787965457">
    <w:abstractNumId w:val="35"/>
  </w:num>
  <w:num w:numId="29" w16cid:durableId="2099016818">
    <w:abstractNumId w:val="32"/>
  </w:num>
  <w:num w:numId="30" w16cid:durableId="1185285386">
    <w:abstractNumId w:val="12"/>
  </w:num>
  <w:num w:numId="31" w16cid:durableId="2144689309">
    <w:abstractNumId w:val="21"/>
  </w:num>
  <w:num w:numId="32" w16cid:durableId="1764565498">
    <w:abstractNumId w:val="8"/>
  </w:num>
  <w:num w:numId="33" w16cid:durableId="1070619319">
    <w:abstractNumId w:val="36"/>
  </w:num>
  <w:num w:numId="34" w16cid:durableId="407699809">
    <w:abstractNumId w:val="20"/>
  </w:num>
  <w:num w:numId="35" w16cid:durableId="459764397">
    <w:abstractNumId w:val="18"/>
  </w:num>
  <w:num w:numId="36" w16cid:durableId="445777017">
    <w:abstractNumId w:val="23"/>
  </w:num>
  <w:num w:numId="37" w16cid:durableId="1176456837">
    <w:abstractNumId w:val="1"/>
  </w:num>
  <w:num w:numId="38" w16cid:durableId="415785928">
    <w:abstractNumId w:val="16"/>
  </w:num>
  <w:num w:numId="39" w16cid:durableId="572159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376E"/>
    <w:rsid w:val="00003ECB"/>
    <w:rsid w:val="00004119"/>
    <w:rsid w:val="00006814"/>
    <w:rsid w:val="00010002"/>
    <w:rsid w:val="0001120D"/>
    <w:rsid w:val="00013A41"/>
    <w:rsid w:val="00013F6F"/>
    <w:rsid w:val="00017D93"/>
    <w:rsid w:val="00020D70"/>
    <w:rsid w:val="0002276B"/>
    <w:rsid w:val="000279E2"/>
    <w:rsid w:val="00030174"/>
    <w:rsid w:val="00035059"/>
    <w:rsid w:val="000352EC"/>
    <w:rsid w:val="00040806"/>
    <w:rsid w:val="00043ECF"/>
    <w:rsid w:val="000441C6"/>
    <w:rsid w:val="0004579C"/>
    <w:rsid w:val="000476CD"/>
    <w:rsid w:val="0005260F"/>
    <w:rsid w:val="00053F6F"/>
    <w:rsid w:val="000545A7"/>
    <w:rsid w:val="00057890"/>
    <w:rsid w:val="00062AAF"/>
    <w:rsid w:val="000668B1"/>
    <w:rsid w:val="00072701"/>
    <w:rsid w:val="000734DB"/>
    <w:rsid w:val="00075699"/>
    <w:rsid w:val="0008178D"/>
    <w:rsid w:val="00083097"/>
    <w:rsid w:val="00084812"/>
    <w:rsid w:val="000926C2"/>
    <w:rsid w:val="0009281D"/>
    <w:rsid w:val="00097732"/>
    <w:rsid w:val="000A2B5E"/>
    <w:rsid w:val="000A4603"/>
    <w:rsid w:val="000A47FA"/>
    <w:rsid w:val="000A546C"/>
    <w:rsid w:val="000A5900"/>
    <w:rsid w:val="000A65D3"/>
    <w:rsid w:val="000A7655"/>
    <w:rsid w:val="000B1E33"/>
    <w:rsid w:val="000B1FDB"/>
    <w:rsid w:val="000C200E"/>
    <w:rsid w:val="000C2474"/>
    <w:rsid w:val="000C5FB7"/>
    <w:rsid w:val="000D689F"/>
    <w:rsid w:val="000D7627"/>
    <w:rsid w:val="000D7F78"/>
    <w:rsid w:val="000E35ED"/>
    <w:rsid w:val="000E7B7B"/>
    <w:rsid w:val="000E7D62"/>
    <w:rsid w:val="000F2302"/>
    <w:rsid w:val="000F30E4"/>
    <w:rsid w:val="000F4DCA"/>
    <w:rsid w:val="000F73AA"/>
    <w:rsid w:val="00103357"/>
    <w:rsid w:val="00105170"/>
    <w:rsid w:val="00106B0C"/>
    <w:rsid w:val="00120569"/>
    <w:rsid w:val="00123C9F"/>
    <w:rsid w:val="00126190"/>
    <w:rsid w:val="00126AF7"/>
    <w:rsid w:val="00126C74"/>
    <w:rsid w:val="00130542"/>
    <w:rsid w:val="00130F17"/>
    <w:rsid w:val="00131E35"/>
    <w:rsid w:val="001320BF"/>
    <w:rsid w:val="0013585F"/>
    <w:rsid w:val="001370EF"/>
    <w:rsid w:val="00145C78"/>
    <w:rsid w:val="00153002"/>
    <w:rsid w:val="00153895"/>
    <w:rsid w:val="00157CB0"/>
    <w:rsid w:val="00160774"/>
    <w:rsid w:val="00163BC4"/>
    <w:rsid w:val="001701FD"/>
    <w:rsid w:val="00170E45"/>
    <w:rsid w:val="00172B2C"/>
    <w:rsid w:val="0017475B"/>
    <w:rsid w:val="001751CC"/>
    <w:rsid w:val="00190FB6"/>
    <w:rsid w:val="00191062"/>
    <w:rsid w:val="00192B72"/>
    <w:rsid w:val="001949FC"/>
    <w:rsid w:val="00194DCD"/>
    <w:rsid w:val="00196A14"/>
    <w:rsid w:val="0019764E"/>
    <w:rsid w:val="001A1362"/>
    <w:rsid w:val="001A1DB7"/>
    <w:rsid w:val="001A29D8"/>
    <w:rsid w:val="001A35B1"/>
    <w:rsid w:val="001A3917"/>
    <w:rsid w:val="001A3DB6"/>
    <w:rsid w:val="001A5CAA"/>
    <w:rsid w:val="001B0427"/>
    <w:rsid w:val="001B1953"/>
    <w:rsid w:val="001B3EC7"/>
    <w:rsid w:val="001B7806"/>
    <w:rsid w:val="001C1381"/>
    <w:rsid w:val="001C45D7"/>
    <w:rsid w:val="001D3A51"/>
    <w:rsid w:val="001D4B6B"/>
    <w:rsid w:val="001D5FBA"/>
    <w:rsid w:val="001E0D3A"/>
    <w:rsid w:val="001E10D2"/>
    <w:rsid w:val="001E1379"/>
    <w:rsid w:val="001E25B4"/>
    <w:rsid w:val="001E3FD0"/>
    <w:rsid w:val="001E44FE"/>
    <w:rsid w:val="001E525B"/>
    <w:rsid w:val="001F63D3"/>
    <w:rsid w:val="00200595"/>
    <w:rsid w:val="0020155D"/>
    <w:rsid w:val="00204835"/>
    <w:rsid w:val="00207B23"/>
    <w:rsid w:val="00212145"/>
    <w:rsid w:val="00213104"/>
    <w:rsid w:val="00213AA2"/>
    <w:rsid w:val="00215A1C"/>
    <w:rsid w:val="00225638"/>
    <w:rsid w:val="0022663B"/>
    <w:rsid w:val="00230FB3"/>
    <w:rsid w:val="00231920"/>
    <w:rsid w:val="0023195C"/>
    <w:rsid w:val="00232587"/>
    <w:rsid w:val="0024282C"/>
    <w:rsid w:val="00242BFF"/>
    <w:rsid w:val="00244517"/>
    <w:rsid w:val="002460DC"/>
    <w:rsid w:val="002507CE"/>
    <w:rsid w:val="00250985"/>
    <w:rsid w:val="0025380B"/>
    <w:rsid w:val="00254BCF"/>
    <w:rsid w:val="002556F6"/>
    <w:rsid w:val="00255B93"/>
    <w:rsid w:val="00261198"/>
    <w:rsid w:val="00266A4C"/>
    <w:rsid w:val="0026776A"/>
    <w:rsid w:val="00271C4D"/>
    <w:rsid w:val="002751B6"/>
    <w:rsid w:val="00276999"/>
    <w:rsid w:val="00280993"/>
    <w:rsid w:val="002829D7"/>
    <w:rsid w:val="00283105"/>
    <w:rsid w:val="00284C4C"/>
    <w:rsid w:val="00284DEE"/>
    <w:rsid w:val="00285594"/>
    <w:rsid w:val="00287E68"/>
    <w:rsid w:val="00296529"/>
    <w:rsid w:val="002A180F"/>
    <w:rsid w:val="002A1995"/>
    <w:rsid w:val="002A49E6"/>
    <w:rsid w:val="002B1896"/>
    <w:rsid w:val="002B2195"/>
    <w:rsid w:val="002B27FB"/>
    <w:rsid w:val="002B3345"/>
    <w:rsid w:val="002B35BC"/>
    <w:rsid w:val="002B4A70"/>
    <w:rsid w:val="002B6592"/>
    <w:rsid w:val="002B685A"/>
    <w:rsid w:val="002C1AB3"/>
    <w:rsid w:val="002C2764"/>
    <w:rsid w:val="002C2DA0"/>
    <w:rsid w:val="002C41CA"/>
    <w:rsid w:val="002C4633"/>
    <w:rsid w:val="002C5486"/>
    <w:rsid w:val="002C57D2"/>
    <w:rsid w:val="002D1EB0"/>
    <w:rsid w:val="002E0D56"/>
    <w:rsid w:val="002E1C2E"/>
    <w:rsid w:val="002E265C"/>
    <w:rsid w:val="002E3612"/>
    <w:rsid w:val="002E6E42"/>
    <w:rsid w:val="002F5CFD"/>
    <w:rsid w:val="002F61E7"/>
    <w:rsid w:val="002F6A1B"/>
    <w:rsid w:val="0030777D"/>
    <w:rsid w:val="003113FE"/>
    <w:rsid w:val="00315186"/>
    <w:rsid w:val="0031547C"/>
    <w:rsid w:val="003267C5"/>
    <w:rsid w:val="0032778B"/>
    <w:rsid w:val="00327FCC"/>
    <w:rsid w:val="00331201"/>
    <w:rsid w:val="0033343E"/>
    <w:rsid w:val="00335787"/>
    <w:rsid w:val="00337EDD"/>
    <w:rsid w:val="0034108F"/>
    <w:rsid w:val="003441FE"/>
    <w:rsid w:val="00344BA3"/>
    <w:rsid w:val="003450CF"/>
    <w:rsid w:val="0034621F"/>
    <w:rsid w:val="00346BB7"/>
    <w:rsid w:val="00347CCE"/>
    <w:rsid w:val="003512C2"/>
    <w:rsid w:val="00352C13"/>
    <w:rsid w:val="00356F2D"/>
    <w:rsid w:val="00360982"/>
    <w:rsid w:val="00362CCE"/>
    <w:rsid w:val="00367250"/>
    <w:rsid w:val="00370C43"/>
    <w:rsid w:val="00371FB6"/>
    <w:rsid w:val="003721FA"/>
    <w:rsid w:val="003746A5"/>
    <w:rsid w:val="00374AE4"/>
    <w:rsid w:val="003763C1"/>
    <w:rsid w:val="00376801"/>
    <w:rsid w:val="00376BBE"/>
    <w:rsid w:val="00386B1A"/>
    <w:rsid w:val="00391941"/>
    <w:rsid w:val="0039224F"/>
    <w:rsid w:val="00393CBC"/>
    <w:rsid w:val="0039610D"/>
    <w:rsid w:val="003A43A4"/>
    <w:rsid w:val="003A49A3"/>
    <w:rsid w:val="003A5918"/>
    <w:rsid w:val="003A7E18"/>
    <w:rsid w:val="003B01C2"/>
    <w:rsid w:val="003B1D69"/>
    <w:rsid w:val="003B1D92"/>
    <w:rsid w:val="003B4DCF"/>
    <w:rsid w:val="003B534E"/>
    <w:rsid w:val="003B64BC"/>
    <w:rsid w:val="003B6DC5"/>
    <w:rsid w:val="003C24F2"/>
    <w:rsid w:val="003C4C86"/>
    <w:rsid w:val="003C5CE9"/>
    <w:rsid w:val="003C6258"/>
    <w:rsid w:val="003C64B9"/>
    <w:rsid w:val="003C7BA9"/>
    <w:rsid w:val="003C7F82"/>
    <w:rsid w:val="003D1BBE"/>
    <w:rsid w:val="003D5424"/>
    <w:rsid w:val="003E2904"/>
    <w:rsid w:val="003E5940"/>
    <w:rsid w:val="003E7691"/>
    <w:rsid w:val="003E7792"/>
    <w:rsid w:val="003F1502"/>
    <w:rsid w:val="00401927"/>
    <w:rsid w:val="00401DEF"/>
    <w:rsid w:val="0041027F"/>
    <w:rsid w:val="00412475"/>
    <w:rsid w:val="00412905"/>
    <w:rsid w:val="00414A74"/>
    <w:rsid w:val="00416E72"/>
    <w:rsid w:val="00417676"/>
    <w:rsid w:val="004221CB"/>
    <w:rsid w:val="00423789"/>
    <w:rsid w:val="00425401"/>
    <w:rsid w:val="00433594"/>
    <w:rsid w:val="00434B7B"/>
    <w:rsid w:val="00437429"/>
    <w:rsid w:val="00440F43"/>
    <w:rsid w:val="00441B6F"/>
    <w:rsid w:val="004427D5"/>
    <w:rsid w:val="004461C2"/>
    <w:rsid w:val="00446221"/>
    <w:rsid w:val="004501C6"/>
    <w:rsid w:val="00450E62"/>
    <w:rsid w:val="004539DB"/>
    <w:rsid w:val="00466B79"/>
    <w:rsid w:val="00471A80"/>
    <w:rsid w:val="004725BE"/>
    <w:rsid w:val="00472783"/>
    <w:rsid w:val="004735AB"/>
    <w:rsid w:val="004753B9"/>
    <w:rsid w:val="0048429A"/>
    <w:rsid w:val="00485C03"/>
    <w:rsid w:val="0049132E"/>
    <w:rsid w:val="004A32A2"/>
    <w:rsid w:val="004A7EE0"/>
    <w:rsid w:val="004B663F"/>
    <w:rsid w:val="004C3971"/>
    <w:rsid w:val="004C69ED"/>
    <w:rsid w:val="004C6AFC"/>
    <w:rsid w:val="004C6BCB"/>
    <w:rsid w:val="004D02B4"/>
    <w:rsid w:val="004D2064"/>
    <w:rsid w:val="004D305E"/>
    <w:rsid w:val="004D4277"/>
    <w:rsid w:val="004E4DD3"/>
    <w:rsid w:val="004E72E6"/>
    <w:rsid w:val="0050082B"/>
    <w:rsid w:val="00500DC0"/>
    <w:rsid w:val="00501B16"/>
    <w:rsid w:val="00502516"/>
    <w:rsid w:val="00502BD3"/>
    <w:rsid w:val="00502D16"/>
    <w:rsid w:val="00505F06"/>
    <w:rsid w:val="00506828"/>
    <w:rsid w:val="00510A29"/>
    <w:rsid w:val="005147E7"/>
    <w:rsid w:val="0053056E"/>
    <w:rsid w:val="00532CDC"/>
    <w:rsid w:val="00534E66"/>
    <w:rsid w:val="00543577"/>
    <w:rsid w:val="00553EC7"/>
    <w:rsid w:val="00554435"/>
    <w:rsid w:val="00554BC5"/>
    <w:rsid w:val="00554FDA"/>
    <w:rsid w:val="005550A6"/>
    <w:rsid w:val="00555A60"/>
    <w:rsid w:val="00566901"/>
    <w:rsid w:val="00570832"/>
    <w:rsid w:val="00572338"/>
    <w:rsid w:val="005835AD"/>
    <w:rsid w:val="00584EB6"/>
    <w:rsid w:val="005859DD"/>
    <w:rsid w:val="00594385"/>
    <w:rsid w:val="00595CC0"/>
    <w:rsid w:val="005A44FF"/>
    <w:rsid w:val="005A5E34"/>
    <w:rsid w:val="005A7FB8"/>
    <w:rsid w:val="005B22D8"/>
    <w:rsid w:val="005B7664"/>
    <w:rsid w:val="005B7EBD"/>
    <w:rsid w:val="005C34EC"/>
    <w:rsid w:val="005C784C"/>
    <w:rsid w:val="005D08B6"/>
    <w:rsid w:val="005D17F6"/>
    <w:rsid w:val="005D507F"/>
    <w:rsid w:val="005E5539"/>
    <w:rsid w:val="005E5E4A"/>
    <w:rsid w:val="005E64E8"/>
    <w:rsid w:val="005E720A"/>
    <w:rsid w:val="005F3C8F"/>
    <w:rsid w:val="005F3DFA"/>
    <w:rsid w:val="005F47C3"/>
    <w:rsid w:val="005F525B"/>
    <w:rsid w:val="0060126D"/>
    <w:rsid w:val="00602BF5"/>
    <w:rsid w:val="00602C70"/>
    <w:rsid w:val="006127B4"/>
    <w:rsid w:val="006179CA"/>
    <w:rsid w:val="00617FDD"/>
    <w:rsid w:val="006258FA"/>
    <w:rsid w:val="0062725C"/>
    <w:rsid w:val="00631A6E"/>
    <w:rsid w:val="00633614"/>
    <w:rsid w:val="00633AD0"/>
    <w:rsid w:val="00633F68"/>
    <w:rsid w:val="006369D5"/>
    <w:rsid w:val="00636EB2"/>
    <w:rsid w:val="006375B8"/>
    <w:rsid w:val="00643C85"/>
    <w:rsid w:val="00646C3C"/>
    <w:rsid w:val="00651908"/>
    <w:rsid w:val="00653755"/>
    <w:rsid w:val="00655249"/>
    <w:rsid w:val="00657D7A"/>
    <w:rsid w:val="0066510A"/>
    <w:rsid w:val="00666D2E"/>
    <w:rsid w:val="006671CA"/>
    <w:rsid w:val="0067253C"/>
    <w:rsid w:val="00673F9F"/>
    <w:rsid w:val="00680A0D"/>
    <w:rsid w:val="00684463"/>
    <w:rsid w:val="00686953"/>
    <w:rsid w:val="00687DEA"/>
    <w:rsid w:val="00687E67"/>
    <w:rsid w:val="0069298A"/>
    <w:rsid w:val="006967F7"/>
    <w:rsid w:val="006A04C7"/>
    <w:rsid w:val="006A250C"/>
    <w:rsid w:val="006B0D42"/>
    <w:rsid w:val="006B21BE"/>
    <w:rsid w:val="006B21D3"/>
    <w:rsid w:val="006B57D0"/>
    <w:rsid w:val="006C159C"/>
    <w:rsid w:val="006C1C9B"/>
    <w:rsid w:val="006C2BB9"/>
    <w:rsid w:val="006C361E"/>
    <w:rsid w:val="006D30FF"/>
    <w:rsid w:val="006D6940"/>
    <w:rsid w:val="006D7133"/>
    <w:rsid w:val="006E0498"/>
    <w:rsid w:val="006E093E"/>
    <w:rsid w:val="006E1C33"/>
    <w:rsid w:val="006E2EE1"/>
    <w:rsid w:val="006E5A6A"/>
    <w:rsid w:val="006F11EC"/>
    <w:rsid w:val="006F1A87"/>
    <w:rsid w:val="006F5A0C"/>
    <w:rsid w:val="0070082C"/>
    <w:rsid w:val="007069CA"/>
    <w:rsid w:val="00710428"/>
    <w:rsid w:val="007104EA"/>
    <w:rsid w:val="0071199E"/>
    <w:rsid w:val="00711DB4"/>
    <w:rsid w:val="0071537D"/>
    <w:rsid w:val="00723C79"/>
    <w:rsid w:val="00724CA3"/>
    <w:rsid w:val="00731A02"/>
    <w:rsid w:val="007357F7"/>
    <w:rsid w:val="00735FA3"/>
    <w:rsid w:val="007369E6"/>
    <w:rsid w:val="007374C6"/>
    <w:rsid w:val="00737BE3"/>
    <w:rsid w:val="00744906"/>
    <w:rsid w:val="00746E59"/>
    <w:rsid w:val="007543FA"/>
    <w:rsid w:val="00754C9A"/>
    <w:rsid w:val="0075599A"/>
    <w:rsid w:val="00755D72"/>
    <w:rsid w:val="00755F56"/>
    <w:rsid w:val="00756B87"/>
    <w:rsid w:val="00761D52"/>
    <w:rsid w:val="00762EF6"/>
    <w:rsid w:val="00766E55"/>
    <w:rsid w:val="00774A27"/>
    <w:rsid w:val="00774EA3"/>
    <w:rsid w:val="00777104"/>
    <w:rsid w:val="0077749E"/>
    <w:rsid w:val="00782B5D"/>
    <w:rsid w:val="007830CE"/>
    <w:rsid w:val="007841BF"/>
    <w:rsid w:val="00785972"/>
    <w:rsid w:val="007903CE"/>
    <w:rsid w:val="00790ADA"/>
    <w:rsid w:val="00790B50"/>
    <w:rsid w:val="00795587"/>
    <w:rsid w:val="00795687"/>
    <w:rsid w:val="007978A6"/>
    <w:rsid w:val="007A24CC"/>
    <w:rsid w:val="007A3A15"/>
    <w:rsid w:val="007B1460"/>
    <w:rsid w:val="007B1998"/>
    <w:rsid w:val="007B34BB"/>
    <w:rsid w:val="007B464F"/>
    <w:rsid w:val="007B5EBE"/>
    <w:rsid w:val="007B6CE9"/>
    <w:rsid w:val="007D2288"/>
    <w:rsid w:val="007D228A"/>
    <w:rsid w:val="007E088F"/>
    <w:rsid w:val="007E431A"/>
    <w:rsid w:val="007E4D95"/>
    <w:rsid w:val="007E5256"/>
    <w:rsid w:val="007F11C5"/>
    <w:rsid w:val="007F7B32"/>
    <w:rsid w:val="0080019C"/>
    <w:rsid w:val="008022F0"/>
    <w:rsid w:val="00804BC2"/>
    <w:rsid w:val="00807B5A"/>
    <w:rsid w:val="00807F7F"/>
    <w:rsid w:val="0081431A"/>
    <w:rsid w:val="00814FA4"/>
    <w:rsid w:val="008159C5"/>
    <w:rsid w:val="00831504"/>
    <w:rsid w:val="0083154C"/>
    <w:rsid w:val="00831E3E"/>
    <w:rsid w:val="0083216F"/>
    <w:rsid w:val="00845A34"/>
    <w:rsid w:val="00854D5D"/>
    <w:rsid w:val="0085564D"/>
    <w:rsid w:val="00860000"/>
    <w:rsid w:val="00863BD3"/>
    <w:rsid w:val="008641ED"/>
    <w:rsid w:val="0086435B"/>
    <w:rsid w:val="008648A9"/>
    <w:rsid w:val="00865130"/>
    <w:rsid w:val="00866D66"/>
    <w:rsid w:val="008671C6"/>
    <w:rsid w:val="008728C1"/>
    <w:rsid w:val="008749D2"/>
    <w:rsid w:val="00875803"/>
    <w:rsid w:val="00880162"/>
    <w:rsid w:val="00881523"/>
    <w:rsid w:val="00884203"/>
    <w:rsid w:val="00892A3C"/>
    <w:rsid w:val="008930B3"/>
    <w:rsid w:val="00895E22"/>
    <w:rsid w:val="008A0095"/>
    <w:rsid w:val="008A204A"/>
    <w:rsid w:val="008A5A3E"/>
    <w:rsid w:val="008A7052"/>
    <w:rsid w:val="008B459E"/>
    <w:rsid w:val="008B474F"/>
    <w:rsid w:val="008B7810"/>
    <w:rsid w:val="008B7F65"/>
    <w:rsid w:val="008C0F2A"/>
    <w:rsid w:val="008C430C"/>
    <w:rsid w:val="008D6800"/>
    <w:rsid w:val="008E13AE"/>
    <w:rsid w:val="008E1506"/>
    <w:rsid w:val="008E1887"/>
    <w:rsid w:val="008E1C0C"/>
    <w:rsid w:val="008E31AD"/>
    <w:rsid w:val="008E710C"/>
    <w:rsid w:val="008F3476"/>
    <w:rsid w:val="008F416D"/>
    <w:rsid w:val="008F4937"/>
    <w:rsid w:val="008F69D6"/>
    <w:rsid w:val="00900D9C"/>
    <w:rsid w:val="00901635"/>
    <w:rsid w:val="00902823"/>
    <w:rsid w:val="0090288F"/>
    <w:rsid w:val="00903B82"/>
    <w:rsid w:val="00907631"/>
    <w:rsid w:val="0091274E"/>
    <w:rsid w:val="00915CA6"/>
    <w:rsid w:val="009165FC"/>
    <w:rsid w:val="00917B9D"/>
    <w:rsid w:val="009224CE"/>
    <w:rsid w:val="00925D00"/>
    <w:rsid w:val="00927834"/>
    <w:rsid w:val="00933F04"/>
    <w:rsid w:val="00935FF5"/>
    <w:rsid w:val="00936BC6"/>
    <w:rsid w:val="009459A6"/>
    <w:rsid w:val="009500A6"/>
    <w:rsid w:val="0095151F"/>
    <w:rsid w:val="00956A6E"/>
    <w:rsid w:val="00957C18"/>
    <w:rsid w:val="0096221F"/>
    <w:rsid w:val="00962B81"/>
    <w:rsid w:val="00964578"/>
    <w:rsid w:val="009659BA"/>
    <w:rsid w:val="00975CCF"/>
    <w:rsid w:val="00983040"/>
    <w:rsid w:val="009847CE"/>
    <w:rsid w:val="009856C8"/>
    <w:rsid w:val="009867E8"/>
    <w:rsid w:val="009910D3"/>
    <w:rsid w:val="00991658"/>
    <w:rsid w:val="00995768"/>
    <w:rsid w:val="00996878"/>
    <w:rsid w:val="009A34AF"/>
    <w:rsid w:val="009A36D9"/>
    <w:rsid w:val="009A3FA5"/>
    <w:rsid w:val="009B20F6"/>
    <w:rsid w:val="009B27A0"/>
    <w:rsid w:val="009B3FB9"/>
    <w:rsid w:val="009B6061"/>
    <w:rsid w:val="009B7B89"/>
    <w:rsid w:val="009B7E48"/>
    <w:rsid w:val="009C0A84"/>
    <w:rsid w:val="009C2465"/>
    <w:rsid w:val="009C2514"/>
    <w:rsid w:val="009C74C9"/>
    <w:rsid w:val="009D35A0"/>
    <w:rsid w:val="009D651A"/>
    <w:rsid w:val="009D6C74"/>
    <w:rsid w:val="009D6EA4"/>
    <w:rsid w:val="009D7EB7"/>
    <w:rsid w:val="009E048A"/>
    <w:rsid w:val="009E08E9"/>
    <w:rsid w:val="009E2EC7"/>
    <w:rsid w:val="009E3DB9"/>
    <w:rsid w:val="009E4C99"/>
    <w:rsid w:val="009E6E35"/>
    <w:rsid w:val="009E716C"/>
    <w:rsid w:val="009E7E21"/>
    <w:rsid w:val="009F0EDA"/>
    <w:rsid w:val="009F7A74"/>
    <w:rsid w:val="00A01A70"/>
    <w:rsid w:val="00A03B96"/>
    <w:rsid w:val="00A05B19"/>
    <w:rsid w:val="00A06B12"/>
    <w:rsid w:val="00A1134E"/>
    <w:rsid w:val="00A118A1"/>
    <w:rsid w:val="00A15CF3"/>
    <w:rsid w:val="00A178BF"/>
    <w:rsid w:val="00A2108E"/>
    <w:rsid w:val="00A23CA8"/>
    <w:rsid w:val="00A24E7E"/>
    <w:rsid w:val="00A25347"/>
    <w:rsid w:val="00A258C3"/>
    <w:rsid w:val="00A33C76"/>
    <w:rsid w:val="00A347C0"/>
    <w:rsid w:val="00A40359"/>
    <w:rsid w:val="00A417AE"/>
    <w:rsid w:val="00A42251"/>
    <w:rsid w:val="00A446A6"/>
    <w:rsid w:val="00A503BF"/>
    <w:rsid w:val="00A51431"/>
    <w:rsid w:val="00A539AD"/>
    <w:rsid w:val="00A56155"/>
    <w:rsid w:val="00A56DB3"/>
    <w:rsid w:val="00A56F0B"/>
    <w:rsid w:val="00A62F97"/>
    <w:rsid w:val="00A634F0"/>
    <w:rsid w:val="00A70C49"/>
    <w:rsid w:val="00A72269"/>
    <w:rsid w:val="00A778E3"/>
    <w:rsid w:val="00A77AF2"/>
    <w:rsid w:val="00A82984"/>
    <w:rsid w:val="00A8321F"/>
    <w:rsid w:val="00A842BC"/>
    <w:rsid w:val="00A86C1D"/>
    <w:rsid w:val="00A87D81"/>
    <w:rsid w:val="00A90365"/>
    <w:rsid w:val="00A934D2"/>
    <w:rsid w:val="00A94063"/>
    <w:rsid w:val="00A95252"/>
    <w:rsid w:val="00AA1594"/>
    <w:rsid w:val="00AA6219"/>
    <w:rsid w:val="00AA6C95"/>
    <w:rsid w:val="00AA74E0"/>
    <w:rsid w:val="00AB0EE5"/>
    <w:rsid w:val="00AB57F4"/>
    <w:rsid w:val="00AB703F"/>
    <w:rsid w:val="00AB7266"/>
    <w:rsid w:val="00AB79C5"/>
    <w:rsid w:val="00AC00AC"/>
    <w:rsid w:val="00AC59C9"/>
    <w:rsid w:val="00AC6BB8"/>
    <w:rsid w:val="00AD224D"/>
    <w:rsid w:val="00AD3E6D"/>
    <w:rsid w:val="00AD7EE8"/>
    <w:rsid w:val="00AE008F"/>
    <w:rsid w:val="00AE4685"/>
    <w:rsid w:val="00AE62B9"/>
    <w:rsid w:val="00B01FCD"/>
    <w:rsid w:val="00B03951"/>
    <w:rsid w:val="00B075B4"/>
    <w:rsid w:val="00B076FF"/>
    <w:rsid w:val="00B10D40"/>
    <w:rsid w:val="00B10E78"/>
    <w:rsid w:val="00B123EF"/>
    <w:rsid w:val="00B14109"/>
    <w:rsid w:val="00B1776C"/>
    <w:rsid w:val="00B17892"/>
    <w:rsid w:val="00B20C20"/>
    <w:rsid w:val="00B24170"/>
    <w:rsid w:val="00B33E51"/>
    <w:rsid w:val="00B3445D"/>
    <w:rsid w:val="00B34F4C"/>
    <w:rsid w:val="00B3589A"/>
    <w:rsid w:val="00B37074"/>
    <w:rsid w:val="00B45E9D"/>
    <w:rsid w:val="00B4650E"/>
    <w:rsid w:val="00B504AB"/>
    <w:rsid w:val="00B52583"/>
    <w:rsid w:val="00B52896"/>
    <w:rsid w:val="00B614C2"/>
    <w:rsid w:val="00B64176"/>
    <w:rsid w:val="00B65285"/>
    <w:rsid w:val="00B67CC7"/>
    <w:rsid w:val="00B77595"/>
    <w:rsid w:val="00B77F37"/>
    <w:rsid w:val="00B81D12"/>
    <w:rsid w:val="00B92023"/>
    <w:rsid w:val="00B95236"/>
    <w:rsid w:val="00B96BD9"/>
    <w:rsid w:val="00B96F19"/>
    <w:rsid w:val="00BA0C37"/>
    <w:rsid w:val="00BA1B01"/>
    <w:rsid w:val="00BA2641"/>
    <w:rsid w:val="00BA2CF2"/>
    <w:rsid w:val="00BA6061"/>
    <w:rsid w:val="00BB37AA"/>
    <w:rsid w:val="00BB48F4"/>
    <w:rsid w:val="00BC0071"/>
    <w:rsid w:val="00BC2B81"/>
    <w:rsid w:val="00BC2CB4"/>
    <w:rsid w:val="00BC53A0"/>
    <w:rsid w:val="00BC5B41"/>
    <w:rsid w:val="00BD5998"/>
    <w:rsid w:val="00BD5D13"/>
    <w:rsid w:val="00BE126B"/>
    <w:rsid w:val="00BE4AA0"/>
    <w:rsid w:val="00BE62AD"/>
    <w:rsid w:val="00BF121F"/>
    <w:rsid w:val="00BF1678"/>
    <w:rsid w:val="00BF1F80"/>
    <w:rsid w:val="00BF4B68"/>
    <w:rsid w:val="00BF587C"/>
    <w:rsid w:val="00BF7AAB"/>
    <w:rsid w:val="00C0110C"/>
    <w:rsid w:val="00C03ECD"/>
    <w:rsid w:val="00C05FD6"/>
    <w:rsid w:val="00C11A5E"/>
    <w:rsid w:val="00C136EC"/>
    <w:rsid w:val="00C166EF"/>
    <w:rsid w:val="00C17EB0"/>
    <w:rsid w:val="00C2356D"/>
    <w:rsid w:val="00C23CE5"/>
    <w:rsid w:val="00C25BA3"/>
    <w:rsid w:val="00C27F5F"/>
    <w:rsid w:val="00C303BE"/>
    <w:rsid w:val="00C30A0F"/>
    <w:rsid w:val="00C321B4"/>
    <w:rsid w:val="00C35664"/>
    <w:rsid w:val="00C36D3B"/>
    <w:rsid w:val="00C373CB"/>
    <w:rsid w:val="00C37BC4"/>
    <w:rsid w:val="00C37E61"/>
    <w:rsid w:val="00C42DED"/>
    <w:rsid w:val="00C47692"/>
    <w:rsid w:val="00C4773E"/>
    <w:rsid w:val="00C50B93"/>
    <w:rsid w:val="00C52DD9"/>
    <w:rsid w:val="00C6494E"/>
    <w:rsid w:val="00C66B21"/>
    <w:rsid w:val="00C67C70"/>
    <w:rsid w:val="00C70041"/>
    <w:rsid w:val="00C707C1"/>
    <w:rsid w:val="00C70F1B"/>
    <w:rsid w:val="00C71A47"/>
    <w:rsid w:val="00C7311F"/>
    <w:rsid w:val="00C732D9"/>
    <w:rsid w:val="00C73436"/>
    <w:rsid w:val="00C7464C"/>
    <w:rsid w:val="00C751DA"/>
    <w:rsid w:val="00C770C8"/>
    <w:rsid w:val="00C77AF4"/>
    <w:rsid w:val="00C77B0C"/>
    <w:rsid w:val="00C77E9C"/>
    <w:rsid w:val="00C82A3A"/>
    <w:rsid w:val="00C82B0C"/>
    <w:rsid w:val="00C85588"/>
    <w:rsid w:val="00C90A9A"/>
    <w:rsid w:val="00C90DCD"/>
    <w:rsid w:val="00C97FAB"/>
    <w:rsid w:val="00CA52AF"/>
    <w:rsid w:val="00CA799C"/>
    <w:rsid w:val="00CB73EA"/>
    <w:rsid w:val="00CC568A"/>
    <w:rsid w:val="00CD1AC8"/>
    <w:rsid w:val="00CD1CCD"/>
    <w:rsid w:val="00CD339E"/>
    <w:rsid w:val="00CD3614"/>
    <w:rsid w:val="00CD6755"/>
    <w:rsid w:val="00CD6856"/>
    <w:rsid w:val="00CD6D40"/>
    <w:rsid w:val="00CE0089"/>
    <w:rsid w:val="00CE0597"/>
    <w:rsid w:val="00CE694C"/>
    <w:rsid w:val="00CE793C"/>
    <w:rsid w:val="00CF193C"/>
    <w:rsid w:val="00CF35FA"/>
    <w:rsid w:val="00D0113A"/>
    <w:rsid w:val="00D0362C"/>
    <w:rsid w:val="00D073D3"/>
    <w:rsid w:val="00D138C4"/>
    <w:rsid w:val="00D147A7"/>
    <w:rsid w:val="00D173F1"/>
    <w:rsid w:val="00D221EF"/>
    <w:rsid w:val="00D334C2"/>
    <w:rsid w:val="00D33DF1"/>
    <w:rsid w:val="00D35F75"/>
    <w:rsid w:val="00D37948"/>
    <w:rsid w:val="00D41C26"/>
    <w:rsid w:val="00D432F6"/>
    <w:rsid w:val="00D441E0"/>
    <w:rsid w:val="00D476B8"/>
    <w:rsid w:val="00D528D8"/>
    <w:rsid w:val="00D52B58"/>
    <w:rsid w:val="00D549A3"/>
    <w:rsid w:val="00D55A13"/>
    <w:rsid w:val="00D61440"/>
    <w:rsid w:val="00D614EB"/>
    <w:rsid w:val="00D71699"/>
    <w:rsid w:val="00D74CB0"/>
    <w:rsid w:val="00D822FF"/>
    <w:rsid w:val="00D8295D"/>
    <w:rsid w:val="00D8577A"/>
    <w:rsid w:val="00D85AF9"/>
    <w:rsid w:val="00D86B87"/>
    <w:rsid w:val="00D87B61"/>
    <w:rsid w:val="00D916A8"/>
    <w:rsid w:val="00D91ED4"/>
    <w:rsid w:val="00D93952"/>
    <w:rsid w:val="00D94337"/>
    <w:rsid w:val="00D96531"/>
    <w:rsid w:val="00D9659B"/>
    <w:rsid w:val="00D96D60"/>
    <w:rsid w:val="00D97203"/>
    <w:rsid w:val="00DA54FC"/>
    <w:rsid w:val="00DA7DCA"/>
    <w:rsid w:val="00DA7E58"/>
    <w:rsid w:val="00DB2262"/>
    <w:rsid w:val="00DB233C"/>
    <w:rsid w:val="00DB27A1"/>
    <w:rsid w:val="00DB6B0F"/>
    <w:rsid w:val="00DB7AB2"/>
    <w:rsid w:val="00DC2A65"/>
    <w:rsid w:val="00DC3713"/>
    <w:rsid w:val="00DC438A"/>
    <w:rsid w:val="00DC4A73"/>
    <w:rsid w:val="00DC501E"/>
    <w:rsid w:val="00DC59F6"/>
    <w:rsid w:val="00DC68EB"/>
    <w:rsid w:val="00DC77F2"/>
    <w:rsid w:val="00DD2102"/>
    <w:rsid w:val="00DD2D58"/>
    <w:rsid w:val="00DE15F0"/>
    <w:rsid w:val="00DE384C"/>
    <w:rsid w:val="00DE518A"/>
    <w:rsid w:val="00DE5663"/>
    <w:rsid w:val="00DE5FC4"/>
    <w:rsid w:val="00DE78AA"/>
    <w:rsid w:val="00DE791F"/>
    <w:rsid w:val="00DF0425"/>
    <w:rsid w:val="00DF4F81"/>
    <w:rsid w:val="00DF5FB8"/>
    <w:rsid w:val="00E00728"/>
    <w:rsid w:val="00E01C65"/>
    <w:rsid w:val="00E053D0"/>
    <w:rsid w:val="00E05993"/>
    <w:rsid w:val="00E05C6C"/>
    <w:rsid w:val="00E063CD"/>
    <w:rsid w:val="00E15994"/>
    <w:rsid w:val="00E2628A"/>
    <w:rsid w:val="00E269EE"/>
    <w:rsid w:val="00E30296"/>
    <w:rsid w:val="00E3114E"/>
    <w:rsid w:val="00E313BF"/>
    <w:rsid w:val="00E31A70"/>
    <w:rsid w:val="00E32DB6"/>
    <w:rsid w:val="00E331F5"/>
    <w:rsid w:val="00E336F2"/>
    <w:rsid w:val="00E35B02"/>
    <w:rsid w:val="00E3648A"/>
    <w:rsid w:val="00E37399"/>
    <w:rsid w:val="00E45F2D"/>
    <w:rsid w:val="00E47893"/>
    <w:rsid w:val="00E56F3E"/>
    <w:rsid w:val="00E61961"/>
    <w:rsid w:val="00E61CA9"/>
    <w:rsid w:val="00E64C23"/>
    <w:rsid w:val="00E64CBF"/>
    <w:rsid w:val="00E66496"/>
    <w:rsid w:val="00E66B35"/>
    <w:rsid w:val="00E66E10"/>
    <w:rsid w:val="00E7062F"/>
    <w:rsid w:val="00E739E8"/>
    <w:rsid w:val="00E769B3"/>
    <w:rsid w:val="00E769F6"/>
    <w:rsid w:val="00E77BD8"/>
    <w:rsid w:val="00E8023A"/>
    <w:rsid w:val="00E8407C"/>
    <w:rsid w:val="00E84F3C"/>
    <w:rsid w:val="00E85499"/>
    <w:rsid w:val="00E90F3C"/>
    <w:rsid w:val="00E942AF"/>
    <w:rsid w:val="00E94A22"/>
    <w:rsid w:val="00E95814"/>
    <w:rsid w:val="00E967D3"/>
    <w:rsid w:val="00E97884"/>
    <w:rsid w:val="00EA012C"/>
    <w:rsid w:val="00EA1504"/>
    <w:rsid w:val="00EA2124"/>
    <w:rsid w:val="00EA37D8"/>
    <w:rsid w:val="00EA4FBE"/>
    <w:rsid w:val="00EA5BA4"/>
    <w:rsid w:val="00EA6CAD"/>
    <w:rsid w:val="00EB16DC"/>
    <w:rsid w:val="00EB321F"/>
    <w:rsid w:val="00EB7133"/>
    <w:rsid w:val="00EC0CCD"/>
    <w:rsid w:val="00EC57B2"/>
    <w:rsid w:val="00EC6A55"/>
    <w:rsid w:val="00ED0288"/>
    <w:rsid w:val="00ED07E1"/>
    <w:rsid w:val="00EE2411"/>
    <w:rsid w:val="00EE383F"/>
    <w:rsid w:val="00EE51E0"/>
    <w:rsid w:val="00EE52CB"/>
    <w:rsid w:val="00EE64DE"/>
    <w:rsid w:val="00EF220C"/>
    <w:rsid w:val="00EF3814"/>
    <w:rsid w:val="00EF581D"/>
    <w:rsid w:val="00EF7FD8"/>
    <w:rsid w:val="00F05871"/>
    <w:rsid w:val="00F06F59"/>
    <w:rsid w:val="00F07AD8"/>
    <w:rsid w:val="00F1115C"/>
    <w:rsid w:val="00F12F3C"/>
    <w:rsid w:val="00F1413C"/>
    <w:rsid w:val="00F17988"/>
    <w:rsid w:val="00F17ECC"/>
    <w:rsid w:val="00F221B8"/>
    <w:rsid w:val="00F24446"/>
    <w:rsid w:val="00F24CD9"/>
    <w:rsid w:val="00F32DBC"/>
    <w:rsid w:val="00F343DF"/>
    <w:rsid w:val="00F357F7"/>
    <w:rsid w:val="00F360A6"/>
    <w:rsid w:val="00F36967"/>
    <w:rsid w:val="00F36AD4"/>
    <w:rsid w:val="00F41CF6"/>
    <w:rsid w:val="00F435A5"/>
    <w:rsid w:val="00F469F0"/>
    <w:rsid w:val="00F47A5C"/>
    <w:rsid w:val="00F50DCC"/>
    <w:rsid w:val="00F50FC6"/>
    <w:rsid w:val="00F53273"/>
    <w:rsid w:val="00F53A3D"/>
    <w:rsid w:val="00F57E50"/>
    <w:rsid w:val="00F615C2"/>
    <w:rsid w:val="00F62A4F"/>
    <w:rsid w:val="00F67293"/>
    <w:rsid w:val="00F73E61"/>
    <w:rsid w:val="00F755E4"/>
    <w:rsid w:val="00F77D02"/>
    <w:rsid w:val="00F8193E"/>
    <w:rsid w:val="00F8279F"/>
    <w:rsid w:val="00F936BB"/>
    <w:rsid w:val="00F966C9"/>
    <w:rsid w:val="00F973EC"/>
    <w:rsid w:val="00FA29EA"/>
    <w:rsid w:val="00FB3A86"/>
    <w:rsid w:val="00FB3F0D"/>
    <w:rsid w:val="00FB42AD"/>
    <w:rsid w:val="00FB7D18"/>
    <w:rsid w:val="00FC019D"/>
    <w:rsid w:val="00FC1F6A"/>
    <w:rsid w:val="00FC30D5"/>
    <w:rsid w:val="00FC4B83"/>
    <w:rsid w:val="00FD01AA"/>
    <w:rsid w:val="00FD36C8"/>
    <w:rsid w:val="00FD5708"/>
    <w:rsid w:val="00FE2767"/>
    <w:rsid w:val="00FE3C0B"/>
    <w:rsid w:val="00FF0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955F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8930B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BodyText">
    <w:name w:val="Body Text"/>
    <w:basedOn w:val="Normal"/>
    <w:link w:val="BodyTextChar"/>
    <w:semiHidden/>
    <w:unhideWhenUsed/>
    <w:rsid w:val="00831504"/>
    <w:pPr>
      <w:spacing w:after="120"/>
    </w:pPr>
  </w:style>
  <w:style w:type="character" w:customStyle="1" w:styleId="BodyTextChar">
    <w:name w:val="Body Text Char"/>
    <w:basedOn w:val="DefaultParagraphFont"/>
    <w:link w:val="BodyText"/>
    <w:semiHidden/>
    <w:rsid w:val="00831504"/>
    <w:rPr>
      <w:rFonts w:ascii="Helvetica" w:hAnsi="Helvetica"/>
    </w:rPr>
  </w:style>
  <w:style w:type="character" w:customStyle="1" w:styleId="Heading3Char">
    <w:name w:val="Heading 3 Char"/>
    <w:basedOn w:val="DefaultParagraphFont"/>
    <w:link w:val="Heading3"/>
    <w:uiPriority w:val="9"/>
    <w:semiHidden/>
    <w:rsid w:val="008930B3"/>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7A3A15"/>
    <w:pPr>
      <w:widowControl w:val="0"/>
      <w:autoSpaceDE w:val="0"/>
      <w:autoSpaceDN w:val="0"/>
      <w:spacing w:after="200"/>
    </w:pPr>
    <w:rPr>
      <w:rFonts w:ascii="Times New Roman" w:hAnsi="Times New Roman"/>
      <w:i/>
      <w:iCs/>
      <w:color w:val="1F497D" w:themeColor="text2"/>
      <w:sz w:val="18"/>
      <w:szCs w:val="18"/>
    </w:rPr>
  </w:style>
  <w:style w:type="paragraph" w:styleId="ListParagraph">
    <w:name w:val="List Paragraph"/>
    <w:basedOn w:val="Normal"/>
    <w:uiPriority w:val="34"/>
    <w:qFormat/>
    <w:rsid w:val="00C321B4"/>
    <w:pPr>
      <w:ind w:left="720"/>
      <w:contextualSpacing/>
    </w:pPr>
  </w:style>
  <w:style w:type="character" w:styleId="PlaceholderText">
    <w:name w:val="Placeholder Text"/>
    <w:basedOn w:val="DefaultParagraphFont"/>
    <w:uiPriority w:val="99"/>
    <w:semiHidden/>
    <w:rsid w:val="0034621F"/>
    <w:rPr>
      <w:color w:val="666666"/>
    </w:rPr>
  </w:style>
  <w:style w:type="table" w:styleId="PlainTable5">
    <w:name w:val="Plain Table 5"/>
    <w:basedOn w:val="TableNormal"/>
    <w:uiPriority w:val="45"/>
    <w:rsid w:val="002751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261198"/>
    <w:rPr>
      <w:rFonts w:ascii="Times New Roman" w:hAnsi="Times New Roman"/>
      <w:sz w:val="24"/>
      <w:szCs w:val="24"/>
    </w:rPr>
  </w:style>
  <w:style w:type="table" w:styleId="PlainTable2">
    <w:name w:val="Plain Table 2"/>
    <w:basedOn w:val="TableNormal"/>
    <w:uiPriority w:val="42"/>
    <w:rsid w:val="0086435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C159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rsid w:val="0013585F"/>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66324358">
      <w:marLeft w:val="0"/>
      <w:marRight w:val="0"/>
      <w:marTop w:val="0"/>
      <w:marBottom w:val="0"/>
      <w:divBdr>
        <w:top w:val="none" w:sz="0" w:space="0" w:color="auto"/>
        <w:left w:val="none" w:sz="0" w:space="0" w:color="auto"/>
        <w:bottom w:val="none" w:sz="0" w:space="0" w:color="auto"/>
        <w:right w:val="none" w:sz="0" w:space="0" w:color="auto"/>
      </w:divBdr>
      <w:divsChild>
        <w:div w:id="1527676645">
          <w:marLeft w:val="0"/>
          <w:marRight w:val="0"/>
          <w:marTop w:val="0"/>
          <w:marBottom w:val="0"/>
          <w:divBdr>
            <w:top w:val="none" w:sz="0" w:space="0" w:color="auto"/>
            <w:left w:val="none" w:sz="0" w:space="0" w:color="auto"/>
            <w:bottom w:val="none" w:sz="0" w:space="0" w:color="auto"/>
            <w:right w:val="none" w:sz="0" w:space="0" w:color="auto"/>
          </w:divBdr>
        </w:div>
      </w:divsChild>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yperlink" Target="https://doi.org/10.1080/15368378.2025.2567872" TargetMode="External"/><Relationship Id="rId39" Type="http://schemas.openxmlformats.org/officeDocument/2006/relationships/hyperlink" Target="https://doi.org/10.1038/35098592" TargetMode="External"/><Relationship Id="rId21" Type="http://schemas.openxmlformats.org/officeDocument/2006/relationships/header" Target="header6.xml"/><Relationship Id="rId34" Type="http://schemas.openxmlformats.org/officeDocument/2006/relationships/hyperlink" Target="https://www.google.com/search?q=https://doi.org/10.1016/j.ejphar.2008.03.008" TargetMode="External"/><Relationship Id="rId42" Type="http://schemas.openxmlformats.org/officeDocument/2006/relationships/hyperlink" Target="https://www.google.com/search?q=https://doi.org/10.1073/pnas.58.3.1112" TargetMode="External"/><Relationship Id="rId47" Type="http://schemas.openxmlformats.org/officeDocument/2006/relationships/hyperlink" Target="https://doi.org/10.1016/j.exger.2008.04.011" TargetMode="External"/><Relationship Id="rId50" Type="http://schemas.openxmlformats.org/officeDocument/2006/relationships/hyperlink" Target="https://doi.org/10.3389/fphar.2024.1489888" TargetMode="External"/><Relationship Id="rId55" Type="http://schemas.openxmlformats.org/officeDocument/2006/relationships/hyperlink" Target="https://www.google.com/search?q=https://doi.org/10.1080/01621459.1958.1050145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hyperlink" Target="http://dx.doi.org/10.5281/zenodo.3588543" TargetMode="External"/><Relationship Id="rId11" Type="http://schemas.openxmlformats.org/officeDocument/2006/relationships/footer" Target="footer2.xml"/><Relationship Id="rId24" Type="http://schemas.openxmlformats.org/officeDocument/2006/relationships/hyperlink" Target="https://doi.org/10.3390/ph18010016" TargetMode="External"/><Relationship Id="rId32" Type="http://schemas.openxmlformats.org/officeDocument/2006/relationships/hyperlink" Target="https://doi.org/10.1155/2015/425380" TargetMode="External"/><Relationship Id="rId37" Type="http://schemas.openxmlformats.org/officeDocument/2006/relationships/hyperlink" Target="https://www.google.com/search?q=https://doi.org/10.1124/pr.110.003293" TargetMode="External"/><Relationship Id="rId40" Type="http://schemas.openxmlformats.org/officeDocument/2006/relationships/hyperlink" Target="https://doi.org/10.1080/19336934.2024.2420453" TargetMode="External"/><Relationship Id="rId45" Type="http://schemas.openxmlformats.org/officeDocument/2006/relationships/hyperlink" Target="https://doi.org/10.1016/j.arr.2005.04.001" TargetMode="External"/><Relationship Id="rId53" Type="http://schemas.openxmlformats.org/officeDocument/2006/relationships/hyperlink" Target="https://doi.org/10.1111/j.1601-183X.2004.00092.x" TargetMode="External"/><Relationship Id="rId58" Type="http://schemas.openxmlformats.org/officeDocument/2006/relationships/hyperlink" Target="https://doi.org/10.3390/ijms161126068"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eader" Target="header5.xml"/><Relationship Id="rId14" Type="http://schemas.openxmlformats.org/officeDocument/2006/relationships/image" Target="media/image1.jpeg"/><Relationship Id="rId22" Type="http://schemas.openxmlformats.org/officeDocument/2006/relationships/hyperlink" Target="https://doi.org/10.1016/j.ajhg.2019.06.005" TargetMode="External"/><Relationship Id="rId27" Type="http://schemas.openxmlformats.org/officeDocument/2006/relationships/hyperlink" Target="https://doi.org/10.3390/antiox13020217" TargetMode="External"/><Relationship Id="rId30" Type="http://schemas.openxmlformats.org/officeDocument/2006/relationships/hyperlink" Target="https://doi.org/10.2181/036.047.0206" TargetMode="External"/><Relationship Id="rId35" Type="http://schemas.openxmlformats.org/officeDocument/2006/relationships/hyperlink" Target="https://doi.org/10.3389/fphar.2016.00505" TargetMode="External"/><Relationship Id="rId43" Type="http://schemas.openxmlformats.org/officeDocument/2006/relationships/hyperlink" Target="http://doi.org/10.1152/jn.2000.83.2.998" TargetMode="External"/><Relationship Id="rId48" Type="http://schemas.openxmlformats.org/officeDocument/2006/relationships/hyperlink" Target="https://doi.org/10.1093/genetics/50.6.1269" TargetMode="External"/><Relationship Id="rId56" Type="http://schemas.openxmlformats.org/officeDocument/2006/relationships/hyperlink" Target="https://doi.org/10.1038/s41538-025-00419-6" TargetMode="External"/><Relationship Id="rId8" Type="http://schemas.openxmlformats.org/officeDocument/2006/relationships/header" Target="header1.xml"/><Relationship Id="rId51" Type="http://schemas.openxmlformats.org/officeDocument/2006/relationships/hyperlink" Target="https://www.google.com/search?q=https://doi.org/10.1016/j.pneurobio.2007.10.006"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3.xml"/><Relationship Id="rId25" Type="http://schemas.openxmlformats.org/officeDocument/2006/relationships/hyperlink" Target="https://doi.org/10.1007/s43621-024-00698-1" TargetMode="External"/><Relationship Id="rId33" Type="http://schemas.openxmlformats.org/officeDocument/2006/relationships/hyperlink" Target="https://doi.org/10.1186/s12885-026-15985-5" TargetMode="External"/><Relationship Id="rId38" Type="http://schemas.openxmlformats.org/officeDocument/2006/relationships/hyperlink" Target="https://doi.org/10.1371/journal.pone.0034745" TargetMode="External"/><Relationship Id="rId46" Type="http://schemas.openxmlformats.org/officeDocument/2006/relationships/hyperlink" Target="https://doi.org/10.1002/dvg.1020110204" TargetMode="External"/><Relationship Id="rId59" Type="http://schemas.openxmlformats.org/officeDocument/2006/relationships/hyperlink" Target="https://doi/10.3389/fncel.2026.1909393" TargetMode="External"/><Relationship Id="rId20" Type="http://schemas.openxmlformats.org/officeDocument/2006/relationships/footer" Target="footer4.xml"/><Relationship Id="rId41" Type="http://schemas.openxmlformats.org/officeDocument/2006/relationships/hyperlink" Target="https://www.google.com/search?q=https://doi.org/10.1016/j.exger.2005.02.005" TargetMode="External"/><Relationship Id="rId54" Type="http://schemas.openxmlformats.org/officeDocument/2006/relationships/hyperlink" Target="https://www.google.com/search?q=https://doi.org/10.1080/01621459.1955.10501294"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doi.org/10.3390/ma16010236" TargetMode="External"/><Relationship Id="rId28" Type="http://schemas.openxmlformats.org/officeDocument/2006/relationships/hyperlink" Target="https://doi.org/10.3390/antiox12112010" TargetMode="External"/><Relationship Id="rId36" Type="http://schemas.openxmlformats.org/officeDocument/2006/relationships/hyperlink" Target="https://doi.org/10.3390/molecules24061123" TargetMode="External"/><Relationship Id="rId49" Type="http://schemas.openxmlformats.org/officeDocument/2006/relationships/hyperlink" Target="https://doi.org/10.1371/journal.pone.0037495" TargetMode="External"/><Relationship Id="rId57" Type="http://schemas.openxmlformats.org/officeDocument/2006/relationships/hyperlink" Target="https://doi.org/10.1152/japplphysiol.00475.2016" TargetMode="External"/><Relationship Id="rId10" Type="http://schemas.openxmlformats.org/officeDocument/2006/relationships/footer" Target="footer1.xml"/><Relationship Id="rId31" Type="http://schemas.openxmlformats.org/officeDocument/2006/relationships/hyperlink" Target="https://doi.org/10.1371/journal.pone.0303115" TargetMode="External"/><Relationship Id="rId44" Type="http://schemas.openxmlformats.org/officeDocument/2006/relationships/hyperlink" Target="https://doi.org/10.3157/0013-872X(2007)118%20" TargetMode="External"/><Relationship Id="rId52" Type="http://schemas.openxmlformats.org/officeDocument/2006/relationships/hyperlink" Target="https://doi.org/10.1146/annurev-physiol-021909-135815" TargetMode="External"/><Relationship Id="rId60" Type="http://schemas.openxmlformats.org/officeDocument/2006/relationships/hyperlink" Target="https://doi.org/10.1016/j.ecoenv.2025.119531" TargetMode="Externa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usmi\OneDrive\Documents\VU%20PhD%20Research%20Progress%20report%202023%20(Ist)\VU%20RAC%20Research%20progress%20report%202023%20(IST)\Climbing%20assay%20raw%20data%20%202023.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usmi\OneDrive\Documents\VU%20PhD%20research%20progress%20report%202024%20(IInd-3rd)\VU%20Ph.D.%20research%20progress%20Report%20Oct-2024\Copy%20of%20Raw%20data%20of%20Progress%20report%20of%20research%20VU_2024_30.9.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usmi\OneDrive\Documents\VU%20UJZ%20Manuscript\UJZ%20Manuscript\excel%20graphs\vortex%20seizure%20recovery%20dat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Sheet3!$C$4</c:f>
              <c:strCache>
                <c:ptCount val="1"/>
                <c:pt idx="0">
                  <c:v>Control (C)</c:v>
                </c:pt>
              </c:strCache>
            </c:strRef>
          </c:tx>
          <c:spPr>
            <a:solidFill>
              <a:schemeClr val="dk1">
                <a:tint val="88500"/>
              </a:schemeClr>
            </a:solidFill>
            <a:ln w="12700">
              <a:solidFill>
                <a:schemeClr val="tx1">
                  <a:lumMod val="75000"/>
                  <a:lumOff val="25000"/>
                </a:schemeClr>
              </a:solidFill>
            </a:ln>
            <a:effectLst/>
          </c:spPr>
          <c:invertIfNegative val="0"/>
          <c:errBars>
            <c:errBarType val="both"/>
            <c:errValType val="cust"/>
            <c:noEndCap val="0"/>
            <c:plus>
              <c:numRef>
                <c:f>Sheet3!$I$5:$I$10</c:f>
                <c:numCache>
                  <c:formatCode>General</c:formatCode>
                  <c:ptCount val="6"/>
                  <c:pt idx="0">
                    <c:v>0.47</c:v>
                  </c:pt>
                  <c:pt idx="1">
                    <c:v>1.1499999999999999</c:v>
                  </c:pt>
                  <c:pt idx="2">
                    <c:v>0.88</c:v>
                  </c:pt>
                  <c:pt idx="3">
                    <c:v>0.88</c:v>
                  </c:pt>
                  <c:pt idx="4">
                    <c:v>0.57999999999999996</c:v>
                  </c:pt>
                  <c:pt idx="5">
                    <c:v>0.88</c:v>
                  </c:pt>
                </c:numCache>
              </c:numRef>
            </c:plus>
            <c:minus>
              <c:numRef>
                <c:f>Sheet3!$I$5:$I$10</c:f>
                <c:numCache>
                  <c:formatCode>General</c:formatCode>
                  <c:ptCount val="6"/>
                  <c:pt idx="0">
                    <c:v>0.47</c:v>
                  </c:pt>
                  <c:pt idx="1">
                    <c:v>1.1499999999999999</c:v>
                  </c:pt>
                  <c:pt idx="2">
                    <c:v>0.88</c:v>
                  </c:pt>
                  <c:pt idx="3">
                    <c:v>0.88</c:v>
                  </c:pt>
                  <c:pt idx="4">
                    <c:v>0.57999999999999996</c:v>
                  </c:pt>
                  <c:pt idx="5">
                    <c:v>0.88</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Sheet3!$C$5:$C$10</c:f>
              <c:numCache>
                <c:formatCode>General</c:formatCode>
                <c:ptCount val="6"/>
                <c:pt idx="0">
                  <c:v>49</c:v>
                </c:pt>
                <c:pt idx="1">
                  <c:v>44</c:v>
                </c:pt>
                <c:pt idx="2">
                  <c:v>36.33</c:v>
                </c:pt>
                <c:pt idx="3">
                  <c:v>33.33</c:v>
                </c:pt>
                <c:pt idx="4">
                  <c:v>30</c:v>
                </c:pt>
                <c:pt idx="5">
                  <c:v>24.67</c:v>
                </c:pt>
              </c:numCache>
            </c:numRef>
          </c:val>
          <c:extLst>
            <c:ext xmlns:c16="http://schemas.microsoft.com/office/drawing/2014/chart" uri="{C3380CC4-5D6E-409C-BE32-E72D297353CC}">
              <c16:uniqueId val="{00000000-CE0C-4091-A27D-2A87680F8F68}"/>
            </c:ext>
          </c:extLst>
        </c:ser>
        <c:ser>
          <c:idx val="1"/>
          <c:order val="1"/>
          <c:tx>
            <c:strRef>
              <c:f>Sheet3!$D$4</c:f>
              <c:strCache>
                <c:ptCount val="1"/>
                <c:pt idx="0">
                  <c:v>Quercetin (Q)</c:v>
                </c:pt>
              </c:strCache>
            </c:strRef>
          </c:tx>
          <c:spPr>
            <a:solidFill>
              <a:schemeClr val="dk1">
                <a:tint val="55000"/>
              </a:schemeClr>
            </a:solidFill>
            <a:ln w="12700">
              <a:solidFill>
                <a:schemeClr val="tx1">
                  <a:lumMod val="75000"/>
                  <a:lumOff val="25000"/>
                </a:schemeClr>
              </a:solidFill>
            </a:ln>
            <a:effectLst/>
          </c:spPr>
          <c:invertIfNegative val="0"/>
          <c:errBars>
            <c:errBarType val="both"/>
            <c:errValType val="cust"/>
            <c:noEndCap val="0"/>
            <c:plus>
              <c:numRef>
                <c:f>Sheet3!$J$5:$J$10</c:f>
                <c:numCache>
                  <c:formatCode>General</c:formatCode>
                  <c:ptCount val="6"/>
                  <c:pt idx="0">
                    <c:v>0.72</c:v>
                  </c:pt>
                  <c:pt idx="1">
                    <c:v>0.33</c:v>
                  </c:pt>
                  <c:pt idx="2">
                    <c:v>0.88</c:v>
                  </c:pt>
                  <c:pt idx="3">
                    <c:v>0.88</c:v>
                  </c:pt>
                  <c:pt idx="4">
                    <c:v>1.45</c:v>
                  </c:pt>
                  <c:pt idx="5">
                    <c:v>0.57999999999999996</c:v>
                  </c:pt>
                </c:numCache>
              </c:numRef>
            </c:plus>
            <c:minus>
              <c:numRef>
                <c:f>Sheet3!$J$5:$J$10</c:f>
                <c:numCache>
                  <c:formatCode>General</c:formatCode>
                  <c:ptCount val="6"/>
                  <c:pt idx="0">
                    <c:v>0.72</c:v>
                  </c:pt>
                  <c:pt idx="1">
                    <c:v>0.33</c:v>
                  </c:pt>
                  <c:pt idx="2">
                    <c:v>0.88</c:v>
                  </c:pt>
                  <c:pt idx="3">
                    <c:v>0.88</c:v>
                  </c:pt>
                  <c:pt idx="4">
                    <c:v>1.45</c:v>
                  </c:pt>
                  <c:pt idx="5">
                    <c:v>0.57999999999999996</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Sheet3!$D$5:$D$10</c:f>
              <c:numCache>
                <c:formatCode>General</c:formatCode>
                <c:ptCount val="6"/>
                <c:pt idx="0">
                  <c:v>47.33</c:v>
                </c:pt>
                <c:pt idx="1">
                  <c:v>44.67</c:v>
                </c:pt>
                <c:pt idx="2">
                  <c:v>33.67</c:v>
                </c:pt>
                <c:pt idx="3">
                  <c:v>31.33</c:v>
                </c:pt>
                <c:pt idx="4">
                  <c:v>25.67</c:v>
                </c:pt>
                <c:pt idx="5">
                  <c:v>22</c:v>
                </c:pt>
              </c:numCache>
            </c:numRef>
          </c:val>
          <c:extLst>
            <c:ext xmlns:c16="http://schemas.microsoft.com/office/drawing/2014/chart" uri="{C3380CC4-5D6E-409C-BE32-E72D297353CC}">
              <c16:uniqueId val="{00000001-CE0C-4091-A27D-2A87680F8F68}"/>
            </c:ext>
          </c:extLst>
        </c:ser>
        <c:ser>
          <c:idx val="2"/>
          <c:order val="2"/>
          <c:tx>
            <c:strRef>
              <c:f>Sheet3!$E$4</c:f>
              <c:strCache>
                <c:ptCount val="1"/>
                <c:pt idx="0">
                  <c:v>UV</c:v>
                </c:pt>
              </c:strCache>
            </c:strRef>
          </c:tx>
          <c:spPr>
            <a:solidFill>
              <a:schemeClr val="bg1">
                <a:lumMod val="85000"/>
              </a:schemeClr>
            </a:solidFill>
            <a:ln w="12700">
              <a:solidFill>
                <a:schemeClr val="tx1">
                  <a:lumMod val="75000"/>
                  <a:lumOff val="25000"/>
                </a:schemeClr>
              </a:solidFill>
            </a:ln>
            <a:effectLst/>
          </c:spPr>
          <c:invertIfNegative val="0"/>
          <c:errBars>
            <c:errBarType val="both"/>
            <c:errValType val="cust"/>
            <c:noEndCap val="0"/>
            <c:plus>
              <c:numRef>
                <c:f>Sheet3!$K$5:$K$10</c:f>
                <c:numCache>
                  <c:formatCode>General</c:formatCode>
                  <c:ptCount val="6"/>
                  <c:pt idx="0">
                    <c:v>1.66</c:v>
                  </c:pt>
                  <c:pt idx="1">
                    <c:v>1.76</c:v>
                  </c:pt>
                  <c:pt idx="2">
                    <c:v>1.45</c:v>
                  </c:pt>
                  <c:pt idx="3">
                    <c:v>0.88</c:v>
                  </c:pt>
                  <c:pt idx="4">
                    <c:v>0.88</c:v>
                  </c:pt>
                  <c:pt idx="5">
                    <c:v>1.1499999999999999</c:v>
                  </c:pt>
                </c:numCache>
              </c:numRef>
            </c:plus>
            <c:minus>
              <c:numRef>
                <c:f>Sheet3!$K$5:$K$10</c:f>
                <c:numCache>
                  <c:formatCode>General</c:formatCode>
                  <c:ptCount val="6"/>
                  <c:pt idx="0">
                    <c:v>1.66</c:v>
                  </c:pt>
                  <c:pt idx="1">
                    <c:v>1.76</c:v>
                  </c:pt>
                  <c:pt idx="2">
                    <c:v>1.45</c:v>
                  </c:pt>
                  <c:pt idx="3">
                    <c:v>0.88</c:v>
                  </c:pt>
                  <c:pt idx="4">
                    <c:v>0.88</c:v>
                  </c:pt>
                  <c:pt idx="5">
                    <c:v>1.1499999999999999</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Sheet3!$E$5:$E$10</c:f>
              <c:numCache>
                <c:formatCode>General</c:formatCode>
                <c:ptCount val="6"/>
                <c:pt idx="0">
                  <c:v>26.33</c:v>
                </c:pt>
                <c:pt idx="1">
                  <c:v>23.67</c:v>
                </c:pt>
                <c:pt idx="2">
                  <c:v>21.33</c:v>
                </c:pt>
                <c:pt idx="3">
                  <c:v>13.67</c:v>
                </c:pt>
                <c:pt idx="4">
                  <c:v>6.33</c:v>
                </c:pt>
                <c:pt idx="5">
                  <c:v>2</c:v>
                </c:pt>
              </c:numCache>
            </c:numRef>
          </c:val>
          <c:extLst>
            <c:ext xmlns:c16="http://schemas.microsoft.com/office/drawing/2014/chart" uri="{C3380CC4-5D6E-409C-BE32-E72D297353CC}">
              <c16:uniqueId val="{00000002-CE0C-4091-A27D-2A87680F8F68}"/>
            </c:ext>
          </c:extLst>
        </c:ser>
        <c:ser>
          <c:idx val="3"/>
          <c:order val="3"/>
          <c:tx>
            <c:strRef>
              <c:f>Sheet3!$F$4</c:f>
              <c:strCache>
                <c:ptCount val="1"/>
                <c:pt idx="0">
                  <c:v>Q+UV</c:v>
                </c:pt>
              </c:strCache>
            </c:strRef>
          </c:tx>
          <c:spPr>
            <a:solidFill>
              <a:schemeClr val="dk1">
                <a:tint val="98500"/>
              </a:schemeClr>
            </a:solidFill>
            <a:ln>
              <a:solidFill>
                <a:schemeClr val="tx1">
                  <a:lumMod val="75000"/>
                  <a:lumOff val="25000"/>
                </a:schemeClr>
              </a:solidFill>
            </a:ln>
            <a:effectLst/>
          </c:spPr>
          <c:invertIfNegative val="0"/>
          <c:errBars>
            <c:errBarType val="both"/>
            <c:errValType val="cust"/>
            <c:noEndCap val="0"/>
            <c:plus>
              <c:numRef>
                <c:f>Sheet3!$L$5:$L$10</c:f>
                <c:numCache>
                  <c:formatCode>General</c:formatCode>
                  <c:ptCount val="6"/>
                  <c:pt idx="0">
                    <c:v>0.94</c:v>
                  </c:pt>
                  <c:pt idx="1">
                    <c:v>1.1499999999999999</c:v>
                  </c:pt>
                  <c:pt idx="2">
                    <c:v>0.33</c:v>
                  </c:pt>
                  <c:pt idx="3">
                    <c:v>0.88</c:v>
                  </c:pt>
                  <c:pt idx="4">
                    <c:v>1.53</c:v>
                  </c:pt>
                  <c:pt idx="5">
                    <c:v>1.45</c:v>
                  </c:pt>
                </c:numCache>
              </c:numRef>
            </c:plus>
            <c:minus>
              <c:numRef>
                <c:f>Sheet3!$L$5:$L$10</c:f>
                <c:numCache>
                  <c:formatCode>General</c:formatCode>
                  <c:ptCount val="6"/>
                  <c:pt idx="0">
                    <c:v>0.94</c:v>
                  </c:pt>
                  <c:pt idx="1">
                    <c:v>1.1499999999999999</c:v>
                  </c:pt>
                  <c:pt idx="2">
                    <c:v>0.33</c:v>
                  </c:pt>
                  <c:pt idx="3">
                    <c:v>0.88</c:v>
                  </c:pt>
                  <c:pt idx="4">
                    <c:v>1.53</c:v>
                  </c:pt>
                  <c:pt idx="5">
                    <c:v>1.45</c:v>
                  </c:pt>
                </c:numCache>
              </c:numRef>
            </c:minus>
            <c:spPr>
              <a:noFill/>
              <a:ln w="9525" cap="flat" cmpd="sng" algn="ctr">
                <a:solidFill>
                  <a:schemeClr val="tx1">
                    <a:lumMod val="65000"/>
                    <a:lumOff val="35000"/>
                  </a:schemeClr>
                </a:solidFill>
                <a:round/>
              </a:ln>
              <a:effectLst/>
            </c:spPr>
          </c:errBars>
          <c:cat>
            <c:strRef>
              <c:f>Sheet3!$B$5:$B$10</c:f>
              <c:strCache>
                <c:ptCount val="6"/>
                <c:pt idx="0">
                  <c:v>Day 3</c:v>
                </c:pt>
                <c:pt idx="1">
                  <c:v>Day 6</c:v>
                </c:pt>
                <c:pt idx="2">
                  <c:v>Day 9</c:v>
                </c:pt>
                <c:pt idx="3">
                  <c:v>Day 12</c:v>
                </c:pt>
                <c:pt idx="4">
                  <c:v>Day 15</c:v>
                </c:pt>
                <c:pt idx="5">
                  <c:v>Day 18</c:v>
                </c:pt>
              </c:strCache>
            </c:strRef>
          </c:cat>
          <c:val>
            <c:numRef>
              <c:f>Sheet3!$F$5:$F$10</c:f>
              <c:numCache>
                <c:formatCode>General</c:formatCode>
                <c:ptCount val="6"/>
                <c:pt idx="0">
                  <c:v>39</c:v>
                </c:pt>
                <c:pt idx="1">
                  <c:v>38</c:v>
                </c:pt>
                <c:pt idx="2">
                  <c:v>31.67</c:v>
                </c:pt>
                <c:pt idx="3">
                  <c:v>28.33</c:v>
                </c:pt>
                <c:pt idx="4">
                  <c:v>23</c:v>
                </c:pt>
                <c:pt idx="5">
                  <c:v>17.670000000000002</c:v>
                </c:pt>
              </c:numCache>
            </c:numRef>
          </c:val>
          <c:extLst>
            <c:ext xmlns:c16="http://schemas.microsoft.com/office/drawing/2014/chart" uri="{C3380CC4-5D6E-409C-BE32-E72D297353CC}">
              <c16:uniqueId val="{00000003-CE0C-4091-A27D-2A87680F8F68}"/>
            </c:ext>
          </c:extLst>
        </c:ser>
        <c:dLbls>
          <c:showLegendKey val="0"/>
          <c:showVal val="0"/>
          <c:showCatName val="0"/>
          <c:showSerName val="0"/>
          <c:showPercent val="0"/>
          <c:showBubbleSize val="0"/>
        </c:dLbls>
        <c:gapWidth val="80"/>
        <c:axId val="1715581407"/>
        <c:axId val="1522844431"/>
      </c:barChart>
      <c:catAx>
        <c:axId val="1715581407"/>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b="1"/>
                  <a:t> Time points (days Post-treatment)</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IN"/>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22844431"/>
        <c:crosses val="autoZero"/>
        <c:auto val="1"/>
        <c:lblAlgn val="ctr"/>
        <c:lblOffset val="100"/>
        <c:noMultiLvlLbl val="0"/>
      </c:catAx>
      <c:valAx>
        <c:axId val="1522844431"/>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b="1"/>
                  <a:t>Climbing ability/ Target count (Mean±SE)</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15581407"/>
        <c:crosses val="autoZero"/>
        <c:crossBetween val="between"/>
      </c:valAx>
      <c:spPr>
        <a:noFill/>
        <a:ln>
          <a:solidFill>
            <a:schemeClr val="tx1"/>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v>+ve phototaxis</c:v>
          </c:tx>
          <c:spPr>
            <a:pattFill prst="narVert">
              <a:fgClr>
                <a:schemeClr val="bg1">
                  <a:lumMod val="75000"/>
                </a:schemeClr>
              </a:fgClr>
              <a:bgClr>
                <a:schemeClr val="bg1">
                  <a:lumMod val="95000"/>
                </a:schemeClr>
              </a:bgClr>
            </a:pattFill>
            <a:ln>
              <a:noFill/>
            </a:ln>
            <a:effectLst>
              <a:innerShdw blurRad="114300">
                <a:schemeClr val="dk1">
                  <a:tint val="88500"/>
                </a:schemeClr>
              </a:innerShdw>
            </a:effectLst>
          </c:spPr>
          <c:invertIfNegative val="0"/>
          <c:errBars>
            <c:errBarType val="both"/>
            <c:errValType val="cust"/>
            <c:noEndCap val="0"/>
            <c:plus>
              <c:numRef>
                <c:f>'T maze'!$J$14:$J$25</c:f>
                <c:numCache>
                  <c:formatCode>General</c:formatCode>
                  <c:ptCount val="12"/>
                  <c:pt idx="0">
                    <c:v>0.33333333333333331</c:v>
                  </c:pt>
                  <c:pt idx="3">
                    <c:v>0.57735026918962584</c:v>
                  </c:pt>
                  <c:pt idx="6">
                    <c:v>0.33333333333333337</c:v>
                  </c:pt>
                  <c:pt idx="9">
                    <c:v>0.66666666666666552</c:v>
                  </c:pt>
                </c:numCache>
              </c:numRef>
            </c:plus>
            <c:minus>
              <c:numRef>
                <c:f>'T maze'!$J$14:$J$25</c:f>
                <c:numCache>
                  <c:formatCode>General</c:formatCode>
                  <c:ptCount val="12"/>
                  <c:pt idx="0">
                    <c:v>0.33333333333333331</c:v>
                  </c:pt>
                  <c:pt idx="3">
                    <c:v>0.57735026918962584</c:v>
                  </c:pt>
                  <c:pt idx="6">
                    <c:v>0.33333333333333337</c:v>
                  </c:pt>
                  <c:pt idx="9">
                    <c:v>0.66666666666666552</c:v>
                  </c:pt>
                </c:numCache>
              </c:numRef>
            </c:minus>
            <c:spPr>
              <a:noFill/>
              <a:ln w="9525" cap="flat" cmpd="sng" algn="ctr">
                <a:solidFill>
                  <a:schemeClr val="dk1">
                    <a:shade val="95000"/>
                    <a:satMod val="105000"/>
                  </a:schemeClr>
                </a:solidFill>
                <a:prstDash val="solid"/>
                <a:round/>
              </a:ln>
              <a:effectLst/>
            </c:spPr>
          </c:errBars>
          <c:cat>
            <c:strRef>
              <c:f>'T maze'!$G$28:$G$31</c:f>
              <c:strCache>
                <c:ptCount val="4"/>
                <c:pt idx="0">
                  <c:v>C</c:v>
                </c:pt>
                <c:pt idx="1">
                  <c:v>Q</c:v>
                </c:pt>
                <c:pt idx="2">
                  <c:v>UV</c:v>
                </c:pt>
                <c:pt idx="3">
                  <c:v>Q+UV</c:v>
                </c:pt>
              </c:strCache>
            </c:strRef>
          </c:cat>
          <c:val>
            <c:numRef>
              <c:f>'T maze'!$H$28:$H$31</c:f>
              <c:numCache>
                <c:formatCode>General</c:formatCode>
                <c:ptCount val="4"/>
                <c:pt idx="0">
                  <c:v>9.67</c:v>
                </c:pt>
                <c:pt idx="1">
                  <c:v>9</c:v>
                </c:pt>
                <c:pt idx="2">
                  <c:v>5.67</c:v>
                </c:pt>
                <c:pt idx="3">
                  <c:v>6.67</c:v>
                </c:pt>
              </c:numCache>
            </c:numRef>
          </c:val>
          <c:extLst>
            <c:ext xmlns:c16="http://schemas.microsoft.com/office/drawing/2014/chart" uri="{C3380CC4-5D6E-409C-BE32-E72D297353CC}">
              <c16:uniqueId val="{00000000-BC89-4717-9F61-274EBE4C110C}"/>
            </c:ext>
          </c:extLst>
        </c:ser>
        <c:ser>
          <c:idx val="1"/>
          <c:order val="1"/>
          <c:tx>
            <c:v>-ve Phototaxis</c:v>
          </c:tx>
          <c:spPr>
            <a:pattFill prst="narHorz">
              <a:fgClr>
                <a:schemeClr val="tx1">
                  <a:lumMod val="65000"/>
                  <a:lumOff val="35000"/>
                </a:schemeClr>
              </a:fgClr>
              <a:bgClr>
                <a:schemeClr val="bg1">
                  <a:lumMod val="65000"/>
                </a:schemeClr>
              </a:bgClr>
            </a:pattFill>
            <a:ln>
              <a:noFill/>
            </a:ln>
            <a:effectLst>
              <a:innerShdw blurRad="114300">
                <a:schemeClr val="dk1">
                  <a:tint val="55000"/>
                </a:schemeClr>
              </a:innerShdw>
            </a:effectLst>
          </c:spPr>
          <c:invertIfNegative val="0"/>
          <c:errBars>
            <c:errBarType val="both"/>
            <c:errValType val="cust"/>
            <c:noEndCap val="0"/>
            <c:plus>
              <c:numRef>
                <c:f>'T maze'!$N$14:$N$25</c:f>
                <c:numCache>
                  <c:formatCode>General</c:formatCode>
                  <c:ptCount val="12"/>
                  <c:pt idx="0">
                    <c:v>0.33333333333333337</c:v>
                  </c:pt>
                  <c:pt idx="3">
                    <c:v>0.57735026918962584</c:v>
                  </c:pt>
                  <c:pt idx="6">
                    <c:v>0.33333333333333276</c:v>
                  </c:pt>
                  <c:pt idx="9">
                    <c:v>0.66666666666666641</c:v>
                  </c:pt>
                </c:numCache>
              </c:numRef>
            </c:plus>
            <c:minus>
              <c:numRef>
                <c:f>'T maze'!$N$14:$N$25</c:f>
                <c:numCache>
                  <c:formatCode>General</c:formatCode>
                  <c:ptCount val="12"/>
                  <c:pt idx="0">
                    <c:v>0.33333333333333337</c:v>
                  </c:pt>
                  <c:pt idx="3">
                    <c:v>0.57735026918962584</c:v>
                  </c:pt>
                  <c:pt idx="6">
                    <c:v>0.33333333333333276</c:v>
                  </c:pt>
                  <c:pt idx="9">
                    <c:v>0.66666666666666641</c:v>
                  </c:pt>
                </c:numCache>
              </c:numRef>
            </c:minus>
            <c:spPr>
              <a:noFill/>
              <a:ln w="9525" cap="flat" cmpd="sng" algn="ctr">
                <a:solidFill>
                  <a:schemeClr val="dk1">
                    <a:shade val="95000"/>
                    <a:satMod val="105000"/>
                  </a:schemeClr>
                </a:solidFill>
                <a:prstDash val="solid"/>
                <a:round/>
              </a:ln>
              <a:effectLst/>
            </c:spPr>
          </c:errBars>
          <c:cat>
            <c:strRef>
              <c:f>'T maze'!$G$28:$G$31</c:f>
              <c:strCache>
                <c:ptCount val="4"/>
                <c:pt idx="0">
                  <c:v>C</c:v>
                </c:pt>
                <c:pt idx="1">
                  <c:v>Q</c:v>
                </c:pt>
                <c:pt idx="2">
                  <c:v>UV</c:v>
                </c:pt>
                <c:pt idx="3">
                  <c:v>Q+UV</c:v>
                </c:pt>
              </c:strCache>
            </c:strRef>
          </c:cat>
          <c:val>
            <c:numRef>
              <c:f>'T maze'!$I$28:$I$31</c:f>
              <c:numCache>
                <c:formatCode>General</c:formatCode>
                <c:ptCount val="4"/>
                <c:pt idx="0">
                  <c:v>0.33</c:v>
                </c:pt>
                <c:pt idx="1">
                  <c:v>1</c:v>
                </c:pt>
                <c:pt idx="2">
                  <c:v>4.33</c:v>
                </c:pt>
                <c:pt idx="3">
                  <c:v>3.33</c:v>
                </c:pt>
              </c:numCache>
            </c:numRef>
          </c:val>
          <c:extLst>
            <c:ext xmlns:c16="http://schemas.microsoft.com/office/drawing/2014/chart" uri="{C3380CC4-5D6E-409C-BE32-E72D297353CC}">
              <c16:uniqueId val="{00000001-BC89-4717-9F61-274EBE4C110C}"/>
            </c:ext>
          </c:extLst>
        </c:ser>
        <c:dLbls>
          <c:showLegendKey val="0"/>
          <c:showVal val="0"/>
          <c:showCatName val="0"/>
          <c:showSerName val="0"/>
          <c:showPercent val="0"/>
          <c:showBubbleSize val="0"/>
        </c:dLbls>
        <c:gapWidth val="164"/>
        <c:overlap val="-22"/>
        <c:axId val="1843177935"/>
        <c:axId val="1843185135"/>
      </c:barChart>
      <c:catAx>
        <c:axId val="1843177935"/>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a:t>Sample groups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9050" cap="flat" cmpd="sng" algn="ctr">
            <a:solidFill>
              <a:schemeClr val="tx1">
                <a:lumMod val="65000"/>
                <a:lumOff val="3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43185135"/>
        <c:crosses val="autoZero"/>
        <c:auto val="1"/>
        <c:lblAlgn val="ctr"/>
        <c:lblOffset val="100"/>
        <c:noMultiLvlLbl val="0"/>
      </c:catAx>
      <c:valAx>
        <c:axId val="1843185135"/>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IN"/>
                  <a:t>No. of flies showing Photaxis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43177935"/>
        <c:crosses val="autoZero"/>
        <c:crossBetween val="between"/>
      </c:valAx>
      <c:spPr>
        <a:noFill/>
        <a:ln>
          <a:solidFill>
            <a:schemeClr val="tx1">
              <a:lumMod val="65000"/>
              <a:lumOff val="35000"/>
            </a:schemeClr>
          </a:solid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65000"/>
          <a:lumOff val="35000"/>
        </a:schemeClr>
      </a:solidFill>
      <a:round/>
    </a:ln>
    <a:effectLst/>
  </c:spPr>
  <c:txPr>
    <a:bodyPr/>
    <a:lstStyle/>
    <a:p>
      <a:pPr>
        <a:defRPr b="1">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'Raw data'!$C$1</c:f>
              <c:strCache>
                <c:ptCount val="1"/>
                <c:pt idx="0">
                  <c:v>C</c:v>
                </c:pt>
              </c:strCache>
            </c:strRef>
          </c:tx>
          <c:spPr>
            <a:ln w="19050" cap="rnd">
              <a:solidFill>
                <a:srgbClr val="7030A0"/>
              </a:solidFill>
              <a:round/>
            </a:ln>
            <a:effectLst/>
          </c:spPr>
          <c:marker>
            <c:symbol val="circle"/>
            <c:size val="5"/>
            <c:spPr>
              <a:solidFill>
                <a:srgbClr val="7030A0"/>
              </a:solidFill>
              <a:ln w="9525">
                <a:solidFill>
                  <a:srgbClr val="7030A0"/>
                </a:solidFill>
              </a:ln>
              <a:effectLst/>
            </c:spPr>
          </c:marker>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data'!$C$2:$C$22</c:f>
              <c:numCache>
                <c:formatCode>General</c:formatCode>
                <c:ptCount val="21"/>
                <c:pt idx="0">
                  <c:v>1</c:v>
                </c:pt>
                <c:pt idx="1">
                  <c:v>1</c:v>
                </c:pt>
                <c:pt idx="2">
                  <c:v>0.67</c:v>
                </c:pt>
                <c:pt idx="3">
                  <c:v>0.67</c:v>
                </c:pt>
                <c:pt idx="4">
                  <c:v>0.33</c:v>
                </c:pt>
                <c:pt idx="5">
                  <c:v>0.33</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yVal>
          <c:smooth val="0"/>
          <c:extLst>
            <c:ext xmlns:c16="http://schemas.microsoft.com/office/drawing/2014/chart" uri="{C3380CC4-5D6E-409C-BE32-E72D297353CC}">
              <c16:uniqueId val="{00000000-E73B-460A-9369-BB5B77616F42}"/>
            </c:ext>
          </c:extLst>
        </c:ser>
        <c:ser>
          <c:idx val="1"/>
          <c:order val="1"/>
          <c:tx>
            <c:strRef>
              <c:f>'Raw data'!$D$1</c:f>
              <c:strCache>
                <c:ptCount val="1"/>
                <c:pt idx="0">
                  <c:v>Pre-Q</c:v>
                </c:pt>
              </c:strCache>
            </c:strRef>
          </c:tx>
          <c:spPr>
            <a:ln w="19050" cap="rnd">
              <a:solidFill>
                <a:srgbClr val="00B050"/>
              </a:solidFill>
              <a:round/>
            </a:ln>
            <a:effectLst/>
          </c:spPr>
          <c:marker>
            <c:symbol val="circle"/>
            <c:size val="5"/>
            <c:spPr>
              <a:solidFill>
                <a:srgbClr val="00B050"/>
              </a:solidFill>
              <a:ln w="9525">
                <a:solidFill>
                  <a:srgbClr val="00B050"/>
                </a:solidFill>
              </a:ln>
              <a:effectLst/>
            </c:spPr>
          </c:marker>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data'!$D$2:$D$22</c:f>
              <c:numCache>
                <c:formatCode>General</c:formatCode>
                <c:ptCount val="21"/>
                <c:pt idx="0">
                  <c:v>1</c:v>
                </c:pt>
                <c:pt idx="1">
                  <c:v>1</c:v>
                </c:pt>
                <c:pt idx="2">
                  <c:v>1</c:v>
                </c:pt>
                <c:pt idx="3">
                  <c:v>1</c:v>
                </c:pt>
                <c:pt idx="4">
                  <c:v>0.67</c:v>
                </c:pt>
                <c:pt idx="5">
                  <c:v>0.67</c:v>
                </c:pt>
                <c:pt idx="6">
                  <c:v>0.33</c:v>
                </c:pt>
                <c:pt idx="7">
                  <c:v>0.33</c:v>
                </c:pt>
                <c:pt idx="8">
                  <c:v>0</c:v>
                </c:pt>
                <c:pt idx="9">
                  <c:v>0</c:v>
                </c:pt>
                <c:pt idx="10">
                  <c:v>0</c:v>
                </c:pt>
                <c:pt idx="11">
                  <c:v>0</c:v>
                </c:pt>
                <c:pt idx="12">
                  <c:v>0</c:v>
                </c:pt>
                <c:pt idx="13">
                  <c:v>0</c:v>
                </c:pt>
                <c:pt idx="14">
                  <c:v>0</c:v>
                </c:pt>
                <c:pt idx="15">
                  <c:v>0</c:v>
                </c:pt>
                <c:pt idx="16">
                  <c:v>0</c:v>
                </c:pt>
                <c:pt idx="17">
                  <c:v>0</c:v>
                </c:pt>
                <c:pt idx="18">
                  <c:v>0</c:v>
                </c:pt>
                <c:pt idx="19">
                  <c:v>0</c:v>
                </c:pt>
                <c:pt idx="20">
                  <c:v>0</c:v>
                </c:pt>
              </c:numCache>
            </c:numRef>
          </c:yVal>
          <c:smooth val="0"/>
          <c:extLst>
            <c:ext xmlns:c16="http://schemas.microsoft.com/office/drawing/2014/chart" uri="{C3380CC4-5D6E-409C-BE32-E72D297353CC}">
              <c16:uniqueId val="{00000001-E73B-460A-9369-BB5B77616F42}"/>
            </c:ext>
          </c:extLst>
        </c:ser>
        <c:ser>
          <c:idx val="2"/>
          <c:order val="2"/>
          <c:tx>
            <c:strRef>
              <c:f>'Raw data'!$E$1</c:f>
              <c:strCache>
                <c:ptCount val="1"/>
                <c:pt idx="0">
                  <c:v>UV</c:v>
                </c:pt>
              </c:strCache>
            </c:strRef>
          </c:tx>
          <c:spPr>
            <a:ln w="19050" cap="rnd">
              <a:solidFill>
                <a:srgbClr val="FF0000"/>
              </a:solidFill>
              <a:round/>
            </a:ln>
            <a:effectLst/>
          </c:spPr>
          <c:marker>
            <c:symbol val="circle"/>
            <c:size val="5"/>
            <c:spPr>
              <a:solidFill>
                <a:srgbClr val="FF0000"/>
              </a:solidFill>
              <a:ln w="9525">
                <a:solidFill>
                  <a:srgbClr val="FF0000"/>
                </a:solidFill>
              </a:ln>
              <a:effectLst/>
            </c:spPr>
          </c:marker>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data'!$E$2:$E$22</c:f>
              <c:numCache>
                <c:formatCode>General</c:formatCode>
                <c:ptCount val="21"/>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0.67</c:v>
                </c:pt>
                <c:pt idx="17">
                  <c:v>0.67</c:v>
                </c:pt>
                <c:pt idx="18">
                  <c:v>0.33</c:v>
                </c:pt>
                <c:pt idx="19">
                  <c:v>0.33</c:v>
                </c:pt>
                <c:pt idx="20">
                  <c:v>0</c:v>
                </c:pt>
              </c:numCache>
            </c:numRef>
          </c:yVal>
          <c:smooth val="0"/>
          <c:extLst>
            <c:ext xmlns:c16="http://schemas.microsoft.com/office/drawing/2014/chart" uri="{C3380CC4-5D6E-409C-BE32-E72D297353CC}">
              <c16:uniqueId val="{00000002-E73B-460A-9369-BB5B77616F42}"/>
            </c:ext>
          </c:extLst>
        </c:ser>
        <c:ser>
          <c:idx val="3"/>
          <c:order val="3"/>
          <c:tx>
            <c:strRef>
              <c:f>'Raw data'!$F$1</c:f>
              <c:strCache>
                <c:ptCount val="1"/>
                <c:pt idx="0">
                  <c:v>Q+UV</c:v>
                </c:pt>
              </c:strCache>
            </c:strRef>
          </c:tx>
          <c:spPr>
            <a:ln w="19050" cap="rnd">
              <a:solidFill>
                <a:srgbClr val="FFC000"/>
              </a:solidFill>
              <a:round/>
            </a:ln>
            <a:effectLst/>
          </c:spPr>
          <c:marker>
            <c:symbol val="circle"/>
            <c:size val="5"/>
            <c:spPr>
              <a:solidFill>
                <a:srgbClr val="FFC000"/>
              </a:solidFill>
              <a:ln w="9525">
                <a:solidFill>
                  <a:srgbClr val="FFC000"/>
                </a:solidFill>
              </a:ln>
              <a:effectLst/>
            </c:spPr>
          </c:marker>
          <c:dPt>
            <c:idx val="0"/>
            <c:marker>
              <c:symbol val="circle"/>
              <c:size val="5"/>
              <c:spPr>
                <a:solidFill>
                  <a:srgbClr val="7030A0"/>
                </a:solidFill>
                <a:ln w="9525">
                  <a:solidFill>
                    <a:sysClr val="windowText" lastClr="000000"/>
                  </a:solidFill>
                </a:ln>
                <a:effectLst/>
              </c:spPr>
            </c:marker>
            <c:bubble3D val="0"/>
            <c:spPr>
              <a:ln w="19050" cap="rnd">
                <a:solidFill>
                  <a:sysClr val="windowText" lastClr="000000"/>
                </a:solidFill>
                <a:round/>
              </a:ln>
              <a:effectLst/>
            </c:spPr>
            <c:extLst>
              <c:ext xmlns:c16="http://schemas.microsoft.com/office/drawing/2014/chart" uri="{C3380CC4-5D6E-409C-BE32-E72D297353CC}">
                <c16:uniqueId val="{00000004-E73B-460A-9369-BB5B77616F42}"/>
              </c:ext>
            </c:extLst>
          </c:dPt>
          <c:dPt>
            <c:idx val="1"/>
            <c:marker>
              <c:symbol val="circle"/>
              <c:size val="5"/>
              <c:spPr>
                <a:solidFill>
                  <a:srgbClr val="FFC000"/>
                </a:solidFill>
                <a:ln w="3175">
                  <a:solidFill>
                    <a:sysClr val="windowText" lastClr="000000"/>
                  </a:solidFill>
                </a:ln>
                <a:effectLst/>
              </c:spPr>
            </c:marker>
            <c:bubble3D val="0"/>
            <c:spPr>
              <a:ln w="3175" cap="rnd">
                <a:solidFill>
                  <a:sysClr val="windowText" lastClr="000000"/>
                </a:solidFill>
                <a:round/>
              </a:ln>
              <a:effectLst/>
            </c:spPr>
            <c:extLst>
              <c:ext xmlns:c16="http://schemas.microsoft.com/office/drawing/2014/chart" uri="{C3380CC4-5D6E-409C-BE32-E72D297353CC}">
                <c16:uniqueId val="{00000006-E73B-460A-9369-BB5B77616F42}"/>
              </c:ext>
            </c:extLst>
          </c:dPt>
          <c:dPt>
            <c:idx val="2"/>
            <c:marker>
              <c:symbol val="circle"/>
              <c:size val="5"/>
              <c:spPr>
                <a:solidFill>
                  <a:srgbClr val="7030A0"/>
                </a:solidFill>
                <a:ln w="9525">
                  <a:solidFill>
                    <a:srgbClr val="7030A0"/>
                  </a:solidFill>
                </a:ln>
                <a:effectLst/>
              </c:spPr>
            </c:marker>
            <c:bubble3D val="0"/>
            <c:spPr>
              <a:ln w="19050" cap="rnd">
                <a:solidFill>
                  <a:srgbClr val="7030A0"/>
                </a:solidFill>
                <a:round/>
              </a:ln>
              <a:effectLst/>
            </c:spPr>
            <c:extLst>
              <c:ext xmlns:c16="http://schemas.microsoft.com/office/drawing/2014/chart" uri="{C3380CC4-5D6E-409C-BE32-E72D297353CC}">
                <c16:uniqueId val="{00000008-E73B-460A-9369-BB5B77616F42}"/>
              </c:ext>
            </c:extLst>
          </c:dPt>
          <c:dPt>
            <c:idx val="3"/>
            <c:marker>
              <c:symbol val="circle"/>
              <c:size val="5"/>
              <c:spPr>
                <a:solidFill>
                  <a:srgbClr val="00B050"/>
                </a:solidFill>
                <a:ln w="9525">
                  <a:solidFill>
                    <a:srgbClr val="00B050"/>
                  </a:solidFill>
                </a:ln>
                <a:effectLst/>
              </c:spPr>
            </c:marker>
            <c:bubble3D val="0"/>
            <c:spPr>
              <a:ln w="19050" cap="rnd">
                <a:solidFill>
                  <a:srgbClr val="00B050"/>
                </a:solidFill>
                <a:round/>
              </a:ln>
              <a:effectLst/>
            </c:spPr>
            <c:extLst>
              <c:ext xmlns:c16="http://schemas.microsoft.com/office/drawing/2014/chart" uri="{C3380CC4-5D6E-409C-BE32-E72D297353CC}">
                <c16:uniqueId val="{0000000A-E73B-460A-9369-BB5B77616F42}"/>
              </c:ext>
            </c:extLst>
          </c:dPt>
          <c:dPt>
            <c:idx val="4"/>
            <c:marker>
              <c:symbol val="circle"/>
              <c:size val="5"/>
              <c:spPr>
                <a:solidFill>
                  <a:srgbClr val="00B050"/>
                </a:solidFill>
                <a:ln w="9525">
                  <a:solidFill>
                    <a:srgbClr val="00B050"/>
                  </a:solidFill>
                </a:ln>
                <a:effectLst/>
              </c:spPr>
            </c:marker>
            <c:bubble3D val="0"/>
            <c:spPr>
              <a:ln w="19050" cap="rnd">
                <a:solidFill>
                  <a:srgbClr val="00B050"/>
                </a:solidFill>
                <a:round/>
              </a:ln>
              <a:effectLst/>
            </c:spPr>
            <c:extLst>
              <c:ext xmlns:c16="http://schemas.microsoft.com/office/drawing/2014/chart" uri="{C3380CC4-5D6E-409C-BE32-E72D297353CC}">
                <c16:uniqueId val="{00000016-E73B-460A-9369-BB5B77616F42}"/>
              </c:ext>
            </c:extLst>
          </c:dPt>
          <c:xVal>
            <c:numRef>
              <c:f>'Raw data'!$B$2:$B$22</c:f>
              <c:numCache>
                <c:formatCode>General</c:formatCode>
                <c:ptCount val="21"/>
                <c:pt idx="0">
                  <c:v>0</c:v>
                </c:pt>
                <c:pt idx="1">
                  <c:v>18</c:v>
                </c:pt>
                <c:pt idx="2">
                  <c:v>18</c:v>
                </c:pt>
                <c:pt idx="3">
                  <c:v>19</c:v>
                </c:pt>
                <c:pt idx="4">
                  <c:v>19</c:v>
                </c:pt>
                <c:pt idx="5">
                  <c:v>21</c:v>
                </c:pt>
                <c:pt idx="6">
                  <c:v>21</c:v>
                </c:pt>
                <c:pt idx="7">
                  <c:v>23</c:v>
                </c:pt>
                <c:pt idx="8">
                  <c:v>23</c:v>
                </c:pt>
                <c:pt idx="9">
                  <c:v>26</c:v>
                </c:pt>
                <c:pt idx="10">
                  <c:v>26</c:v>
                </c:pt>
                <c:pt idx="11">
                  <c:v>27</c:v>
                </c:pt>
                <c:pt idx="12">
                  <c:v>27</c:v>
                </c:pt>
                <c:pt idx="13">
                  <c:v>29</c:v>
                </c:pt>
                <c:pt idx="14">
                  <c:v>29</c:v>
                </c:pt>
                <c:pt idx="15">
                  <c:v>38</c:v>
                </c:pt>
                <c:pt idx="16">
                  <c:v>38</c:v>
                </c:pt>
                <c:pt idx="17">
                  <c:v>41</c:v>
                </c:pt>
                <c:pt idx="18">
                  <c:v>41</c:v>
                </c:pt>
                <c:pt idx="19">
                  <c:v>43</c:v>
                </c:pt>
                <c:pt idx="20">
                  <c:v>43</c:v>
                </c:pt>
              </c:numCache>
            </c:numRef>
          </c:xVal>
          <c:yVal>
            <c:numRef>
              <c:f>'Raw data'!$F$2:$F$22</c:f>
              <c:numCache>
                <c:formatCode>General</c:formatCode>
                <c:ptCount val="21"/>
                <c:pt idx="0">
                  <c:v>1</c:v>
                </c:pt>
                <c:pt idx="1">
                  <c:v>1</c:v>
                </c:pt>
                <c:pt idx="2">
                  <c:v>1</c:v>
                </c:pt>
                <c:pt idx="3">
                  <c:v>1</c:v>
                </c:pt>
                <c:pt idx="4">
                  <c:v>1</c:v>
                </c:pt>
                <c:pt idx="5">
                  <c:v>1</c:v>
                </c:pt>
                <c:pt idx="6">
                  <c:v>1</c:v>
                </c:pt>
                <c:pt idx="7">
                  <c:v>1</c:v>
                </c:pt>
                <c:pt idx="8">
                  <c:v>1</c:v>
                </c:pt>
                <c:pt idx="9">
                  <c:v>1</c:v>
                </c:pt>
                <c:pt idx="10">
                  <c:v>0.67</c:v>
                </c:pt>
                <c:pt idx="11">
                  <c:v>0.67</c:v>
                </c:pt>
                <c:pt idx="12">
                  <c:v>0.33</c:v>
                </c:pt>
                <c:pt idx="13">
                  <c:v>0.33</c:v>
                </c:pt>
                <c:pt idx="14">
                  <c:v>0</c:v>
                </c:pt>
                <c:pt idx="15">
                  <c:v>0</c:v>
                </c:pt>
                <c:pt idx="16">
                  <c:v>0</c:v>
                </c:pt>
                <c:pt idx="17">
                  <c:v>0</c:v>
                </c:pt>
                <c:pt idx="18">
                  <c:v>0</c:v>
                </c:pt>
                <c:pt idx="19">
                  <c:v>0</c:v>
                </c:pt>
                <c:pt idx="20">
                  <c:v>0</c:v>
                </c:pt>
              </c:numCache>
            </c:numRef>
          </c:yVal>
          <c:smooth val="0"/>
          <c:extLst>
            <c:ext xmlns:c16="http://schemas.microsoft.com/office/drawing/2014/chart" uri="{C3380CC4-5D6E-409C-BE32-E72D297353CC}">
              <c16:uniqueId val="{0000000B-E73B-460A-9369-BB5B77616F42}"/>
            </c:ext>
          </c:extLst>
        </c:ser>
        <c:dLbls>
          <c:showLegendKey val="0"/>
          <c:showVal val="0"/>
          <c:showCatName val="0"/>
          <c:showSerName val="0"/>
          <c:showPercent val="0"/>
          <c:showBubbleSize val="0"/>
        </c:dLbls>
        <c:axId val="1988092992"/>
        <c:axId val="2047773872"/>
      </c:scatterChart>
      <c:valAx>
        <c:axId val="19880929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IN" b="1">
                    <a:solidFill>
                      <a:schemeClr val="tx1"/>
                    </a:solidFill>
                  </a:rPr>
                  <a:t>Time (seconds)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47773872"/>
        <c:crosses val="autoZero"/>
        <c:crossBetween val="midCat"/>
        <c:majorUnit val="5"/>
      </c:valAx>
      <c:valAx>
        <c:axId val="2047773872"/>
        <c:scaling>
          <c:orientation val="minMax"/>
          <c:max val="1"/>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IN" b="1">
                    <a:solidFill>
                      <a:schemeClr val="tx1"/>
                    </a:solidFill>
                  </a:rPr>
                  <a:t>Relative fraction of unrecovered subjects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88092992"/>
        <c:crosses val="autoZero"/>
        <c:crossBetween val="midCat"/>
        <c:majorUnit val="0.1"/>
      </c:valAx>
      <c:spPr>
        <a:noFill/>
        <a:ln>
          <a:solidFill>
            <a:schemeClr val="bg1">
              <a:lumMod val="50000"/>
            </a:schemeClr>
          </a:solid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75000"/>
          <a:lumOff val="2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0.37645</cdr:x>
      <cdr:y>0.21162</cdr:y>
    </cdr:from>
    <cdr:to>
      <cdr:x>0.44173</cdr:x>
      <cdr:y>0.26705</cdr:y>
    </cdr:to>
    <cdr:sp macro="" textlink="">
      <cdr:nvSpPr>
        <cdr:cNvPr id="8" name="TextBox 1">
          <a:extLst xmlns:a="http://schemas.openxmlformats.org/drawingml/2006/main">
            <a:ext uri="{FF2B5EF4-FFF2-40B4-BE49-F238E27FC236}">
              <a16:creationId xmlns:a16="http://schemas.microsoft.com/office/drawing/2014/main" id="{72F2A667-D784-F690-F2E6-358FCC84F5F1}"/>
            </a:ext>
          </a:extLst>
        </cdr:cNvPr>
        <cdr:cNvSpPr txBox="1"/>
      </cdr:nvSpPr>
      <cdr:spPr>
        <a:xfrm xmlns:a="http://schemas.openxmlformats.org/drawingml/2006/main">
          <a:off x="1721140" y="647443"/>
          <a:ext cx="298460" cy="169585"/>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relSizeAnchor>
  <cdr:relSizeAnchor xmlns:cdr="http://schemas.openxmlformats.org/drawingml/2006/chartDrawing">
    <cdr:from>
      <cdr:x>0.20785</cdr:x>
      <cdr:y>0.19303</cdr:y>
    </cdr:from>
    <cdr:to>
      <cdr:x>0.98269</cdr:x>
      <cdr:y>0.60459</cdr:y>
    </cdr:to>
    <cdr:grpSp>
      <cdr:nvGrpSpPr>
        <cdr:cNvPr id="13" name="Group 12">
          <a:extLst xmlns:a="http://schemas.openxmlformats.org/drawingml/2006/main">
            <a:ext uri="{FF2B5EF4-FFF2-40B4-BE49-F238E27FC236}">
              <a16:creationId xmlns:a16="http://schemas.microsoft.com/office/drawing/2014/main" id="{68794EAA-232E-C19D-090F-1D487839D659}"/>
            </a:ext>
          </a:extLst>
        </cdr:cNvPr>
        <cdr:cNvGrpSpPr/>
      </cdr:nvGrpSpPr>
      <cdr:grpSpPr>
        <a:xfrm xmlns:a="http://schemas.openxmlformats.org/drawingml/2006/main">
          <a:off x="950302" y="590550"/>
          <a:ext cx="3542568" cy="1259156"/>
          <a:chOff x="950302" y="565150"/>
          <a:chExt cx="3542568" cy="1259156"/>
        </a:xfrm>
      </cdr:grpSpPr>
      <cdr:sp macro="" textlink="">
        <cdr:nvSpPr>
          <cdr:cNvPr id="2" name="TextBox 1">
            <a:extLst xmlns:a="http://schemas.openxmlformats.org/drawingml/2006/main">
              <a:ext uri="{FF2B5EF4-FFF2-40B4-BE49-F238E27FC236}">
                <a16:creationId xmlns:a16="http://schemas.microsoft.com/office/drawing/2014/main" id="{BB310555-8CA1-B247-4F46-6BBEC4559759}"/>
              </a:ext>
            </a:extLst>
          </cdr:cNvPr>
          <cdr:cNvSpPr txBox="1"/>
        </cdr:nvSpPr>
        <cdr:spPr>
          <a:xfrm xmlns:a="http://schemas.openxmlformats.org/drawingml/2006/main">
            <a:off x="950302" y="960706"/>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3" name="TextBox 1">
            <a:extLst xmlns:a="http://schemas.openxmlformats.org/drawingml/2006/main">
              <a:ext uri="{FF2B5EF4-FFF2-40B4-BE49-F238E27FC236}">
                <a16:creationId xmlns:a16="http://schemas.microsoft.com/office/drawing/2014/main" id="{2BA5CE1D-159B-A0B6-A283-01564B46207C}"/>
              </a:ext>
            </a:extLst>
          </cdr:cNvPr>
          <cdr:cNvSpPr txBox="1"/>
        </cdr:nvSpPr>
        <cdr:spPr>
          <a:xfrm xmlns:a="http://schemas.openxmlformats.org/drawingml/2006/main">
            <a:off x="1567376" y="1029872"/>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4" name="TextBox 1">
            <a:extLst xmlns:a="http://schemas.openxmlformats.org/drawingml/2006/main">
              <a:ext uri="{FF2B5EF4-FFF2-40B4-BE49-F238E27FC236}">
                <a16:creationId xmlns:a16="http://schemas.microsoft.com/office/drawing/2014/main" id="{C5C0A436-3E84-B736-3B1A-EC80D71F407F}"/>
              </a:ext>
            </a:extLst>
          </cdr:cNvPr>
          <cdr:cNvSpPr txBox="1"/>
        </cdr:nvSpPr>
        <cdr:spPr>
          <a:xfrm xmlns:a="http://schemas.openxmlformats.org/drawingml/2006/main">
            <a:off x="2193974" y="1159607"/>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5" name="TextBox 1">
            <a:extLst xmlns:a="http://schemas.openxmlformats.org/drawingml/2006/main">
              <a:ext uri="{FF2B5EF4-FFF2-40B4-BE49-F238E27FC236}">
                <a16:creationId xmlns:a16="http://schemas.microsoft.com/office/drawing/2014/main" id="{DFE99234-3780-EA30-CFC9-CDEA50A72118}"/>
              </a:ext>
            </a:extLst>
          </cdr:cNvPr>
          <cdr:cNvSpPr txBox="1"/>
        </cdr:nvSpPr>
        <cdr:spPr>
          <a:xfrm xmlns:a="http://schemas.openxmlformats.org/drawingml/2006/main">
            <a:off x="2806505" y="1326270"/>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6" name="TextBox 1">
            <a:extLst xmlns:a="http://schemas.openxmlformats.org/drawingml/2006/main">
              <a:ext uri="{FF2B5EF4-FFF2-40B4-BE49-F238E27FC236}">
                <a16:creationId xmlns:a16="http://schemas.microsoft.com/office/drawing/2014/main" id="{0CE44765-3F38-01C4-45A3-33AE4D6C1F5F}"/>
              </a:ext>
            </a:extLst>
          </cdr:cNvPr>
          <cdr:cNvSpPr txBox="1"/>
        </cdr:nvSpPr>
        <cdr:spPr>
          <a:xfrm xmlns:a="http://schemas.openxmlformats.org/drawingml/2006/main">
            <a:off x="4045633" y="1671906"/>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7" name="TextBox 1">
            <a:extLst xmlns:a="http://schemas.openxmlformats.org/drawingml/2006/main">
              <a:ext uri="{FF2B5EF4-FFF2-40B4-BE49-F238E27FC236}">
                <a16:creationId xmlns:a16="http://schemas.microsoft.com/office/drawing/2014/main" id="{30F1E56E-955E-A0F4-AA1A-D2488733658D}"/>
              </a:ext>
            </a:extLst>
          </cdr:cNvPr>
          <cdr:cNvSpPr txBox="1"/>
        </cdr:nvSpPr>
        <cdr:spPr>
          <a:xfrm xmlns:a="http://schemas.openxmlformats.org/drawingml/2006/main">
            <a:off x="2967306" y="944587"/>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9" name="TextBox 1">
            <a:extLst xmlns:a="http://schemas.openxmlformats.org/drawingml/2006/main">
              <a:ext uri="{FF2B5EF4-FFF2-40B4-BE49-F238E27FC236}">
                <a16:creationId xmlns:a16="http://schemas.microsoft.com/office/drawing/2014/main" id="{96FDCCDC-383A-46CD-4501-D11E90523231}"/>
              </a:ext>
            </a:extLst>
          </cdr:cNvPr>
          <cdr:cNvSpPr txBox="1"/>
        </cdr:nvSpPr>
        <cdr:spPr>
          <a:xfrm xmlns:a="http://schemas.openxmlformats.org/drawingml/2006/main">
            <a:off x="2332990" y="858617"/>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10" name="TextBox 1">
            <a:extLst xmlns:a="http://schemas.openxmlformats.org/drawingml/2006/main">
              <a:ext uri="{FF2B5EF4-FFF2-40B4-BE49-F238E27FC236}">
                <a16:creationId xmlns:a16="http://schemas.microsoft.com/office/drawing/2014/main" id="{46C1CDAB-CEAF-6A83-8283-1ED3C878805A}"/>
              </a:ext>
            </a:extLst>
          </cdr:cNvPr>
          <cdr:cNvSpPr txBox="1"/>
        </cdr:nvSpPr>
        <cdr:spPr>
          <a:xfrm xmlns:a="http://schemas.openxmlformats.org/drawingml/2006/main">
            <a:off x="3573487" y="1101285"/>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11" name="TextBox 1">
            <a:extLst xmlns:a="http://schemas.openxmlformats.org/drawingml/2006/main">
              <a:ext uri="{FF2B5EF4-FFF2-40B4-BE49-F238E27FC236}">
                <a16:creationId xmlns:a16="http://schemas.microsoft.com/office/drawing/2014/main" id="{627EFA65-0BD5-907C-44CC-3853DD9265AC}"/>
              </a:ext>
            </a:extLst>
          </cdr:cNvPr>
          <cdr:cNvSpPr txBox="1"/>
        </cdr:nvSpPr>
        <cdr:spPr>
          <a:xfrm xmlns:a="http://schemas.openxmlformats.org/drawingml/2006/main">
            <a:off x="4194420" y="1296572"/>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sp macro="" textlink="">
        <cdr:nvSpPr>
          <cdr:cNvPr id="12" name="TextBox 1">
            <a:extLst xmlns:a="http://schemas.openxmlformats.org/drawingml/2006/main">
              <a:ext uri="{FF2B5EF4-FFF2-40B4-BE49-F238E27FC236}">
                <a16:creationId xmlns:a16="http://schemas.microsoft.com/office/drawing/2014/main" id="{A4EA9DCE-53E4-C631-37E3-C262E04834D6}"/>
              </a:ext>
            </a:extLst>
          </cdr:cNvPr>
          <cdr:cNvSpPr txBox="1"/>
        </cdr:nvSpPr>
        <cdr:spPr>
          <a:xfrm xmlns:a="http://schemas.openxmlformats.org/drawingml/2006/main">
            <a:off x="1107928" y="565150"/>
            <a:ext cx="298450" cy="152400"/>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grpSp>
  </cdr:relSizeAnchor>
  <cdr:relSizeAnchor xmlns:cdr="http://schemas.openxmlformats.org/drawingml/2006/chartDrawing">
    <cdr:from>
      <cdr:x>0.74951</cdr:x>
      <cdr:y>0.53581</cdr:y>
    </cdr:from>
    <cdr:to>
      <cdr:x>0.81479</cdr:x>
      <cdr:y>0.59123</cdr:y>
    </cdr:to>
    <cdr:sp macro="" textlink="">
      <cdr:nvSpPr>
        <cdr:cNvPr id="14" name="TextBox 1">
          <a:extLst xmlns:a="http://schemas.openxmlformats.org/drawingml/2006/main">
            <a:ext uri="{FF2B5EF4-FFF2-40B4-BE49-F238E27FC236}">
              <a16:creationId xmlns:a16="http://schemas.microsoft.com/office/drawing/2014/main" id="{732529F7-F49F-3D56-656F-13566C5C1F54}"/>
            </a:ext>
          </a:extLst>
        </cdr:cNvPr>
        <cdr:cNvSpPr txBox="1"/>
      </cdr:nvSpPr>
      <cdr:spPr>
        <a:xfrm xmlns:a="http://schemas.openxmlformats.org/drawingml/2006/main">
          <a:off x="3426763" y="1639276"/>
          <a:ext cx="298460" cy="169553"/>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000" kern="1200">
              <a:latin typeface="Arial" panose="020B0604020202020204" pitchFamily="34" charset="0"/>
              <a:cs typeface="Arial" panose="020B0604020202020204" pitchFamily="34" charset="0"/>
            </a:rPr>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89</TotalTime>
  <Pages>18</Pages>
  <Words>6371</Words>
  <Characters>36316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42602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62</cp:revision>
  <cp:lastPrinted>1999-07-06T11:00:00Z</cp:lastPrinted>
  <dcterms:created xsi:type="dcterms:W3CDTF">2026-09-07T15:38:00Z</dcterms:created>
  <dcterms:modified xsi:type="dcterms:W3CDTF">2026-09-09T13:29:00Z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4798c568-1160-48f5-9510-5bda57585b6c</vt:lpwstr>
  </property>
</Properties>
</file>